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64C5" w14:textId="3FB0D50D" w:rsidR="00433044" w:rsidRPr="00C3053F" w:rsidRDefault="009A65A3" w:rsidP="00722BE1">
      <w:pPr>
        <w:pStyle w:val="1-MainHeading"/>
      </w:pPr>
      <w:bookmarkStart w:id="0" w:name="_Toc103015524"/>
      <w:r>
        <w:t>5</w:t>
      </w:r>
      <w:r w:rsidR="00433044" w:rsidRPr="00C12C14">
        <w:t>.</w:t>
      </w:r>
      <w:r>
        <w:t>01</w:t>
      </w:r>
      <w:r w:rsidR="00163F66">
        <w:tab/>
      </w:r>
      <w:r>
        <w:t>ANIFROLUMAB</w:t>
      </w:r>
      <w:r w:rsidR="00163F66">
        <w:t>,</w:t>
      </w:r>
      <w:r w:rsidR="00163F66">
        <w:br/>
      </w:r>
      <w:r w:rsidR="00306AFC">
        <w:t xml:space="preserve">Solution concentrate for </w:t>
      </w:r>
      <w:r>
        <w:t>I.V. infusion</w:t>
      </w:r>
      <w:r w:rsidR="00306AFC">
        <w:t xml:space="preserve"> 300 mg in 2 mL</w:t>
      </w:r>
      <w:r w:rsidR="00163F66">
        <w:t>,</w:t>
      </w:r>
      <w:r w:rsidR="00163F66">
        <w:br/>
      </w:r>
      <w:proofErr w:type="spellStart"/>
      <w:r>
        <w:t>Saphnelo</w:t>
      </w:r>
      <w:proofErr w:type="spellEnd"/>
      <w:r w:rsidR="00B60939" w:rsidRPr="004A6040">
        <w:rPr>
          <w:vertAlign w:val="superscript"/>
        </w:rPr>
        <w:t>®</w:t>
      </w:r>
      <w:r w:rsidR="004A6040" w:rsidRPr="004A6040">
        <w:t>,</w:t>
      </w:r>
      <w:r w:rsidR="004A6040" w:rsidRPr="004A6040">
        <w:br/>
      </w:r>
      <w:r>
        <w:t>AstraZeneca Pty Ltd</w:t>
      </w:r>
      <w:r w:rsidR="00B60939" w:rsidRPr="004A6040">
        <w:t>.</w:t>
      </w:r>
      <w:bookmarkEnd w:id="0"/>
    </w:p>
    <w:p w14:paraId="11C00795" w14:textId="21C1D34F" w:rsidR="00B50DB8" w:rsidRPr="00407F2D" w:rsidRDefault="00B50DB8" w:rsidP="004A6040">
      <w:pPr>
        <w:pStyle w:val="2-SectionHeading"/>
      </w:pPr>
      <w:bookmarkStart w:id="1" w:name="_Toc103015526"/>
      <w:r w:rsidRPr="00407F2D">
        <w:t xml:space="preserve">Purpose of </w:t>
      </w:r>
      <w:r w:rsidR="00CD7193">
        <w:t>s</w:t>
      </w:r>
      <w:r w:rsidR="00BB3A45">
        <w:t>ubmission</w:t>
      </w:r>
      <w:bookmarkEnd w:id="1"/>
    </w:p>
    <w:p w14:paraId="19414AA1" w14:textId="4997219A" w:rsidR="002C2775" w:rsidRDefault="007170DA" w:rsidP="004E18E9">
      <w:pPr>
        <w:pStyle w:val="3-BodyText"/>
      </w:pPr>
      <w:r>
        <w:t xml:space="preserve">The </w:t>
      </w:r>
      <w:r w:rsidR="00781DA4">
        <w:t xml:space="preserve">Category 1 </w:t>
      </w:r>
      <w:r>
        <w:t xml:space="preserve">submission </w:t>
      </w:r>
      <w:r w:rsidRPr="004E18E9">
        <w:t xml:space="preserve">requested </w:t>
      </w:r>
      <w:r w:rsidR="00E02F62">
        <w:t xml:space="preserve">a </w:t>
      </w:r>
      <w:r w:rsidR="008B1757" w:rsidRPr="004E18E9">
        <w:t>Section 100</w:t>
      </w:r>
      <w:r w:rsidR="00781DA4">
        <w:t xml:space="preserve"> </w:t>
      </w:r>
      <w:r w:rsidR="00E02F62">
        <w:t>(</w:t>
      </w:r>
      <w:r w:rsidR="00781DA4">
        <w:t>Highly Specialised Drug</w:t>
      </w:r>
      <w:r w:rsidR="00E02F62">
        <w:t xml:space="preserve"> Program) </w:t>
      </w:r>
      <w:r w:rsidR="008B1757" w:rsidRPr="004E18E9">
        <w:t>Authority Required</w:t>
      </w:r>
      <w:r w:rsidR="00781DA4">
        <w:t xml:space="preserve"> (Writ</w:t>
      </w:r>
      <w:r w:rsidR="00E02F62">
        <w:t>ten</w:t>
      </w:r>
      <w:r w:rsidR="00781DA4">
        <w:t>)</w:t>
      </w:r>
      <w:r w:rsidR="008B1757" w:rsidRPr="004E18E9">
        <w:t xml:space="preserve"> listing </w:t>
      </w:r>
      <w:r w:rsidR="00781DA4">
        <w:t>of</w:t>
      </w:r>
      <w:r w:rsidR="008B1757" w:rsidRPr="004E18E9">
        <w:t xml:space="preserve"> </w:t>
      </w:r>
      <w:proofErr w:type="spellStart"/>
      <w:r w:rsidR="00781DA4">
        <w:t>anifrolumab</w:t>
      </w:r>
      <w:proofErr w:type="spellEnd"/>
      <w:r w:rsidR="008B1757" w:rsidRPr="004E18E9">
        <w:t xml:space="preserve"> </w:t>
      </w:r>
      <w:r w:rsidR="00781DA4">
        <w:t xml:space="preserve">for </w:t>
      </w:r>
      <w:r w:rsidR="00E02F62">
        <w:t xml:space="preserve">the treatment of </w:t>
      </w:r>
      <w:r w:rsidR="00781DA4">
        <w:t xml:space="preserve">patients with systemic lupus erythematosus (SLE) with </w:t>
      </w:r>
      <w:r w:rsidR="00E02F62">
        <w:t xml:space="preserve">a </w:t>
      </w:r>
      <w:r w:rsidR="00781DA4">
        <w:t xml:space="preserve">high </w:t>
      </w:r>
      <w:r w:rsidR="00E02F62">
        <w:t xml:space="preserve">degree of </w:t>
      </w:r>
      <w:r w:rsidR="00781DA4">
        <w:t>disease activity despite standard of care (SOC).</w:t>
      </w:r>
      <w:r w:rsidR="002B27D6">
        <w:t xml:space="preserve"> </w:t>
      </w:r>
    </w:p>
    <w:p w14:paraId="322B4EA9" w14:textId="25236133" w:rsidR="00781DA4" w:rsidRDefault="00781DA4" w:rsidP="004E18E9">
      <w:pPr>
        <w:pStyle w:val="3-BodyText"/>
      </w:pPr>
      <w:r>
        <w:t xml:space="preserve">The basis of the requested listing was cost-utility analyses versus SOC. </w:t>
      </w:r>
      <w:r w:rsidR="00C523D4" w:rsidRPr="00306AFC">
        <w:rPr>
          <w:rFonts w:cstheme="minorHAnsi"/>
          <w:b/>
          <w:bCs/>
        </w:rPr>
        <w:fldChar w:fldCharType="begin"/>
      </w:r>
      <w:r w:rsidR="00C523D4" w:rsidRPr="00306AFC">
        <w:rPr>
          <w:rFonts w:cstheme="minorHAnsi"/>
          <w:b/>
          <w:bCs/>
        </w:rPr>
        <w:instrText xml:space="preserve"> REF _Ref102982918 \h </w:instrText>
      </w:r>
      <w:r w:rsidR="00306AFC" w:rsidRPr="00306AFC">
        <w:rPr>
          <w:rFonts w:cstheme="minorHAnsi"/>
          <w:b/>
          <w:bCs/>
        </w:rPr>
        <w:instrText xml:space="preserve"> \* MERGEFORMAT </w:instrText>
      </w:r>
      <w:r w:rsidR="00C523D4" w:rsidRPr="00306AFC">
        <w:rPr>
          <w:rFonts w:cstheme="minorHAnsi"/>
          <w:b/>
          <w:bCs/>
        </w:rPr>
      </w:r>
      <w:r w:rsidR="00C523D4" w:rsidRPr="00306AFC">
        <w:rPr>
          <w:rFonts w:cstheme="minorHAnsi"/>
          <w:b/>
          <w:bCs/>
        </w:rPr>
        <w:fldChar w:fldCharType="separate"/>
      </w:r>
      <w:r w:rsidR="00942C22" w:rsidRPr="00942C22">
        <w:rPr>
          <w:rStyle w:val="CommentReference"/>
          <w:rFonts w:asciiTheme="minorHAnsi" w:hAnsiTheme="minorHAnsi" w:cstheme="minorHAnsi"/>
          <w:b w:val="0"/>
          <w:bCs/>
          <w:sz w:val="24"/>
          <w:szCs w:val="24"/>
        </w:rPr>
        <w:t xml:space="preserve">Table </w:t>
      </w:r>
      <w:r w:rsidR="00942C22" w:rsidRPr="00942C22">
        <w:rPr>
          <w:rStyle w:val="CommentReference"/>
          <w:rFonts w:asciiTheme="minorHAnsi" w:hAnsiTheme="minorHAnsi" w:cstheme="minorHAnsi"/>
          <w:b w:val="0"/>
          <w:bCs/>
          <w:noProof/>
          <w:sz w:val="24"/>
          <w:szCs w:val="24"/>
        </w:rPr>
        <w:t>1</w:t>
      </w:r>
      <w:r w:rsidR="00C523D4" w:rsidRPr="00306AFC">
        <w:rPr>
          <w:rFonts w:cstheme="minorHAnsi"/>
          <w:b/>
          <w:bCs/>
        </w:rPr>
        <w:fldChar w:fldCharType="end"/>
      </w:r>
      <w:r w:rsidR="00C523D4">
        <w:t xml:space="preserve"> </w:t>
      </w:r>
      <w:r>
        <w:t>summarises the components of the overall clinical claim addressed by the submission.</w:t>
      </w:r>
    </w:p>
    <w:p w14:paraId="05C0CE6B" w14:textId="6BF6E437" w:rsidR="00781DA4" w:rsidRPr="00C523D4" w:rsidRDefault="004A5FE9" w:rsidP="002A172A">
      <w:pPr>
        <w:pStyle w:val="TableFigureHeading"/>
        <w:keepLines/>
        <w:rPr>
          <w:rStyle w:val="CommentReference"/>
          <w:szCs w:val="24"/>
        </w:rPr>
      </w:pPr>
      <w:bookmarkStart w:id="2" w:name="_Ref102982918"/>
      <w:r w:rsidRPr="00C523D4">
        <w:rPr>
          <w:rStyle w:val="CommentReference"/>
          <w:b/>
          <w:szCs w:val="24"/>
        </w:rPr>
        <w:t xml:space="preserve">Table </w:t>
      </w:r>
      <w:r w:rsidRPr="00C523D4">
        <w:rPr>
          <w:rStyle w:val="CommentReference"/>
          <w:b/>
          <w:szCs w:val="24"/>
        </w:rPr>
        <w:fldChar w:fldCharType="begin"/>
      </w:r>
      <w:r w:rsidRPr="00C523D4">
        <w:rPr>
          <w:rStyle w:val="CommentReference"/>
          <w:b/>
          <w:szCs w:val="24"/>
        </w:rPr>
        <w:instrText xml:space="preserve"> SEQ Table \* ARABIC </w:instrText>
      </w:r>
      <w:r w:rsidRPr="00C523D4">
        <w:rPr>
          <w:rStyle w:val="CommentReference"/>
          <w:b/>
          <w:szCs w:val="24"/>
        </w:rPr>
        <w:fldChar w:fldCharType="separate"/>
      </w:r>
      <w:r w:rsidR="00942C22">
        <w:rPr>
          <w:rStyle w:val="CommentReference"/>
          <w:b/>
          <w:noProof/>
          <w:szCs w:val="24"/>
        </w:rPr>
        <w:t>1</w:t>
      </w:r>
      <w:r w:rsidRPr="00C523D4">
        <w:rPr>
          <w:rStyle w:val="CommentReference"/>
          <w:b/>
          <w:szCs w:val="24"/>
        </w:rPr>
        <w:fldChar w:fldCharType="end"/>
      </w:r>
      <w:bookmarkEnd w:id="2"/>
      <w:r w:rsidR="00781DA4" w:rsidRPr="00C523D4">
        <w:rPr>
          <w:rStyle w:val="CommentReference"/>
          <w:b/>
          <w:szCs w:val="24"/>
        </w:rPr>
        <w:t>:</w:t>
      </w:r>
      <w:r w:rsidR="00781DA4" w:rsidRPr="00E55915">
        <w:rPr>
          <w:rStyle w:val="CommentReference"/>
          <w:b/>
          <w:szCs w:val="24"/>
        </w:rPr>
        <w:t xml:space="preserve">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13"/>
        <w:gridCol w:w="7904"/>
      </w:tblGrid>
      <w:tr w:rsidR="00781DA4" w:rsidRPr="00A518F3" w14:paraId="7BB6A50A" w14:textId="77777777" w:rsidTr="002A172A">
        <w:tc>
          <w:tcPr>
            <w:tcW w:w="617" w:type="pct"/>
            <w:vAlign w:val="center"/>
          </w:tcPr>
          <w:p w14:paraId="50BBA348" w14:textId="77777777" w:rsidR="00781DA4" w:rsidRPr="00A518F3" w:rsidRDefault="00781DA4" w:rsidP="002A172A">
            <w:pPr>
              <w:pStyle w:val="In-tableHeading"/>
              <w:keepLines/>
            </w:pPr>
            <w:r w:rsidRPr="00A518F3">
              <w:t>Component</w:t>
            </w:r>
          </w:p>
        </w:tc>
        <w:tc>
          <w:tcPr>
            <w:tcW w:w="4383" w:type="pct"/>
            <w:vAlign w:val="center"/>
          </w:tcPr>
          <w:p w14:paraId="4973D4C7" w14:textId="77777777" w:rsidR="00781DA4" w:rsidRPr="00A518F3" w:rsidRDefault="00781DA4" w:rsidP="002A172A">
            <w:pPr>
              <w:pStyle w:val="In-tableHeading"/>
              <w:keepLines/>
            </w:pPr>
            <w:r w:rsidRPr="00A518F3">
              <w:t>Description</w:t>
            </w:r>
          </w:p>
        </w:tc>
      </w:tr>
      <w:tr w:rsidR="00781DA4" w14:paraId="56469DFF" w14:textId="77777777" w:rsidTr="002A172A">
        <w:tc>
          <w:tcPr>
            <w:tcW w:w="617" w:type="pct"/>
            <w:vAlign w:val="center"/>
          </w:tcPr>
          <w:p w14:paraId="28E66D2A" w14:textId="77777777" w:rsidR="00781DA4" w:rsidRDefault="00781DA4" w:rsidP="002A172A">
            <w:pPr>
              <w:pStyle w:val="TableText0"/>
              <w:keepLines/>
            </w:pPr>
            <w:r>
              <w:t>Population</w:t>
            </w:r>
          </w:p>
        </w:tc>
        <w:tc>
          <w:tcPr>
            <w:tcW w:w="4383" w:type="pct"/>
            <w:vAlign w:val="center"/>
          </w:tcPr>
          <w:p w14:paraId="2AF6B9E7" w14:textId="77777777" w:rsidR="00781DA4" w:rsidRDefault="00781DA4" w:rsidP="002A172A">
            <w:pPr>
              <w:pStyle w:val="TableText0"/>
              <w:keepLines/>
            </w:pPr>
            <w:r w:rsidRPr="00073AC5">
              <w:t>Adult patients with SLE with a high degree of disease activity despite standard therapy.</w:t>
            </w:r>
          </w:p>
        </w:tc>
      </w:tr>
      <w:tr w:rsidR="00781DA4" w14:paraId="2EB27372" w14:textId="77777777" w:rsidTr="002A172A">
        <w:tc>
          <w:tcPr>
            <w:tcW w:w="617" w:type="pct"/>
            <w:vAlign w:val="center"/>
          </w:tcPr>
          <w:p w14:paraId="6E2819A0" w14:textId="77777777" w:rsidR="00781DA4" w:rsidRDefault="00781DA4" w:rsidP="002A172A">
            <w:pPr>
              <w:pStyle w:val="TableText0"/>
              <w:keepLines/>
            </w:pPr>
            <w:r>
              <w:t>Intervention</w:t>
            </w:r>
          </w:p>
        </w:tc>
        <w:tc>
          <w:tcPr>
            <w:tcW w:w="4383" w:type="pct"/>
            <w:vAlign w:val="center"/>
          </w:tcPr>
          <w:p w14:paraId="136BEEBD" w14:textId="77777777" w:rsidR="00781DA4" w:rsidRDefault="00781DA4" w:rsidP="002A172A">
            <w:pPr>
              <w:pStyle w:val="TableText0"/>
              <w:keepLines/>
            </w:pPr>
            <w:proofErr w:type="spellStart"/>
            <w:r w:rsidRPr="00073AC5">
              <w:t>Anifrolumab</w:t>
            </w:r>
            <w:proofErr w:type="spellEnd"/>
            <w:r w:rsidRPr="00073AC5">
              <w:t xml:space="preserve"> 300 mg intravenous injection every four weeks added to SOC</w:t>
            </w:r>
          </w:p>
        </w:tc>
      </w:tr>
      <w:tr w:rsidR="00781DA4" w14:paraId="26E9A8C4" w14:textId="77777777" w:rsidTr="002A172A">
        <w:tc>
          <w:tcPr>
            <w:tcW w:w="617" w:type="pct"/>
            <w:vAlign w:val="center"/>
          </w:tcPr>
          <w:p w14:paraId="0F03AB64" w14:textId="77777777" w:rsidR="00781DA4" w:rsidRDefault="00781DA4" w:rsidP="002A172A">
            <w:pPr>
              <w:pStyle w:val="TableText0"/>
              <w:keepLines/>
            </w:pPr>
            <w:r>
              <w:t>Comparator</w:t>
            </w:r>
          </w:p>
        </w:tc>
        <w:tc>
          <w:tcPr>
            <w:tcW w:w="4383" w:type="pct"/>
            <w:vAlign w:val="center"/>
          </w:tcPr>
          <w:p w14:paraId="1AD2E00A" w14:textId="77777777" w:rsidR="00781DA4" w:rsidRDefault="00781DA4" w:rsidP="002A172A">
            <w:pPr>
              <w:pStyle w:val="TableText0"/>
              <w:keepLines/>
            </w:pPr>
            <w:r w:rsidRPr="00073AC5">
              <w:t>SOC alone (placebo).</w:t>
            </w:r>
          </w:p>
        </w:tc>
      </w:tr>
      <w:tr w:rsidR="00781DA4" w14:paraId="5CE585E5" w14:textId="77777777" w:rsidTr="002A172A">
        <w:tc>
          <w:tcPr>
            <w:tcW w:w="617" w:type="pct"/>
            <w:vAlign w:val="center"/>
          </w:tcPr>
          <w:p w14:paraId="6CFC2577" w14:textId="77777777" w:rsidR="00781DA4" w:rsidRDefault="00781DA4" w:rsidP="002A172A">
            <w:pPr>
              <w:pStyle w:val="TableText0"/>
              <w:keepLines/>
            </w:pPr>
            <w:r>
              <w:t>Outcomes</w:t>
            </w:r>
          </w:p>
        </w:tc>
        <w:tc>
          <w:tcPr>
            <w:tcW w:w="4383" w:type="pct"/>
            <w:vAlign w:val="center"/>
          </w:tcPr>
          <w:p w14:paraId="20364443" w14:textId="77777777" w:rsidR="00781DA4" w:rsidRDefault="00781DA4" w:rsidP="002A172A">
            <w:pPr>
              <w:pStyle w:val="TableText0"/>
              <w:keepLines/>
            </w:pPr>
            <w:r w:rsidRPr="00073AC5">
              <w:t>SLE Responder Index (</w:t>
            </w:r>
            <w:proofErr w:type="gramStart"/>
            <w:r w:rsidRPr="00073AC5">
              <w:t>SRI(</w:t>
            </w:r>
            <w:proofErr w:type="gramEnd"/>
            <w:r w:rsidRPr="00073AC5">
              <w:t>4)) (a composite outcome consisting of SLEDAI-2K, PGA, BILAG), BICLA response (a composite outcome consisting of BILAG, PGA, SLEDAI-2K), reduction in OCS use, annualised flare rate SDI, Adverse events.</w:t>
            </w:r>
          </w:p>
        </w:tc>
      </w:tr>
      <w:tr w:rsidR="00781DA4" w14:paraId="76BAB318" w14:textId="77777777" w:rsidTr="002A172A">
        <w:tc>
          <w:tcPr>
            <w:tcW w:w="617" w:type="pct"/>
            <w:vAlign w:val="center"/>
          </w:tcPr>
          <w:p w14:paraId="6C4E8DF0" w14:textId="77777777" w:rsidR="00781DA4" w:rsidRDefault="00781DA4" w:rsidP="002A172A">
            <w:pPr>
              <w:pStyle w:val="TableText0"/>
              <w:keepLines/>
            </w:pPr>
            <w:r>
              <w:t>Clinical claim</w:t>
            </w:r>
          </w:p>
        </w:tc>
        <w:tc>
          <w:tcPr>
            <w:tcW w:w="4383" w:type="pct"/>
            <w:vAlign w:val="center"/>
          </w:tcPr>
          <w:p w14:paraId="1CA811AC" w14:textId="77777777" w:rsidR="00781DA4" w:rsidRDefault="00781DA4" w:rsidP="002A172A">
            <w:pPr>
              <w:pStyle w:val="TableText0"/>
              <w:keepLines/>
            </w:pPr>
            <w:r w:rsidRPr="00073AC5">
              <w:t xml:space="preserve">In patients with SLE </w:t>
            </w:r>
            <w:r>
              <w:t>and</w:t>
            </w:r>
            <w:r w:rsidRPr="00073AC5">
              <w:t xml:space="preserve"> a high degree of disease activity despite SOC comprising of an antimalarial, immunosuppressant (MTX, AZA, or mycophenolate) and 7.5 mg/day prednisone (or equivalent), </w:t>
            </w:r>
            <w:proofErr w:type="spellStart"/>
            <w:r w:rsidRPr="00073AC5">
              <w:t>anifrolumab</w:t>
            </w:r>
            <w:proofErr w:type="spellEnd"/>
            <w:r w:rsidRPr="00073AC5">
              <w:t xml:space="preserve"> added to SOC has superior effectiveness and non-inferior safety compared to SOC alone.</w:t>
            </w:r>
          </w:p>
        </w:tc>
      </w:tr>
    </w:tbl>
    <w:p w14:paraId="7375A816" w14:textId="77777777" w:rsidR="00781DA4" w:rsidRDefault="00781DA4" w:rsidP="002A172A">
      <w:pPr>
        <w:pStyle w:val="TableFigureFooter"/>
        <w:keepNext/>
        <w:keepLines/>
      </w:pPr>
      <w:r>
        <w:t>Source: Table 1.1-1, p19 of the submission.</w:t>
      </w:r>
    </w:p>
    <w:p w14:paraId="302472E3" w14:textId="0509CE78" w:rsidR="00781DA4" w:rsidRPr="00FD0664" w:rsidRDefault="00781DA4" w:rsidP="002A172A">
      <w:pPr>
        <w:pStyle w:val="TableFigureFooter"/>
        <w:keepNext/>
        <w:keepLines/>
        <w:rPr>
          <w:rFonts w:asciiTheme="minorHAnsi" w:hAnsiTheme="minorHAnsi" w:cstheme="minorHAnsi"/>
          <w:sz w:val="24"/>
          <w:szCs w:val="24"/>
        </w:rPr>
      </w:pPr>
      <w:r w:rsidRPr="00073AC5">
        <w:t>AZA=azathioprine; BICLA=BILAG–Based Composite Lupus Assessment; BILAG=British Isles Lupus Assessment Group; MTX=methotrexate; OCS=oral corticosteroids; PGA=physician’s global assessment; SDI=</w:t>
      </w:r>
      <w:r w:rsidR="008A0471" w:rsidRPr="008A0471">
        <w:t xml:space="preserve"> SLICC/ACR (Systemic Lupus International Collaborating Clinics/American College of Rheumatology) Damage Index</w:t>
      </w:r>
      <w:r w:rsidRPr="00073AC5">
        <w:t xml:space="preserve">; SLE=Systemic Lupus Erythematosus; SLEDIA-2K=Systemic Lupus Erythematosus Disease Activity Index 2000; SOC=standard of care; </w:t>
      </w:r>
      <w:proofErr w:type="gramStart"/>
      <w:r w:rsidRPr="00073AC5">
        <w:t>SRI(</w:t>
      </w:r>
      <w:proofErr w:type="gramEnd"/>
      <w:r w:rsidRPr="00073AC5">
        <w:t>4)=</w:t>
      </w:r>
      <w:r w:rsidR="0025495C">
        <w:t>4-</w:t>
      </w:r>
      <w:r w:rsidR="0025495C" w:rsidRPr="0025495C">
        <w:t>point reduction on the SLE Responder Index</w:t>
      </w:r>
      <w:r w:rsidRPr="00073AC5">
        <w:t>.</w:t>
      </w:r>
    </w:p>
    <w:p w14:paraId="6B4AB6C2" w14:textId="7F01D731" w:rsidR="005C25FF" w:rsidRPr="00407F2D" w:rsidRDefault="005C25FF" w:rsidP="004A6040">
      <w:pPr>
        <w:pStyle w:val="2-SectionHeading"/>
      </w:pPr>
      <w:bookmarkStart w:id="3" w:name="_Toc103015527"/>
      <w:r w:rsidRPr="00407F2D">
        <w:t>Background</w:t>
      </w:r>
      <w:bookmarkEnd w:id="3"/>
    </w:p>
    <w:p w14:paraId="2C521D6D" w14:textId="78CF03EE" w:rsidR="005C25FF" w:rsidRPr="004151CF" w:rsidRDefault="005C25FF" w:rsidP="004A6040">
      <w:pPr>
        <w:pStyle w:val="4-SubsectionHeading"/>
      </w:pPr>
      <w:bookmarkStart w:id="4" w:name="_Toc22897638"/>
      <w:bookmarkStart w:id="5" w:name="_Toc103015528"/>
      <w:r w:rsidRPr="004151CF">
        <w:t>Registration status</w:t>
      </w:r>
      <w:bookmarkEnd w:id="4"/>
      <w:bookmarkEnd w:id="5"/>
    </w:p>
    <w:p w14:paraId="4411719A" w14:textId="1FFA4D96" w:rsidR="00FF4B87" w:rsidRPr="00224C2E" w:rsidRDefault="00D2512E" w:rsidP="00144EF7">
      <w:pPr>
        <w:pStyle w:val="3-BodyText"/>
        <w:rPr>
          <w:iCs/>
        </w:rPr>
      </w:pPr>
      <w:proofErr w:type="spellStart"/>
      <w:r>
        <w:rPr>
          <w:iCs/>
        </w:rPr>
        <w:t>A</w:t>
      </w:r>
      <w:r w:rsidR="00B20709" w:rsidRPr="00224C2E">
        <w:rPr>
          <w:iCs/>
        </w:rPr>
        <w:t>nifrolumab</w:t>
      </w:r>
      <w:proofErr w:type="spellEnd"/>
      <w:r w:rsidR="00B20709" w:rsidRPr="00224C2E">
        <w:rPr>
          <w:iCs/>
        </w:rPr>
        <w:t xml:space="preserve"> was listed on the</w:t>
      </w:r>
      <w:r w:rsidR="00F66227" w:rsidRPr="00224C2E">
        <w:rPr>
          <w:iCs/>
        </w:rPr>
        <w:t xml:space="preserve"> ARTG</w:t>
      </w:r>
      <w:r w:rsidR="00B20709" w:rsidRPr="00224C2E">
        <w:rPr>
          <w:iCs/>
        </w:rPr>
        <w:t xml:space="preserve"> on 29 March 2022.</w:t>
      </w:r>
      <w:r w:rsidR="00144EF7" w:rsidRPr="00224C2E">
        <w:rPr>
          <w:iCs/>
        </w:rPr>
        <w:t xml:space="preserve"> </w:t>
      </w:r>
      <w:r w:rsidR="00FF4B87" w:rsidRPr="00224C2E">
        <w:rPr>
          <w:iCs/>
        </w:rPr>
        <w:t xml:space="preserve">The TGA indication is: </w:t>
      </w:r>
    </w:p>
    <w:p w14:paraId="72CC5C5D" w14:textId="597712E3" w:rsidR="00144EF7" w:rsidRPr="00224C2E" w:rsidRDefault="00FF4B87" w:rsidP="00B20709">
      <w:pPr>
        <w:pStyle w:val="3-BodyText"/>
        <w:numPr>
          <w:ilvl w:val="0"/>
          <w:numId w:val="0"/>
        </w:numPr>
        <w:ind w:left="1020"/>
        <w:rPr>
          <w:iCs/>
        </w:rPr>
      </w:pPr>
      <w:r w:rsidRPr="00224C2E">
        <w:rPr>
          <w:iCs/>
        </w:rPr>
        <w:t>“SAPHNELO (</w:t>
      </w:r>
      <w:proofErr w:type="spellStart"/>
      <w:r w:rsidRPr="00224C2E">
        <w:rPr>
          <w:iCs/>
        </w:rPr>
        <w:t>anifrolumab</w:t>
      </w:r>
      <w:proofErr w:type="spellEnd"/>
      <w:r w:rsidRPr="00224C2E">
        <w:rPr>
          <w:iCs/>
        </w:rPr>
        <w:t>) is indicated as add on treatment of adult patients with moderate to severe</w:t>
      </w:r>
      <w:r w:rsidR="00B20709" w:rsidRPr="00224C2E">
        <w:rPr>
          <w:iCs/>
        </w:rPr>
        <w:t>, active</w:t>
      </w:r>
      <w:r w:rsidRPr="00224C2E">
        <w:rPr>
          <w:iCs/>
        </w:rPr>
        <w:t xml:space="preserve"> systemic lupus erythematosus (SLE), despite standard therapy. The safety and efficacy of SAPHNELO have not been evaluated in patients with severe active lupus nephritis or severe active central nervous system lupus.”</w:t>
      </w:r>
    </w:p>
    <w:p w14:paraId="77D3E40A" w14:textId="64EF71A4" w:rsidR="00FF4B87" w:rsidRPr="00F11EB3" w:rsidRDefault="002B27D6" w:rsidP="004E18E9">
      <w:pPr>
        <w:pStyle w:val="3-BodyText"/>
        <w:rPr>
          <w:iCs/>
        </w:rPr>
      </w:pPr>
      <w:proofErr w:type="spellStart"/>
      <w:r w:rsidRPr="00224C2E">
        <w:rPr>
          <w:iCs/>
        </w:rPr>
        <w:t>Anifrolumab</w:t>
      </w:r>
      <w:proofErr w:type="spellEnd"/>
      <w:r w:rsidRPr="00224C2E">
        <w:rPr>
          <w:iCs/>
        </w:rPr>
        <w:t xml:space="preserve"> is currently</w:t>
      </w:r>
      <w:r w:rsidR="00144EF7" w:rsidRPr="00224C2E">
        <w:rPr>
          <w:iCs/>
        </w:rPr>
        <w:t xml:space="preserve"> </w:t>
      </w:r>
      <w:r w:rsidRPr="00224C2E">
        <w:rPr>
          <w:iCs/>
        </w:rPr>
        <w:t>being evaluated</w:t>
      </w:r>
      <w:r w:rsidR="00910A6F">
        <w:rPr>
          <w:iCs/>
        </w:rPr>
        <w:t xml:space="preserve"> </w:t>
      </w:r>
      <w:r w:rsidR="00910A6F" w:rsidRPr="009225AB">
        <w:rPr>
          <w:iCs/>
        </w:rPr>
        <w:t>for funding</w:t>
      </w:r>
      <w:r w:rsidRPr="00224C2E">
        <w:rPr>
          <w:iCs/>
        </w:rPr>
        <w:t xml:space="preserve"> by the Canadian Agency for Drugs and Technologies in Health (CADT</w:t>
      </w:r>
      <w:r w:rsidR="00BF2805" w:rsidRPr="00224C2E">
        <w:rPr>
          <w:iCs/>
        </w:rPr>
        <w:t>H)</w:t>
      </w:r>
      <w:r w:rsidR="00BF2805" w:rsidRPr="00224C2E">
        <w:rPr>
          <w:rStyle w:val="FootnoteReference"/>
          <w:iCs/>
        </w:rPr>
        <w:footnoteReference w:id="1"/>
      </w:r>
      <w:r w:rsidR="00B63A4D">
        <w:rPr>
          <w:iCs/>
        </w:rPr>
        <w:t>.</w:t>
      </w:r>
      <w:r w:rsidRPr="00224C2E">
        <w:rPr>
          <w:iCs/>
        </w:rPr>
        <w:t xml:space="preserve"> </w:t>
      </w:r>
      <w:r w:rsidRPr="00F11EB3">
        <w:rPr>
          <w:iCs/>
        </w:rPr>
        <w:t>National Institute of Clinical Excellence (NICE</w:t>
      </w:r>
      <w:r w:rsidR="00BF2805" w:rsidRPr="00F11EB3">
        <w:rPr>
          <w:iCs/>
        </w:rPr>
        <w:t>)</w:t>
      </w:r>
      <w:r w:rsidR="00B63A4D" w:rsidRPr="00F11EB3">
        <w:rPr>
          <w:iCs/>
        </w:rPr>
        <w:t xml:space="preserve"> </w:t>
      </w:r>
      <w:r w:rsidR="00B63A4D" w:rsidRPr="00F11EB3">
        <w:rPr>
          <w:iCs/>
        </w:rPr>
        <w:lastRenderedPageBreak/>
        <w:t xml:space="preserve">was unable to make a recommendation on </w:t>
      </w:r>
      <w:proofErr w:type="spellStart"/>
      <w:r w:rsidR="00B63A4D" w:rsidRPr="00F11EB3">
        <w:rPr>
          <w:iCs/>
        </w:rPr>
        <w:t>anifrolumab</w:t>
      </w:r>
      <w:proofErr w:type="spellEnd"/>
      <w:r w:rsidR="00B63A4D" w:rsidRPr="00F11EB3">
        <w:rPr>
          <w:iCs/>
        </w:rPr>
        <w:t xml:space="preserve"> because the sponsor did not provide an evidence submission</w:t>
      </w:r>
      <w:r w:rsidR="00B63A4D" w:rsidRPr="00F11EB3">
        <w:rPr>
          <w:rStyle w:val="FootnoteReference"/>
          <w:iCs/>
        </w:rPr>
        <w:footnoteReference w:id="2"/>
      </w:r>
      <w:r w:rsidR="00B63A4D" w:rsidRPr="00F11EB3">
        <w:rPr>
          <w:iCs/>
        </w:rPr>
        <w:t xml:space="preserve">. </w:t>
      </w:r>
    </w:p>
    <w:p w14:paraId="74DB4574" w14:textId="78ED4ECB" w:rsidR="00306AFC" w:rsidRDefault="00306AFC" w:rsidP="00306AFC">
      <w:pPr>
        <w:pStyle w:val="4-SubsectionHeading"/>
      </w:pPr>
      <w:r>
        <w:t>Previous PBAC consideration</w:t>
      </w:r>
    </w:p>
    <w:p w14:paraId="42F4B5CF" w14:textId="2DBEC2D2" w:rsidR="00306AFC" w:rsidRPr="00224C2E" w:rsidRDefault="00306AFC" w:rsidP="00306AFC">
      <w:pPr>
        <w:pStyle w:val="3-BodyText"/>
        <w:rPr>
          <w:iCs/>
        </w:rPr>
      </w:pPr>
      <w:r w:rsidRPr="00224C2E">
        <w:rPr>
          <w:iCs/>
        </w:rPr>
        <w:t xml:space="preserve">This </w:t>
      </w:r>
      <w:r w:rsidR="00DB6ABF">
        <w:rPr>
          <w:iCs/>
        </w:rPr>
        <w:t>was</w:t>
      </w:r>
      <w:r w:rsidRPr="00224C2E">
        <w:rPr>
          <w:iCs/>
        </w:rPr>
        <w:t xml:space="preserve"> the first consideration of </w:t>
      </w:r>
      <w:proofErr w:type="spellStart"/>
      <w:r w:rsidRPr="00224C2E">
        <w:rPr>
          <w:iCs/>
        </w:rPr>
        <w:t>anifrolumab</w:t>
      </w:r>
      <w:proofErr w:type="spellEnd"/>
      <w:r w:rsidRPr="00224C2E">
        <w:rPr>
          <w:iCs/>
        </w:rPr>
        <w:t xml:space="preserve"> by the PBAC.</w:t>
      </w:r>
    </w:p>
    <w:p w14:paraId="63E242D0" w14:textId="53ECECA0" w:rsidR="00FD0664" w:rsidRDefault="00FD0664" w:rsidP="00375DAC">
      <w:pPr>
        <w:pStyle w:val="3-BodyText"/>
        <w:rPr>
          <w:iCs/>
        </w:rPr>
      </w:pPr>
      <w:r w:rsidRPr="00224C2E">
        <w:rPr>
          <w:iCs/>
        </w:rPr>
        <w:t xml:space="preserve">Currently, belimumab is the only </w:t>
      </w:r>
      <w:r w:rsidR="000B220B">
        <w:rPr>
          <w:iCs/>
        </w:rPr>
        <w:t xml:space="preserve">other </w:t>
      </w:r>
      <w:r w:rsidRPr="00224C2E">
        <w:rPr>
          <w:iCs/>
        </w:rPr>
        <w:t>biologic therapy that is TGA registered for SLE, however it is not listed on the PBS. Belimumab was considered by the PBAC in November 2019 and July 2020, but was not recommended on both occasions.</w:t>
      </w:r>
      <w:r w:rsidR="00375DAC" w:rsidRPr="00224C2E">
        <w:rPr>
          <w:iCs/>
        </w:rPr>
        <w:t xml:space="preserve"> </w:t>
      </w:r>
    </w:p>
    <w:p w14:paraId="76E4EF3C" w14:textId="07B48672" w:rsidR="00B60939" w:rsidRDefault="00B50DB8" w:rsidP="004E18E9">
      <w:pPr>
        <w:pStyle w:val="2-SectionHeading"/>
      </w:pPr>
      <w:bookmarkStart w:id="6" w:name="_Toc103015529"/>
      <w:r w:rsidRPr="00407F2D">
        <w:t>Requested listing</w:t>
      </w:r>
      <w:bookmarkEnd w:id="6"/>
    </w:p>
    <w:p w14:paraId="33966C1A" w14:textId="5217690C" w:rsidR="00D66D61" w:rsidRPr="0053227D" w:rsidRDefault="0053227D" w:rsidP="00D66D61">
      <w:pPr>
        <w:pStyle w:val="3-BodyText"/>
        <w:spacing w:after="240"/>
      </w:pPr>
      <w:r w:rsidRPr="0053227D">
        <w:t>The requested listing is presented below. Suggestions and additions proposed by the Secretariat are added in italics and suggested deletions are crossed out with strikethrough.</w:t>
      </w:r>
    </w:p>
    <w:p w14:paraId="3FC065F3" w14:textId="49802D4C" w:rsidR="00616EBC" w:rsidRPr="00616EBC" w:rsidRDefault="00616EBC" w:rsidP="00616EBC">
      <w:pPr>
        <w:keepNext/>
        <w:keepLines/>
        <w:spacing w:after="120"/>
        <w:rPr>
          <w:b/>
          <w:bCs/>
        </w:rPr>
      </w:pPr>
      <w:r w:rsidRPr="00616EBC">
        <w:rPr>
          <w:b/>
          <w:bCs/>
        </w:rPr>
        <w:t xml:space="preserve">Initial treatment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688"/>
        <w:gridCol w:w="1690"/>
        <w:gridCol w:w="1688"/>
        <w:gridCol w:w="1690"/>
      </w:tblGrid>
      <w:tr w:rsidR="00616EBC" w:rsidRPr="00616EBC" w14:paraId="450187F5" w14:textId="77777777" w:rsidTr="00E760FE">
        <w:tc>
          <w:tcPr>
            <w:tcW w:w="1254" w:type="pct"/>
          </w:tcPr>
          <w:p w14:paraId="5313ED40" w14:textId="77777777" w:rsidR="00616EBC" w:rsidRPr="00616EBC" w:rsidRDefault="00616EBC" w:rsidP="00616EBC">
            <w:pPr>
              <w:keepNext/>
              <w:keepLines/>
              <w:rPr>
                <w:rFonts w:ascii="Arial Narrow" w:hAnsi="Arial Narrow"/>
                <w:b/>
                <w:bCs/>
                <w:sz w:val="20"/>
              </w:rPr>
            </w:pPr>
            <w:r w:rsidRPr="00616EBC">
              <w:rPr>
                <w:rFonts w:ascii="Arial Narrow" w:hAnsi="Arial Narrow"/>
                <w:b/>
                <w:bCs/>
                <w:sz w:val="20"/>
              </w:rPr>
              <w:t>MEDICINAL PRODUCT</w:t>
            </w:r>
          </w:p>
          <w:p w14:paraId="3E817F26" w14:textId="77777777" w:rsidR="00616EBC" w:rsidRPr="00616EBC" w:rsidRDefault="00616EBC" w:rsidP="00616EBC">
            <w:pPr>
              <w:pStyle w:val="PbacTableHeading"/>
              <w:keepNext/>
              <w:keepLines/>
              <w:spacing w:after="0"/>
            </w:pPr>
            <w:r w:rsidRPr="00616EBC">
              <w:rPr>
                <w:bCs/>
              </w:rPr>
              <w:t>medicinal product pack</w:t>
            </w:r>
          </w:p>
        </w:tc>
        <w:tc>
          <w:tcPr>
            <w:tcW w:w="936" w:type="pct"/>
          </w:tcPr>
          <w:p w14:paraId="08F7B8EA" w14:textId="77777777" w:rsidR="00616EBC" w:rsidRPr="00616EBC" w:rsidRDefault="00616EBC" w:rsidP="00616EBC">
            <w:pPr>
              <w:pStyle w:val="PbacTableHeading"/>
              <w:keepNext/>
              <w:keepLines/>
              <w:spacing w:after="0"/>
              <w:jc w:val="center"/>
            </w:pPr>
            <w:r w:rsidRPr="00616EBC">
              <w:t>PBS item code</w:t>
            </w:r>
          </w:p>
        </w:tc>
        <w:tc>
          <w:tcPr>
            <w:tcW w:w="937" w:type="pct"/>
          </w:tcPr>
          <w:p w14:paraId="227D8FE6" w14:textId="77777777" w:rsidR="00616EBC" w:rsidRPr="00616EBC" w:rsidRDefault="00616EBC" w:rsidP="00616EBC">
            <w:pPr>
              <w:pStyle w:val="PbacTableHeading"/>
              <w:keepNext/>
              <w:keepLines/>
              <w:spacing w:after="0"/>
              <w:jc w:val="center"/>
            </w:pPr>
            <w:r w:rsidRPr="00616EBC">
              <w:t>Max. qty (packs)</w:t>
            </w:r>
          </w:p>
        </w:tc>
        <w:tc>
          <w:tcPr>
            <w:tcW w:w="936" w:type="pct"/>
          </w:tcPr>
          <w:p w14:paraId="46062872" w14:textId="77777777" w:rsidR="00616EBC" w:rsidRPr="00616EBC" w:rsidRDefault="00616EBC" w:rsidP="00616EBC">
            <w:pPr>
              <w:pStyle w:val="PbacTableHeading"/>
              <w:keepNext/>
              <w:keepLines/>
              <w:spacing w:after="0"/>
              <w:jc w:val="center"/>
            </w:pPr>
            <w:r w:rsidRPr="00616EBC">
              <w:t>Max. qty (units)</w:t>
            </w:r>
          </w:p>
        </w:tc>
        <w:tc>
          <w:tcPr>
            <w:tcW w:w="937" w:type="pct"/>
          </w:tcPr>
          <w:p w14:paraId="754A7899" w14:textId="77777777" w:rsidR="00616EBC" w:rsidRPr="00616EBC" w:rsidRDefault="00616EBC" w:rsidP="00616EBC">
            <w:pPr>
              <w:pStyle w:val="PbacTableHeading"/>
              <w:keepNext/>
              <w:keepLines/>
              <w:spacing w:after="0"/>
              <w:jc w:val="center"/>
            </w:pPr>
            <w:r w:rsidRPr="00616EBC">
              <w:t>№. of repeats</w:t>
            </w:r>
          </w:p>
        </w:tc>
      </w:tr>
      <w:tr w:rsidR="00616EBC" w:rsidRPr="00616EBC" w14:paraId="394887F9" w14:textId="77777777" w:rsidTr="00E760FE">
        <w:tc>
          <w:tcPr>
            <w:tcW w:w="1254" w:type="pct"/>
          </w:tcPr>
          <w:p w14:paraId="66C99DF0" w14:textId="77777777" w:rsidR="00616EBC" w:rsidRPr="00616EBC" w:rsidRDefault="00616EBC" w:rsidP="00616EBC">
            <w:pPr>
              <w:pStyle w:val="PBACTableText"/>
              <w:keepNext/>
              <w:keepLines/>
              <w:spacing w:before="0" w:after="0"/>
            </w:pPr>
            <w:r w:rsidRPr="00616EBC">
              <w:t>ANIFROLUMAB</w:t>
            </w:r>
          </w:p>
          <w:p w14:paraId="5FBCFB85" w14:textId="77777777" w:rsidR="00616EBC" w:rsidRPr="00616EBC" w:rsidRDefault="00616EBC" w:rsidP="00616EBC">
            <w:pPr>
              <w:pStyle w:val="PBACTableText"/>
              <w:keepNext/>
              <w:keepLines/>
              <w:spacing w:before="0" w:after="0"/>
            </w:pPr>
            <w:r w:rsidRPr="00616EBC">
              <w:t>Injection</w:t>
            </w:r>
          </w:p>
        </w:tc>
        <w:tc>
          <w:tcPr>
            <w:tcW w:w="936" w:type="pct"/>
          </w:tcPr>
          <w:p w14:paraId="7009F667" w14:textId="77777777" w:rsidR="00616EBC" w:rsidRPr="00616EBC" w:rsidRDefault="00616EBC" w:rsidP="00616EBC">
            <w:pPr>
              <w:pStyle w:val="PBACTableText"/>
              <w:keepNext/>
              <w:keepLines/>
              <w:spacing w:before="0" w:after="0"/>
              <w:jc w:val="center"/>
            </w:pPr>
            <w:r w:rsidRPr="00616EBC">
              <w:t>NEW (Public)</w:t>
            </w:r>
          </w:p>
          <w:p w14:paraId="493ECC7F" w14:textId="77777777" w:rsidR="00616EBC" w:rsidRPr="00616EBC" w:rsidRDefault="00616EBC" w:rsidP="00616EBC">
            <w:pPr>
              <w:pStyle w:val="PBACTableText"/>
              <w:keepNext/>
              <w:keepLines/>
              <w:spacing w:before="0" w:after="0"/>
              <w:jc w:val="center"/>
            </w:pPr>
            <w:r w:rsidRPr="00616EBC">
              <w:t>NEW (Private)</w:t>
            </w:r>
          </w:p>
        </w:tc>
        <w:tc>
          <w:tcPr>
            <w:tcW w:w="937" w:type="pct"/>
          </w:tcPr>
          <w:p w14:paraId="09380061" w14:textId="77777777" w:rsidR="00616EBC" w:rsidRPr="00616EBC" w:rsidRDefault="00616EBC" w:rsidP="00616EBC">
            <w:pPr>
              <w:pStyle w:val="PBACTableText"/>
              <w:keepNext/>
              <w:keepLines/>
              <w:spacing w:before="0" w:after="0"/>
              <w:jc w:val="center"/>
            </w:pPr>
            <w:r w:rsidRPr="00616EBC">
              <w:t>1</w:t>
            </w:r>
          </w:p>
        </w:tc>
        <w:tc>
          <w:tcPr>
            <w:tcW w:w="936" w:type="pct"/>
          </w:tcPr>
          <w:p w14:paraId="44732D5B" w14:textId="77777777" w:rsidR="00616EBC" w:rsidRPr="00616EBC" w:rsidRDefault="00616EBC" w:rsidP="00616EBC">
            <w:pPr>
              <w:pStyle w:val="PBACTableText"/>
              <w:keepNext/>
              <w:keepLines/>
              <w:spacing w:before="0" w:after="0"/>
              <w:jc w:val="center"/>
            </w:pPr>
            <w:r w:rsidRPr="00616EBC">
              <w:t>1</w:t>
            </w:r>
          </w:p>
        </w:tc>
        <w:tc>
          <w:tcPr>
            <w:tcW w:w="937" w:type="pct"/>
          </w:tcPr>
          <w:p w14:paraId="119FC4AB" w14:textId="77777777" w:rsidR="00616EBC" w:rsidRPr="00616EBC" w:rsidRDefault="00616EBC" w:rsidP="00616EBC">
            <w:pPr>
              <w:pStyle w:val="PBACTableText"/>
              <w:keepNext/>
              <w:keepLines/>
              <w:spacing w:before="0" w:after="0"/>
              <w:jc w:val="center"/>
              <w:rPr>
                <w:i/>
                <w:iCs/>
              </w:rPr>
            </w:pPr>
            <w:r w:rsidRPr="00616EBC">
              <w:rPr>
                <w:strike/>
              </w:rPr>
              <w:t>7</w:t>
            </w:r>
            <w:r w:rsidRPr="00616EBC">
              <w:rPr>
                <w:i/>
                <w:iCs/>
              </w:rPr>
              <w:t>6</w:t>
            </w:r>
          </w:p>
        </w:tc>
      </w:tr>
      <w:tr w:rsidR="00616EBC" w:rsidRPr="00616EBC" w14:paraId="2B6A0A75" w14:textId="77777777" w:rsidTr="00E760FE">
        <w:tc>
          <w:tcPr>
            <w:tcW w:w="5000" w:type="pct"/>
            <w:gridSpan w:val="5"/>
          </w:tcPr>
          <w:p w14:paraId="2E95299C" w14:textId="77777777" w:rsidR="00616EBC" w:rsidRPr="00616EBC" w:rsidDel="00EC2C3B" w:rsidRDefault="00616EBC" w:rsidP="00616EBC">
            <w:pPr>
              <w:pStyle w:val="PBACTableText"/>
              <w:keepNext/>
              <w:keepLines/>
              <w:spacing w:before="0" w:after="0"/>
            </w:pPr>
            <w:r w:rsidRPr="00616EBC">
              <w:t>Available brands</w:t>
            </w:r>
          </w:p>
        </w:tc>
      </w:tr>
      <w:tr w:rsidR="00616EBC" w:rsidRPr="00616EBC" w14:paraId="1613282F" w14:textId="77777777" w:rsidTr="00E760FE">
        <w:tc>
          <w:tcPr>
            <w:tcW w:w="5000" w:type="pct"/>
            <w:gridSpan w:val="5"/>
          </w:tcPr>
          <w:p w14:paraId="1E1FFA9B" w14:textId="77777777" w:rsidR="00616EBC" w:rsidRPr="00616EBC" w:rsidRDefault="00616EBC" w:rsidP="00616EBC">
            <w:pPr>
              <w:pStyle w:val="PBACTableText"/>
              <w:keepNext/>
              <w:keepLines/>
              <w:spacing w:before="0" w:after="0"/>
            </w:pPr>
            <w:proofErr w:type="spellStart"/>
            <w:r w:rsidRPr="00616EBC">
              <w:t>Saphnelo</w:t>
            </w:r>
            <w:proofErr w:type="spellEnd"/>
          </w:p>
          <w:p w14:paraId="4BDDC674" w14:textId="77777777" w:rsidR="00616EBC" w:rsidRPr="00616EBC" w:rsidRDefault="00616EBC" w:rsidP="00616EBC">
            <w:pPr>
              <w:pStyle w:val="PBACTableText"/>
              <w:keepNext/>
              <w:keepLines/>
              <w:spacing w:before="0" w:after="0"/>
            </w:pPr>
            <w:proofErr w:type="spellStart"/>
            <w:r w:rsidRPr="00616EBC">
              <w:rPr>
                <w:i/>
                <w:iCs/>
              </w:rPr>
              <w:t>anifrolumab</w:t>
            </w:r>
            <w:proofErr w:type="spellEnd"/>
            <w:r w:rsidRPr="00616EBC">
              <w:rPr>
                <w:i/>
                <w:iCs/>
              </w:rPr>
              <w:t xml:space="preserve"> 300 mg/2 mL injection, 2 mL vial)</w:t>
            </w:r>
          </w:p>
        </w:tc>
      </w:tr>
    </w:tbl>
    <w:p w14:paraId="77F956F5" w14:textId="77777777" w:rsidR="00616EBC" w:rsidRPr="00616EBC" w:rsidRDefault="00616EBC" w:rsidP="00616EBC">
      <w:pPr>
        <w:pStyle w:val="Bodytextitalics"/>
        <w:spacing w:after="0"/>
        <w:rPr>
          <w:rFonts w:ascii="Arial Narrow" w:hAnsi="Arial Narrow"/>
          <w:b/>
          <w:i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616EBC" w:rsidRPr="00616EBC" w14:paraId="01AC40A2" w14:textId="77777777" w:rsidTr="00616EBC">
        <w:tc>
          <w:tcPr>
            <w:tcW w:w="5000" w:type="pct"/>
            <w:tcBorders>
              <w:top w:val="single" w:sz="4" w:space="0" w:color="auto"/>
              <w:left w:val="single" w:sz="4" w:space="0" w:color="auto"/>
              <w:bottom w:val="single" w:sz="4" w:space="0" w:color="auto"/>
              <w:right w:val="single" w:sz="4" w:space="0" w:color="auto"/>
            </w:tcBorders>
          </w:tcPr>
          <w:p w14:paraId="4C12A0B6" w14:textId="77777777" w:rsidR="00616EBC" w:rsidRPr="00616EBC" w:rsidRDefault="00616EBC" w:rsidP="00616EBC">
            <w:pPr>
              <w:rPr>
                <w:rFonts w:ascii="Arial Narrow" w:hAnsi="Arial Narrow"/>
                <w:sz w:val="20"/>
                <w:szCs w:val="20"/>
              </w:rPr>
            </w:pPr>
            <w:r w:rsidRPr="00616EBC">
              <w:rPr>
                <w:rFonts w:ascii="Arial Narrow" w:hAnsi="Arial Narrow"/>
                <w:b/>
                <w:sz w:val="20"/>
                <w:szCs w:val="20"/>
              </w:rPr>
              <w:t xml:space="preserve">Category / Program:  </w:t>
            </w:r>
            <w:r w:rsidRPr="00616EBC">
              <w:rPr>
                <w:rFonts w:ascii="Arial Narrow" w:hAnsi="Arial Narrow"/>
                <w:sz w:val="20"/>
                <w:szCs w:val="20"/>
              </w:rPr>
              <w:t>Section 100 – Highly Specialised Drugs Program</w:t>
            </w:r>
          </w:p>
        </w:tc>
      </w:tr>
      <w:tr w:rsidR="00616EBC" w:rsidRPr="00616EBC" w14:paraId="411FCC37" w14:textId="77777777" w:rsidTr="00616EBC">
        <w:trPr>
          <w:trHeight w:val="240"/>
        </w:trPr>
        <w:tc>
          <w:tcPr>
            <w:tcW w:w="5000" w:type="pct"/>
            <w:tcBorders>
              <w:top w:val="single" w:sz="4" w:space="0" w:color="auto"/>
              <w:left w:val="single" w:sz="4" w:space="0" w:color="auto"/>
              <w:bottom w:val="single" w:sz="4" w:space="0" w:color="auto"/>
              <w:right w:val="single" w:sz="4" w:space="0" w:color="auto"/>
            </w:tcBorders>
          </w:tcPr>
          <w:p w14:paraId="328F5E42" w14:textId="77777777" w:rsidR="00616EBC" w:rsidRPr="00616EBC" w:rsidRDefault="00616EBC" w:rsidP="00616EBC">
            <w:pPr>
              <w:rPr>
                <w:rFonts w:ascii="Arial Narrow" w:hAnsi="Arial Narrow"/>
                <w:b/>
                <w:i/>
                <w:iCs/>
                <w:sz w:val="20"/>
                <w:szCs w:val="20"/>
              </w:rPr>
            </w:pPr>
            <w:r w:rsidRPr="00616EBC">
              <w:rPr>
                <w:rFonts w:ascii="Arial Narrow" w:hAnsi="Arial Narrow"/>
                <w:b/>
                <w:i/>
                <w:iCs/>
                <w:sz w:val="20"/>
                <w:szCs w:val="20"/>
              </w:rPr>
              <w:t xml:space="preserve">Prescriber type:  </w:t>
            </w:r>
            <w:r w:rsidRPr="00616EBC">
              <w:rPr>
                <w:rFonts w:ascii="Arial Narrow" w:hAnsi="Arial Narrow"/>
                <w:i/>
                <w:iCs/>
                <w:sz w:val="20"/>
                <w:szCs w:val="20"/>
              </w:rPr>
              <w:fldChar w:fldCharType="begin">
                <w:ffData>
                  <w:name w:val=""/>
                  <w:enabled/>
                  <w:calcOnExit w:val="0"/>
                  <w:checkBox>
                    <w:sizeAuto/>
                    <w:default w:val="1"/>
                  </w:checkBox>
                </w:ffData>
              </w:fldChar>
            </w:r>
            <w:r w:rsidRPr="00616EBC">
              <w:rPr>
                <w:rFonts w:ascii="Arial Narrow" w:hAnsi="Arial Narrow"/>
                <w:i/>
                <w:iCs/>
                <w:sz w:val="20"/>
                <w:szCs w:val="20"/>
              </w:rPr>
              <w:instrText xml:space="preserve"> FORMCHECKBOX </w:instrText>
            </w:r>
            <w:r w:rsidR="005A67B5">
              <w:rPr>
                <w:rFonts w:ascii="Arial Narrow" w:hAnsi="Arial Narrow"/>
                <w:i/>
                <w:iCs/>
                <w:sz w:val="20"/>
                <w:szCs w:val="20"/>
              </w:rPr>
            </w:r>
            <w:r w:rsidR="005A67B5">
              <w:rPr>
                <w:rFonts w:ascii="Arial Narrow" w:hAnsi="Arial Narrow"/>
                <w:i/>
                <w:iCs/>
                <w:sz w:val="20"/>
                <w:szCs w:val="20"/>
              </w:rPr>
              <w:fldChar w:fldCharType="separate"/>
            </w:r>
            <w:r w:rsidRPr="00616EBC">
              <w:rPr>
                <w:rFonts w:ascii="Arial Narrow" w:hAnsi="Arial Narrow"/>
                <w:i/>
                <w:iCs/>
                <w:sz w:val="20"/>
                <w:szCs w:val="20"/>
              </w:rPr>
              <w:fldChar w:fldCharType="end"/>
            </w:r>
            <w:r w:rsidRPr="00616EBC">
              <w:rPr>
                <w:rFonts w:ascii="Arial Narrow" w:hAnsi="Arial Narrow"/>
                <w:i/>
                <w:iCs/>
                <w:sz w:val="20"/>
                <w:szCs w:val="20"/>
              </w:rPr>
              <w:t>Medical Practitioners</w:t>
            </w:r>
          </w:p>
        </w:tc>
      </w:tr>
      <w:tr w:rsidR="00616EBC" w:rsidRPr="00616EBC" w14:paraId="1B562462" w14:textId="77777777" w:rsidTr="00616EBC">
        <w:trPr>
          <w:trHeight w:val="446"/>
        </w:trPr>
        <w:tc>
          <w:tcPr>
            <w:tcW w:w="5000" w:type="pct"/>
            <w:tcBorders>
              <w:top w:val="single" w:sz="4" w:space="0" w:color="auto"/>
              <w:left w:val="single" w:sz="4" w:space="0" w:color="auto"/>
              <w:bottom w:val="single" w:sz="4" w:space="0" w:color="auto"/>
              <w:right w:val="single" w:sz="4" w:space="0" w:color="auto"/>
            </w:tcBorders>
          </w:tcPr>
          <w:p w14:paraId="082446F7" w14:textId="77777777" w:rsidR="00616EBC" w:rsidRPr="00616EBC" w:rsidRDefault="00616EBC" w:rsidP="00616EBC">
            <w:pPr>
              <w:rPr>
                <w:rFonts w:ascii="Arial Narrow" w:hAnsi="Arial Narrow"/>
                <w:b/>
                <w:sz w:val="20"/>
                <w:szCs w:val="20"/>
              </w:rPr>
            </w:pPr>
            <w:r w:rsidRPr="00616EBC">
              <w:rPr>
                <w:rFonts w:ascii="Arial Narrow" w:hAnsi="Arial Narrow"/>
                <w:b/>
                <w:sz w:val="20"/>
                <w:szCs w:val="20"/>
              </w:rPr>
              <w:t>Restriction Level / Method:</w:t>
            </w:r>
          </w:p>
          <w:p w14:paraId="72C321D5" w14:textId="77777777" w:rsidR="00616EBC" w:rsidRPr="00616EBC" w:rsidRDefault="00616EBC" w:rsidP="00616EBC">
            <w:pPr>
              <w:rPr>
                <w:rFonts w:ascii="Arial Narrow" w:hAnsi="Arial Narrow"/>
                <w:bCs/>
                <w:strike/>
                <w:sz w:val="20"/>
                <w:szCs w:val="20"/>
              </w:rPr>
            </w:pPr>
            <w:r w:rsidRPr="00616EBC">
              <w:rPr>
                <w:rFonts w:ascii="Arial Narrow" w:hAnsi="Arial Narrow"/>
                <w:bCs/>
                <w:strike/>
                <w:sz w:val="20"/>
                <w:szCs w:val="20"/>
              </w:rPr>
              <w:t>Section 100 highly specialised drug program (S100 HSD public)</w:t>
            </w:r>
          </w:p>
          <w:p w14:paraId="42F5D9BF" w14:textId="77777777" w:rsidR="00616EBC" w:rsidRPr="00616EBC" w:rsidRDefault="00616EBC" w:rsidP="00616EBC">
            <w:pPr>
              <w:rPr>
                <w:rFonts w:ascii="Arial Narrow" w:hAnsi="Arial Narrow"/>
                <w:bCs/>
                <w:strike/>
                <w:sz w:val="20"/>
                <w:szCs w:val="20"/>
              </w:rPr>
            </w:pPr>
            <w:r w:rsidRPr="00616EBC">
              <w:rPr>
                <w:rFonts w:ascii="Arial Narrow" w:hAnsi="Arial Narrow"/>
                <w:bCs/>
                <w:strike/>
                <w:sz w:val="20"/>
                <w:szCs w:val="20"/>
              </w:rPr>
              <w:t>Section 100 highly specialised drug program (S100 HSD private)</w:t>
            </w:r>
          </w:p>
          <w:p w14:paraId="6CAF477B" w14:textId="77777777" w:rsidR="00616EBC" w:rsidRPr="00616EBC" w:rsidRDefault="00616EBC" w:rsidP="00616EBC">
            <w:pPr>
              <w:rPr>
                <w:rFonts w:ascii="Arial Narrow" w:hAnsi="Arial Narrow"/>
                <w:i/>
                <w:iCs/>
                <w:sz w:val="20"/>
                <w:szCs w:val="20"/>
              </w:rPr>
            </w:pPr>
            <w:r w:rsidRPr="00616EBC">
              <w:rPr>
                <w:rFonts w:ascii="Arial Narrow" w:hAnsi="Arial Narrow"/>
                <w:sz w:val="20"/>
                <w:szCs w:val="20"/>
              </w:rPr>
              <w:fldChar w:fldCharType="begin">
                <w:ffData>
                  <w:name w:val="Check3"/>
                  <w:enabled/>
                  <w:calcOnExit w:val="0"/>
                  <w:checkBox>
                    <w:sizeAuto/>
                    <w:default w:val="1"/>
                  </w:checkBox>
                </w:ffData>
              </w:fldChar>
            </w:r>
            <w:r w:rsidRPr="00616EBC">
              <w:rPr>
                <w:rFonts w:ascii="Arial Narrow" w:hAnsi="Arial Narrow"/>
                <w:sz w:val="20"/>
                <w:szCs w:val="20"/>
              </w:rPr>
              <w:instrText xml:space="preserve"> FORMCHECKBOX </w:instrText>
            </w:r>
            <w:r w:rsidR="005A67B5">
              <w:rPr>
                <w:rFonts w:ascii="Arial Narrow" w:hAnsi="Arial Narrow"/>
                <w:sz w:val="20"/>
                <w:szCs w:val="20"/>
              </w:rPr>
            </w:r>
            <w:r w:rsidR="005A67B5">
              <w:rPr>
                <w:rFonts w:ascii="Arial Narrow" w:hAnsi="Arial Narrow"/>
                <w:sz w:val="20"/>
                <w:szCs w:val="20"/>
              </w:rPr>
              <w:fldChar w:fldCharType="separate"/>
            </w:r>
            <w:r w:rsidRPr="00616EBC">
              <w:rPr>
                <w:rFonts w:ascii="Arial Narrow" w:hAnsi="Arial Narrow"/>
                <w:sz w:val="20"/>
                <w:szCs w:val="20"/>
              </w:rPr>
              <w:fldChar w:fldCharType="end"/>
            </w:r>
            <w:r w:rsidRPr="00616EBC">
              <w:rPr>
                <w:rFonts w:ascii="Arial Narrow" w:hAnsi="Arial Narrow"/>
                <w:sz w:val="20"/>
                <w:szCs w:val="20"/>
              </w:rPr>
              <w:t xml:space="preserve">Authority Required – </w:t>
            </w:r>
            <w:r w:rsidRPr="00616EBC">
              <w:rPr>
                <w:rFonts w:ascii="Arial Narrow" w:hAnsi="Arial Narrow"/>
                <w:i/>
                <w:iCs/>
                <w:sz w:val="20"/>
                <w:szCs w:val="20"/>
              </w:rPr>
              <w:t>In Writing/HPOS upload or Online PBS Authorities immediate assessment</w:t>
            </w:r>
            <w:r w:rsidRPr="00616EBC">
              <w:rPr>
                <w:rFonts w:ascii="Arial Narrow" w:hAnsi="Arial Narrow"/>
                <w:sz w:val="20"/>
                <w:szCs w:val="20"/>
              </w:rPr>
              <w:t xml:space="preserve"> </w:t>
            </w:r>
          </w:p>
        </w:tc>
      </w:tr>
      <w:tr w:rsidR="00616EBC" w:rsidRPr="00616EBC" w14:paraId="63A0CAD7"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73B0E07B" w14:textId="77777777" w:rsidR="00616EBC" w:rsidRPr="00616EBC" w:rsidRDefault="00616EBC" w:rsidP="00616EBC">
            <w:pPr>
              <w:rPr>
                <w:rFonts w:ascii="Arial Narrow" w:hAnsi="Arial Narrow"/>
                <w:iCs/>
                <w:sz w:val="20"/>
                <w:szCs w:val="20"/>
              </w:rPr>
            </w:pPr>
            <w:proofErr w:type="spellStart"/>
            <w:r w:rsidRPr="00616EBC">
              <w:rPr>
                <w:rFonts w:ascii="Arial Narrow" w:hAnsi="Arial Narrow"/>
                <w:b/>
                <w:bCs/>
                <w:iCs/>
                <w:sz w:val="20"/>
                <w:szCs w:val="20"/>
              </w:rPr>
              <w:t>Episodicity</w:t>
            </w:r>
            <w:proofErr w:type="spellEnd"/>
            <w:r w:rsidRPr="00616EBC">
              <w:rPr>
                <w:rFonts w:ascii="Arial Narrow" w:hAnsi="Arial Narrow"/>
                <w:b/>
                <w:bCs/>
                <w:iCs/>
                <w:sz w:val="20"/>
                <w:szCs w:val="20"/>
              </w:rPr>
              <w:t xml:space="preserve">: </w:t>
            </w:r>
            <w:r w:rsidRPr="00616EBC">
              <w:rPr>
                <w:rFonts w:ascii="Arial Narrow" w:hAnsi="Arial Narrow"/>
                <w:iCs/>
                <w:sz w:val="20"/>
                <w:szCs w:val="20"/>
              </w:rPr>
              <w:t>Active</w:t>
            </w:r>
          </w:p>
        </w:tc>
      </w:tr>
      <w:tr w:rsidR="00616EBC" w:rsidRPr="00616EBC" w14:paraId="4F391CF9"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4F5A1DE1" w14:textId="77777777" w:rsidR="00616EBC" w:rsidRPr="00616EBC" w:rsidRDefault="00616EBC" w:rsidP="00616EBC">
            <w:pPr>
              <w:rPr>
                <w:rFonts w:ascii="Arial Narrow" w:hAnsi="Arial Narrow"/>
                <w:b/>
                <w:bCs/>
                <w:iCs/>
                <w:sz w:val="20"/>
                <w:szCs w:val="20"/>
              </w:rPr>
            </w:pPr>
            <w:r w:rsidRPr="00616EBC">
              <w:rPr>
                <w:rFonts w:ascii="Arial Narrow" w:hAnsi="Arial Narrow"/>
                <w:b/>
                <w:bCs/>
                <w:iCs/>
                <w:sz w:val="20"/>
                <w:szCs w:val="20"/>
              </w:rPr>
              <w:t xml:space="preserve">Condition: </w:t>
            </w:r>
            <w:r w:rsidRPr="00616EBC">
              <w:rPr>
                <w:rFonts w:ascii="Arial Narrow" w:hAnsi="Arial Narrow"/>
                <w:sz w:val="20"/>
                <w:szCs w:val="20"/>
              </w:rPr>
              <w:t>Systemic lupus erythematosus</w:t>
            </w:r>
          </w:p>
        </w:tc>
      </w:tr>
      <w:tr w:rsidR="00616EBC" w:rsidRPr="00616EBC" w14:paraId="409466FB"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3382EB94" w14:textId="77777777" w:rsidR="00616EBC" w:rsidRPr="00616EBC" w:rsidRDefault="00616EBC" w:rsidP="00616EBC">
            <w:pPr>
              <w:rPr>
                <w:rFonts w:ascii="Arial Narrow" w:hAnsi="Arial Narrow"/>
                <w:i/>
                <w:sz w:val="20"/>
                <w:szCs w:val="20"/>
              </w:rPr>
            </w:pPr>
            <w:r w:rsidRPr="00616EBC">
              <w:rPr>
                <w:rFonts w:ascii="Arial Narrow" w:hAnsi="Arial Narrow"/>
                <w:b/>
                <w:bCs/>
                <w:iCs/>
                <w:strike/>
                <w:sz w:val="20"/>
                <w:szCs w:val="20"/>
              </w:rPr>
              <w:t>PBS</w:t>
            </w:r>
            <w:r w:rsidRPr="00616EBC">
              <w:rPr>
                <w:rFonts w:ascii="Arial Narrow" w:hAnsi="Arial Narrow"/>
                <w:b/>
                <w:bCs/>
                <w:i/>
                <w:sz w:val="20"/>
                <w:szCs w:val="20"/>
              </w:rPr>
              <w:t xml:space="preserve"> </w:t>
            </w:r>
            <w:r w:rsidRPr="00616EBC">
              <w:rPr>
                <w:rFonts w:ascii="Arial Narrow" w:hAnsi="Arial Narrow"/>
                <w:b/>
                <w:bCs/>
                <w:iCs/>
                <w:sz w:val="20"/>
                <w:szCs w:val="20"/>
              </w:rPr>
              <w:t>Indication</w:t>
            </w:r>
            <w:r w:rsidRPr="00616EBC">
              <w:rPr>
                <w:rFonts w:ascii="Arial Narrow" w:hAnsi="Arial Narrow"/>
                <w:b/>
                <w:bCs/>
                <w:i/>
                <w:sz w:val="20"/>
                <w:szCs w:val="20"/>
              </w:rPr>
              <w:t>:</w:t>
            </w:r>
            <w:r w:rsidRPr="00616EBC">
              <w:rPr>
                <w:rFonts w:ascii="Arial Narrow" w:hAnsi="Arial Narrow"/>
                <w:i/>
                <w:sz w:val="20"/>
                <w:szCs w:val="20"/>
              </w:rPr>
              <w:t xml:space="preserve"> Active s</w:t>
            </w:r>
            <w:r w:rsidRPr="00616EBC">
              <w:rPr>
                <w:rFonts w:ascii="Arial Narrow" w:hAnsi="Arial Narrow"/>
                <w:sz w:val="20"/>
                <w:szCs w:val="20"/>
              </w:rPr>
              <w:t>ystemic lupus erythematosus</w:t>
            </w:r>
          </w:p>
        </w:tc>
      </w:tr>
      <w:tr w:rsidR="00616EBC" w:rsidRPr="00616EBC" w14:paraId="6F7AE5A4"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561E9D06" w14:textId="77777777" w:rsidR="00616EBC" w:rsidRPr="00616EBC" w:rsidRDefault="00616EBC" w:rsidP="00616EBC">
            <w:pPr>
              <w:rPr>
                <w:rFonts w:ascii="Arial Narrow" w:hAnsi="Arial Narrow"/>
                <w:sz w:val="20"/>
                <w:szCs w:val="20"/>
              </w:rPr>
            </w:pPr>
            <w:r w:rsidRPr="00616EBC">
              <w:rPr>
                <w:rFonts w:ascii="Arial Narrow" w:hAnsi="Arial Narrow"/>
                <w:b/>
                <w:bCs/>
                <w:sz w:val="20"/>
                <w:szCs w:val="20"/>
              </w:rPr>
              <w:t>Treatment Phase:</w:t>
            </w:r>
            <w:r w:rsidRPr="00616EBC">
              <w:rPr>
                <w:rFonts w:ascii="Arial Narrow" w:hAnsi="Arial Narrow"/>
                <w:sz w:val="20"/>
                <w:szCs w:val="20"/>
              </w:rPr>
              <w:t xml:space="preserve"> Initial</w:t>
            </w:r>
          </w:p>
        </w:tc>
      </w:tr>
      <w:tr w:rsidR="00616EBC" w:rsidRPr="00616EBC" w14:paraId="479DBE28"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24721509" w14:textId="77777777" w:rsidR="00616EBC" w:rsidRPr="00616EBC" w:rsidRDefault="00616EBC" w:rsidP="00616EBC">
            <w:pPr>
              <w:rPr>
                <w:rFonts w:ascii="Arial Narrow" w:hAnsi="Arial Narrow"/>
                <w:b/>
                <w:bCs/>
                <w:sz w:val="20"/>
                <w:szCs w:val="20"/>
              </w:rPr>
            </w:pPr>
            <w:r w:rsidRPr="00616EBC">
              <w:rPr>
                <w:rFonts w:ascii="Arial Narrow" w:hAnsi="Arial Narrow"/>
                <w:b/>
                <w:bCs/>
                <w:sz w:val="20"/>
                <w:szCs w:val="20"/>
              </w:rPr>
              <w:t>Treatment criteria:</w:t>
            </w:r>
          </w:p>
        </w:tc>
      </w:tr>
      <w:tr w:rsidR="00616EBC" w:rsidRPr="00616EBC" w14:paraId="3FC27F0E"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7C3B4F56" w14:textId="77777777" w:rsidR="00616EBC" w:rsidRPr="00616EBC" w:rsidRDefault="00616EBC" w:rsidP="00616EBC">
            <w:pPr>
              <w:rPr>
                <w:rFonts w:ascii="Arial Narrow" w:eastAsiaTheme="majorEastAsia" w:hAnsi="Arial Narrow"/>
                <w:sz w:val="20"/>
                <w:szCs w:val="20"/>
                <w:lang w:bidi="en-US"/>
              </w:rPr>
            </w:pPr>
            <w:r w:rsidRPr="00616EBC">
              <w:rPr>
                <w:rFonts w:ascii="Arial Narrow" w:eastAsiaTheme="majorEastAsia" w:hAnsi="Arial Narrow"/>
                <w:sz w:val="20"/>
                <w:szCs w:val="20"/>
                <w:lang w:bidi="en-US"/>
              </w:rPr>
              <w:t>Must be treated by a rheumatologist; or</w:t>
            </w:r>
          </w:p>
          <w:p w14:paraId="0A5F91BA" w14:textId="77777777" w:rsidR="00616EBC" w:rsidRPr="00616EBC" w:rsidRDefault="00616EBC" w:rsidP="00616EBC">
            <w:pPr>
              <w:rPr>
                <w:rFonts w:ascii="Arial Narrow" w:eastAsiaTheme="majorEastAsia" w:hAnsi="Arial Narrow"/>
                <w:sz w:val="20"/>
                <w:szCs w:val="20"/>
                <w:lang w:bidi="en-US"/>
              </w:rPr>
            </w:pPr>
            <w:r w:rsidRPr="00616EBC">
              <w:rPr>
                <w:rFonts w:ascii="Arial Narrow" w:eastAsiaTheme="majorEastAsia" w:hAnsi="Arial Narrow"/>
                <w:sz w:val="20"/>
                <w:szCs w:val="20"/>
                <w:lang w:bidi="en-US"/>
              </w:rPr>
              <w:t>Must be treated by a clinical immunologist</w:t>
            </w:r>
          </w:p>
          <w:p w14:paraId="0F664D3D" w14:textId="77777777" w:rsidR="00616EBC" w:rsidRPr="00616EBC" w:rsidRDefault="00616EBC" w:rsidP="00616EBC">
            <w:pPr>
              <w:rPr>
                <w:rFonts w:ascii="Arial Narrow" w:hAnsi="Arial Narrow"/>
                <w:i/>
                <w:iCs/>
                <w:sz w:val="20"/>
                <w:szCs w:val="20"/>
              </w:rPr>
            </w:pPr>
            <w:r w:rsidRPr="00616EBC">
              <w:rPr>
                <w:rFonts w:ascii="Arial Narrow" w:hAnsi="Arial Narrow"/>
                <w:i/>
                <w:iCs/>
                <w:sz w:val="20"/>
                <w:szCs w:val="20"/>
              </w:rPr>
              <w:t>Alternatively</w:t>
            </w:r>
          </w:p>
          <w:p w14:paraId="62ADC745" w14:textId="77777777" w:rsidR="00616EBC" w:rsidRPr="00616EBC" w:rsidRDefault="00616EBC" w:rsidP="00616EBC">
            <w:pPr>
              <w:rPr>
                <w:rFonts w:ascii="Arial Narrow" w:hAnsi="Arial Narrow"/>
                <w:b/>
                <w:bCs/>
                <w:sz w:val="20"/>
                <w:szCs w:val="20"/>
              </w:rPr>
            </w:pPr>
            <w:r w:rsidRPr="00616EBC">
              <w:rPr>
                <w:rFonts w:ascii="Arial Narrow" w:hAnsi="Arial Narrow"/>
                <w:i/>
                <w:iCs/>
                <w:sz w:val="20"/>
                <w:szCs w:val="20"/>
              </w:rPr>
              <w:t>Must be treated by a specialist physician experienced in the management of this condition</w:t>
            </w:r>
          </w:p>
        </w:tc>
      </w:tr>
      <w:tr w:rsidR="00616EBC" w:rsidRPr="00616EBC" w14:paraId="10840FA7"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0CA77D71" w14:textId="77777777" w:rsidR="00616EBC" w:rsidRPr="00616EBC" w:rsidRDefault="00616EBC" w:rsidP="00616EBC">
            <w:pPr>
              <w:rPr>
                <w:rFonts w:ascii="Arial Narrow" w:hAnsi="Arial Narrow"/>
                <w:sz w:val="20"/>
                <w:szCs w:val="20"/>
              </w:rPr>
            </w:pPr>
            <w:r w:rsidRPr="00616EBC">
              <w:rPr>
                <w:rFonts w:ascii="Arial Narrow" w:hAnsi="Arial Narrow"/>
                <w:b/>
                <w:bCs/>
                <w:sz w:val="20"/>
                <w:szCs w:val="20"/>
              </w:rPr>
              <w:t>Clinical criteria:</w:t>
            </w:r>
          </w:p>
        </w:tc>
      </w:tr>
      <w:tr w:rsidR="00616EBC" w:rsidRPr="00616EBC" w14:paraId="5B6D2863"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37DE04DB" w14:textId="77777777" w:rsidR="00616EBC" w:rsidRPr="00616EBC" w:rsidRDefault="00616EBC" w:rsidP="00616EBC">
            <w:pPr>
              <w:rPr>
                <w:rFonts w:ascii="Arial Narrow" w:eastAsiaTheme="majorEastAsia" w:hAnsi="Arial Narrow"/>
                <w:sz w:val="20"/>
                <w:szCs w:val="20"/>
                <w:lang w:bidi="en-US"/>
              </w:rPr>
            </w:pPr>
            <w:r w:rsidRPr="00616EBC">
              <w:rPr>
                <w:rFonts w:ascii="Arial Narrow" w:eastAsiaTheme="majorEastAsia" w:hAnsi="Arial Narrow"/>
                <w:sz w:val="20"/>
                <w:szCs w:val="20"/>
                <w:lang w:bidi="en-US"/>
              </w:rPr>
              <w:t xml:space="preserve">Patient must have a confirmed and documented diagnosis of systemic lupus erythematosus (SLE) </w:t>
            </w:r>
            <w:r w:rsidRPr="00616EBC">
              <w:rPr>
                <w:rFonts w:ascii="Arial Narrow" w:eastAsiaTheme="majorEastAsia" w:hAnsi="Arial Narrow"/>
                <w:strike/>
                <w:sz w:val="20"/>
                <w:szCs w:val="20"/>
                <w:lang w:bidi="en-US"/>
              </w:rPr>
              <w:t>(</w:t>
            </w:r>
            <w:r w:rsidRPr="00616EBC">
              <w:rPr>
                <w:rFonts w:ascii="Arial Narrow" w:eastAsiaTheme="majorEastAsia" w:hAnsi="Arial Narrow"/>
                <w:sz w:val="20"/>
                <w:szCs w:val="20"/>
                <w:lang w:bidi="en-US"/>
              </w:rPr>
              <w:t>according to the A</w:t>
            </w:r>
            <w:r w:rsidRPr="00616EBC">
              <w:rPr>
                <w:rFonts w:ascii="Arial Narrow" w:eastAsiaTheme="majorEastAsia" w:hAnsi="Arial Narrow"/>
                <w:i/>
                <w:iCs/>
                <w:sz w:val="20"/>
                <w:szCs w:val="20"/>
                <w:lang w:bidi="en-US"/>
              </w:rPr>
              <w:t>merican</w:t>
            </w:r>
            <w:r w:rsidRPr="00616EBC">
              <w:rPr>
                <w:rFonts w:ascii="Arial Narrow" w:eastAsiaTheme="majorEastAsia" w:hAnsi="Arial Narrow"/>
                <w:sz w:val="20"/>
                <w:szCs w:val="20"/>
                <w:lang w:bidi="en-US"/>
              </w:rPr>
              <w:t xml:space="preserve"> C</w:t>
            </w:r>
            <w:r w:rsidRPr="00616EBC">
              <w:rPr>
                <w:rFonts w:ascii="Arial Narrow" w:eastAsiaTheme="majorEastAsia" w:hAnsi="Arial Narrow"/>
                <w:i/>
                <w:iCs/>
                <w:sz w:val="20"/>
                <w:szCs w:val="20"/>
                <w:lang w:bidi="en-US"/>
              </w:rPr>
              <w:t>ollege</w:t>
            </w:r>
            <w:r w:rsidRPr="00616EBC">
              <w:rPr>
                <w:rFonts w:ascii="Arial Narrow" w:eastAsiaTheme="majorEastAsia" w:hAnsi="Arial Narrow"/>
                <w:sz w:val="20"/>
                <w:szCs w:val="20"/>
                <w:lang w:bidi="en-US"/>
              </w:rPr>
              <w:t xml:space="preserve"> </w:t>
            </w:r>
            <w:r w:rsidRPr="00616EBC">
              <w:rPr>
                <w:rFonts w:ascii="Arial Narrow" w:eastAsiaTheme="majorEastAsia" w:hAnsi="Arial Narrow"/>
                <w:i/>
                <w:iCs/>
                <w:sz w:val="20"/>
                <w:szCs w:val="20"/>
                <w:lang w:bidi="en-US"/>
              </w:rPr>
              <w:t>of</w:t>
            </w:r>
            <w:r w:rsidRPr="00616EBC">
              <w:rPr>
                <w:rFonts w:ascii="Arial Narrow" w:eastAsiaTheme="majorEastAsia" w:hAnsi="Arial Narrow"/>
                <w:sz w:val="20"/>
                <w:szCs w:val="20"/>
                <w:lang w:bidi="en-US"/>
              </w:rPr>
              <w:t xml:space="preserve"> R</w:t>
            </w:r>
            <w:r w:rsidRPr="00616EBC">
              <w:rPr>
                <w:rFonts w:ascii="Arial Narrow" w:eastAsiaTheme="majorEastAsia" w:hAnsi="Arial Narrow"/>
                <w:i/>
                <w:iCs/>
                <w:sz w:val="20"/>
                <w:szCs w:val="20"/>
                <w:lang w:bidi="en-US"/>
              </w:rPr>
              <w:t>heumatology</w:t>
            </w:r>
            <w:r w:rsidRPr="00616EBC">
              <w:rPr>
                <w:rFonts w:ascii="Arial Narrow" w:eastAsiaTheme="majorEastAsia" w:hAnsi="Arial Narrow"/>
                <w:sz w:val="20"/>
                <w:szCs w:val="20"/>
                <w:lang w:bidi="en-US"/>
              </w:rPr>
              <w:t xml:space="preserve"> </w:t>
            </w:r>
            <w:r w:rsidRPr="00616EBC">
              <w:rPr>
                <w:rFonts w:ascii="Arial Narrow" w:eastAsiaTheme="majorEastAsia" w:hAnsi="Arial Narrow"/>
                <w:i/>
                <w:iCs/>
                <w:sz w:val="20"/>
                <w:szCs w:val="20"/>
                <w:lang w:bidi="en-US"/>
              </w:rPr>
              <w:t>(ACR)</w:t>
            </w:r>
            <w:r w:rsidRPr="00616EBC">
              <w:rPr>
                <w:rFonts w:ascii="Arial Narrow" w:eastAsiaTheme="majorEastAsia" w:hAnsi="Arial Narrow"/>
                <w:sz w:val="20"/>
                <w:szCs w:val="20"/>
                <w:lang w:bidi="en-US"/>
              </w:rPr>
              <w:t>/E</w:t>
            </w:r>
            <w:r w:rsidRPr="00616EBC">
              <w:rPr>
                <w:rFonts w:ascii="Arial Narrow" w:eastAsiaTheme="majorEastAsia" w:hAnsi="Arial Narrow"/>
                <w:i/>
                <w:iCs/>
                <w:sz w:val="20"/>
                <w:szCs w:val="20"/>
                <w:lang w:bidi="en-US"/>
              </w:rPr>
              <w:t>uropean</w:t>
            </w:r>
            <w:r w:rsidRPr="00616EBC">
              <w:rPr>
                <w:rFonts w:ascii="Arial Narrow" w:eastAsiaTheme="majorEastAsia" w:hAnsi="Arial Narrow"/>
                <w:sz w:val="20"/>
                <w:szCs w:val="20"/>
                <w:lang w:bidi="en-US"/>
              </w:rPr>
              <w:t xml:space="preserve"> L</w:t>
            </w:r>
            <w:r w:rsidRPr="00616EBC">
              <w:rPr>
                <w:rFonts w:ascii="Arial Narrow" w:eastAsiaTheme="majorEastAsia" w:hAnsi="Arial Narrow"/>
                <w:i/>
                <w:iCs/>
                <w:sz w:val="20"/>
                <w:szCs w:val="20"/>
                <w:lang w:bidi="en-US"/>
              </w:rPr>
              <w:t>eague</w:t>
            </w:r>
            <w:r w:rsidRPr="00616EBC">
              <w:rPr>
                <w:rFonts w:ascii="Arial Narrow" w:eastAsiaTheme="majorEastAsia" w:hAnsi="Arial Narrow"/>
                <w:sz w:val="20"/>
                <w:szCs w:val="20"/>
                <w:lang w:bidi="en-US"/>
              </w:rPr>
              <w:t xml:space="preserve"> A</w:t>
            </w:r>
            <w:r w:rsidRPr="00616EBC">
              <w:rPr>
                <w:rFonts w:ascii="Arial Narrow" w:eastAsiaTheme="majorEastAsia" w:hAnsi="Arial Narrow"/>
                <w:i/>
                <w:iCs/>
                <w:sz w:val="20"/>
                <w:szCs w:val="20"/>
                <w:lang w:bidi="en-US"/>
              </w:rPr>
              <w:t xml:space="preserve">gainst </w:t>
            </w:r>
            <w:r w:rsidRPr="00616EBC">
              <w:rPr>
                <w:rFonts w:ascii="Arial Narrow" w:eastAsiaTheme="majorEastAsia" w:hAnsi="Arial Narrow"/>
                <w:sz w:val="20"/>
                <w:szCs w:val="20"/>
                <w:lang w:bidi="en-US"/>
              </w:rPr>
              <w:t>R</w:t>
            </w:r>
            <w:r w:rsidRPr="00616EBC">
              <w:rPr>
                <w:rFonts w:ascii="Arial Narrow" w:eastAsiaTheme="majorEastAsia" w:hAnsi="Arial Narrow"/>
                <w:i/>
                <w:iCs/>
                <w:sz w:val="20"/>
                <w:szCs w:val="20"/>
                <w:lang w:bidi="en-US"/>
              </w:rPr>
              <w:t>heumatism (EULAR)</w:t>
            </w:r>
            <w:r w:rsidRPr="00616EBC">
              <w:rPr>
                <w:rFonts w:ascii="Arial Narrow" w:eastAsiaTheme="majorEastAsia" w:hAnsi="Arial Narrow"/>
                <w:sz w:val="20"/>
                <w:szCs w:val="20"/>
                <w:lang w:bidi="en-US"/>
              </w:rPr>
              <w:t xml:space="preserve"> SLE Classification Criteria 2019</w:t>
            </w:r>
            <w:r w:rsidRPr="00616EBC">
              <w:rPr>
                <w:rFonts w:ascii="Arial Narrow" w:eastAsiaTheme="majorEastAsia" w:hAnsi="Arial Narrow"/>
                <w:strike/>
                <w:sz w:val="20"/>
                <w:szCs w:val="20"/>
                <w:lang w:bidi="en-US"/>
              </w:rPr>
              <w:t>)</w:t>
            </w:r>
          </w:p>
        </w:tc>
      </w:tr>
      <w:tr w:rsidR="00616EBC" w:rsidRPr="00616EBC" w14:paraId="14AE20ED"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4ACC24D7" w14:textId="77777777" w:rsidR="00616EBC" w:rsidRPr="00616EBC" w:rsidRDefault="00616EBC" w:rsidP="00616EBC">
            <w:pPr>
              <w:rPr>
                <w:rFonts w:ascii="Arial Narrow" w:hAnsi="Arial Narrow"/>
                <w:sz w:val="20"/>
                <w:szCs w:val="20"/>
              </w:rPr>
            </w:pPr>
            <w:r w:rsidRPr="00616EBC">
              <w:rPr>
                <w:rFonts w:ascii="Arial Narrow" w:hAnsi="Arial Narrow"/>
                <w:b/>
                <w:bCs/>
                <w:sz w:val="20"/>
                <w:szCs w:val="20"/>
              </w:rPr>
              <w:t>AND</w:t>
            </w:r>
          </w:p>
        </w:tc>
      </w:tr>
      <w:tr w:rsidR="00616EBC" w:rsidRPr="00616EBC" w14:paraId="0CB60BE5"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51B44B35" w14:textId="77777777" w:rsidR="00616EBC" w:rsidRPr="00616EBC" w:rsidRDefault="00616EBC" w:rsidP="00616EBC">
            <w:pPr>
              <w:rPr>
                <w:rFonts w:ascii="Arial Narrow" w:hAnsi="Arial Narrow"/>
                <w:sz w:val="20"/>
                <w:szCs w:val="20"/>
              </w:rPr>
            </w:pPr>
            <w:r w:rsidRPr="00616EBC">
              <w:rPr>
                <w:rFonts w:ascii="Arial Narrow" w:hAnsi="Arial Narrow"/>
                <w:b/>
                <w:bCs/>
                <w:sz w:val="20"/>
                <w:szCs w:val="20"/>
              </w:rPr>
              <w:t>Clinical criteria:</w:t>
            </w:r>
          </w:p>
        </w:tc>
      </w:tr>
      <w:tr w:rsidR="00616EBC" w:rsidRPr="00616EBC" w14:paraId="0E8DB2F0"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0CB81F19" w14:textId="77777777" w:rsidR="00616EBC" w:rsidRPr="00616EBC" w:rsidRDefault="00616EBC" w:rsidP="00616EBC">
            <w:pPr>
              <w:rPr>
                <w:rFonts w:ascii="Arial Narrow" w:hAnsi="Arial Narrow"/>
                <w:sz w:val="20"/>
                <w:szCs w:val="20"/>
              </w:rPr>
            </w:pPr>
            <w:r w:rsidRPr="00616EBC">
              <w:rPr>
                <w:rFonts w:ascii="Arial Narrow" w:hAnsi="Arial Narrow"/>
                <w:sz w:val="20"/>
                <w:szCs w:val="20"/>
              </w:rPr>
              <w:lastRenderedPageBreak/>
              <w:t xml:space="preserve">Patient must have persistent disease activity as supported by a </w:t>
            </w:r>
            <w:r w:rsidRPr="00616EBC">
              <w:rPr>
                <w:rFonts w:ascii="Arial Narrow" w:hAnsi="Arial Narrow"/>
                <w:i/>
                <w:iCs/>
                <w:sz w:val="20"/>
                <w:szCs w:val="20"/>
              </w:rPr>
              <w:t>SLE Disease Activity Index 2000</w:t>
            </w:r>
            <w:r w:rsidRPr="00616EBC">
              <w:rPr>
                <w:rFonts w:ascii="Arial Narrow" w:hAnsi="Arial Narrow"/>
                <w:sz w:val="20"/>
                <w:szCs w:val="20"/>
              </w:rPr>
              <w:t xml:space="preserve"> </w:t>
            </w:r>
            <w:r w:rsidRPr="00616EBC">
              <w:rPr>
                <w:rFonts w:ascii="Arial Narrow" w:hAnsi="Arial Narrow"/>
                <w:i/>
                <w:iCs/>
                <w:sz w:val="20"/>
                <w:szCs w:val="20"/>
              </w:rPr>
              <w:t>(</w:t>
            </w:r>
            <w:r w:rsidRPr="00616EBC">
              <w:rPr>
                <w:rFonts w:ascii="Arial Narrow" w:hAnsi="Arial Narrow"/>
                <w:sz w:val="20"/>
                <w:szCs w:val="20"/>
              </w:rPr>
              <w:t>SLEDAI-2K</w:t>
            </w:r>
            <w:r w:rsidRPr="00616EBC">
              <w:rPr>
                <w:rFonts w:ascii="Arial Narrow" w:hAnsi="Arial Narrow"/>
                <w:i/>
                <w:iCs/>
                <w:sz w:val="20"/>
                <w:szCs w:val="20"/>
              </w:rPr>
              <w:t>)</w:t>
            </w:r>
            <w:r w:rsidRPr="00616EBC">
              <w:rPr>
                <w:rFonts w:ascii="Arial Narrow" w:hAnsi="Arial Narrow"/>
                <w:sz w:val="20"/>
                <w:szCs w:val="20"/>
              </w:rPr>
              <w:t xml:space="preserve"> score of at least 10 points</w:t>
            </w:r>
          </w:p>
        </w:tc>
      </w:tr>
      <w:tr w:rsidR="00616EBC" w:rsidRPr="00616EBC" w14:paraId="3A378872"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0F3332FB" w14:textId="77777777" w:rsidR="00616EBC" w:rsidRPr="00616EBC" w:rsidRDefault="00616EBC" w:rsidP="00616EBC">
            <w:pPr>
              <w:rPr>
                <w:rFonts w:ascii="Arial Narrow" w:hAnsi="Arial Narrow"/>
                <w:sz w:val="20"/>
                <w:szCs w:val="20"/>
              </w:rPr>
            </w:pPr>
            <w:r w:rsidRPr="00616EBC">
              <w:rPr>
                <w:rFonts w:ascii="Arial Narrow" w:hAnsi="Arial Narrow"/>
                <w:b/>
                <w:bCs/>
                <w:sz w:val="20"/>
                <w:szCs w:val="20"/>
              </w:rPr>
              <w:t>AND</w:t>
            </w:r>
          </w:p>
        </w:tc>
      </w:tr>
      <w:tr w:rsidR="00616EBC" w:rsidRPr="00616EBC" w14:paraId="353B4E49"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14A5BC73" w14:textId="77777777" w:rsidR="00616EBC" w:rsidRPr="00616EBC" w:rsidRDefault="00616EBC" w:rsidP="00616EBC">
            <w:pPr>
              <w:rPr>
                <w:rFonts w:ascii="Arial Narrow" w:hAnsi="Arial Narrow"/>
                <w:sz w:val="20"/>
                <w:szCs w:val="20"/>
              </w:rPr>
            </w:pPr>
            <w:r w:rsidRPr="00616EBC">
              <w:rPr>
                <w:rFonts w:ascii="Arial Narrow" w:hAnsi="Arial Narrow"/>
                <w:b/>
                <w:bCs/>
                <w:sz w:val="20"/>
                <w:szCs w:val="20"/>
              </w:rPr>
              <w:t>Clinical criteria:</w:t>
            </w:r>
          </w:p>
        </w:tc>
      </w:tr>
      <w:tr w:rsidR="00616EBC" w:rsidRPr="00616EBC" w14:paraId="4EEABF5F"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40712023" w14:textId="77777777" w:rsidR="00616EBC" w:rsidRPr="00616EBC" w:rsidRDefault="00616EBC" w:rsidP="00616EBC">
            <w:pPr>
              <w:rPr>
                <w:rFonts w:ascii="Arial Narrow" w:hAnsi="Arial Narrow"/>
                <w:sz w:val="20"/>
                <w:szCs w:val="20"/>
              </w:rPr>
            </w:pPr>
            <w:r w:rsidRPr="00616EBC">
              <w:rPr>
                <w:rFonts w:ascii="Arial Narrow" w:hAnsi="Arial Narrow"/>
                <w:sz w:val="20"/>
                <w:szCs w:val="20"/>
              </w:rPr>
              <w:t>Patient must be currently receiving hydroxychloroquine and must have received this for at least 12 weeks</w:t>
            </w:r>
            <w:r w:rsidRPr="00616EBC">
              <w:rPr>
                <w:rFonts w:ascii="Arial Narrow" w:hAnsi="Arial Narrow"/>
                <w:i/>
                <w:sz w:val="20"/>
                <w:szCs w:val="20"/>
              </w:rPr>
              <w:t xml:space="preserve"> </w:t>
            </w:r>
          </w:p>
        </w:tc>
      </w:tr>
      <w:tr w:rsidR="00616EBC" w:rsidRPr="00616EBC" w14:paraId="321C48D4"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4159EE6B" w14:textId="77777777" w:rsidR="00616EBC" w:rsidRPr="00616EBC" w:rsidRDefault="00616EBC" w:rsidP="00616EBC">
            <w:pPr>
              <w:rPr>
                <w:rFonts w:ascii="Arial Narrow" w:hAnsi="Arial Narrow"/>
                <w:iCs/>
                <w:sz w:val="20"/>
                <w:szCs w:val="20"/>
              </w:rPr>
            </w:pPr>
            <w:r w:rsidRPr="00616EBC">
              <w:rPr>
                <w:rFonts w:ascii="Arial Narrow" w:hAnsi="Arial Narrow"/>
                <w:b/>
                <w:bCs/>
                <w:iCs/>
                <w:sz w:val="20"/>
                <w:szCs w:val="20"/>
              </w:rPr>
              <w:t>AND</w:t>
            </w:r>
          </w:p>
        </w:tc>
      </w:tr>
      <w:tr w:rsidR="00616EBC" w:rsidRPr="00616EBC" w14:paraId="60D8BC2B"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070EE0F5" w14:textId="77777777" w:rsidR="00616EBC" w:rsidRPr="00616EBC" w:rsidRDefault="00616EBC" w:rsidP="00616EBC">
            <w:pPr>
              <w:rPr>
                <w:rFonts w:ascii="Arial Narrow" w:hAnsi="Arial Narrow"/>
                <w:b/>
                <w:bCs/>
                <w:iCs/>
                <w:sz w:val="20"/>
                <w:szCs w:val="20"/>
              </w:rPr>
            </w:pPr>
            <w:r w:rsidRPr="00616EBC">
              <w:rPr>
                <w:rFonts w:ascii="Arial Narrow" w:hAnsi="Arial Narrow"/>
                <w:b/>
                <w:bCs/>
                <w:iCs/>
                <w:sz w:val="20"/>
                <w:szCs w:val="20"/>
              </w:rPr>
              <w:t>Clinical criteria:</w:t>
            </w:r>
          </w:p>
        </w:tc>
      </w:tr>
      <w:tr w:rsidR="00616EBC" w:rsidRPr="00616EBC" w14:paraId="7AB18C97"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2336719E" w14:textId="77777777" w:rsidR="00616EBC" w:rsidRPr="00616EBC" w:rsidRDefault="00616EBC" w:rsidP="00616EBC">
            <w:pPr>
              <w:rPr>
                <w:rFonts w:ascii="Arial Narrow" w:hAnsi="Arial Narrow"/>
                <w:bCs/>
                <w:iCs/>
                <w:sz w:val="20"/>
                <w:szCs w:val="20"/>
              </w:rPr>
            </w:pPr>
            <w:r w:rsidRPr="00616EBC">
              <w:rPr>
                <w:rFonts w:ascii="Arial Narrow" w:hAnsi="Arial Narrow"/>
                <w:bCs/>
                <w:iCs/>
                <w:sz w:val="20"/>
                <w:szCs w:val="20"/>
              </w:rPr>
              <w:t>Patient must be currently receiving immunosuppressant medication and must have received this for at least 12 weeks (minimum dose of methotrexate 20 mg per week, azathioprine 100 mg per day, or mycophenolate 1,000 mg per day)</w:t>
            </w:r>
          </w:p>
        </w:tc>
      </w:tr>
      <w:tr w:rsidR="00616EBC" w:rsidRPr="00616EBC" w14:paraId="3153D41C"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2027C8EC" w14:textId="77777777" w:rsidR="00616EBC" w:rsidRPr="00616EBC" w:rsidRDefault="00616EBC" w:rsidP="00616EBC">
            <w:pPr>
              <w:rPr>
                <w:rFonts w:ascii="Arial Narrow" w:hAnsi="Arial Narrow"/>
                <w:b/>
                <w:bCs/>
                <w:sz w:val="20"/>
                <w:szCs w:val="20"/>
              </w:rPr>
            </w:pPr>
            <w:r w:rsidRPr="00616EBC">
              <w:rPr>
                <w:rFonts w:ascii="Arial Narrow" w:hAnsi="Arial Narrow"/>
                <w:b/>
                <w:bCs/>
                <w:sz w:val="20"/>
                <w:szCs w:val="20"/>
              </w:rPr>
              <w:t>AND</w:t>
            </w:r>
          </w:p>
        </w:tc>
      </w:tr>
      <w:tr w:rsidR="00616EBC" w:rsidRPr="00616EBC" w14:paraId="05088274"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42565505" w14:textId="77777777" w:rsidR="00616EBC" w:rsidRPr="00616EBC" w:rsidRDefault="00616EBC" w:rsidP="00616EBC">
            <w:pPr>
              <w:rPr>
                <w:rFonts w:ascii="Arial Narrow" w:hAnsi="Arial Narrow"/>
                <w:sz w:val="20"/>
                <w:szCs w:val="20"/>
              </w:rPr>
            </w:pPr>
            <w:r w:rsidRPr="00616EBC">
              <w:rPr>
                <w:rFonts w:ascii="Arial Narrow" w:hAnsi="Arial Narrow"/>
                <w:b/>
                <w:bCs/>
                <w:sz w:val="20"/>
                <w:szCs w:val="20"/>
              </w:rPr>
              <w:t>Clinical criteria:</w:t>
            </w:r>
          </w:p>
        </w:tc>
      </w:tr>
      <w:tr w:rsidR="00616EBC" w:rsidRPr="00616EBC" w14:paraId="5EA375F8"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23FDE769" w14:textId="77777777" w:rsidR="00616EBC" w:rsidRPr="00616EBC" w:rsidRDefault="00616EBC" w:rsidP="00616EBC">
            <w:pPr>
              <w:rPr>
                <w:rFonts w:ascii="Arial Narrow" w:hAnsi="Arial Narrow"/>
                <w:sz w:val="20"/>
                <w:szCs w:val="20"/>
              </w:rPr>
            </w:pPr>
            <w:r w:rsidRPr="00616EBC">
              <w:rPr>
                <w:rFonts w:ascii="Arial Narrow" w:hAnsi="Arial Narrow"/>
                <w:sz w:val="20"/>
                <w:szCs w:val="20"/>
              </w:rPr>
              <w:t>Patient must be currently receiving prednisolone or equivalent ≥ 7.5 mg per day and must have received this for at least 4 weeks</w:t>
            </w:r>
          </w:p>
        </w:tc>
      </w:tr>
      <w:tr w:rsidR="00616EBC" w:rsidRPr="00616EBC" w14:paraId="270592B8"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300410CF" w14:textId="77777777" w:rsidR="00616EBC" w:rsidRPr="00616EBC" w:rsidRDefault="00616EBC" w:rsidP="00616EBC">
            <w:pPr>
              <w:rPr>
                <w:rFonts w:ascii="Arial Narrow" w:hAnsi="Arial Narrow"/>
                <w:sz w:val="20"/>
                <w:szCs w:val="20"/>
              </w:rPr>
            </w:pPr>
            <w:r w:rsidRPr="00616EBC">
              <w:rPr>
                <w:rFonts w:ascii="Arial Narrow" w:hAnsi="Arial Narrow"/>
                <w:b/>
                <w:bCs/>
                <w:sz w:val="20"/>
                <w:szCs w:val="20"/>
              </w:rPr>
              <w:t>AND</w:t>
            </w:r>
          </w:p>
        </w:tc>
      </w:tr>
      <w:tr w:rsidR="00616EBC" w:rsidRPr="00616EBC" w14:paraId="68990A26"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2203030F" w14:textId="77777777" w:rsidR="00616EBC" w:rsidRPr="00616EBC" w:rsidRDefault="00616EBC" w:rsidP="00616EBC">
            <w:pPr>
              <w:rPr>
                <w:rFonts w:ascii="Arial Narrow" w:hAnsi="Arial Narrow"/>
                <w:sz w:val="20"/>
                <w:szCs w:val="20"/>
              </w:rPr>
            </w:pPr>
            <w:r w:rsidRPr="00616EBC">
              <w:rPr>
                <w:rFonts w:ascii="Arial Narrow" w:hAnsi="Arial Narrow"/>
                <w:b/>
                <w:bCs/>
                <w:sz w:val="20"/>
                <w:szCs w:val="20"/>
              </w:rPr>
              <w:t>Clinical criteria:</w:t>
            </w:r>
          </w:p>
        </w:tc>
      </w:tr>
      <w:tr w:rsidR="00616EBC" w:rsidRPr="00616EBC" w14:paraId="452785D6"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45F78EA1" w14:textId="77777777" w:rsidR="00616EBC" w:rsidRPr="00616EBC" w:rsidRDefault="00616EBC" w:rsidP="00616EBC">
            <w:pPr>
              <w:rPr>
                <w:rFonts w:ascii="Arial Narrow" w:hAnsi="Arial Narrow"/>
                <w:sz w:val="20"/>
                <w:szCs w:val="20"/>
              </w:rPr>
            </w:pPr>
            <w:r w:rsidRPr="00616EBC">
              <w:rPr>
                <w:rFonts w:ascii="Arial Narrow" w:hAnsi="Arial Narrow"/>
                <w:sz w:val="20"/>
                <w:szCs w:val="20"/>
              </w:rPr>
              <w:t xml:space="preserve">Patient must not have severe </w:t>
            </w:r>
            <w:r w:rsidRPr="00616EBC">
              <w:rPr>
                <w:rFonts w:ascii="Arial Narrow" w:hAnsi="Arial Narrow"/>
                <w:strike/>
                <w:sz w:val="20"/>
                <w:szCs w:val="20"/>
              </w:rPr>
              <w:t>renal</w:t>
            </w:r>
            <w:r w:rsidRPr="00616EBC">
              <w:rPr>
                <w:rFonts w:ascii="Arial Narrow" w:hAnsi="Arial Narrow"/>
                <w:sz w:val="20"/>
                <w:szCs w:val="20"/>
              </w:rPr>
              <w:t xml:space="preserve"> active lupus nephritis or severe active central nervous system systemic lupus erythematosus</w:t>
            </w:r>
          </w:p>
        </w:tc>
      </w:tr>
      <w:tr w:rsidR="00616EBC" w:rsidRPr="00616EBC" w14:paraId="2A7DC0C2"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0EECB8E4" w14:textId="77777777" w:rsidR="00616EBC" w:rsidRPr="00616EBC" w:rsidRDefault="00616EBC" w:rsidP="00616EBC">
            <w:pPr>
              <w:rPr>
                <w:rFonts w:ascii="Arial Narrow" w:hAnsi="Arial Narrow"/>
                <w:b/>
                <w:bCs/>
                <w:sz w:val="20"/>
                <w:szCs w:val="20"/>
              </w:rPr>
            </w:pPr>
            <w:r w:rsidRPr="00616EBC">
              <w:rPr>
                <w:rFonts w:ascii="Arial Narrow" w:hAnsi="Arial Narrow"/>
                <w:b/>
                <w:bCs/>
                <w:sz w:val="20"/>
                <w:szCs w:val="20"/>
              </w:rPr>
              <w:t>Population criteria:</w:t>
            </w:r>
          </w:p>
        </w:tc>
      </w:tr>
      <w:tr w:rsidR="00616EBC" w:rsidRPr="00616EBC" w14:paraId="576E6F69"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23B0F9DE" w14:textId="77777777" w:rsidR="00616EBC" w:rsidRPr="00616EBC" w:rsidRDefault="00616EBC" w:rsidP="00616EBC">
            <w:pPr>
              <w:rPr>
                <w:rFonts w:ascii="Arial Narrow" w:hAnsi="Arial Narrow"/>
                <w:sz w:val="20"/>
                <w:szCs w:val="20"/>
              </w:rPr>
            </w:pPr>
            <w:r w:rsidRPr="00616EBC">
              <w:rPr>
                <w:rFonts w:ascii="Arial Narrow" w:hAnsi="Arial Narrow"/>
                <w:sz w:val="20"/>
                <w:szCs w:val="20"/>
              </w:rPr>
              <w:t>Patient must be aged 18 years or older.</w:t>
            </w:r>
          </w:p>
        </w:tc>
      </w:tr>
      <w:tr w:rsidR="00616EBC" w:rsidRPr="00616EBC" w14:paraId="15BA7E71" w14:textId="77777777" w:rsidTr="00ED36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
        </w:trPr>
        <w:tc>
          <w:tcPr>
            <w:tcW w:w="5000" w:type="pct"/>
            <w:tcBorders>
              <w:top w:val="single" w:sz="4" w:space="0" w:color="auto"/>
              <w:left w:val="single" w:sz="4" w:space="0" w:color="auto"/>
              <w:bottom w:val="single" w:sz="4" w:space="0" w:color="auto"/>
              <w:right w:val="single" w:sz="4" w:space="0" w:color="auto"/>
            </w:tcBorders>
            <w:vAlign w:val="center"/>
          </w:tcPr>
          <w:p w14:paraId="668F5B58" w14:textId="77777777" w:rsidR="00616EBC" w:rsidRPr="00616EBC" w:rsidRDefault="00616EBC" w:rsidP="00616EBC">
            <w:pPr>
              <w:rPr>
                <w:rFonts w:ascii="Arial Narrow" w:hAnsi="Arial Narrow"/>
                <w:b/>
                <w:bCs/>
                <w:sz w:val="20"/>
                <w:szCs w:val="20"/>
              </w:rPr>
            </w:pPr>
            <w:r w:rsidRPr="00616EBC">
              <w:rPr>
                <w:rFonts w:ascii="Arial Narrow" w:hAnsi="Arial Narrow"/>
                <w:b/>
                <w:bCs/>
                <w:strike/>
                <w:sz w:val="20"/>
                <w:szCs w:val="20"/>
              </w:rPr>
              <w:t>Prescriber</w:t>
            </w:r>
            <w:r w:rsidRPr="00616EBC">
              <w:rPr>
                <w:rFonts w:ascii="Arial Narrow" w:hAnsi="Arial Narrow"/>
                <w:b/>
                <w:bCs/>
                <w:sz w:val="20"/>
                <w:szCs w:val="20"/>
              </w:rPr>
              <w:t xml:space="preserve"> </w:t>
            </w:r>
            <w:r w:rsidRPr="00616EBC">
              <w:rPr>
                <w:rFonts w:ascii="Arial Narrow" w:hAnsi="Arial Narrow"/>
                <w:b/>
                <w:bCs/>
                <w:i/>
                <w:iCs/>
                <w:sz w:val="20"/>
                <w:szCs w:val="20"/>
              </w:rPr>
              <w:t>Prescribing</w:t>
            </w:r>
            <w:r w:rsidRPr="00616EBC">
              <w:rPr>
                <w:rFonts w:ascii="Arial Narrow" w:hAnsi="Arial Narrow"/>
                <w:b/>
                <w:bCs/>
                <w:sz w:val="20"/>
                <w:szCs w:val="20"/>
              </w:rPr>
              <w:t xml:space="preserve"> Instructions:</w:t>
            </w:r>
          </w:p>
          <w:p w14:paraId="24B02386" w14:textId="77777777" w:rsidR="00616EBC" w:rsidRPr="00616EBC" w:rsidRDefault="00616EBC" w:rsidP="00616EBC">
            <w:pPr>
              <w:rPr>
                <w:rFonts w:ascii="Arial Narrow" w:hAnsi="Arial Narrow"/>
                <w:sz w:val="20"/>
                <w:szCs w:val="20"/>
              </w:rPr>
            </w:pPr>
            <w:r w:rsidRPr="00616EBC">
              <w:rPr>
                <w:rFonts w:ascii="Arial Narrow" w:hAnsi="Arial Narrow"/>
                <w:sz w:val="20"/>
                <w:szCs w:val="20"/>
              </w:rPr>
              <w:t xml:space="preserve">The authority application must be made </w:t>
            </w:r>
            <w:r w:rsidRPr="00616EBC">
              <w:rPr>
                <w:rFonts w:ascii="Arial Narrow" w:hAnsi="Arial Narrow"/>
                <w:i/>
                <w:iCs/>
                <w:sz w:val="20"/>
                <w:szCs w:val="20"/>
              </w:rPr>
              <w:t>via the Online PBS Authorities (real time assessment), or</w:t>
            </w:r>
            <w:r w:rsidRPr="00616EBC">
              <w:rPr>
                <w:rFonts w:ascii="Arial Narrow" w:hAnsi="Arial Narrow"/>
                <w:sz w:val="20"/>
                <w:szCs w:val="20"/>
              </w:rPr>
              <w:t xml:space="preserve"> in writing </w:t>
            </w:r>
            <w:r w:rsidRPr="00616EBC">
              <w:rPr>
                <w:rFonts w:ascii="Arial Narrow" w:hAnsi="Arial Narrow"/>
                <w:i/>
                <w:iCs/>
                <w:sz w:val="20"/>
                <w:szCs w:val="20"/>
              </w:rPr>
              <w:t>via HPOS form upload or mail</w:t>
            </w:r>
            <w:r w:rsidRPr="00616EBC">
              <w:rPr>
                <w:rFonts w:ascii="Arial Narrow" w:hAnsi="Arial Narrow"/>
                <w:sz w:val="20"/>
                <w:szCs w:val="20"/>
              </w:rPr>
              <w:t xml:space="preserve"> and must include:</w:t>
            </w:r>
          </w:p>
          <w:p w14:paraId="144F9C61" w14:textId="77777777" w:rsidR="00616EBC" w:rsidRPr="00616EBC" w:rsidRDefault="00616EBC" w:rsidP="00616EBC">
            <w:pPr>
              <w:rPr>
                <w:rFonts w:ascii="Arial Narrow" w:hAnsi="Arial Narrow"/>
                <w:sz w:val="20"/>
                <w:szCs w:val="20"/>
              </w:rPr>
            </w:pPr>
          </w:p>
          <w:p w14:paraId="4D2F00C4" w14:textId="77777777" w:rsidR="00616EBC" w:rsidRPr="00616EBC" w:rsidRDefault="00616EBC" w:rsidP="00616EBC">
            <w:pPr>
              <w:pStyle w:val="ListParagraph"/>
              <w:numPr>
                <w:ilvl w:val="0"/>
                <w:numId w:val="14"/>
              </w:numPr>
              <w:spacing w:after="0"/>
              <w:ind w:left="272" w:hanging="272"/>
              <w:contextualSpacing/>
              <w:jc w:val="left"/>
              <w:rPr>
                <w:rFonts w:ascii="Arial Narrow" w:hAnsi="Arial Narrow"/>
                <w:i/>
                <w:iCs/>
                <w:sz w:val="20"/>
                <w:szCs w:val="20"/>
              </w:rPr>
            </w:pPr>
            <w:r w:rsidRPr="00616EBC">
              <w:rPr>
                <w:rFonts w:ascii="Arial Narrow" w:hAnsi="Arial Narrow"/>
                <w:i/>
                <w:iCs/>
                <w:sz w:val="20"/>
                <w:szCs w:val="20"/>
              </w:rPr>
              <w:t>details of the ACR/EULAR SLE Classification Criteria 2019 confirming diagnosis of SLE</w:t>
            </w:r>
          </w:p>
          <w:p w14:paraId="1F3D3CA4" w14:textId="77777777" w:rsidR="00616EBC" w:rsidRPr="00616EBC" w:rsidRDefault="00616EBC" w:rsidP="00616EBC">
            <w:pPr>
              <w:pStyle w:val="ListParagraph"/>
              <w:numPr>
                <w:ilvl w:val="0"/>
                <w:numId w:val="14"/>
              </w:numPr>
              <w:spacing w:after="0"/>
              <w:ind w:left="272" w:hanging="272"/>
              <w:contextualSpacing/>
              <w:jc w:val="left"/>
              <w:rPr>
                <w:rFonts w:ascii="Arial Narrow" w:hAnsi="Arial Narrow"/>
                <w:i/>
                <w:iCs/>
                <w:sz w:val="20"/>
                <w:szCs w:val="20"/>
              </w:rPr>
            </w:pPr>
            <w:r w:rsidRPr="00616EBC">
              <w:rPr>
                <w:rFonts w:ascii="Arial Narrow" w:hAnsi="Arial Narrow"/>
                <w:i/>
                <w:iCs/>
                <w:sz w:val="20"/>
                <w:szCs w:val="20"/>
              </w:rPr>
              <w:t>details (date and score) of the completed SLEDAI-2K score sheet</w:t>
            </w:r>
          </w:p>
          <w:p w14:paraId="0B4C2677" w14:textId="77777777" w:rsidR="00616EBC" w:rsidRPr="00616EBC" w:rsidRDefault="00616EBC" w:rsidP="00616EBC">
            <w:pPr>
              <w:pStyle w:val="ListParagraph"/>
              <w:numPr>
                <w:ilvl w:val="0"/>
                <w:numId w:val="14"/>
              </w:numPr>
              <w:spacing w:after="0"/>
              <w:ind w:left="272" w:hanging="272"/>
              <w:contextualSpacing/>
              <w:jc w:val="left"/>
              <w:rPr>
                <w:rFonts w:ascii="Arial Narrow" w:hAnsi="Arial Narrow"/>
                <w:i/>
                <w:iCs/>
                <w:sz w:val="20"/>
                <w:szCs w:val="20"/>
              </w:rPr>
            </w:pPr>
            <w:r w:rsidRPr="00616EBC">
              <w:rPr>
                <w:rFonts w:ascii="Arial Narrow" w:hAnsi="Arial Narrow"/>
                <w:i/>
                <w:iCs/>
                <w:sz w:val="20"/>
                <w:szCs w:val="20"/>
              </w:rPr>
              <w:t xml:space="preserve">details of current systemic therapy used (dosage, date of commencement and duration of therapy).   </w:t>
            </w:r>
          </w:p>
          <w:p w14:paraId="036C5044" w14:textId="77777777" w:rsidR="00616EBC" w:rsidRPr="00616EBC" w:rsidRDefault="00616EBC" w:rsidP="00616EBC">
            <w:pPr>
              <w:rPr>
                <w:rFonts w:ascii="Arial Narrow" w:hAnsi="Arial Narrow"/>
                <w:i/>
                <w:iCs/>
                <w:sz w:val="20"/>
                <w:szCs w:val="20"/>
              </w:rPr>
            </w:pPr>
          </w:p>
          <w:p w14:paraId="6D4FFA8C" w14:textId="77777777" w:rsidR="00616EBC" w:rsidRPr="00616EBC" w:rsidRDefault="00616EBC" w:rsidP="00616EBC">
            <w:pPr>
              <w:rPr>
                <w:rFonts w:ascii="Arial Narrow" w:hAnsi="Arial Narrow"/>
                <w:i/>
                <w:iCs/>
                <w:sz w:val="20"/>
                <w:szCs w:val="20"/>
              </w:rPr>
            </w:pPr>
            <w:r w:rsidRPr="00616EBC">
              <w:rPr>
                <w:rFonts w:ascii="Arial Narrow" w:hAnsi="Arial Narrow"/>
                <w:i/>
                <w:iCs/>
                <w:sz w:val="20"/>
                <w:szCs w:val="20"/>
              </w:rPr>
              <w:t>All the reports must be documented in the patient’s medical records.</w:t>
            </w:r>
          </w:p>
          <w:p w14:paraId="304BAF64" w14:textId="77777777" w:rsidR="00616EBC" w:rsidRPr="00616EBC" w:rsidRDefault="00616EBC" w:rsidP="00616EBC">
            <w:pPr>
              <w:rPr>
                <w:rFonts w:ascii="Arial Narrow" w:hAnsi="Arial Narrow"/>
                <w:sz w:val="20"/>
                <w:szCs w:val="20"/>
              </w:rPr>
            </w:pPr>
          </w:p>
          <w:p w14:paraId="629463C5" w14:textId="77777777" w:rsidR="00616EBC" w:rsidRPr="00616EBC" w:rsidRDefault="00616EBC" w:rsidP="00616EBC">
            <w:pPr>
              <w:rPr>
                <w:rFonts w:ascii="Arial Narrow" w:hAnsi="Arial Narrow"/>
                <w:strike/>
                <w:sz w:val="20"/>
                <w:szCs w:val="20"/>
              </w:rPr>
            </w:pPr>
            <w:r w:rsidRPr="00616EBC">
              <w:rPr>
                <w:rFonts w:ascii="Arial Narrow" w:hAnsi="Arial Narrow"/>
                <w:strike/>
                <w:sz w:val="20"/>
                <w:szCs w:val="20"/>
              </w:rPr>
              <w:t>(a) a completed authority prescription form; and</w:t>
            </w:r>
          </w:p>
          <w:p w14:paraId="71C4719A" w14:textId="77777777" w:rsidR="00616EBC" w:rsidRPr="00616EBC" w:rsidRDefault="00616EBC" w:rsidP="00616EBC">
            <w:pPr>
              <w:rPr>
                <w:rFonts w:ascii="Arial Narrow" w:hAnsi="Arial Narrow"/>
                <w:strike/>
                <w:sz w:val="20"/>
                <w:szCs w:val="20"/>
              </w:rPr>
            </w:pPr>
            <w:r w:rsidRPr="00616EBC">
              <w:rPr>
                <w:rFonts w:ascii="Arial Narrow" w:hAnsi="Arial Narrow"/>
                <w:strike/>
                <w:sz w:val="20"/>
                <w:szCs w:val="20"/>
              </w:rPr>
              <w:t>(b) details of current therapy used (dosage, date of commencement and duration of therapy); and</w:t>
            </w:r>
          </w:p>
          <w:p w14:paraId="18471683" w14:textId="77777777" w:rsidR="00616EBC" w:rsidRPr="00616EBC" w:rsidRDefault="00616EBC" w:rsidP="00616EBC">
            <w:pPr>
              <w:rPr>
                <w:rFonts w:ascii="Arial Narrow" w:hAnsi="Arial Narrow"/>
                <w:strike/>
                <w:sz w:val="20"/>
                <w:szCs w:val="20"/>
              </w:rPr>
            </w:pPr>
            <w:r w:rsidRPr="00616EBC">
              <w:rPr>
                <w:rFonts w:ascii="Arial Narrow" w:hAnsi="Arial Narrow"/>
                <w:strike/>
                <w:sz w:val="20"/>
                <w:szCs w:val="20"/>
              </w:rPr>
              <w:t>(c) a completed SLEDAI-2K score sheet, including the date of assessment,</w:t>
            </w:r>
          </w:p>
          <w:p w14:paraId="7A3752EA" w14:textId="77777777" w:rsidR="00616EBC" w:rsidRPr="00616EBC" w:rsidRDefault="00616EBC" w:rsidP="00616EBC">
            <w:pPr>
              <w:rPr>
                <w:rFonts w:ascii="Arial Narrow" w:hAnsi="Arial Narrow"/>
                <w:sz w:val="20"/>
                <w:szCs w:val="20"/>
              </w:rPr>
            </w:pPr>
            <w:r w:rsidRPr="00616EBC">
              <w:rPr>
                <w:rFonts w:ascii="Arial Narrow" w:hAnsi="Arial Narrow"/>
                <w:strike/>
                <w:sz w:val="20"/>
                <w:szCs w:val="20"/>
              </w:rPr>
              <w:t>AND</w:t>
            </w:r>
          </w:p>
          <w:p w14:paraId="3774C51B" w14:textId="77777777" w:rsidR="00616EBC" w:rsidRPr="00616EBC" w:rsidRDefault="00616EBC" w:rsidP="00616EBC">
            <w:pPr>
              <w:rPr>
                <w:rFonts w:ascii="Arial Narrow" w:hAnsi="Arial Narrow"/>
                <w:b/>
                <w:bCs/>
                <w:sz w:val="20"/>
                <w:szCs w:val="20"/>
              </w:rPr>
            </w:pPr>
            <w:r w:rsidRPr="00616EBC">
              <w:rPr>
                <w:rFonts w:ascii="Arial Narrow" w:hAnsi="Arial Narrow"/>
                <w:sz w:val="20"/>
                <w:szCs w:val="20"/>
              </w:rPr>
              <w:t>The name of the specialist consulted must be provided at the time of application for initial supply.</w:t>
            </w:r>
          </w:p>
        </w:tc>
      </w:tr>
      <w:tr w:rsidR="00616EBC" w:rsidRPr="00616EBC" w14:paraId="381B8E85" w14:textId="77777777" w:rsidTr="00ED36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0"/>
        </w:trPr>
        <w:tc>
          <w:tcPr>
            <w:tcW w:w="5000" w:type="pct"/>
            <w:tcBorders>
              <w:top w:val="single" w:sz="4" w:space="0" w:color="auto"/>
              <w:left w:val="single" w:sz="4" w:space="0" w:color="auto"/>
              <w:right w:val="single" w:sz="4" w:space="0" w:color="auto"/>
            </w:tcBorders>
            <w:vAlign w:val="center"/>
          </w:tcPr>
          <w:p w14:paraId="1F4947D7" w14:textId="77777777" w:rsidR="00616EBC" w:rsidRPr="00616EBC" w:rsidRDefault="00616EBC" w:rsidP="00616EBC">
            <w:pPr>
              <w:contextualSpacing/>
              <w:rPr>
                <w:rFonts w:ascii="Arial Narrow" w:hAnsi="Arial Narrow"/>
                <w:b/>
                <w:bCs/>
                <w:sz w:val="20"/>
                <w:szCs w:val="20"/>
              </w:rPr>
            </w:pPr>
            <w:r w:rsidRPr="00616EBC">
              <w:rPr>
                <w:rFonts w:ascii="Arial Narrow" w:hAnsi="Arial Narrow"/>
                <w:b/>
                <w:bCs/>
                <w:sz w:val="20"/>
                <w:szCs w:val="20"/>
              </w:rPr>
              <w:t>Prescribing Instructions:</w:t>
            </w:r>
          </w:p>
          <w:p w14:paraId="5955D1EE" w14:textId="77777777" w:rsidR="00616EBC" w:rsidRPr="00616EBC" w:rsidRDefault="00616EBC" w:rsidP="00616EBC">
            <w:pPr>
              <w:contextualSpacing/>
              <w:rPr>
                <w:rFonts w:ascii="Arial Narrow" w:hAnsi="Arial Narrow"/>
                <w:i/>
                <w:iCs/>
                <w:sz w:val="20"/>
                <w:szCs w:val="20"/>
              </w:rPr>
            </w:pPr>
            <w:r w:rsidRPr="00616EBC">
              <w:rPr>
                <w:rFonts w:ascii="Arial Narrow" w:hAnsi="Arial Narrow"/>
                <w:i/>
                <w:iCs/>
                <w:sz w:val="20"/>
                <w:szCs w:val="20"/>
              </w:rPr>
              <w:t>If the application is submitted through HPOS form upload or mail, it must include:</w:t>
            </w:r>
          </w:p>
          <w:p w14:paraId="4C637499" w14:textId="77777777" w:rsidR="00616EBC" w:rsidRPr="00616EBC" w:rsidRDefault="00616EBC" w:rsidP="00616EBC">
            <w:pPr>
              <w:pStyle w:val="ListParagraph"/>
              <w:numPr>
                <w:ilvl w:val="0"/>
                <w:numId w:val="15"/>
              </w:numPr>
              <w:spacing w:after="0"/>
              <w:ind w:left="268" w:hanging="268"/>
              <w:contextualSpacing/>
              <w:jc w:val="left"/>
              <w:rPr>
                <w:rFonts w:ascii="Arial Narrow" w:hAnsi="Arial Narrow"/>
                <w:i/>
                <w:iCs/>
                <w:sz w:val="20"/>
                <w:szCs w:val="20"/>
              </w:rPr>
            </w:pPr>
            <w:r w:rsidRPr="00616EBC">
              <w:rPr>
                <w:rFonts w:ascii="Arial Narrow" w:hAnsi="Arial Narrow"/>
                <w:i/>
                <w:iCs/>
                <w:sz w:val="20"/>
                <w:szCs w:val="20"/>
              </w:rPr>
              <w:t>a completed authority prescription form; and</w:t>
            </w:r>
          </w:p>
          <w:p w14:paraId="1E7CE2F5" w14:textId="77777777" w:rsidR="00616EBC" w:rsidRPr="00616EBC" w:rsidRDefault="00616EBC" w:rsidP="00616EBC">
            <w:pPr>
              <w:pStyle w:val="ListParagraph"/>
              <w:numPr>
                <w:ilvl w:val="0"/>
                <w:numId w:val="15"/>
              </w:numPr>
              <w:spacing w:after="0"/>
              <w:ind w:left="268" w:hanging="268"/>
              <w:contextualSpacing/>
              <w:jc w:val="left"/>
              <w:rPr>
                <w:rFonts w:ascii="Arial Narrow" w:hAnsi="Arial Narrow"/>
                <w:i/>
                <w:iCs/>
                <w:sz w:val="20"/>
                <w:szCs w:val="20"/>
              </w:rPr>
            </w:pPr>
            <w:r w:rsidRPr="00616EBC">
              <w:rPr>
                <w:rFonts w:ascii="Arial Narrow" w:hAnsi="Arial Narrow"/>
                <w:i/>
                <w:iCs/>
                <w:sz w:val="20"/>
                <w:szCs w:val="20"/>
              </w:rPr>
              <w:t xml:space="preserve">a completed authority application form relevant to the indication and treatment phase (the latest version is located on the website specified in the Administrative Advice) </w:t>
            </w:r>
          </w:p>
        </w:tc>
      </w:tr>
      <w:tr w:rsidR="00616EBC" w:rsidRPr="00616EBC" w14:paraId="1995F91D"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2BDECDCC" w14:textId="77777777" w:rsidR="00616EBC" w:rsidRPr="00616EBC" w:rsidRDefault="00616EBC" w:rsidP="00616EBC">
            <w:pPr>
              <w:rPr>
                <w:rFonts w:ascii="Arial Narrow" w:hAnsi="Arial Narrow"/>
                <w:iCs/>
                <w:sz w:val="20"/>
                <w:szCs w:val="20"/>
              </w:rPr>
            </w:pPr>
            <w:r w:rsidRPr="00616EBC">
              <w:rPr>
                <w:rFonts w:ascii="Arial Narrow" w:hAnsi="Arial Narrow"/>
                <w:b/>
                <w:bCs/>
                <w:strike/>
                <w:sz w:val="20"/>
                <w:szCs w:val="20"/>
              </w:rPr>
              <w:t>Prescriber</w:t>
            </w:r>
            <w:r w:rsidRPr="00616EBC">
              <w:rPr>
                <w:rFonts w:ascii="Arial Narrow" w:hAnsi="Arial Narrow"/>
                <w:b/>
                <w:bCs/>
                <w:sz w:val="20"/>
                <w:szCs w:val="20"/>
              </w:rPr>
              <w:t xml:space="preserve"> </w:t>
            </w:r>
            <w:r w:rsidRPr="00616EBC">
              <w:rPr>
                <w:rFonts w:ascii="Arial Narrow" w:hAnsi="Arial Narrow"/>
                <w:b/>
                <w:bCs/>
                <w:i/>
                <w:iCs/>
                <w:sz w:val="20"/>
                <w:szCs w:val="20"/>
              </w:rPr>
              <w:t>Prescribing</w:t>
            </w:r>
            <w:r w:rsidRPr="00616EBC">
              <w:rPr>
                <w:rFonts w:ascii="Arial Narrow" w:hAnsi="Arial Narrow"/>
                <w:b/>
                <w:bCs/>
                <w:sz w:val="20"/>
                <w:szCs w:val="20"/>
              </w:rPr>
              <w:t xml:space="preserve"> Instructions:</w:t>
            </w:r>
          </w:p>
          <w:p w14:paraId="1D89E52D" w14:textId="77777777" w:rsidR="00616EBC" w:rsidRPr="00616EBC" w:rsidRDefault="00616EBC" w:rsidP="00616EBC">
            <w:pPr>
              <w:rPr>
                <w:rFonts w:ascii="Arial Narrow" w:hAnsi="Arial Narrow"/>
                <w:iCs/>
                <w:sz w:val="20"/>
                <w:szCs w:val="20"/>
              </w:rPr>
            </w:pPr>
            <w:r w:rsidRPr="00616EBC">
              <w:rPr>
                <w:rFonts w:ascii="Arial Narrow" w:hAnsi="Arial Narrow"/>
                <w:iCs/>
                <w:sz w:val="20"/>
                <w:szCs w:val="20"/>
              </w:rPr>
              <w:t>History of systemic lupus erythematosus medication therapy should be based on documented use of treatment prescribed by a physician.</w:t>
            </w:r>
          </w:p>
          <w:p w14:paraId="4E29AF90" w14:textId="77777777" w:rsidR="00616EBC" w:rsidRPr="00616EBC" w:rsidRDefault="00616EBC" w:rsidP="00616EBC">
            <w:pPr>
              <w:rPr>
                <w:rFonts w:ascii="Arial Narrow" w:hAnsi="Arial Narrow"/>
                <w:iCs/>
                <w:sz w:val="20"/>
                <w:szCs w:val="20"/>
              </w:rPr>
            </w:pPr>
          </w:p>
          <w:p w14:paraId="3040F457" w14:textId="77777777" w:rsidR="00616EBC" w:rsidRPr="00616EBC" w:rsidRDefault="00616EBC" w:rsidP="00616EBC">
            <w:pPr>
              <w:rPr>
                <w:rFonts w:ascii="Arial Narrow" w:hAnsi="Arial Narrow"/>
                <w:iCs/>
                <w:sz w:val="20"/>
                <w:szCs w:val="20"/>
              </w:rPr>
            </w:pPr>
            <w:r w:rsidRPr="00616EBC">
              <w:rPr>
                <w:rFonts w:ascii="Arial Narrow" w:hAnsi="Arial Narrow"/>
                <w:iCs/>
                <w:sz w:val="20"/>
                <w:szCs w:val="20"/>
              </w:rPr>
              <w:t>Standard of care for this condition is a combination of an antimalarial medicine, a corticosteroid (at least 7.5 mg per day prednisolone or equivalent) and a systemic immunosuppressive medicine.</w:t>
            </w:r>
          </w:p>
          <w:p w14:paraId="46EA7CF4" w14:textId="77777777" w:rsidR="00616EBC" w:rsidRPr="00616EBC" w:rsidRDefault="00616EBC" w:rsidP="00616EBC">
            <w:pPr>
              <w:rPr>
                <w:rFonts w:ascii="Arial Narrow" w:hAnsi="Arial Narrow"/>
                <w:iCs/>
                <w:sz w:val="20"/>
                <w:szCs w:val="20"/>
              </w:rPr>
            </w:pPr>
          </w:p>
          <w:p w14:paraId="2CC88431" w14:textId="77777777" w:rsidR="00616EBC" w:rsidRPr="00616EBC" w:rsidRDefault="00616EBC" w:rsidP="00616EBC">
            <w:pPr>
              <w:rPr>
                <w:rFonts w:ascii="Arial Narrow" w:hAnsi="Arial Narrow"/>
                <w:iCs/>
                <w:sz w:val="20"/>
                <w:szCs w:val="20"/>
              </w:rPr>
            </w:pPr>
            <w:r w:rsidRPr="00616EBC">
              <w:rPr>
                <w:rFonts w:ascii="Arial Narrow" w:hAnsi="Arial Narrow"/>
                <w:iCs/>
                <w:sz w:val="20"/>
                <w:szCs w:val="20"/>
              </w:rPr>
              <w:t>Where intolerance to standard of care of a severity necessitating permanent treatment withdrawal has occurred or is expected to occur, details of the degree of this toxicity must be provided at the time of application.</w:t>
            </w:r>
          </w:p>
          <w:p w14:paraId="238426B1" w14:textId="77777777" w:rsidR="00616EBC" w:rsidRPr="00616EBC" w:rsidRDefault="00616EBC" w:rsidP="00616EBC">
            <w:pPr>
              <w:rPr>
                <w:rFonts w:ascii="Arial Narrow" w:hAnsi="Arial Narrow"/>
                <w:iCs/>
                <w:sz w:val="20"/>
                <w:szCs w:val="20"/>
              </w:rPr>
            </w:pPr>
          </w:p>
          <w:p w14:paraId="1FCD1471" w14:textId="77777777" w:rsidR="00616EBC" w:rsidRPr="00616EBC" w:rsidRDefault="00616EBC" w:rsidP="00616EBC">
            <w:pPr>
              <w:rPr>
                <w:rFonts w:ascii="Arial Narrow" w:hAnsi="Arial Narrow"/>
                <w:iCs/>
                <w:sz w:val="20"/>
                <w:szCs w:val="20"/>
              </w:rPr>
            </w:pPr>
            <w:r w:rsidRPr="00616EBC">
              <w:rPr>
                <w:rFonts w:ascii="Arial Narrow" w:hAnsi="Arial Narrow"/>
                <w:iCs/>
                <w:sz w:val="20"/>
                <w:szCs w:val="20"/>
              </w:rPr>
              <w:t>If treatment with standard of care therapy is contraindicated according to the relevant TGA approved Product Information, details of the contraindication must be provided at the time of application.</w:t>
            </w:r>
          </w:p>
        </w:tc>
      </w:tr>
      <w:tr w:rsidR="00616EBC" w:rsidRPr="00616EBC" w14:paraId="7BA6776C"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0DA7CCC2" w14:textId="77777777" w:rsidR="00616EBC" w:rsidRPr="00616EBC" w:rsidRDefault="00616EBC" w:rsidP="00616EBC">
            <w:pPr>
              <w:rPr>
                <w:rFonts w:ascii="Arial Narrow" w:hAnsi="Arial Narrow"/>
                <w:b/>
                <w:bCs/>
                <w:i/>
                <w:sz w:val="20"/>
                <w:szCs w:val="20"/>
              </w:rPr>
            </w:pPr>
            <w:r w:rsidRPr="00616EBC">
              <w:rPr>
                <w:rFonts w:ascii="Arial Narrow" w:hAnsi="Arial Narrow"/>
                <w:b/>
                <w:bCs/>
                <w:i/>
                <w:sz w:val="20"/>
                <w:szCs w:val="20"/>
              </w:rPr>
              <w:t>Administrative Advice:</w:t>
            </w:r>
          </w:p>
          <w:p w14:paraId="7966E685" w14:textId="77777777" w:rsidR="00616EBC" w:rsidRPr="00616EBC" w:rsidRDefault="00616EBC" w:rsidP="00616EBC">
            <w:pPr>
              <w:rPr>
                <w:rFonts w:ascii="Arial Narrow" w:hAnsi="Arial Narrow"/>
                <w:iCs/>
                <w:sz w:val="20"/>
                <w:szCs w:val="20"/>
              </w:rPr>
            </w:pPr>
            <w:r w:rsidRPr="00616EBC">
              <w:rPr>
                <w:rFonts w:ascii="Arial Narrow" w:hAnsi="Arial Narrow"/>
                <w:iCs/>
                <w:sz w:val="20"/>
                <w:szCs w:val="20"/>
              </w:rPr>
              <w:lastRenderedPageBreak/>
              <w:t xml:space="preserve">SLEDAI-2K can be accessed via Gladman 2002 J. </w:t>
            </w:r>
            <w:proofErr w:type="spellStart"/>
            <w:r w:rsidRPr="00616EBC">
              <w:rPr>
                <w:rFonts w:ascii="Arial Narrow" w:hAnsi="Arial Narrow"/>
                <w:iCs/>
                <w:sz w:val="20"/>
                <w:szCs w:val="20"/>
              </w:rPr>
              <w:t>Rheumatol</w:t>
            </w:r>
            <w:proofErr w:type="spellEnd"/>
            <w:r w:rsidRPr="00616EBC">
              <w:rPr>
                <w:rFonts w:ascii="Arial Narrow" w:hAnsi="Arial Narrow"/>
                <w:iCs/>
                <w:sz w:val="20"/>
                <w:szCs w:val="20"/>
              </w:rPr>
              <w:t>. 29 (2) 288-291 or from AstraZeneca Medical Information on 1800 805 342.</w:t>
            </w:r>
          </w:p>
        </w:tc>
      </w:tr>
      <w:tr w:rsidR="00616EBC" w:rsidRPr="00616EBC" w14:paraId="19DA806D"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0952FF49" w14:textId="77777777" w:rsidR="00616EBC" w:rsidRPr="00616EBC" w:rsidRDefault="00616EBC" w:rsidP="00616EBC">
            <w:pPr>
              <w:rPr>
                <w:rFonts w:ascii="Arial Narrow" w:hAnsi="Arial Narrow"/>
                <w:i/>
                <w:sz w:val="20"/>
                <w:szCs w:val="20"/>
              </w:rPr>
            </w:pPr>
            <w:r w:rsidRPr="00616EBC">
              <w:rPr>
                <w:rFonts w:ascii="Arial Narrow" w:hAnsi="Arial Narrow"/>
                <w:b/>
                <w:bCs/>
                <w:i/>
                <w:sz w:val="20"/>
                <w:szCs w:val="20"/>
              </w:rPr>
              <w:lastRenderedPageBreak/>
              <w:t>Administrative Advice:</w:t>
            </w:r>
          </w:p>
          <w:p w14:paraId="50184A11" w14:textId="77777777" w:rsidR="00616EBC" w:rsidRPr="00616EBC" w:rsidRDefault="00616EBC" w:rsidP="00616EBC">
            <w:pPr>
              <w:rPr>
                <w:rFonts w:ascii="Arial Narrow" w:hAnsi="Arial Narrow"/>
                <w:i/>
                <w:sz w:val="20"/>
                <w:szCs w:val="20"/>
              </w:rPr>
            </w:pPr>
            <w:r w:rsidRPr="00616EBC">
              <w:rPr>
                <w:rFonts w:ascii="Arial Narrow" w:hAnsi="Arial Narrow"/>
                <w:i/>
                <w:sz w:val="20"/>
                <w:szCs w:val="20"/>
              </w:rPr>
              <w:t xml:space="preserve">Any queries concerning the arrangements to prescribe may be directed to the Services Australia on 1800 700 270 (hours of operation 8 a.m. to 5 p.m. </w:t>
            </w:r>
            <w:r w:rsidRPr="00616EBC">
              <w:rPr>
                <w:rFonts w:ascii="Arial Narrow" w:hAnsi="Arial Narrow"/>
                <w:i/>
                <w:strike/>
                <w:sz w:val="20"/>
                <w:szCs w:val="20"/>
              </w:rPr>
              <w:t xml:space="preserve">EST </w:t>
            </w:r>
            <w:r w:rsidRPr="00616EBC">
              <w:rPr>
                <w:rFonts w:ascii="Arial Narrow" w:hAnsi="Arial Narrow"/>
                <w:i/>
                <w:sz w:val="20"/>
                <w:szCs w:val="20"/>
              </w:rPr>
              <w:t>Monday to Friday).</w:t>
            </w:r>
          </w:p>
          <w:p w14:paraId="4EDE5101" w14:textId="77777777" w:rsidR="00616EBC" w:rsidRPr="00616EBC" w:rsidRDefault="00616EBC" w:rsidP="00616EBC">
            <w:pPr>
              <w:rPr>
                <w:rFonts w:ascii="Arial Narrow" w:hAnsi="Arial Narrow"/>
                <w:i/>
                <w:sz w:val="20"/>
                <w:szCs w:val="20"/>
              </w:rPr>
            </w:pPr>
            <w:r w:rsidRPr="00616EBC">
              <w:rPr>
                <w:rFonts w:ascii="Arial Narrow" w:hAnsi="Arial Narrow"/>
                <w:i/>
                <w:sz w:val="20"/>
                <w:szCs w:val="20"/>
              </w:rPr>
              <w:t xml:space="preserve"> </w:t>
            </w:r>
          </w:p>
          <w:p w14:paraId="41D6839B" w14:textId="2786113A" w:rsidR="00616EBC" w:rsidRPr="00616EBC" w:rsidRDefault="00616EBC" w:rsidP="00616EBC">
            <w:pPr>
              <w:rPr>
                <w:rFonts w:ascii="Arial Narrow" w:hAnsi="Arial Narrow"/>
                <w:i/>
                <w:sz w:val="20"/>
                <w:szCs w:val="20"/>
              </w:rPr>
            </w:pPr>
            <w:r w:rsidRPr="00616EBC">
              <w:rPr>
                <w:rFonts w:ascii="Arial Narrow" w:hAnsi="Arial Narrow"/>
                <w:i/>
                <w:sz w:val="20"/>
                <w:szCs w:val="20"/>
              </w:rPr>
              <w:t xml:space="preserve">Prescribing information (including Authority Application forms and other relevant documentation as applicable) is available on the Services Australia website at </w:t>
            </w:r>
            <w:hyperlink r:id="rId8" w:history="1">
              <w:r w:rsidRPr="00616EBC">
                <w:rPr>
                  <w:rStyle w:val="Hyperlink"/>
                  <w:rFonts w:ascii="Arial Narrow" w:hAnsi="Arial Narrow"/>
                  <w:sz w:val="20"/>
                  <w:szCs w:val="20"/>
                </w:rPr>
                <w:t>servicesaustralia.gov.au</w:t>
              </w:r>
            </w:hyperlink>
          </w:p>
          <w:p w14:paraId="5D83AEE4" w14:textId="77777777" w:rsidR="00616EBC" w:rsidRPr="00616EBC" w:rsidRDefault="00616EBC" w:rsidP="00616EBC">
            <w:pPr>
              <w:rPr>
                <w:rFonts w:ascii="Arial Narrow" w:hAnsi="Arial Narrow"/>
                <w:i/>
                <w:sz w:val="20"/>
                <w:szCs w:val="20"/>
              </w:rPr>
            </w:pPr>
          </w:p>
          <w:p w14:paraId="1FD95C03" w14:textId="5D4FA819" w:rsidR="00616EBC" w:rsidRPr="00616EBC" w:rsidRDefault="00616EBC" w:rsidP="00616EBC">
            <w:pPr>
              <w:textAlignment w:val="baseline"/>
              <w:rPr>
                <w:rFonts w:ascii="Arial Narrow" w:hAnsi="Arial Narrow" w:cstheme="minorHAnsi"/>
                <w:i/>
                <w:iCs/>
                <w:color w:val="333333"/>
                <w:sz w:val="20"/>
                <w:szCs w:val="20"/>
              </w:rPr>
            </w:pPr>
            <w:r w:rsidRPr="00616EBC">
              <w:rPr>
                <w:rFonts w:ascii="Arial Narrow" w:hAnsi="Arial Narrow" w:cstheme="minorHAnsi"/>
                <w:i/>
                <w:iCs/>
                <w:color w:val="333333"/>
                <w:sz w:val="20"/>
                <w:szCs w:val="20"/>
              </w:rPr>
              <w:t xml:space="preserve">Applications for authorisation under this restriction should be made in real time using the Online PBS Authorities system (see </w:t>
            </w:r>
            <w:hyperlink r:id="rId9" w:history="1">
              <w:r w:rsidRPr="00616EBC">
                <w:rPr>
                  <w:rStyle w:val="Hyperlink"/>
                  <w:rFonts w:ascii="Arial Narrow" w:hAnsi="Arial Narrow" w:cstheme="minorHAnsi"/>
                  <w:iCs/>
                  <w:sz w:val="20"/>
                  <w:szCs w:val="20"/>
                </w:rPr>
                <w:t>www.servicesaustralia.gov.au</w:t>
              </w:r>
            </w:hyperlink>
            <w:r w:rsidRPr="00616EBC">
              <w:rPr>
                <w:rFonts w:ascii="Arial Narrow" w:hAnsi="Arial Narrow" w:cstheme="minorHAnsi"/>
                <w:i/>
                <w:iCs/>
                <w:color w:val="333333"/>
                <w:sz w:val="20"/>
                <w:szCs w:val="20"/>
              </w:rPr>
              <w:t>/hpos)</w:t>
            </w:r>
          </w:p>
          <w:p w14:paraId="70ABAA3E" w14:textId="77777777" w:rsidR="00616EBC" w:rsidRPr="00616EBC" w:rsidRDefault="00616EBC" w:rsidP="00616EBC">
            <w:pPr>
              <w:rPr>
                <w:rFonts w:ascii="Arial Narrow" w:hAnsi="Arial Narrow"/>
                <w:i/>
                <w:sz w:val="20"/>
                <w:szCs w:val="20"/>
              </w:rPr>
            </w:pPr>
          </w:p>
          <w:p w14:paraId="04AEED7C" w14:textId="77777777" w:rsidR="00616EBC" w:rsidRPr="00616EBC" w:rsidRDefault="00616EBC" w:rsidP="00616EBC">
            <w:pPr>
              <w:rPr>
                <w:rFonts w:ascii="Arial Narrow" w:hAnsi="Arial Narrow"/>
                <w:i/>
                <w:sz w:val="20"/>
                <w:szCs w:val="20"/>
              </w:rPr>
            </w:pPr>
            <w:r w:rsidRPr="00616EBC">
              <w:rPr>
                <w:rFonts w:ascii="Arial Narrow" w:hAnsi="Arial Narrow"/>
                <w:i/>
                <w:sz w:val="20"/>
                <w:szCs w:val="20"/>
              </w:rPr>
              <w:t>Alternatively, applications for authority to prescribe can be submitted online using the form upload facility in Health Professional Online Services (HPOS)</w:t>
            </w:r>
            <w:r w:rsidRPr="00616EBC">
              <w:rPr>
                <w:rFonts w:ascii="Arial Narrow" w:hAnsi="Arial Narrow"/>
                <w:bCs/>
                <w:i/>
                <w:sz w:val="20"/>
                <w:szCs w:val="20"/>
              </w:rPr>
              <w:t xml:space="preserve"> at www.servicesaustralia.gov.au/hpos </w:t>
            </w:r>
          </w:p>
          <w:p w14:paraId="45D96352" w14:textId="77777777" w:rsidR="00616EBC" w:rsidRPr="00616EBC" w:rsidRDefault="00616EBC" w:rsidP="00616EBC">
            <w:pPr>
              <w:rPr>
                <w:rFonts w:ascii="Arial Narrow" w:hAnsi="Arial Narrow"/>
                <w:i/>
                <w:sz w:val="20"/>
                <w:szCs w:val="20"/>
              </w:rPr>
            </w:pPr>
          </w:p>
          <w:p w14:paraId="3FC4203F" w14:textId="77777777" w:rsidR="00616EBC" w:rsidRPr="00616EBC" w:rsidRDefault="00616EBC" w:rsidP="00616EBC">
            <w:pPr>
              <w:rPr>
                <w:rFonts w:ascii="Arial Narrow" w:hAnsi="Arial Narrow"/>
                <w:i/>
                <w:sz w:val="20"/>
                <w:szCs w:val="20"/>
              </w:rPr>
            </w:pPr>
            <w:r w:rsidRPr="00616EBC">
              <w:rPr>
                <w:rFonts w:ascii="Arial Narrow" w:hAnsi="Arial Narrow"/>
                <w:i/>
                <w:sz w:val="20"/>
                <w:szCs w:val="20"/>
              </w:rPr>
              <w:t>Or mailed to:</w:t>
            </w:r>
          </w:p>
          <w:p w14:paraId="6215FA75" w14:textId="77777777" w:rsidR="00616EBC" w:rsidRPr="00616EBC" w:rsidRDefault="00616EBC" w:rsidP="00616EBC">
            <w:pPr>
              <w:rPr>
                <w:rFonts w:ascii="Arial Narrow" w:hAnsi="Arial Narrow"/>
                <w:i/>
                <w:sz w:val="20"/>
                <w:szCs w:val="20"/>
              </w:rPr>
            </w:pPr>
            <w:r w:rsidRPr="00616EBC">
              <w:rPr>
                <w:rFonts w:ascii="Arial Narrow" w:hAnsi="Arial Narrow"/>
                <w:i/>
                <w:sz w:val="20"/>
                <w:szCs w:val="20"/>
              </w:rPr>
              <w:t>Services Australia</w:t>
            </w:r>
          </w:p>
          <w:p w14:paraId="00365817" w14:textId="77777777" w:rsidR="00616EBC" w:rsidRPr="00616EBC" w:rsidRDefault="00616EBC" w:rsidP="00616EBC">
            <w:pPr>
              <w:rPr>
                <w:rFonts w:ascii="Arial Narrow" w:hAnsi="Arial Narrow"/>
                <w:i/>
                <w:sz w:val="20"/>
                <w:szCs w:val="20"/>
              </w:rPr>
            </w:pPr>
            <w:r w:rsidRPr="00616EBC">
              <w:rPr>
                <w:rFonts w:ascii="Arial Narrow" w:hAnsi="Arial Narrow"/>
                <w:i/>
                <w:sz w:val="20"/>
                <w:szCs w:val="20"/>
              </w:rPr>
              <w:t xml:space="preserve">Complex Drugs </w:t>
            </w:r>
          </w:p>
          <w:p w14:paraId="3FDE07F4" w14:textId="77777777" w:rsidR="00616EBC" w:rsidRPr="00616EBC" w:rsidRDefault="00616EBC" w:rsidP="00616EBC">
            <w:pPr>
              <w:rPr>
                <w:rFonts w:ascii="Arial Narrow" w:hAnsi="Arial Narrow"/>
                <w:i/>
                <w:sz w:val="20"/>
                <w:szCs w:val="20"/>
              </w:rPr>
            </w:pPr>
            <w:r w:rsidRPr="00616EBC">
              <w:rPr>
                <w:rFonts w:ascii="Arial Narrow" w:hAnsi="Arial Narrow"/>
                <w:i/>
                <w:sz w:val="20"/>
                <w:szCs w:val="20"/>
              </w:rPr>
              <w:t xml:space="preserve">Reply Paid 9826 </w:t>
            </w:r>
          </w:p>
          <w:p w14:paraId="43E3EBD1" w14:textId="77777777" w:rsidR="00616EBC" w:rsidRPr="00616EBC" w:rsidRDefault="00616EBC" w:rsidP="00616EBC">
            <w:pPr>
              <w:rPr>
                <w:rFonts w:ascii="Arial Narrow" w:hAnsi="Arial Narrow"/>
                <w:i/>
                <w:sz w:val="20"/>
                <w:szCs w:val="20"/>
              </w:rPr>
            </w:pPr>
            <w:r w:rsidRPr="00616EBC">
              <w:rPr>
                <w:rFonts w:ascii="Arial Narrow" w:hAnsi="Arial Narrow"/>
                <w:i/>
                <w:sz w:val="20"/>
                <w:szCs w:val="20"/>
              </w:rPr>
              <w:t>HOBART TAS 7001</w:t>
            </w:r>
          </w:p>
        </w:tc>
      </w:tr>
      <w:tr w:rsidR="00616EBC" w:rsidRPr="00616EBC" w14:paraId="31633BAA"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5251FDA" w14:textId="77777777" w:rsidR="00616EBC" w:rsidRPr="00616EBC" w:rsidRDefault="00616EBC" w:rsidP="00616EBC">
            <w:pPr>
              <w:rPr>
                <w:rFonts w:ascii="Arial Narrow" w:hAnsi="Arial Narrow"/>
                <w:b/>
                <w:bCs/>
                <w:i/>
                <w:iCs/>
                <w:sz w:val="20"/>
                <w:szCs w:val="20"/>
              </w:rPr>
            </w:pPr>
            <w:r w:rsidRPr="00616EBC">
              <w:rPr>
                <w:rFonts w:ascii="Arial Narrow" w:hAnsi="Arial Narrow"/>
                <w:b/>
                <w:bCs/>
                <w:i/>
                <w:iCs/>
                <w:sz w:val="20"/>
                <w:szCs w:val="20"/>
              </w:rPr>
              <w:t>Administrative Advice:</w:t>
            </w:r>
          </w:p>
          <w:p w14:paraId="5C43D585" w14:textId="77777777" w:rsidR="00616EBC" w:rsidRPr="00616EBC" w:rsidRDefault="00616EBC" w:rsidP="00616EBC">
            <w:pPr>
              <w:rPr>
                <w:rFonts w:ascii="Arial Narrow" w:hAnsi="Arial Narrow"/>
                <w:bCs/>
                <w:i/>
                <w:iCs/>
                <w:sz w:val="20"/>
                <w:szCs w:val="20"/>
              </w:rPr>
            </w:pPr>
            <w:r w:rsidRPr="00616EBC">
              <w:rPr>
                <w:rFonts w:ascii="Arial Narrow" w:hAnsi="Arial Narrow"/>
                <w:bCs/>
                <w:i/>
                <w:iCs/>
                <w:sz w:val="20"/>
                <w:szCs w:val="20"/>
              </w:rPr>
              <w:t>No increase in the maximum number of repeats may be authorised.</w:t>
            </w:r>
          </w:p>
        </w:tc>
      </w:tr>
      <w:tr w:rsidR="00616EBC" w:rsidRPr="00616EBC" w14:paraId="3607CC7F"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4DA9046" w14:textId="77777777" w:rsidR="00616EBC" w:rsidRPr="00616EBC" w:rsidRDefault="00616EBC" w:rsidP="00616EBC">
            <w:pPr>
              <w:rPr>
                <w:rFonts w:ascii="Arial Narrow" w:hAnsi="Arial Narrow"/>
                <w:b/>
                <w:bCs/>
                <w:i/>
                <w:iCs/>
                <w:sz w:val="20"/>
                <w:szCs w:val="20"/>
              </w:rPr>
            </w:pPr>
            <w:r w:rsidRPr="00616EBC">
              <w:rPr>
                <w:rFonts w:ascii="Arial Narrow" w:hAnsi="Arial Narrow"/>
                <w:b/>
                <w:bCs/>
                <w:i/>
                <w:iCs/>
                <w:sz w:val="20"/>
                <w:szCs w:val="20"/>
              </w:rPr>
              <w:t>Administrative Advice:</w:t>
            </w:r>
          </w:p>
          <w:p w14:paraId="3FDDAB77" w14:textId="77777777" w:rsidR="00616EBC" w:rsidRPr="00616EBC" w:rsidRDefault="00616EBC" w:rsidP="00616EBC">
            <w:pPr>
              <w:rPr>
                <w:rFonts w:ascii="Arial Narrow" w:hAnsi="Arial Narrow"/>
                <w:bCs/>
                <w:i/>
                <w:iCs/>
                <w:sz w:val="20"/>
                <w:szCs w:val="20"/>
              </w:rPr>
            </w:pPr>
            <w:r w:rsidRPr="00616EBC">
              <w:rPr>
                <w:rFonts w:ascii="Arial Narrow" w:hAnsi="Arial Narrow"/>
                <w:bCs/>
                <w:i/>
                <w:iCs/>
                <w:sz w:val="20"/>
                <w:szCs w:val="20"/>
              </w:rPr>
              <w:t>No increase in the maximum quantity or number of units may be authorised.</w:t>
            </w:r>
          </w:p>
        </w:tc>
      </w:tr>
    </w:tbl>
    <w:p w14:paraId="643CFCED" w14:textId="77777777" w:rsidR="00616EBC" w:rsidRPr="00616EBC" w:rsidRDefault="00616EBC" w:rsidP="00616EBC">
      <w:pPr>
        <w:pStyle w:val="Bodytextitalics"/>
        <w:spacing w:after="0"/>
        <w:rPr>
          <w:i w:val="0"/>
          <w:snapToGrid w:val="0"/>
          <w:sz w:val="20"/>
          <w:szCs w:val="20"/>
        </w:rPr>
      </w:pPr>
    </w:p>
    <w:p w14:paraId="12BFF34E" w14:textId="4303F88E" w:rsidR="00616EBC" w:rsidRPr="00616EBC" w:rsidRDefault="00616EBC" w:rsidP="00616EBC">
      <w:pPr>
        <w:keepNext/>
        <w:keepLines/>
        <w:spacing w:after="120"/>
        <w:rPr>
          <w:b/>
          <w:bCs/>
        </w:rPr>
      </w:pPr>
      <w:r w:rsidRPr="00616EBC">
        <w:rPr>
          <w:b/>
          <w:bCs/>
        </w:rPr>
        <w:t>Continuing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688"/>
        <w:gridCol w:w="1690"/>
        <w:gridCol w:w="1688"/>
        <w:gridCol w:w="1690"/>
      </w:tblGrid>
      <w:tr w:rsidR="00616EBC" w:rsidRPr="00616EBC" w14:paraId="2B86DDA2" w14:textId="77777777" w:rsidTr="00E760FE">
        <w:tc>
          <w:tcPr>
            <w:tcW w:w="1254" w:type="pct"/>
          </w:tcPr>
          <w:p w14:paraId="68E5BDB1" w14:textId="77777777" w:rsidR="00616EBC" w:rsidRPr="00616EBC" w:rsidRDefault="00616EBC" w:rsidP="00616EBC">
            <w:pPr>
              <w:keepNext/>
              <w:keepLines/>
              <w:rPr>
                <w:rFonts w:ascii="Arial Narrow" w:hAnsi="Arial Narrow"/>
                <w:b/>
                <w:bCs/>
                <w:sz w:val="20"/>
              </w:rPr>
            </w:pPr>
            <w:r w:rsidRPr="00616EBC">
              <w:rPr>
                <w:rFonts w:ascii="Arial Narrow" w:hAnsi="Arial Narrow"/>
                <w:b/>
                <w:bCs/>
                <w:sz w:val="20"/>
              </w:rPr>
              <w:t>MEDICINAL PRODUCT</w:t>
            </w:r>
          </w:p>
          <w:p w14:paraId="50AB1EA5" w14:textId="77777777" w:rsidR="00616EBC" w:rsidRPr="00616EBC" w:rsidRDefault="00616EBC" w:rsidP="00616EBC">
            <w:pPr>
              <w:pStyle w:val="PbacTableHeading"/>
              <w:keepNext/>
              <w:keepLines/>
              <w:spacing w:after="0"/>
            </w:pPr>
            <w:r w:rsidRPr="00616EBC">
              <w:rPr>
                <w:bCs/>
              </w:rPr>
              <w:t>medicinal product pack</w:t>
            </w:r>
          </w:p>
        </w:tc>
        <w:tc>
          <w:tcPr>
            <w:tcW w:w="936" w:type="pct"/>
          </w:tcPr>
          <w:p w14:paraId="4FC376A2" w14:textId="77777777" w:rsidR="00616EBC" w:rsidRPr="00616EBC" w:rsidRDefault="00616EBC" w:rsidP="00616EBC">
            <w:pPr>
              <w:pStyle w:val="PbacTableHeading"/>
              <w:keepNext/>
              <w:keepLines/>
              <w:spacing w:after="0"/>
              <w:jc w:val="center"/>
            </w:pPr>
            <w:r w:rsidRPr="00616EBC">
              <w:t>PBS item code</w:t>
            </w:r>
          </w:p>
        </w:tc>
        <w:tc>
          <w:tcPr>
            <w:tcW w:w="937" w:type="pct"/>
          </w:tcPr>
          <w:p w14:paraId="18AB04C3" w14:textId="77777777" w:rsidR="00616EBC" w:rsidRPr="00616EBC" w:rsidRDefault="00616EBC" w:rsidP="00616EBC">
            <w:pPr>
              <w:pStyle w:val="PbacTableHeading"/>
              <w:keepNext/>
              <w:keepLines/>
              <w:spacing w:after="0"/>
              <w:jc w:val="center"/>
            </w:pPr>
            <w:r w:rsidRPr="00616EBC">
              <w:t>Max. qty (packs)</w:t>
            </w:r>
          </w:p>
        </w:tc>
        <w:tc>
          <w:tcPr>
            <w:tcW w:w="936" w:type="pct"/>
          </w:tcPr>
          <w:p w14:paraId="73E2737F" w14:textId="77777777" w:rsidR="00616EBC" w:rsidRPr="00616EBC" w:rsidRDefault="00616EBC" w:rsidP="00616EBC">
            <w:pPr>
              <w:pStyle w:val="PbacTableHeading"/>
              <w:keepNext/>
              <w:keepLines/>
              <w:spacing w:after="0"/>
              <w:jc w:val="center"/>
            </w:pPr>
            <w:r w:rsidRPr="00616EBC">
              <w:t>Max. qty (units)</w:t>
            </w:r>
          </w:p>
        </w:tc>
        <w:tc>
          <w:tcPr>
            <w:tcW w:w="937" w:type="pct"/>
          </w:tcPr>
          <w:p w14:paraId="5175B3FD" w14:textId="77777777" w:rsidR="00616EBC" w:rsidRPr="00616EBC" w:rsidRDefault="00616EBC" w:rsidP="00616EBC">
            <w:pPr>
              <w:pStyle w:val="PbacTableHeading"/>
              <w:keepNext/>
              <w:keepLines/>
              <w:spacing w:after="0"/>
              <w:jc w:val="center"/>
            </w:pPr>
            <w:r w:rsidRPr="00616EBC">
              <w:t>№. of repeats</w:t>
            </w:r>
          </w:p>
        </w:tc>
      </w:tr>
      <w:tr w:rsidR="00616EBC" w:rsidRPr="00616EBC" w14:paraId="097ABF36" w14:textId="77777777" w:rsidTr="00E760FE">
        <w:tc>
          <w:tcPr>
            <w:tcW w:w="1254" w:type="pct"/>
          </w:tcPr>
          <w:p w14:paraId="6FF158D4" w14:textId="77777777" w:rsidR="00616EBC" w:rsidRPr="00616EBC" w:rsidRDefault="00616EBC" w:rsidP="00616EBC">
            <w:pPr>
              <w:pStyle w:val="PBACTableText"/>
              <w:keepNext/>
              <w:keepLines/>
              <w:spacing w:before="0" w:after="0"/>
            </w:pPr>
            <w:r w:rsidRPr="00616EBC">
              <w:t>ANIFROLUMAB</w:t>
            </w:r>
          </w:p>
          <w:p w14:paraId="18E9BA13" w14:textId="77777777" w:rsidR="00616EBC" w:rsidRPr="00616EBC" w:rsidRDefault="00616EBC" w:rsidP="00616EBC">
            <w:pPr>
              <w:pStyle w:val="PBACTableText"/>
              <w:keepNext/>
              <w:keepLines/>
              <w:spacing w:before="0" w:after="0"/>
            </w:pPr>
            <w:r w:rsidRPr="00616EBC">
              <w:t xml:space="preserve">Injection </w:t>
            </w:r>
          </w:p>
          <w:p w14:paraId="59942485" w14:textId="77777777" w:rsidR="00616EBC" w:rsidRPr="00616EBC" w:rsidRDefault="00616EBC" w:rsidP="00616EBC">
            <w:pPr>
              <w:pStyle w:val="PBACTableText"/>
              <w:keepNext/>
              <w:keepLines/>
              <w:spacing w:before="0" w:after="0"/>
            </w:pPr>
          </w:p>
        </w:tc>
        <w:tc>
          <w:tcPr>
            <w:tcW w:w="936" w:type="pct"/>
          </w:tcPr>
          <w:p w14:paraId="2349F64F" w14:textId="77777777" w:rsidR="00616EBC" w:rsidRPr="00616EBC" w:rsidRDefault="00616EBC" w:rsidP="00616EBC">
            <w:pPr>
              <w:pStyle w:val="PBACTableText"/>
              <w:keepNext/>
              <w:keepLines/>
              <w:spacing w:before="0" w:after="0"/>
              <w:jc w:val="center"/>
            </w:pPr>
            <w:r w:rsidRPr="00616EBC">
              <w:t>NEW</w:t>
            </w:r>
          </w:p>
        </w:tc>
        <w:tc>
          <w:tcPr>
            <w:tcW w:w="937" w:type="pct"/>
          </w:tcPr>
          <w:p w14:paraId="677AEF11" w14:textId="77777777" w:rsidR="00616EBC" w:rsidRPr="00616EBC" w:rsidRDefault="00616EBC" w:rsidP="00616EBC">
            <w:pPr>
              <w:pStyle w:val="PBACTableText"/>
              <w:keepNext/>
              <w:keepLines/>
              <w:spacing w:before="0" w:after="0"/>
              <w:jc w:val="center"/>
            </w:pPr>
            <w:r w:rsidRPr="00616EBC">
              <w:t>1</w:t>
            </w:r>
          </w:p>
        </w:tc>
        <w:tc>
          <w:tcPr>
            <w:tcW w:w="936" w:type="pct"/>
          </w:tcPr>
          <w:p w14:paraId="72324C1E" w14:textId="77777777" w:rsidR="00616EBC" w:rsidRPr="00616EBC" w:rsidRDefault="00616EBC" w:rsidP="00616EBC">
            <w:pPr>
              <w:pStyle w:val="PBACTableText"/>
              <w:keepNext/>
              <w:keepLines/>
              <w:spacing w:before="0" w:after="0"/>
              <w:jc w:val="center"/>
            </w:pPr>
            <w:r w:rsidRPr="00616EBC">
              <w:t>1</w:t>
            </w:r>
          </w:p>
        </w:tc>
        <w:tc>
          <w:tcPr>
            <w:tcW w:w="937" w:type="pct"/>
          </w:tcPr>
          <w:p w14:paraId="0E9F1F26" w14:textId="77777777" w:rsidR="00616EBC" w:rsidRPr="00616EBC" w:rsidRDefault="00616EBC" w:rsidP="00616EBC">
            <w:pPr>
              <w:pStyle w:val="PBACTableText"/>
              <w:keepNext/>
              <w:keepLines/>
              <w:spacing w:before="0" w:after="0"/>
              <w:jc w:val="center"/>
              <w:rPr>
                <w:i/>
                <w:iCs/>
              </w:rPr>
            </w:pPr>
            <w:r w:rsidRPr="00616EBC">
              <w:rPr>
                <w:strike/>
              </w:rPr>
              <w:t>5</w:t>
            </w:r>
            <w:r w:rsidRPr="00616EBC">
              <w:rPr>
                <w:i/>
                <w:iCs/>
              </w:rPr>
              <w:t>6</w:t>
            </w:r>
          </w:p>
        </w:tc>
      </w:tr>
      <w:tr w:rsidR="00616EBC" w:rsidRPr="00616EBC" w14:paraId="1B4267F3" w14:textId="77777777" w:rsidTr="00E760FE">
        <w:tc>
          <w:tcPr>
            <w:tcW w:w="5000" w:type="pct"/>
            <w:gridSpan w:val="5"/>
          </w:tcPr>
          <w:p w14:paraId="45063C41" w14:textId="77777777" w:rsidR="00616EBC" w:rsidRPr="00616EBC" w:rsidRDefault="00616EBC" w:rsidP="00616EBC">
            <w:pPr>
              <w:pStyle w:val="PBACTableText"/>
              <w:keepNext/>
              <w:keepLines/>
              <w:spacing w:before="0" w:after="0"/>
              <w:rPr>
                <w:b/>
                <w:bCs/>
              </w:rPr>
            </w:pPr>
            <w:r w:rsidRPr="00616EBC">
              <w:rPr>
                <w:b/>
                <w:bCs/>
              </w:rPr>
              <w:t>Available brands</w:t>
            </w:r>
          </w:p>
        </w:tc>
      </w:tr>
      <w:tr w:rsidR="00616EBC" w:rsidRPr="00616EBC" w14:paraId="6AAA9908" w14:textId="77777777" w:rsidTr="00E760FE">
        <w:tc>
          <w:tcPr>
            <w:tcW w:w="5000" w:type="pct"/>
            <w:gridSpan w:val="5"/>
          </w:tcPr>
          <w:p w14:paraId="5D9AA30D" w14:textId="77777777" w:rsidR="00616EBC" w:rsidRPr="00616EBC" w:rsidRDefault="00616EBC" w:rsidP="00616EBC">
            <w:pPr>
              <w:pStyle w:val="PBACTableText"/>
              <w:keepNext/>
              <w:keepLines/>
              <w:spacing w:before="0" w:after="0"/>
              <w:rPr>
                <w:i/>
                <w:iCs/>
              </w:rPr>
            </w:pPr>
            <w:proofErr w:type="spellStart"/>
            <w:r w:rsidRPr="00616EBC">
              <w:rPr>
                <w:i/>
                <w:iCs/>
              </w:rPr>
              <w:t>Saphnelo</w:t>
            </w:r>
            <w:proofErr w:type="spellEnd"/>
          </w:p>
          <w:p w14:paraId="106E1865" w14:textId="77777777" w:rsidR="00616EBC" w:rsidRPr="00616EBC" w:rsidRDefault="00616EBC" w:rsidP="00616EBC">
            <w:pPr>
              <w:pStyle w:val="PBACTableText"/>
              <w:keepNext/>
              <w:keepLines/>
              <w:spacing w:before="0" w:after="0"/>
            </w:pPr>
            <w:proofErr w:type="spellStart"/>
            <w:r w:rsidRPr="00616EBC">
              <w:rPr>
                <w:i/>
                <w:iCs/>
              </w:rPr>
              <w:t>anifrolumab</w:t>
            </w:r>
            <w:proofErr w:type="spellEnd"/>
            <w:r w:rsidRPr="00616EBC">
              <w:rPr>
                <w:i/>
                <w:iCs/>
              </w:rPr>
              <w:t xml:space="preserve"> 300 mg/2 mL injection, 2 mL vial</w:t>
            </w:r>
          </w:p>
        </w:tc>
      </w:tr>
    </w:tbl>
    <w:p w14:paraId="2DBDA68B" w14:textId="77777777" w:rsidR="00616EBC" w:rsidRPr="00616EBC" w:rsidRDefault="00616EBC" w:rsidP="00616EBC">
      <w:pPr>
        <w:pStyle w:val="Bodytextitalics"/>
        <w:spacing w:after="0"/>
        <w:rPr>
          <w:rFonts w:ascii="Arial Narrow" w:hAnsi="Arial Narrow"/>
          <w:b/>
          <w:i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616EBC" w:rsidRPr="00616EBC" w14:paraId="78BFA94E" w14:textId="77777777" w:rsidTr="00616EBC">
        <w:tc>
          <w:tcPr>
            <w:tcW w:w="5000" w:type="pct"/>
            <w:tcBorders>
              <w:top w:val="single" w:sz="4" w:space="0" w:color="auto"/>
              <w:left w:val="single" w:sz="4" w:space="0" w:color="auto"/>
              <w:bottom w:val="single" w:sz="4" w:space="0" w:color="auto"/>
              <w:right w:val="single" w:sz="4" w:space="0" w:color="auto"/>
            </w:tcBorders>
          </w:tcPr>
          <w:p w14:paraId="3A3E07D7" w14:textId="77777777" w:rsidR="00616EBC" w:rsidRPr="00616EBC" w:rsidRDefault="00616EBC" w:rsidP="00616EBC">
            <w:pPr>
              <w:rPr>
                <w:rFonts w:ascii="Arial Narrow" w:hAnsi="Arial Narrow"/>
                <w:sz w:val="20"/>
              </w:rPr>
            </w:pPr>
            <w:r w:rsidRPr="00616EBC">
              <w:rPr>
                <w:rFonts w:ascii="Arial Narrow" w:hAnsi="Arial Narrow"/>
                <w:b/>
                <w:sz w:val="20"/>
              </w:rPr>
              <w:t xml:space="preserve">Category / Program:  </w:t>
            </w:r>
            <w:r w:rsidRPr="00616EBC">
              <w:rPr>
                <w:rFonts w:ascii="Arial Narrow" w:hAnsi="Arial Narrow"/>
                <w:sz w:val="20"/>
              </w:rPr>
              <w:t>Section 100 – Highly Specialised Drugs Program</w:t>
            </w:r>
          </w:p>
        </w:tc>
      </w:tr>
      <w:tr w:rsidR="00616EBC" w:rsidRPr="00616EBC" w14:paraId="3830EDBB" w14:textId="77777777" w:rsidTr="00616EBC">
        <w:trPr>
          <w:trHeight w:val="240"/>
        </w:trPr>
        <w:tc>
          <w:tcPr>
            <w:tcW w:w="5000" w:type="pct"/>
            <w:tcBorders>
              <w:top w:val="single" w:sz="4" w:space="0" w:color="auto"/>
              <w:left w:val="single" w:sz="4" w:space="0" w:color="auto"/>
              <w:bottom w:val="single" w:sz="4" w:space="0" w:color="auto"/>
              <w:right w:val="single" w:sz="4" w:space="0" w:color="auto"/>
            </w:tcBorders>
          </w:tcPr>
          <w:p w14:paraId="0115B0EC" w14:textId="77777777" w:rsidR="00616EBC" w:rsidRPr="00616EBC" w:rsidRDefault="00616EBC" w:rsidP="00616EBC">
            <w:pPr>
              <w:rPr>
                <w:rFonts w:ascii="Arial Narrow" w:hAnsi="Arial Narrow"/>
                <w:b/>
                <w:i/>
                <w:iCs/>
                <w:sz w:val="20"/>
              </w:rPr>
            </w:pPr>
            <w:r w:rsidRPr="00616EBC">
              <w:rPr>
                <w:rFonts w:ascii="Arial Narrow" w:hAnsi="Arial Narrow"/>
                <w:b/>
                <w:i/>
                <w:iCs/>
                <w:sz w:val="20"/>
              </w:rPr>
              <w:t xml:space="preserve">Prescriber type:  </w:t>
            </w:r>
            <w:r w:rsidRPr="00616EBC">
              <w:rPr>
                <w:rFonts w:ascii="Arial Narrow" w:hAnsi="Arial Narrow"/>
                <w:i/>
                <w:iCs/>
                <w:sz w:val="20"/>
              </w:rPr>
              <w:fldChar w:fldCharType="begin">
                <w:ffData>
                  <w:name w:val=""/>
                  <w:enabled/>
                  <w:calcOnExit w:val="0"/>
                  <w:checkBox>
                    <w:sizeAuto/>
                    <w:default w:val="1"/>
                  </w:checkBox>
                </w:ffData>
              </w:fldChar>
            </w:r>
            <w:r w:rsidRPr="00616EBC">
              <w:rPr>
                <w:rFonts w:ascii="Arial Narrow" w:hAnsi="Arial Narrow"/>
                <w:i/>
                <w:iCs/>
                <w:sz w:val="20"/>
              </w:rPr>
              <w:instrText xml:space="preserve"> FORMCHECKBOX </w:instrText>
            </w:r>
            <w:r w:rsidR="005A67B5">
              <w:rPr>
                <w:rFonts w:ascii="Arial Narrow" w:hAnsi="Arial Narrow"/>
                <w:i/>
                <w:iCs/>
                <w:sz w:val="20"/>
              </w:rPr>
            </w:r>
            <w:r w:rsidR="005A67B5">
              <w:rPr>
                <w:rFonts w:ascii="Arial Narrow" w:hAnsi="Arial Narrow"/>
                <w:i/>
                <w:iCs/>
                <w:sz w:val="20"/>
              </w:rPr>
              <w:fldChar w:fldCharType="separate"/>
            </w:r>
            <w:r w:rsidRPr="00616EBC">
              <w:rPr>
                <w:rFonts w:ascii="Arial Narrow" w:hAnsi="Arial Narrow"/>
                <w:i/>
                <w:iCs/>
                <w:sz w:val="20"/>
              </w:rPr>
              <w:fldChar w:fldCharType="end"/>
            </w:r>
            <w:r w:rsidRPr="00616EBC">
              <w:rPr>
                <w:rFonts w:ascii="Arial Narrow" w:hAnsi="Arial Narrow"/>
                <w:i/>
                <w:iCs/>
                <w:sz w:val="20"/>
              </w:rPr>
              <w:t>Medical Practitioners</w:t>
            </w:r>
          </w:p>
        </w:tc>
      </w:tr>
      <w:tr w:rsidR="00616EBC" w:rsidRPr="00616EBC" w14:paraId="5F874D83" w14:textId="77777777" w:rsidTr="00616EBC">
        <w:trPr>
          <w:trHeight w:val="446"/>
        </w:trPr>
        <w:tc>
          <w:tcPr>
            <w:tcW w:w="5000" w:type="pct"/>
            <w:tcBorders>
              <w:top w:val="single" w:sz="4" w:space="0" w:color="auto"/>
              <w:left w:val="single" w:sz="4" w:space="0" w:color="auto"/>
              <w:bottom w:val="single" w:sz="4" w:space="0" w:color="auto"/>
              <w:right w:val="single" w:sz="4" w:space="0" w:color="auto"/>
            </w:tcBorders>
          </w:tcPr>
          <w:p w14:paraId="67CCC926" w14:textId="77777777" w:rsidR="00616EBC" w:rsidRPr="00616EBC" w:rsidRDefault="00616EBC" w:rsidP="00616EBC">
            <w:pPr>
              <w:rPr>
                <w:rFonts w:ascii="Arial Narrow" w:hAnsi="Arial Narrow"/>
                <w:b/>
                <w:sz w:val="20"/>
              </w:rPr>
            </w:pPr>
            <w:r w:rsidRPr="00616EBC">
              <w:rPr>
                <w:rFonts w:ascii="Arial Narrow" w:hAnsi="Arial Narrow"/>
                <w:b/>
                <w:sz w:val="20"/>
              </w:rPr>
              <w:t>Restriction Level / Method:</w:t>
            </w:r>
          </w:p>
          <w:p w14:paraId="364D931E" w14:textId="77777777" w:rsidR="00616EBC" w:rsidRPr="00616EBC" w:rsidRDefault="00616EBC" w:rsidP="00616EBC">
            <w:pPr>
              <w:rPr>
                <w:rFonts w:ascii="Arial Narrow" w:hAnsi="Arial Narrow"/>
                <w:bCs/>
                <w:strike/>
                <w:sz w:val="20"/>
              </w:rPr>
            </w:pPr>
            <w:r w:rsidRPr="00616EBC">
              <w:rPr>
                <w:rFonts w:ascii="Arial Narrow" w:hAnsi="Arial Narrow"/>
                <w:bCs/>
                <w:strike/>
                <w:sz w:val="20"/>
              </w:rPr>
              <w:t>Section 100 highly specialised drug program (S100 HSD public)</w:t>
            </w:r>
          </w:p>
          <w:p w14:paraId="5911B758" w14:textId="77777777" w:rsidR="00616EBC" w:rsidRPr="00616EBC" w:rsidRDefault="00616EBC" w:rsidP="00616EBC">
            <w:pPr>
              <w:rPr>
                <w:rFonts w:ascii="Arial Narrow" w:hAnsi="Arial Narrow"/>
                <w:bCs/>
                <w:strike/>
                <w:sz w:val="20"/>
              </w:rPr>
            </w:pPr>
            <w:r w:rsidRPr="00616EBC">
              <w:rPr>
                <w:rFonts w:ascii="Arial Narrow" w:hAnsi="Arial Narrow"/>
                <w:bCs/>
                <w:strike/>
                <w:sz w:val="20"/>
              </w:rPr>
              <w:t>Section 100 highly specialised drug program (S100 HSD private)</w:t>
            </w:r>
          </w:p>
          <w:p w14:paraId="17B395D2" w14:textId="77777777" w:rsidR="00616EBC" w:rsidRPr="00616EBC" w:rsidRDefault="00616EBC" w:rsidP="00616EBC">
            <w:pPr>
              <w:rPr>
                <w:rFonts w:ascii="Arial Narrow" w:hAnsi="Arial Narrow"/>
                <w:i/>
                <w:iCs/>
                <w:sz w:val="20"/>
              </w:rPr>
            </w:pPr>
            <w:r w:rsidRPr="00616EBC">
              <w:rPr>
                <w:rFonts w:ascii="Arial Narrow" w:hAnsi="Arial Narrow"/>
                <w:sz w:val="20"/>
              </w:rPr>
              <w:fldChar w:fldCharType="begin">
                <w:ffData>
                  <w:name w:val="Check3"/>
                  <w:enabled/>
                  <w:calcOnExit w:val="0"/>
                  <w:checkBox>
                    <w:sizeAuto/>
                    <w:default w:val="1"/>
                  </w:checkBox>
                </w:ffData>
              </w:fldChar>
            </w:r>
            <w:r w:rsidRPr="00616EBC">
              <w:rPr>
                <w:rFonts w:ascii="Arial Narrow" w:hAnsi="Arial Narrow"/>
                <w:sz w:val="20"/>
              </w:rPr>
              <w:instrText xml:space="preserve"> FORMCHECKBOX </w:instrText>
            </w:r>
            <w:r w:rsidR="005A67B5">
              <w:rPr>
                <w:rFonts w:ascii="Arial Narrow" w:hAnsi="Arial Narrow"/>
                <w:sz w:val="20"/>
              </w:rPr>
            </w:r>
            <w:r w:rsidR="005A67B5">
              <w:rPr>
                <w:rFonts w:ascii="Arial Narrow" w:hAnsi="Arial Narrow"/>
                <w:sz w:val="20"/>
              </w:rPr>
              <w:fldChar w:fldCharType="separate"/>
            </w:r>
            <w:r w:rsidRPr="00616EBC">
              <w:rPr>
                <w:rFonts w:ascii="Arial Narrow" w:hAnsi="Arial Narrow"/>
                <w:sz w:val="20"/>
              </w:rPr>
              <w:fldChar w:fldCharType="end"/>
            </w:r>
            <w:r w:rsidRPr="00616EBC">
              <w:rPr>
                <w:rFonts w:ascii="Arial Narrow" w:hAnsi="Arial Narrow"/>
                <w:sz w:val="20"/>
              </w:rPr>
              <w:t xml:space="preserve">Authority Required – </w:t>
            </w:r>
            <w:r w:rsidRPr="00616EBC">
              <w:rPr>
                <w:rFonts w:ascii="Arial Narrow" w:hAnsi="Arial Narrow"/>
                <w:i/>
                <w:iCs/>
                <w:sz w:val="20"/>
              </w:rPr>
              <w:t>Telephone/Online PBS Authorities immediate assessment</w:t>
            </w:r>
          </w:p>
        </w:tc>
      </w:tr>
      <w:tr w:rsidR="00616EBC" w:rsidRPr="00616EBC" w14:paraId="7E51FD74"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23B8A9AC" w14:textId="77777777" w:rsidR="00616EBC" w:rsidRPr="00616EBC" w:rsidRDefault="00616EBC" w:rsidP="00616EBC">
            <w:pPr>
              <w:rPr>
                <w:rFonts w:ascii="Arial Narrow" w:hAnsi="Arial Narrow"/>
                <w:iCs/>
                <w:sz w:val="20"/>
              </w:rPr>
            </w:pPr>
            <w:proofErr w:type="spellStart"/>
            <w:r w:rsidRPr="00616EBC">
              <w:rPr>
                <w:rFonts w:ascii="Arial Narrow" w:hAnsi="Arial Narrow"/>
                <w:b/>
                <w:bCs/>
                <w:iCs/>
                <w:sz w:val="20"/>
              </w:rPr>
              <w:t>Episodicity</w:t>
            </w:r>
            <w:proofErr w:type="spellEnd"/>
            <w:r w:rsidRPr="00616EBC">
              <w:rPr>
                <w:rFonts w:ascii="Arial Narrow" w:hAnsi="Arial Narrow"/>
                <w:b/>
                <w:bCs/>
                <w:iCs/>
                <w:sz w:val="20"/>
              </w:rPr>
              <w:t xml:space="preserve">: </w:t>
            </w:r>
            <w:r w:rsidRPr="00616EBC">
              <w:rPr>
                <w:rFonts w:ascii="Arial Narrow" w:hAnsi="Arial Narrow"/>
                <w:iCs/>
                <w:sz w:val="20"/>
              </w:rPr>
              <w:t>Active</w:t>
            </w:r>
          </w:p>
        </w:tc>
      </w:tr>
      <w:tr w:rsidR="00616EBC" w:rsidRPr="00616EBC" w14:paraId="4F0F28CD"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6F349398" w14:textId="77777777" w:rsidR="00616EBC" w:rsidRPr="00616EBC" w:rsidRDefault="00616EBC" w:rsidP="00616EBC">
            <w:pPr>
              <w:rPr>
                <w:rFonts w:ascii="Arial Narrow" w:hAnsi="Arial Narrow"/>
                <w:b/>
                <w:bCs/>
                <w:iCs/>
                <w:sz w:val="20"/>
              </w:rPr>
            </w:pPr>
            <w:r w:rsidRPr="00616EBC">
              <w:rPr>
                <w:rFonts w:ascii="Arial Narrow" w:hAnsi="Arial Narrow"/>
                <w:b/>
                <w:bCs/>
                <w:iCs/>
                <w:sz w:val="20"/>
              </w:rPr>
              <w:t xml:space="preserve">Condition: </w:t>
            </w:r>
            <w:r w:rsidRPr="00616EBC">
              <w:rPr>
                <w:rFonts w:ascii="Arial Narrow" w:hAnsi="Arial Narrow"/>
                <w:sz w:val="20"/>
              </w:rPr>
              <w:t>Systemic lupus erythematosus</w:t>
            </w:r>
          </w:p>
        </w:tc>
      </w:tr>
      <w:tr w:rsidR="00616EBC" w:rsidRPr="00616EBC" w14:paraId="19660481"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0DF8B5E0" w14:textId="77777777" w:rsidR="00616EBC" w:rsidRPr="00616EBC" w:rsidRDefault="00616EBC" w:rsidP="00616EBC">
            <w:pPr>
              <w:rPr>
                <w:rFonts w:ascii="Arial Narrow" w:hAnsi="Arial Narrow"/>
                <w:i/>
                <w:sz w:val="20"/>
              </w:rPr>
            </w:pPr>
            <w:r w:rsidRPr="00616EBC">
              <w:rPr>
                <w:rFonts w:ascii="Arial Narrow" w:hAnsi="Arial Narrow"/>
                <w:b/>
                <w:bCs/>
                <w:iCs/>
                <w:strike/>
                <w:sz w:val="20"/>
              </w:rPr>
              <w:t>PBS</w:t>
            </w:r>
            <w:r w:rsidRPr="00616EBC">
              <w:rPr>
                <w:rFonts w:ascii="Arial Narrow" w:hAnsi="Arial Narrow"/>
                <w:b/>
                <w:bCs/>
                <w:i/>
                <w:sz w:val="20"/>
              </w:rPr>
              <w:t xml:space="preserve"> </w:t>
            </w:r>
            <w:r w:rsidRPr="00616EBC">
              <w:rPr>
                <w:rFonts w:ascii="Arial Narrow" w:hAnsi="Arial Narrow"/>
                <w:b/>
                <w:bCs/>
                <w:iCs/>
                <w:sz w:val="20"/>
              </w:rPr>
              <w:t>Indication</w:t>
            </w:r>
            <w:r w:rsidRPr="00616EBC">
              <w:rPr>
                <w:rFonts w:ascii="Arial Narrow" w:hAnsi="Arial Narrow"/>
                <w:b/>
                <w:bCs/>
                <w:i/>
                <w:sz w:val="20"/>
              </w:rPr>
              <w:t>:</w:t>
            </w:r>
            <w:r w:rsidRPr="00616EBC">
              <w:rPr>
                <w:rFonts w:ascii="Arial Narrow" w:hAnsi="Arial Narrow"/>
                <w:i/>
                <w:sz w:val="20"/>
              </w:rPr>
              <w:t xml:space="preserve"> Active s</w:t>
            </w:r>
            <w:r w:rsidRPr="00616EBC">
              <w:rPr>
                <w:rFonts w:ascii="Arial Narrow" w:hAnsi="Arial Narrow"/>
                <w:sz w:val="20"/>
              </w:rPr>
              <w:t>ystemic lupus erythematosus</w:t>
            </w:r>
          </w:p>
        </w:tc>
      </w:tr>
      <w:tr w:rsidR="00616EBC" w:rsidRPr="00616EBC" w14:paraId="590E0548"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77F3A501" w14:textId="77777777" w:rsidR="00616EBC" w:rsidRPr="00616EBC" w:rsidRDefault="00616EBC" w:rsidP="00616EBC">
            <w:pPr>
              <w:rPr>
                <w:rFonts w:ascii="Arial Narrow" w:hAnsi="Arial Narrow"/>
                <w:sz w:val="20"/>
              </w:rPr>
            </w:pPr>
            <w:r w:rsidRPr="00616EBC">
              <w:rPr>
                <w:rFonts w:ascii="Arial Narrow" w:hAnsi="Arial Narrow"/>
                <w:b/>
                <w:bCs/>
                <w:sz w:val="20"/>
              </w:rPr>
              <w:t>Treatment Phase:</w:t>
            </w:r>
            <w:r w:rsidRPr="00616EBC">
              <w:rPr>
                <w:rFonts w:ascii="Arial Narrow" w:hAnsi="Arial Narrow"/>
                <w:sz w:val="20"/>
              </w:rPr>
              <w:t xml:space="preserve"> Continuing </w:t>
            </w:r>
            <w:r w:rsidRPr="00616EBC">
              <w:rPr>
                <w:rFonts w:ascii="Arial Narrow" w:hAnsi="Arial Narrow"/>
                <w:i/>
                <w:iCs/>
                <w:sz w:val="20"/>
              </w:rPr>
              <w:t>or recommencement of treatment after a break</w:t>
            </w:r>
          </w:p>
        </w:tc>
      </w:tr>
      <w:tr w:rsidR="00616EBC" w:rsidRPr="00616EBC" w14:paraId="17E9F1DA"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78600D44" w14:textId="77777777" w:rsidR="00616EBC" w:rsidRPr="00616EBC" w:rsidRDefault="00616EBC" w:rsidP="00616EBC">
            <w:pPr>
              <w:rPr>
                <w:rFonts w:ascii="Arial Narrow" w:hAnsi="Arial Narrow"/>
                <w:b/>
                <w:bCs/>
                <w:sz w:val="20"/>
              </w:rPr>
            </w:pPr>
            <w:r w:rsidRPr="00616EBC">
              <w:rPr>
                <w:rFonts w:ascii="Arial Narrow" w:hAnsi="Arial Narrow"/>
                <w:b/>
                <w:bCs/>
                <w:sz w:val="20"/>
              </w:rPr>
              <w:t>Treatment criteria:</w:t>
            </w:r>
          </w:p>
        </w:tc>
      </w:tr>
      <w:tr w:rsidR="00616EBC" w:rsidRPr="00616EBC" w14:paraId="47130966"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2D586C3E" w14:textId="77777777" w:rsidR="00616EBC" w:rsidRPr="00616EBC" w:rsidRDefault="00616EBC" w:rsidP="00616EBC">
            <w:pPr>
              <w:rPr>
                <w:rFonts w:ascii="Arial Narrow" w:eastAsiaTheme="majorEastAsia" w:hAnsi="Arial Narrow"/>
                <w:sz w:val="20"/>
                <w:szCs w:val="20"/>
                <w:lang w:bidi="en-US"/>
              </w:rPr>
            </w:pPr>
            <w:r w:rsidRPr="00616EBC">
              <w:rPr>
                <w:rFonts w:ascii="Arial Narrow" w:eastAsiaTheme="majorEastAsia" w:hAnsi="Arial Narrow"/>
                <w:sz w:val="20"/>
                <w:szCs w:val="20"/>
                <w:lang w:bidi="en-US"/>
              </w:rPr>
              <w:t>Must be treated by a rheumatologist; or</w:t>
            </w:r>
          </w:p>
          <w:p w14:paraId="343D4A2F" w14:textId="77777777" w:rsidR="00616EBC" w:rsidRPr="00616EBC" w:rsidRDefault="00616EBC" w:rsidP="00616EBC">
            <w:pPr>
              <w:rPr>
                <w:rFonts w:ascii="Arial Narrow" w:eastAsiaTheme="majorEastAsia" w:hAnsi="Arial Narrow"/>
                <w:sz w:val="20"/>
                <w:szCs w:val="20"/>
                <w:lang w:bidi="en-US"/>
              </w:rPr>
            </w:pPr>
            <w:r w:rsidRPr="00616EBC">
              <w:rPr>
                <w:rFonts w:ascii="Arial Narrow" w:eastAsiaTheme="majorEastAsia" w:hAnsi="Arial Narrow"/>
                <w:sz w:val="20"/>
                <w:szCs w:val="20"/>
                <w:lang w:bidi="en-US"/>
              </w:rPr>
              <w:t>Must be treated by a clinical immunologist</w:t>
            </w:r>
          </w:p>
          <w:p w14:paraId="2E53C7BD" w14:textId="77777777" w:rsidR="00616EBC" w:rsidRPr="00616EBC" w:rsidRDefault="00616EBC" w:rsidP="00616EBC">
            <w:pPr>
              <w:rPr>
                <w:rFonts w:ascii="Arial Narrow" w:hAnsi="Arial Narrow"/>
                <w:i/>
                <w:iCs/>
                <w:sz w:val="20"/>
              </w:rPr>
            </w:pPr>
            <w:r w:rsidRPr="00616EBC">
              <w:rPr>
                <w:rFonts w:ascii="Arial Narrow" w:hAnsi="Arial Narrow"/>
                <w:i/>
                <w:iCs/>
                <w:sz w:val="20"/>
              </w:rPr>
              <w:t>Alternatively</w:t>
            </w:r>
          </w:p>
          <w:p w14:paraId="5F226F41" w14:textId="77777777" w:rsidR="00616EBC" w:rsidRPr="00616EBC" w:rsidRDefault="00616EBC" w:rsidP="00616EBC">
            <w:pPr>
              <w:rPr>
                <w:rFonts w:ascii="Arial Narrow" w:hAnsi="Arial Narrow"/>
                <w:b/>
                <w:bCs/>
                <w:sz w:val="20"/>
              </w:rPr>
            </w:pPr>
            <w:r w:rsidRPr="00616EBC">
              <w:rPr>
                <w:rFonts w:ascii="Arial Narrow" w:hAnsi="Arial Narrow"/>
                <w:i/>
                <w:iCs/>
                <w:sz w:val="20"/>
              </w:rPr>
              <w:t>Must be treated by a specialist physician experienced in the management of this condition</w:t>
            </w:r>
          </w:p>
        </w:tc>
      </w:tr>
      <w:tr w:rsidR="00616EBC" w:rsidRPr="00616EBC" w14:paraId="006FD39D"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32EB1ACC" w14:textId="77777777" w:rsidR="00616EBC" w:rsidRPr="00616EBC" w:rsidRDefault="00616EBC" w:rsidP="00616EBC">
            <w:pPr>
              <w:rPr>
                <w:rFonts w:ascii="Arial Narrow" w:hAnsi="Arial Narrow"/>
                <w:b/>
                <w:bCs/>
                <w:i/>
                <w:iCs/>
                <w:sz w:val="20"/>
              </w:rPr>
            </w:pPr>
            <w:r w:rsidRPr="00616EBC">
              <w:rPr>
                <w:rFonts w:ascii="Arial Narrow" w:hAnsi="Arial Narrow"/>
                <w:b/>
                <w:bCs/>
                <w:i/>
                <w:iCs/>
                <w:sz w:val="20"/>
              </w:rPr>
              <w:t>Clinical criteria:</w:t>
            </w:r>
          </w:p>
        </w:tc>
      </w:tr>
      <w:tr w:rsidR="00616EBC" w:rsidRPr="00616EBC" w14:paraId="49E838D4"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29DE22C2" w14:textId="77777777" w:rsidR="00616EBC" w:rsidRPr="00616EBC" w:rsidRDefault="00616EBC" w:rsidP="00616EBC">
            <w:pPr>
              <w:rPr>
                <w:rFonts w:ascii="Arial Narrow" w:hAnsi="Arial Narrow"/>
                <w:i/>
                <w:iCs/>
                <w:sz w:val="20"/>
              </w:rPr>
            </w:pPr>
            <w:r w:rsidRPr="00616EBC">
              <w:rPr>
                <w:rFonts w:ascii="Arial Narrow" w:hAnsi="Arial Narrow"/>
                <w:i/>
                <w:iCs/>
                <w:sz w:val="20"/>
              </w:rPr>
              <w:lastRenderedPageBreak/>
              <w:t>Patient must have previously been issued with an authority prescription for this drug for this condition. [phase out 18091, 19469, 23815 draft]</w:t>
            </w:r>
          </w:p>
        </w:tc>
      </w:tr>
      <w:tr w:rsidR="00616EBC" w:rsidRPr="00616EBC" w14:paraId="5C8A8C63"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5DC4A8BF" w14:textId="77777777" w:rsidR="00616EBC" w:rsidRPr="00616EBC" w:rsidRDefault="00616EBC" w:rsidP="00616EBC">
            <w:pPr>
              <w:rPr>
                <w:rFonts w:ascii="Arial Narrow" w:hAnsi="Arial Narrow"/>
                <w:b/>
                <w:bCs/>
                <w:sz w:val="20"/>
              </w:rPr>
            </w:pPr>
            <w:r w:rsidRPr="00616EBC">
              <w:rPr>
                <w:rFonts w:ascii="Arial Narrow" w:hAnsi="Arial Narrow"/>
                <w:b/>
                <w:bCs/>
                <w:sz w:val="20"/>
              </w:rPr>
              <w:t>AND</w:t>
            </w:r>
          </w:p>
        </w:tc>
      </w:tr>
      <w:tr w:rsidR="00616EBC" w:rsidRPr="00616EBC" w14:paraId="000FBFF3"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7B3D771E" w14:textId="77777777" w:rsidR="00616EBC" w:rsidRPr="00616EBC" w:rsidRDefault="00616EBC" w:rsidP="00616EBC">
            <w:pPr>
              <w:rPr>
                <w:rFonts w:ascii="Arial Narrow" w:hAnsi="Arial Narrow"/>
                <w:b/>
                <w:bCs/>
                <w:sz w:val="20"/>
              </w:rPr>
            </w:pPr>
            <w:r w:rsidRPr="00616EBC">
              <w:rPr>
                <w:rFonts w:ascii="Arial Narrow" w:hAnsi="Arial Narrow"/>
                <w:b/>
                <w:bCs/>
                <w:sz w:val="20"/>
              </w:rPr>
              <w:t>Clinical criteria:</w:t>
            </w:r>
          </w:p>
        </w:tc>
      </w:tr>
      <w:tr w:rsidR="00616EBC" w:rsidRPr="00616EBC" w14:paraId="5D7D5E15"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71EC32F0" w14:textId="77777777" w:rsidR="00616EBC" w:rsidRPr="00616EBC" w:rsidRDefault="00616EBC" w:rsidP="00616EBC">
            <w:pPr>
              <w:spacing w:after="120"/>
              <w:rPr>
                <w:rFonts w:ascii="Arial Narrow" w:eastAsiaTheme="majorEastAsia" w:hAnsi="Arial Narrow"/>
                <w:sz w:val="20"/>
                <w:szCs w:val="20"/>
                <w:lang w:bidi="en-US"/>
              </w:rPr>
            </w:pPr>
            <w:r w:rsidRPr="00616EBC">
              <w:rPr>
                <w:rFonts w:ascii="Arial Narrow" w:eastAsiaTheme="majorEastAsia" w:hAnsi="Arial Narrow"/>
                <w:sz w:val="20"/>
                <w:szCs w:val="20"/>
                <w:lang w:bidi="en-US"/>
              </w:rPr>
              <w:t>Patient must have demonstrated or maintained at least a 4-point reduction in Systemic Lupus Erythematosus Disease Activity Index 2000 (SLEDAI-2K) score, compared to the baseline assessment, or</w:t>
            </w:r>
          </w:p>
          <w:p w14:paraId="0D6B03CC" w14:textId="77777777" w:rsidR="00616EBC" w:rsidRPr="00616EBC" w:rsidRDefault="00616EBC" w:rsidP="00616EBC">
            <w:pPr>
              <w:rPr>
                <w:rFonts w:ascii="Arial Narrow" w:eastAsiaTheme="majorEastAsia" w:hAnsi="Arial Narrow"/>
                <w:sz w:val="20"/>
                <w:szCs w:val="20"/>
                <w:lang w:bidi="en-US"/>
              </w:rPr>
            </w:pPr>
            <w:r w:rsidRPr="00616EBC">
              <w:rPr>
                <w:rFonts w:ascii="Arial Narrow" w:eastAsiaTheme="majorEastAsia" w:hAnsi="Arial Narrow"/>
                <w:sz w:val="20"/>
                <w:szCs w:val="20"/>
                <w:lang w:bidi="en-US"/>
              </w:rPr>
              <w:t>Patient must have demonstrated or maintained at least a 4-point reduction in Systemic Lupus Erythematosus Disease Activity Index 2000 (SLEDAI-2K) score, compared to the baseline assessment prior to having a treatment break for clinical reasons.</w:t>
            </w:r>
          </w:p>
        </w:tc>
      </w:tr>
      <w:tr w:rsidR="00616EBC" w:rsidRPr="00616EBC" w14:paraId="338D7E96"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6A074275" w14:textId="77777777" w:rsidR="00616EBC" w:rsidRPr="00616EBC" w:rsidRDefault="00616EBC" w:rsidP="00616EBC">
            <w:pPr>
              <w:rPr>
                <w:rFonts w:ascii="Arial Narrow" w:hAnsi="Arial Narrow"/>
                <w:b/>
                <w:bCs/>
                <w:strike/>
                <w:sz w:val="20"/>
              </w:rPr>
            </w:pPr>
            <w:r w:rsidRPr="00616EBC">
              <w:rPr>
                <w:rFonts w:ascii="Arial Narrow" w:hAnsi="Arial Narrow"/>
                <w:b/>
                <w:bCs/>
                <w:strike/>
                <w:sz w:val="20"/>
              </w:rPr>
              <w:t>Population criteria:</w:t>
            </w:r>
          </w:p>
        </w:tc>
      </w:tr>
      <w:tr w:rsidR="00616EBC" w:rsidRPr="00616EBC" w14:paraId="67D7F5FB"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265A0E01" w14:textId="77777777" w:rsidR="00616EBC" w:rsidRPr="00616EBC" w:rsidRDefault="00616EBC" w:rsidP="00616EBC">
            <w:pPr>
              <w:rPr>
                <w:rFonts w:ascii="Arial Narrow" w:hAnsi="Arial Narrow"/>
                <w:strike/>
                <w:sz w:val="20"/>
              </w:rPr>
            </w:pPr>
            <w:r w:rsidRPr="00616EBC">
              <w:rPr>
                <w:rFonts w:ascii="Arial Narrow" w:hAnsi="Arial Narrow"/>
                <w:strike/>
                <w:sz w:val="20"/>
              </w:rPr>
              <w:t>Patient must be aged 18 years or older.</w:t>
            </w:r>
          </w:p>
        </w:tc>
      </w:tr>
      <w:tr w:rsidR="00616EBC" w:rsidRPr="00616EBC" w14:paraId="77039A7B"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416882B8" w14:textId="77777777" w:rsidR="00616EBC" w:rsidRPr="00616EBC" w:rsidRDefault="00616EBC" w:rsidP="00616EBC">
            <w:pPr>
              <w:rPr>
                <w:rFonts w:ascii="Arial Narrow" w:hAnsi="Arial Narrow"/>
                <w:iCs/>
                <w:sz w:val="20"/>
              </w:rPr>
            </w:pPr>
            <w:r w:rsidRPr="00616EBC">
              <w:rPr>
                <w:rFonts w:ascii="Arial Narrow" w:hAnsi="Arial Narrow"/>
                <w:b/>
                <w:bCs/>
                <w:i/>
                <w:sz w:val="20"/>
              </w:rPr>
              <w:t>Administrative Advice:</w:t>
            </w:r>
          </w:p>
          <w:p w14:paraId="616B936D" w14:textId="77777777" w:rsidR="00616EBC" w:rsidRPr="00616EBC" w:rsidRDefault="00616EBC" w:rsidP="00616EBC">
            <w:pPr>
              <w:rPr>
                <w:rFonts w:ascii="Arial Narrow" w:hAnsi="Arial Narrow"/>
                <w:iCs/>
                <w:sz w:val="20"/>
              </w:rPr>
            </w:pPr>
            <w:r w:rsidRPr="00616EBC">
              <w:rPr>
                <w:rFonts w:ascii="Arial Narrow" w:hAnsi="Arial Narrow"/>
                <w:iCs/>
                <w:sz w:val="20"/>
              </w:rPr>
              <w:t xml:space="preserve">SLEDAI-2K can be accessed via Gladman 2002 J. </w:t>
            </w:r>
            <w:proofErr w:type="spellStart"/>
            <w:r w:rsidRPr="00616EBC">
              <w:rPr>
                <w:rFonts w:ascii="Arial Narrow" w:hAnsi="Arial Narrow"/>
                <w:iCs/>
                <w:sz w:val="20"/>
              </w:rPr>
              <w:t>Rheumatol</w:t>
            </w:r>
            <w:proofErr w:type="spellEnd"/>
            <w:r w:rsidRPr="00616EBC">
              <w:rPr>
                <w:rFonts w:ascii="Arial Narrow" w:hAnsi="Arial Narrow"/>
                <w:iCs/>
                <w:sz w:val="20"/>
              </w:rPr>
              <w:t>. 29 (2) 288-291 or from AstraZeneca Medical Information on 1800 805 342.</w:t>
            </w:r>
          </w:p>
        </w:tc>
      </w:tr>
      <w:tr w:rsidR="00616EBC" w:rsidRPr="00616EBC" w14:paraId="27B69E10"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E20B0E9" w14:textId="77777777" w:rsidR="00616EBC" w:rsidRPr="00616EBC" w:rsidRDefault="00616EBC" w:rsidP="00616EBC">
            <w:pPr>
              <w:rPr>
                <w:rFonts w:ascii="Arial Narrow" w:hAnsi="Arial Narrow"/>
                <w:b/>
                <w:bCs/>
                <w:i/>
                <w:iCs/>
                <w:sz w:val="20"/>
              </w:rPr>
            </w:pPr>
            <w:r w:rsidRPr="00616EBC">
              <w:rPr>
                <w:rFonts w:ascii="Arial Narrow" w:hAnsi="Arial Narrow"/>
                <w:b/>
                <w:bCs/>
                <w:i/>
                <w:iCs/>
                <w:sz w:val="20"/>
              </w:rPr>
              <w:t>Administrative Advice:</w:t>
            </w:r>
          </w:p>
          <w:p w14:paraId="672F96BC" w14:textId="77777777" w:rsidR="00616EBC" w:rsidRPr="00616EBC" w:rsidRDefault="00616EBC" w:rsidP="00616EBC">
            <w:pPr>
              <w:rPr>
                <w:rFonts w:ascii="Arial Narrow" w:hAnsi="Arial Narrow"/>
                <w:bCs/>
                <w:i/>
                <w:iCs/>
                <w:sz w:val="20"/>
              </w:rPr>
            </w:pPr>
            <w:r w:rsidRPr="00616EBC">
              <w:rPr>
                <w:rFonts w:ascii="Arial Narrow" w:hAnsi="Arial Narrow"/>
                <w:bCs/>
                <w:i/>
                <w:iCs/>
                <w:sz w:val="20"/>
              </w:rPr>
              <w:t>No increase in the maximum number of repeats may be authorised.</w:t>
            </w:r>
          </w:p>
        </w:tc>
      </w:tr>
      <w:tr w:rsidR="00616EBC" w:rsidRPr="00616EBC" w14:paraId="4EC359F2"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3F84187" w14:textId="77777777" w:rsidR="00616EBC" w:rsidRPr="00616EBC" w:rsidRDefault="00616EBC" w:rsidP="00616EBC">
            <w:pPr>
              <w:rPr>
                <w:rFonts w:ascii="Arial Narrow" w:hAnsi="Arial Narrow"/>
                <w:b/>
                <w:bCs/>
                <w:i/>
                <w:iCs/>
                <w:sz w:val="20"/>
              </w:rPr>
            </w:pPr>
            <w:r w:rsidRPr="00616EBC">
              <w:rPr>
                <w:rFonts w:ascii="Arial Narrow" w:hAnsi="Arial Narrow"/>
                <w:b/>
                <w:bCs/>
                <w:i/>
                <w:iCs/>
                <w:sz w:val="20"/>
              </w:rPr>
              <w:t>Administrative Advice:</w:t>
            </w:r>
          </w:p>
          <w:p w14:paraId="35F68E71" w14:textId="77777777" w:rsidR="00616EBC" w:rsidRPr="00616EBC" w:rsidRDefault="00616EBC" w:rsidP="00616EBC">
            <w:pPr>
              <w:rPr>
                <w:rFonts w:ascii="Arial Narrow" w:hAnsi="Arial Narrow"/>
                <w:bCs/>
                <w:i/>
                <w:iCs/>
                <w:sz w:val="20"/>
              </w:rPr>
            </w:pPr>
            <w:r w:rsidRPr="00616EBC">
              <w:rPr>
                <w:rFonts w:ascii="Arial Narrow" w:hAnsi="Arial Narrow"/>
                <w:bCs/>
                <w:i/>
                <w:iCs/>
                <w:sz w:val="20"/>
              </w:rPr>
              <w:t>No increase in the maximum quantity or number of units may be authorised.</w:t>
            </w:r>
          </w:p>
        </w:tc>
      </w:tr>
      <w:tr w:rsidR="00616EBC" w:rsidRPr="00B23B38" w14:paraId="5B1B0251" w14:textId="77777777" w:rsidTr="00616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E5F88AD" w14:textId="77777777" w:rsidR="00616EBC" w:rsidRPr="00616EBC" w:rsidRDefault="00616EBC" w:rsidP="00616EBC">
            <w:pPr>
              <w:rPr>
                <w:rFonts w:ascii="Arial Narrow" w:hAnsi="Arial Narrow"/>
                <w:i/>
                <w:iCs/>
                <w:sz w:val="20"/>
              </w:rPr>
            </w:pPr>
            <w:r w:rsidRPr="00616EBC">
              <w:rPr>
                <w:rFonts w:ascii="Arial Narrow" w:hAnsi="Arial Narrow"/>
                <w:b/>
                <w:bCs/>
                <w:i/>
                <w:iCs/>
                <w:sz w:val="20"/>
              </w:rPr>
              <w:t>Administrative Advice:</w:t>
            </w:r>
          </w:p>
          <w:p w14:paraId="020AFC7D" w14:textId="77777777" w:rsidR="00616EBC" w:rsidRPr="00616EBC" w:rsidRDefault="00616EBC" w:rsidP="00616EBC">
            <w:pPr>
              <w:rPr>
                <w:rFonts w:ascii="Arial Narrow" w:hAnsi="Arial Narrow"/>
                <w:i/>
                <w:iCs/>
                <w:sz w:val="20"/>
                <w:u w:val="single"/>
              </w:rPr>
            </w:pPr>
            <w:r w:rsidRPr="00616EBC">
              <w:rPr>
                <w:rFonts w:ascii="Arial Narrow" w:hAnsi="Arial Narrow"/>
                <w:i/>
                <w:iCs/>
                <w:sz w:val="20"/>
                <w:u w:val="single"/>
              </w:rPr>
              <w:t>Note</w:t>
            </w:r>
          </w:p>
          <w:p w14:paraId="7A84FE41" w14:textId="77777777" w:rsidR="00616EBC" w:rsidRPr="003B0070" w:rsidRDefault="00616EBC" w:rsidP="00616EBC">
            <w:pPr>
              <w:rPr>
                <w:rFonts w:ascii="Arial Narrow" w:hAnsi="Arial Narrow"/>
                <w:b/>
                <w:bCs/>
                <w:i/>
                <w:iCs/>
                <w:sz w:val="20"/>
              </w:rPr>
            </w:pPr>
            <w:r w:rsidRPr="00616EBC">
              <w:rPr>
                <w:rFonts w:ascii="Arial Narrow" w:hAnsi="Arial Narrow"/>
                <w:i/>
                <w:iCs/>
                <w:sz w:val="20"/>
              </w:rPr>
              <w:t>[Complex Authority Required flag] Any queries concerning the arrangements to prescribe may be directed to the Department of Human Services on 1800 700 270 (hours of operation 8 a.m. to 5 p.m. EST Monday to Friday).</w:t>
            </w:r>
          </w:p>
        </w:tc>
      </w:tr>
    </w:tbl>
    <w:p w14:paraId="34074DED" w14:textId="77777777" w:rsidR="00384D6C" w:rsidRPr="0053227D" w:rsidRDefault="00384D6C" w:rsidP="002F68ED">
      <w:pPr>
        <w:pStyle w:val="3-BodyText"/>
        <w:numPr>
          <w:ilvl w:val="0"/>
          <w:numId w:val="0"/>
        </w:numPr>
        <w:ind w:left="720" w:hanging="720"/>
        <w:rPr>
          <w:iCs/>
        </w:rPr>
      </w:pPr>
    </w:p>
    <w:p w14:paraId="47D3206B" w14:textId="42AE7B43" w:rsidR="006D05DE" w:rsidRPr="006D05DE" w:rsidRDefault="005A4B89" w:rsidP="004E18E9">
      <w:pPr>
        <w:pStyle w:val="3-BodyText"/>
        <w:rPr>
          <w:iCs/>
        </w:rPr>
      </w:pPr>
      <w:r>
        <w:t>The submission stated that a</w:t>
      </w:r>
      <w:r w:rsidR="00A21EA5" w:rsidRPr="00A21EA5">
        <w:t xml:space="preserve"> S</w:t>
      </w:r>
      <w:r w:rsidR="000B220B">
        <w:t xml:space="preserve">ection </w:t>
      </w:r>
      <w:r w:rsidR="00A21EA5" w:rsidRPr="00A21EA5">
        <w:t>100</w:t>
      </w:r>
      <w:r w:rsidR="000B220B" w:rsidRPr="000B220B">
        <w:rPr>
          <w:rFonts w:cstheme="minorHAnsi"/>
          <w:iCs/>
        </w:rPr>
        <w:t xml:space="preserve"> </w:t>
      </w:r>
      <w:r w:rsidR="00A21EA5" w:rsidRPr="00A21EA5">
        <w:t xml:space="preserve">listing </w:t>
      </w:r>
      <w:r w:rsidR="000B220B" w:rsidRPr="00603AFC">
        <w:rPr>
          <w:rFonts w:cstheme="minorHAnsi"/>
          <w:iCs/>
        </w:rPr>
        <w:t>on the Highly Specialised Drugs (HSD) Program</w:t>
      </w:r>
      <w:r w:rsidR="000B220B" w:rsidRPr="00A21EA5">
        <w:t xml:space="preserve"> </w:t>
      </w:r>
      <w:r w:rsidR="00A21EA5" w:rsidRPr="00A21EA5">
        <w:t xml:space="preserve">was necessary given </w:t>
      </w:r>
      <w:proofErr w:type="spellStart"/>
      <w:r w:rsidR="00A21EA5" w:rsidRPr="00A21EA5">
        <w:t>anifrolumab</w:t>
      </w:r>
      <w:proofErr w:type="spellEnd"/>
      <w:r w:rsidR="00A21EA5" w:rsidRPr="00A21EA5">
        <w:t xml:space="preserve"> is administered by intravenous</w:t>
      </w:r>
      <w:r w:rsidR="00363699">
        <w:t xml:space="preserve"> (IV)</w:t>
      </w:r>
      <w:r w:rsidR="00A21EA5" w:rsidRPr="00A21EA5">
        <w:t xml:space="preserve"> infusion every 4 weeks. </w:t>
      </w:r>
    </w:p>
    <w:p w14:paraId="4868A521" w14:textId="3E9C9B9B" w:rsidR="00A21EA5" w:rsidRPr="00F11EB3" w:rsidRDefault="006D05DE" w:rsidP="004E18E9">
      <w:pPr>
        <w:pStyle w:val="3-BodyText"/>
      </w:pPr>
      <w:r w:rsidRPr="00F11EB3">
        <w:t>The PSCR updated the number of repeats to be six in the initial and continuing setting</w:t>
      </w:r>
      <w:r w:rsidR="00A2281F" w:rsidRPr="00F11EB3">
        <w:t>s</w:t>
      </w:r>
      <w:r w:rsidRPr="00F11EB3">
        <w:t xml:space="preserve">, which was </w:t>
      </w:r>
      <w:r w:rsidR="00A2281F" w:rsidRPr="00F11EB3">
        <w:t xml:space="preserve">consistent with the submission’s proposal to assess response at 24 weeks and to provide six months of treatment with each continuing prescription.  </w:t>
      </w:r>
    </w:p>
    <w:p w14:paraId="4B9D643D" w14:textId="6725DF5A" w:rsidR="00A21EA5" w:rsidRPr="00F11EB3" w:rsidRDefault="00A21A38" w:rsidP="004E18E9">
      <w:pPr>
        <w:pStyle w:val="3-BodyText"/>
        <w:rPr>
          <w:iCs/>
        </w:rPr>
      </w:pPr>
      <w:r>
        <w:rPr>
          <w:iCs/>
        </w:rPr>
        <w:t>The submission did not propose a</w:t>
      </w:r>
      <w:r w:rsidR="00984D11">
        <w:rPr>
          <w:iCs/>
        </w:rPr>
        <w:t xml:space="preserve"> separate g</w:t>
      </w:r>
      <w:r w:rsidR="009034B5" w:rsidRPr="00224C2E">
        <w:rPr>
          <w:iCs/>
        </w:rPr>
        <w:t>randfather</w:t>
      </w:r>
      <w:r w:rsidR="00984D11">
        <w:rPr>
          <w:iCs/>
        </w:rPr>
        <w:t xml:space="preserve"> restriction</w:t>
      </w:r>
      <w:r w:rsidR="009034B5" w:rsidRPr="00224C2E">
        <w:rPr>
          <w:iCs/>
        </w:rPr>
        <w:t xml:space="preserve">, </w:t>
      </w:r>
      <w:r>
        <w:rPr>
          <w:iCs/>
        </w:rPr>
        <w:t>despite stating</w:t>
      </w:r>
      <w:r w:rsidR="009034B5" w:rsidRPr="00224C2E">
        <w:rPr>
          <w:iCs/>
        </w:rPr>
        <w:t xml:space="preserve"> that a patient access program (PAP) was planned to commence post TGA approval, with the final numbers in the PAP to be confirmed.</w:t>
      </w:r>
      <w:r w:rsidR="00416E06" w:rsidRPr="00224C2E">
        <w:rPr>
          <w:iCs/>
        </w:rPr>
        <w:t xml:space="preserve"> The </w:t>
      </w:r>
      <w:r w:rsidR="00A00643">
        <w:rPr>
          <w:iCs/>
        </w:rPr>
        <w:t>s</w:t>
      </w:r>
      <w:r w:rsidR="00416E06" w:rsidRPr="00224C2E">
        <w:rPr>
          <w:iCs/>
        </w:rPr>
        <w:t xml:space="preserve">ponsor </w:t>
      </w:r>
      <w:r w:rsidR="00B15040" w:rsidRPr="00A00643">
        <w:rPr>
          <w:iCs/>
        </w:rPr>
        <w:t>was</w:t>
      </w:r>
      <w:r w:rsidR="00416E06" w:rsidRPr="00224C2E">
        <w:rPr>
          <w:iCs/>
        </w:rPr>
        <w:t xml:space="preserve"> requested to propose a grandfather restriction</w:t>
      </w:r>
      <w:r w:rsidR="00B15040">
        <w:rPr>
          <w:rFonts w:cstheme="minorHAnsi"/>
          <w:iCs/>
        </w:rPr>
        <w:t xml:space="preserve">; </w:t>
      </w:r>
      <w:r w:rsidR="00B15040" w:rsidRPr="00F11EB3">
        <w:rPr>
          <w:rFonts w:cstheme="minorHAnsi"/>
          <w:iCs/>
        </w:rPr>
        <w:t xml:space="preserve">the PSCR agreed with the evaluation (p2) to include a grandfather restriction to expire 12 months after PBS-listing but did not propose the wording </w:t>
      </w:r>
      <w:r w:rsidR="00910A6F" w:rsidRPr="00F11EB3">
        <w:rPr>
          <w:rFonts w:cstheme="minorHAnsi"/>
          <w:iCs/>
        </w:rPr>
        <w:t>for</w:t>
      </w:r>
      <w:r w:rsidR="00B15040" w:rsidRPr="00F11EB3">
        <w:rPr>
          <w:rFonts w:cstheme="minorHAnsi"/>
          <w:iCs/>
        </w:rPr>
        <w:t xml:space="preserve"> the restriction</w:t>
      </w:r>
      <w:r w:rsidR="00416E06" w:rsidRPr="00F11EB3">
        <w:rPr>
          <w:rFonts w:cstheme="minorHAnsi"/>
          <w:iCs/>
        </w:rPr>
        <w:t>.</w:t>
      </w:r>
      <w:r w:rsidR="00416E06" w:rsidRPr="00F11EB3">
        <w:rPr>
          <w:iCs/>
        </w:rPr>
        <w:t xml:space="preserve"> </w:t>
      </w:r>
    </w:p>
    <w:p w14:paraId="2B1F36AD" w14:textId="3ED46936" w:rsidR="009034B5" w:rsidRPr="00224C2E" w:rsidRDefault="000B220B" w:rsidP="004E18E9">
      <w:pPr>
        <w:pStyle w:val="3-BodyText"/>
        <w:rPr>
          <w:iCs/>
        </w:rPr>
      </w:pPr>
      <w:r>
        <w:t>I</w:t>
      </w:r>
      <w:r w:rsidRPr="009034B5">
        <w:t xml:space="preserve">n </w:t>
      </w:r>
      <w:r>
        <w:t xml:space="preserve">its </w:t>
      </w:r>
      <w:r w:rsidRPr="009034B5">
        <w:t>July 2020 consideration of belimumab for the treatment of SLE</w:t>
      </w:r>
      <w:r>
        <w:t>, the</w:t>
      </w:r>
      <w:r w:rsidRPr="009034B5">
        <w:t xml:space="preserve"> </w:t>
      </w:r>
      <w:r w:rsidRPr="00224C2E">
        <w:rPr>
          <w:iCs/>
        </w:rPr>
        <w:t xml:space="preserve">PBAC </w:t>
      </w:r>
      <w:r>
        <w:rPr>
          <w:iCs/>
        </w:rPr>
        <w:t xml:space="preserve">had </w:t>
      </w:r>
      <w:r w:rsidRPr="00224C2E">
        <w:rPr>
          <w:iCs/>
        </w:rPr>
        <w:t xml:space="preserve">considered that the restriction </w:t>
      </w:r>
      <w:r>
        <w:rPr>
          <w:iCs/>
        </w:rPr>
        <w:t xml:space="preserve">for belimumab </w:t>
      </w:r>
      <w:r w:rsidRPr="00224C2E">
        <w:rPr>
          <w:iCs/>
        </w:rPr>
        <w:t>should target use in patients who have the greatest clinical need and are most likely to respond to treatment</w:t>
      </w:r>
      <w:r>
        <w:rPr>
          <w:iCs/>
        </w:rPr>
        <w:t>.</w:t>
      </w:r>
      <w:r w:rsidRPr="009034B5">
        <w:t xml:space="preserve"> </w:t>
      </w:r>
      <w:r w:rsidR="009034B5" w:rsidRPr="009034B5">
        <w:t xml:space="preserve">The requested PBS restriction </w:t>
      </w:r>
      <w:r>
        <w:t xml:space="preserve">for </w:t>
      </w:r>
      <w:proofErr w:type="spellStart"/>
      <w:r>
        <w:t>anifrolumab</w:t>
      </w:r>
      <w:proofErr w:type="spellEnd"/>
      <w:r>
        <w:t xml:space="preserve"> was generally consistent with this intent. Differences compared</w:t>
      </w:r>
      <w:r w:rsidR="009034B5" w:rsidRPr="009034B5">
        <w:t xml:space="preserve"> with the wording proposed by the PBAC </w:t>
      </w:r>
      <w:r w:rsidR="000C0F56">
        <w:t xml:space="preserve">for belimumab </w:t>
      </w:r>
      <w:r w:rsidR="009034B5" w:rsidRPr="009034B5">
        <w:t>(paragraph 3.1, belimumab</w:t>
      </w:r>
      <w:r w:rsidR="00665554">
        <w:t xml:space="preserve"> </w:t>
      </w:r>
      <w:r w:rsidR="00665554" w:rsidRPr="00CE2BFF">
        <w:t>Public Summary Document</w:t>
      </w:r>
      <w:r w:rsidR="009034B5" w:rsidRPr="009034B5">
        <w:t xml:space="preserve"> </w:t>
      </w:r>
      <w:r w:rsidR="00665554">
        <w:t>(</w:t>
      </w:r>
      <w:r w:rsidR="009034B5" w:rsidRPr="009034B5">
        <w:t>PSD</w:t>
      </w:r>
      <w:r w:rsidR="00665554">
        <w:t>)</w:t>
      </w:r>
      <w:r w:rsidR="009034B5" w:rsidRPr="009034B5">
        <w:t xml:space="preserve"> July 2020 PBAC meeting)</w:t>
      </w:r>
      <w:r w:rsidR="000C0F56">
        <w:t xml:space="preserve"> included</w:t>
      </w:r>
      <w:r w:rsidR="009034B5" w:rsidRPr="00224C2E">
        <w:rPr>
          <w:iCs/>
        </w:rPr>
        <w:t>:</w:t>
      </w:r>
    </w:p>
    <w:p w14:paraId="7F3E9511" w14:textId="43F12C18" w:rsidR="009034B5" w:rsidRDefault="009034B5" w:rsidP="00DC2530">
      <w:pPr>
        <w:pStyle w:val="3-BodyText"/>
        <w:numPr>
          <w:ilvl w:val="0"/>
          <w:numId w:val="8"/>
        </w:numPr>
        <w:rPr>
          <w:iCs/>
        </w:rPr>
      </w:pPr>
      <w:r w:rsidRPr="00224C2E">
        <w:rPr>
          <w:iCs/>
        </w:rPr>
        <w:t>The restriction does not limit access to patients based on laboratory evidence of serological activity (</w:t>
      </w:r>
      <w:r w:rsidR="00F95DC0" w:rsidRPr="00224C2E">
        <w:rPr>
          <w:iCs/>
        </w:rPr>
        <w:t xml:space="preserve">i.e. </w:t>
      </w:r>
      <w:r w:rsidR="000B220B">
        <w:rPr>
          <w:iCs/>
        </w:rPr>
        <w:t xml:space="preserve">elevated </w:t>
      </w:r>
      <w:r w:rsidR="00F95DC0" w:rsidRPr="00224C2E">
        <w:rPr>
          <w:iCs/>
        </w:rPr>
        <w:t>anti-double-stranded DNA (anti-dsDNA)</w:t>
      </w:r>
      <w:r w:rsidRPr="00224C2E">
        <w:rPr>
          <w:iCs/>
        </w:rPr>
        <w:t xml:space="preserve">, </w:t>
      </w:r>
      <w:r w:rsidR="000B220B">
        <w:rPr>
          <w:iCs/>
        </w:rPr>
        <w:t xml:space="preserve">and </w:t>
      </w:r>
      <w:r w:rsidRPr="00224C2E">
        <w:rPr>
          <w:iCs/>
        </w:rPr>
        <w:t>low complement</w:t>
      </w:r>
      <w:r w:rsidR="000B220B">
        <w:rPr>
          <w:iCs/>
        </w:rPr>
        <w:t xml:space="preserve"> </w:t>
      </w:r>
      <w:r w:rsidR="000B220B" w:rsidRPr="00224C2E">
        <w:rPr>
          <w:iCs/>
        </w:rPr>
        <w:t>(C3 or C4) levels</w:t>
      </w:r>
      <w:r w:rsidRPr="00224C2E">
        <w:rPr>
          <w:iCs/>
        </w:rPr>
        <w:t xml:space="preserve">). </w:t>
      </w:r>
      <w:r w:rsidR="00A21A38">
        <w:rPr>
          <w:iCs/>
        </w:rPr>
        <w:t>T</w:t>
      </w:r>
      <w:r w:rsidRPr="00224C2E">
        <w:rPr>
          <w:iCs/>
        </w:rPr>
        <w:t>he inclusion</w:t>
      </w:r>
      <w:r w:rsidR="00622173">
        <w:rPr>
          <w:iCs/>
        </w:rPr>
        <w:t xml:space="preserve"> of serological activity</w:t>
      </w:r>
      <w:r w:rsidRPr="00224C2E">
        <w:rPr>
          <w:iCs/>
        </w:rPr>
        <w:t xml:space="preserve"> </w:t>
      </w:r>
      <w:r w:rsidR="000B220B">
        <w:rPr>
          <w:iCs/>
        </w:rPr>
        <w:t xml:space="preserve">in the proposed belimumab restriction was </w:t>
      </w:r>
      <w:r w:rsidRPr="00224C2E">
        <w:rPr>
          <w:iCs/>
        </w:rPr>
        <w:t>based on</w:t>
      </w:r>
      <w:r w:rsidR="00DB4361">
        <w:rPr>
          <w:iCs/>
        </w:rPr>
        <w:t xml:space="preserve"> the </w:t>
      </w:r>
      <w:r w:rsidR="00DB4361" w:rsidRPr="00224C2E">
        <w:rPr>
          <w:iCs/>
        </w:rPr>
        <w:t xml:space="preserve">European League Against Rheumatism </w:t>
      </w:r>
      <w:r w:rsidR="00DB4361" w:rsidRPr="00224C2E">
        <w:rPr>
          <w:iCs/>
        </w:rPr>
        <w:lastRenderedPageBreak/>
        <w:t>and the American College of Rheumatology (</w:t>
      </w:r>
      <w:r w:rsidRPr="00224C2E">
        <w:rPr>
          <w:iCs/>
        </w:rPr>
        <w:t>EULAR/ACR</w:t>
      </w:r>
      <w:r w:rsidR="00DB4361">
        <w:rPr>
          <w:iCs/>
        </w:rPr>
        <w:t>)</w:t>
      </w:r>
      <w:r w:rsidRPr="00224C2E">
        <w:rPr>
          <w:iCs/>
        </w:rPr>
        <w:t xml:space="preserve"> 2019 recommendations and the belimumab studies (paragraphs 2.8 and 7.4, belimumab PSD November 2019 PBAC meeting). Eligibility criteria in the key </w:t>
      </w:r>
      <w:proofErr w:type="spellStart"/>
      <w:r w:rsidRPr="00224C2E">
        <w:rPr>
          <w:iCs/>
        </w:rPr>
        <w:t>anifrolumab</w:t>
      </w:r>
      <w:proofErr w:type="spellEnd"/>
      <w:r w:rsidRPr="00224C2E">
        <w:rPr>
          <w:iCs/>
        </w:rPr>
        <w:t xml:space="preserve"> trials were similar to the belimumab trials (based on anti-dsDNA positivity and/or </w:t>
      </w:r>
      <w:r w:rsidR="00F95DC0" w:rsidRPr="00224C2E">
        <w:rPr>
          <w:iCs/>
        </w:rPr>
        <w:t xml:space="preserve">antinuclear antibodies (ANA) </w:t>
      </w:r>
      <w:r w:rsidRPr="00224C2E">
        <w:rPr>
          <w:iCs/>
        </w:rPr>
        <w:t>titre)</w:t>
      </w:r>
      <w:r w:rsidR="00337073" w:rsidRPr="00224C2E">
        <w:rPr>
          <w:iCs/>
        </w:rPr>
        <w:t>. F</w:t>
      </w:r>
      <w:r w:rsidRPr="00224C2E">
        <w:rPr>
          <w:iCs/>
        </w:rPr>
        <w:t>or example</w:t>
      </w:r>
      <w:r w:rsidR="00337073" w:rsidRPr="00224C2E">
        <w:rPr>
          <w:iCs/>
        </w:rPr>
        <w:t>,</w:t>
      </w:r>
      <w:r w:rsidRPr="00224C2E">
        <w:rPr>
          <w:iCs/>
        </w:rPr>
        <w:t xml:space="preserve"> in the TULIP trials, 44-45% of the patients tested positive for anti-dsDNA antibodies and 34-39% and 21-26% had low/abnormal complement levels, respectively. However, given no subgroup analyses were presented in the </w:t>
      </w:r>
      <w:proofErr w:type="spellStart"/>
      <w:r w:rsidRPr="00224C2E">
        <w:rPr>
          <w:iCs/>
        </w:rPr>
        <w:t>anifrolumab</w:t>
      </w:r>
      <w:proofErr w:type="spellEnd"/>
      <w:r w:rsidRPr="00224C2E">
        <w:rPr>
          <w:iCs/>
        </w:rPr>
        <w:t xml:space="preserve"> trials </w:t>
      </w:r>
      <w:r w:rsidR="00337073" w:rsidRPr="00224C2E">
        <w:rPr>
          <w:iCs/>
        </w:rPr>
        <w:t>by</w:t>
      </w:r>
      <w:r w:rsidRPr="00224C2E">
        <w:rPr>
          <w:iCs/>
        </w:rPr>
        <w:t xml:space="preserve"> serological activity, it </w:t>
      </w:r>
      <w:r w:rsidR="00EF1FD2" w:rsidRPr="00224C2E">
        <w:rPr>
          <w:iCs/>
        </w:rPr>
        <w:t>wa</w:t>
      </w:r>
      <w:r w:rsidRPr="00224C2E">
        <w:rPr>
          <w:iCs/>
        </w:rPr>
        <w:t xml:space="preserve">s unknown if patients with positive anti-dsDNA or low complement levels would have greater response to </w:t>
      </w:r>
      <w:proofErr w:type="spellStart"/>
      <w:r w:rsidRPr="00224C2E">
        <w:rPr>
          <w:iCs/>
        </w:rPr>
        <w:t>anifrolumab</w:t>
      </w:r>
      <w:proofErr w:type="spellEnd"/>
      <w:r w:rsidRPr="00224C2E">
        <w:rPr>
          <w:iCs/>
        </w:rPr>
        <w:t xml:space="preserve"> treatment.</w:t>
      </w:r>
      <w:r w:rsidR="00622173">
        <w:rPr>
          <w:iCs/>
        </w:rPr>
        <w:t xml:space="preserve"> The pre-PBAC response stated (p3) that, unlike belimumab, </w:t>
      </w:r>
      <w:proofErr w:type="spellStart"/>
      <w:r w:rsidR="00622173">
        <w:rPr>
          <w:iCs/>
        </w:rPr>
        <w:t>anifrolumab</w:t>
      </w:r>
      <w:proofErr w:type="spellEnd"/>
      <w:r w:rsidR="00622173">
        <w:rPr>
          <w:iCs/>
        </w:rPr>
        <w:t xml:space="preserve"> targets </w:t>
      </w:r>
      <w:r w:rsidR="00622173" w:rsidRPr="00622173">
        <w:rPr>
          <w:iCs/>
        </w:rPr>
        <w:t>the innate immune system</w:t>
      </w:r>
      <w:r w:rsidR="00622173">
        <w:rPr>
          <w:iCs/>
        </w:rPr>
        <w:t xml:space="preserve">; in contrast, belimumab targets B-cells. </w:t>
      </w:r>
      <w:r w:rsidR="00DD420A">
        <w:rPr>
          <w:iCs/>
        </w:rPr>
        <w:t>It</w:t>
      </w:r>
      <w:r w:rsidR="00622173">
        <w:rPr>
          <w:iCs/>
        </w:rPr>
        <w:t xml:space="preserve"> stated that serological activity is a </w:t>
      </w:r>
      <w:r w:rsidR="00622173" w:rsidRPr="00622173">
        <w:rPr>
          <w:iCs/>
        </w:rPr>
        <w:t xml:space="preserve">characteristic of the adaptive immune system driven by B-cells and not the innate immune system driven by Type </w:t>
      </w:r>
      <w:r w:rsidR="00DD420A">
        <w:rPr>
          <w:iCs/>
        </w:rPr>
        <w:t xml:space="preserve">I interferon, and therefore </w:t>
      </w:r>
      <w:r w:rsidR="00DD420A" w:rsidRPr="00622173">
        <w:rPr>
          <w:iCs/>
        </w:rPr>
        <w:t xml:space="preserve">it is not </w:t>
      </w:r>
      <w:r w:rsidR="00D260C8">
        <w:rPr>
          <w:iCs/>
        </w:rPr>
        <w:t>relevant</w:t>
      </w:r>
      <w:r w:rsidR="00DD420A" w:rsidRPr="00622173">
        <w:rPr>
          <w:iCs/>
        </w:rPr>
        <w:t xml:space="preserve"> to include laboratory evidence of serological activity in the</w:t>
      </w:r>
      <w:r w:rsidR="00DD420A">
        <w:rPr>
          <w:iCs/>
        </w:rPr>
        <w:t xml:space="preserve"> </w:t>
      </w:r>
      <w:proofErr w:type="spellStart"/>
      <w:r w:rsidR="00DD420A">
        <w:rPr>
          <w:iCs/>
        </w:rPr>
        <w:t>anifrolumab</w:t>
      </w:r>
      <w:proofErr w:type="spellEnd"/>
      <w:r w:rsidR="00DD420A" w:rsidRPr="00622173">
        <w:rPr>
          <w:iCs/>
        </w:rPr>
        <w:t xml:space="preserve"> restriction</w:t>
      </w:r>
      <w:r w:rsidR="00622173" w:rsidRPr="00622173">
        <w:rPr>
          <w:iCs/>
        </w:rPr>
        <w:t>.</w:t>
      </w:r>
    </w:p>
    <w:p w14:paraId="699396EF" w14:textId="627FDA0E" w:rsidR="00AA4929" w:rsidRPr="00AA4929" w:rsidRDefault="00AA4929" w:rsidP="00DC2530">
      <w:pPr>
        <w:pStyle w:val="3-BodyText"/>
        <w:numPr>
          <w:ilvl w:val="0"/>
          <w:numId w:val="8"/>
        </w:numPr>
        <w:rPr>
          <w:iCs/>
        </w:rPr>
      </w:pPr>
      <w:r w:rsidRPr="00D922B5">
        <w:t xml:space="preserve">The </w:t>
      </w:r>
      <w:r w:rsidR="007018CA" w:rsidRPr="00F11EB3">
        <w:t>criterion</w:t>
      </w:r>
      <w:r w:rsidR="007018CA" w:rsidRPr="00D922B5">
        <w:t xml:space="preserve"> </w:t>
      </w:r>
      <w:r w:rsidRPr="00D922B5">
        <w:t xml:space="preserve">that patients must not have “severe renal active lupus nephritis or severe active central nervous system” was consistent with previous PBAC </w:t>
      </w:r>
      <w:r w:rsidR="00774AC8">
        <w:t>advice</w:t>
      </w:r>
      <w:r w:rsidR="00774AC8" w:rsidRPr="00D922B5">
        <w:t xml:space="preserve"> </w:t>
      </w:r>
      <w:r w:rsidRPr="00D922B5">
        <w:t xml:space="preserve">for belimumab (paragraph 3.6, belimumab PSD July 2020 PBAC meeting); </w:t>
      </w:r>
      <w:r w:rsidR="000B220B">
        <w:t>however</w:t>
      </w:r>
      <w:r w:rsidR="0073499A">
        <w:t>,</w:t>
      </w:r>
      <w:r w:rsidR="000B220B">
        <w:t xml:space="preserve"> </w:t>
      </w:r>
      <w:r w:rsidRPr="00D922B5">
        <w:t xml:space="preserve">the </w:t>
      </w:r>
      <w:r w:rsidR="00A21A38">
        <w:t xml:space="preserve">evaluation considered that the </w:t>
      </w:r>
      <w:r w:rsidRPr="00D922B5">
        <w:t xml:space="preserve">word ‘renal’ could be removed </w:t>
      </w:r>
      <w:r w:rsidR="00774AC8">
        <w:t>to align more closely with the</w:t>
      </w:r>
      <w:r w:rsidRPr="00D922B5">
        <w:t xml:space="preserve"> TGA approved indication.</w:t>
      </w:r>
      <w:r>
        <w:t xml:space="preserve"> </w:t>
      </w:r>
      <w:r w:rsidRPr="00F11EB3">
        <w:rPr>
          <w:rFonts w:cstheme="minorHAnsi"/>
          <w:iCs/>
        </w:rPr>
        <w:t xml:space="preserve">The PSCR agreed with the </w:t>
      </w:r>
      <w:r w:rsidR="00B15040" w:rsidRPr="00F11EB3">
        <w:rPr>
          <w:rFonts w:cstheme="minorHAnsi"/>
          <w:iCs/>
        </w:rPr>
        <w:t>evaluation</w:t>
      </w:r>
      <w:r w:rsidRPr="00F11EB3">
        <w:rPr>
          <w:rFonts w:cstheme="minorHAnsi"/>
          <w:iCs/>
        </w:rPr>
        <w:t xml:space="preserve"> (p2) to remove the word </w:t>
      </w:r>
      <w:r w:rsidRPr="00F11EB3">
        <w:rPr>
          <w:iCs/>
        </w:rPr>
        <w:t>‘renal’ in severe lupus nephritis in the initial treatment phase.</w:t>
      </w:r>
    </w:p>
    <w:p w14:paraId="1D5C99ED" w14:textId="0DA764D1" w:rsidR="00AA4929" w:rsidRPr="00224C2E" w:rsidRDefault="017DFB7F" w:rsidP="13FCDC39">
      <w:pPr>
        <w:pStyle w:val="3-BodyText"/>
        <w:numPr>
          <w:ilvl w:val="0"/>
          <w:numId w:val="8"/>
        </w:numPr>
        <w:rPr>
          <w:rFonts w:cstheme="minorBidi"/>
          <w:i/>
          <w:iCs/>
        </w:rPr>
      </w:pPr>
      <w:r>
        <w:t>The restriction d</w:t>
      </w:r>
      <w:r w:rsidR="4C8F8D83">
        <w:t>id</w:t>
      </w:r>
      <w:r>
        <w:t xml:space="preserve"> not </w:t>
      </w:r>
      <w:r w:rsidR="4C8F8D83">
        <w:t xml:space="preserve">include </w:t>
      </w:r>
      <w:r>
        <w:t xml:space="preserve">a criterion to prevent patients from re-trialling </w:t>
      </w:r>
      <w:proofErr w:type="spellStart"/>
      <w:r>
        <w:t>anifrolumab</w:t>
      </w:r>
      <w:proofErr w:type="spellEnd"/>
      <w:r>
        <w:t xml:space="preserve">. The proposed </w:t>
      </w:r>
      <w:r w:rsidR="4C8F8D83">
        <w:t xml:space="preserve">initial </w:t>
      </w:r>
      <w:r>
        <w:t>restriction for belimumab included: “Patient must not have previously received PBS-subsidised treatment with this drug for this condition” (paragraph 3.1, belimumab PSD July 2020 PBAC meeting).</w:t>
      </w:r>
      <w:r w:rsidR="701573DF">
        <w:t xml:space="preserve"> </w:t>
      </w:r>
      <w:r w:rsidR="701573DF" w:rsidRPr="00F11EB3">
        <w:rPr>
          <w:rFonts w:cstheme="minorBidi"/>
        </w:rPr>
        <w:t xml:space="preserve">The PSCR agreed with the </w:t>
      </w:r>
      <w:r w:rsidR="6AAD44DE" w:rsidRPr="00F11EB3">
        <w:rPr>
          <w:rFonts w:cstheme="minorBidi"/>
        </w:rPr>
        <w:t>evaluation</w:t>
      </w:r>
      <w:r w:rsidR="701573DF" w:rsidRPr="00F11EB3">
        <w:rPr>
          <w:rFonts w:cstheme="minorBidi"/>
        </w:rPr>
        <w:t xml:space="preserve"> (p2) to include this criterion in the initial treatment phase.</w:t>
      </w:r>
      <w:r w:rsidR="2AAFC1A2" w:rsidRPr="00F11EB3">
        <w:rPr>
          <w:rFonts w:cstheme="minorBidi"/>
        </w:rPr>
        <w:t xml:space="preserve"> However, the ESC </w:t>
      </w:r>
      <w:r w:rsidR="69BCFCE7" w:rsidRPr="00F11EB3">
        <w:rPr>
          <w:rFonts w:cstheme="minorBidi"/>
        </w:rPr>
        <w:t>considered</w:t>
      </w:r>
      <w:r w:rsidR="2AAFC1A2" w:rsidRPr="00F11EB3">
        <w:rPr>
          <w:rFonts w:cstheme="minorBidi"/>
        </w:rPr>
        <w:t xml:space="preserve"> that, similar to other rheumatic autoimmune diseases such as rheumatoid arthritis and psoriatic arthritis</w:t>
      </w:r>
      <w:r w:rsidR="005B5CE6" w:rsidRPr="00F11EB3">
        <w:rPr>
          <w:rFonts w:cstheme="minorBidi"/>
        </w:rPr>
        <w:t xml:space="preserve">, this should not be an absolute exclusion for </w:t>
      </w:r>
      <w:r w:rsidR="2AAFC1A2" w:rsidRPr="00F11EB3">
        <w:rPr>
          <w:rFonts w:cstheme="minorBidi"/>
        </w:rPr>
        <w:t>future re-initiation of treatments</w:t>
      </w:r>
      <w:r w:rsidR="005B5CE6" w:rsidRPr="00F11EB3">
        <w:rPr>
          <w:rFonts w:cstheme="minorBidi"/>
        </w:rPr>
        <w:t>. Further</w:t>
      </w:r>
      <w:r w:rsidR="2AAFC1A2" w:rsidRPr="00F11EB3">
        <w:rPr>
          <w:rFonts w:cstheme="minorBidi"/>
        </w:rPr>
        <w:t xml:space="preserve">, SLE patients can have </w:t>
      </w:r>
      <w:r w:rsidR="7E158D80" w:rsidRPr="00F11EB3">
        <w:rPr>
          <w:rFonts w:cstheme="minorBidi"/>
        </w:rPr>
        <w:t xml:space="preserve">a </w:t>
      </w:r>
      <w:r w:rsidR="2AAFC1A2" w:rsidRPr="00F11EB3">
        <w:rPr>
          <w:rFonts w:cstheme="minorBidi"/>
        </w:rPr>
        <w:t xml:space="preserve">fluctuating disease course over many years, and an initial course of treatment may have been discontinued due to control of disease and resolution of flare. The ESC considered that there may be a need to allow patients who no longer need treatment to </w:t>
      </w:r>
      <w:r w:rsidR="76FA7740" w:rsidRPr="00F11EB3">
        <w:rPr>
          <w:rFonts w:cstheme="minorBidi"/>
        </w:rPr>
        <w:t>discontinue,</w:t>
      </w:r>
      <w:r w:rsidR="2AAFC1A2" w:rsidRPr="00F11EB3">
        <w:rPr>
          <w:rFonts w:cstheme="minorBidi"/>
        </w:rPr>
        <w:t xml:space="preserve"> without excluding them from future</w:t>
      </w:r>
      <w:r w:rsidR="76FA7740" w:rsidRPr="00F11EB3">
        <w:rPr>
          <w:rFonts w:cstheme="minorBidi"/>
        </w:rPr>
        <w:t xml:space="preserve"> treatment</w:t>
      </w:r>
      <w:r w:rsidR="2AAFC1A2" w:rsidRPr="00F11EB3">
        <w:rPr>
          <w:rFonts w:cstheme="minorBidi"/>
        </w:rPr>
        <w:t xml:space="preserve"> for flares (particularly if it had been efficacious previously)</w:t>
      </w:r>
      <w:r w:rsidR="003F4293">
        <w:rPr>
          <w:rFonts w:cstheme="minorBidi"/>
        </w:rPr>
        <w:t xml:space="preserve">, and the pre-PBAC response agreed with </w:t>
      </w:r>
      <w:r w:rsidR="0053227D">
        <w:rPr>
          <w:rFonts w:cstheme="minorBidi"/>
        </w:rPr>
        <w:t>this</w:t>
      </w:r>
      <w:r w:rsidR="003F4293">
        <w:rPr>
          <w:rFonts w:cstheme="minorBidi"/>
        </w:rPr>
        <w:t xml:space="preserve"> approach (p3)</w:t>
      </w:r>
      <w:r w:rsidR="2AAFC1A2" w:rsidRPr="00F11EB3">
        <w:rPr>
          <w:rFonts w:cstheme="minorBidi"/>
        </w:rPr>
        <w:t xml:space="preserve">. </w:t>
      </w:r>
    </w:p>
    <w:p w14:paraId="69006B6F" w14:textId="3C1B71DC" w:rsidR="009225AB" w:rsidRDefault="009034B5" w:rsidP="00D922B5">
      <w:pPr>
        <w:pStyle w:val="3-BodyText"/>
      </w:pPr>
      <w:r w:rsidRPr="00D922B5">
        <w:t>Given</w:t>
      </w:r>
      <w:r w:rsidRPr="00224C2E">
        <w:t xml:space="preserve"> only a small subset of SLE patients </w:t>
      </w:r>
      <w:r w:rsidR="00554A38">
        <w:t>are</w:t>
      </w:r>
      <w:r w:rsidR="00554A38" w:rsidRPr="00224C2E">
        <w:t xml:space="preserve"> </w:t>
      </w:r>
      <w:r w:rsidRPr="00224C2E">
        <w:t>expected to meet the proposed eligibility criteria</w:t>
      </w:r>
      <w:r w:rsidR="008A1C9B">
        <w:t xml:space="preserve"> </w:t>
      </w:r>
      <w:r w:rsidR="008A1C9B" w:rsidRPr="00F11EB3">
        <w:t>due to the requirements of disease severity and current SOC</w:t>
      </w:r>
      <w:r w:rsidRPr="00F11EB3">
        <w:t>,</w:t>
      </w:r>
      <w:r w:rsidR="007C1CBF">
        <w:t xml:space="preserve"> </w:t>
      </w:r>
      <w:r w:rsidR="00E1301D">
        <w:t>the evaluation and the ESC considered</w:t>
      </w:r>
      <w:r w:rsidRPr="00224C2E">
        <w:t xml:space="preserve"> there </w:t>
      </w:r>
      <w:r w:rsidR="007A1ABC" w:rsidRPr="00224C2E">
        <w:t xml:space="preserve">is </w:t>
      </w:r>
      <w:r w:rsidRPr="00224C2E">
        <w:t>potential for use outside of the requested restrictions.</w:t>
      </w:r>
    </w:p>
    <w:p w14:paraId="094F5693" w14:textId="5026679A" w:rsidR="009034B5" w:rsidRPr="00224C2E" w:rsidRDefault="009225AB" w:rsidP="009225AB">
      <w:pPr>
        <w:pStyle w:val="3-BodyText"/>
        <w:numPr>
          <w:ilvl w:val="0"/>
          <w:numId w:val="0"/>
        </w:numPr>
        <w:ind w:left="720"/>
      </w:pPr>
      <w:r w:rsidRPr="00C33D30">
        <w:rPr>
          <w:i/>
        </w:rPr>
        <w:t>For more detail on PBAC’s view, see section 7 PBAC outcome.</w:t>
      </w:r>
      <w:r w:rsidR="009034B5" w:rsidRPr="00224C2E">
        <w:t xml:space="preserve"> </w:t>
      </w:r>
    </w:p>
    <w:p w14:paraId="7075B85C" w14:textId="1655A25A" w:rsidR="00B50DB8" w:rsidRPr="00407F2D" w:rsidRDefault="00203181" w:rsidP="004E18E9">
      <w:pPr>
        <w:pStyle w:val="2-SectionHeading"/>
      </w:pPr>
      <w:bookmarkStart w:id="7" w:name="_Toc103015530"/>
      <w:r>
        <w:lastRenderedPageBreak/>
        <w:t xml:space="preserve">Population and </w:t>
      </w:r>
      <w:r w:rsidR="008E0D3C">
        <w:t>d</w:t>
      </w:r>
      <w:r>
        <w:t>isease</w:t>
      </w:r>
      <w:bookmarkEnd w:id="7"/>
    </w:p>
    <w:p w14:paraId="4CAB1133" w14:textId="7F52E7DF" w:rsidR="009034B5" w:rsidRPr="00224C2E" w:rsidRDefault="009034B5" w:rsidP="009034B5">
      <w:pPr>
        <w:pStyle w:val="3-BodyText"/>
        <w:rPr>
          <w:iCs/>
        </w:rPr>
      </w:pPr>
      <w:r w:rsidRPr="009034B5">
        <w:t xml:space="preserve">SLE is a complex chronic autoimmune disease with clinical manifestations that are diverse and systemic, and no two patients experience the same disease journey. </w:t>
      </w:r>
      <w:r>
        <w:t xml:space="preserve">Clinical manifestations include musculoskeletal, dermatologic/cutaneous, gastrointestinal, renal, neuropsychiatric, </w:t>
      </w:r>
      <w:proofErr w:type="gramStart"/>
      <w:r>
        <w:t>cardiac</w:t>
      </w:r>
      <w:proofErr w:type="gramEnd"/>
      <w:r>
        <w:t xml:space="preserve"> and vascular and obstetric manifestation. Constitutional symptoms include fatigue, fever, malaise, arthralgias, myalgias, headaches and weight loss. The exact cause of SLE is unknown, however evidence indicates that the aetiology is multifactorial with genetic, immunological, endocrine/</w:t>
      </w:r>
      <w:proofErr w:type="gramStart"/>
      <w:r>
        <w:t>hormonal</w:t>
      </w:r>
      <w:proofErr w:type="gramEnd"/>
      <w:r>
        <w:t xml:space="preserve"> and environmental factors having a role in the cause and development of the disease. The risk of SLE is 10 times higher in women than in men due to genetic and hormonal factors with onset usually between 20-40 years old. There is also higher prevalence among certain ethnic groups. In Australia, SLE is more common and more severe in</w:t>
      </w:r>
      <w:r w:rsidR="00DB6ABF">
        <w:t xml:space="preserve"> </w:t>
      </w:r>
      <w:r w:rsidR="00DB6ABF" w:rsidRPr="00DB6ABF">
        <w:t>Aboriginal and Torres Strait Islander peoples</w:t>
      </w:r>
      <w:r>
        <w:t xml:space="preserve"> and Asian patients. ANA are present in 98% of SLE patients. </w:t>
      </w:r>
      <w:r w:rsidRPr="00224C2E">
        <w:rPr>
          <w:iCs/>
        </w:rPr>
        <w:t xml:space="preserve">Serological (immunological) findings are important in suggesting the possibility of SLE, with some antibodies such as anti-dsDNA or low complement (C3, C4) levels highly associated with SLE (Gordon </w:t>
      </w:r>
      <w:r w:rsidR="00DF6485" w:rsidRPr="00224C2E">
        <w:rPr>
          <w:iCs/>
        </w:rPr>
        <w:t>et al.,</w:t>
      </w:r>
      <w:r w:rsidRPr="00224C2E">
        <w:rPr>
          <w:iCs/>
        </w:rPr>
        <w:t xml:space="preserve"> 2018</w:t>
      </w:r>
      <w:r w:rsidRPr="00224C2E">
        <w:rPr>
          <w:rStyle w:val="FootnoteReference"/>
          <w:iCs/>
        </w:rPr>
        <w:footnoteReference w:id="3"/>
      </w:r>
      <w:r w:rsidRPr="00224C2E">
        <w:rPr>
          <w:iCs/>
        </w:rPr>
        <w:t>).</w:t>
      </w:r>
    </w:p>
    <w:p w14:paraId="1E8E643F" w14:textId="2A965C0F" w:rsidR="009034B5" w:rsidRPr="00224C2E" w:rsidRDefault="009034B5" w:rsidP="004E18E9">
      <w:pPr>
        <w:pStyle w:val="3-BodyText"/>
        <w:rPr>
          <w:iCs/>
        </w:rPr>
      </w:pPr>
      <w:r w:rsidRPr="00224C2E">
        <w:rPr>
          <w:iCs/>
        </w:rPr>
        <w:t>Diagnosis of SLE is based on assessment of clinical manifestations and laboratory findings with histology of affected organs (usually skin and kidneys). Diagnosis is challenging due to the clinical heterogeneity of SLE; however</w:t>
      </w:r>
      <w:r w:rsidR="00CB35FC" w:rsidRPr="00224C2E">
        <w:rPr>
          <w:iCs/>
        </w:rPr>
        <w:t>,</w:t>
      </w:r>
      <w:r w:rsidRPr="00224C2E">
        <w:rPr>
          <w:iCs/>
        </w:rPr>
        <w:t xml:space="preserve"> the presence of ANA provides an entry criterion under the current diagnosis criteria by the EULAR/ACR </w:t>
      </w:r>
      <w:r w:rsidR="00DB4361">
        <w:rPr>
          <w:iCs/>
        </w:rPr>
        <w:t>(</w:t>
      </w:r>
      <w:r w:rsidRPr="00224C2E">
        <w:rPr>
          <w:iCs/>
        </w:rPr>
        <w:t>2019). The EULAR/ACR 2019 SLE classification criteria requires a positive ANA test at least once as an obligatory entry criterion, followed by scoring of weighted criteria across seven clinical (constitutional, hematologic, neuropsychiatric, mucocutaneous, serosal, musculoskeletal, renal) and three immunologic (antiphospholipid antibodies, complement proteins, SLE-specific antibodies)</w:t>
      </w:r>
      <w:r w:rsidR="00F56B85" w:rsidRPr="00224C2E">
        <w:rPr>
          <w:iCs/>
        </w:rPr>
        <w:t xml:space="preserve"> domains</w:t>
      </w:r>
      <w:r w:rsidRPr="00224C2E">
        <w:rPr>
          <w:iCs/>
        </w:rPr>
        <w:t>; patients scoring ≥10 points are classified as having SLE.</w:t>
      </w:r>
    </w:p>
    <w:p w14:paraId="434BEBEC" w14:textId="0B7CBD2D" w:rsidR="00701263" w:rsidRPr="00F11EB3" w:rsidRDefault="009034B5" w:rsidP="004E18E9">
      <w:pPr>
        <w:pStyle w:val="3-BodyText"/>
      </w:pPr>
      <w:r w:rsidRPr="009034B5">
        <w:t>There is no one ‘gold standard’ instrument to assess disease activity in SLE</w:t>
      </w:r>
      <w:r w:rsidR="00DE13D6">
        <w:t>,</w:t>
      </w:r>
      <w:r w:rsidRPr="009034B5">
        <w:t xml:space="preserve"> due to heterogeneity of the disease and clinical manifestations. </w:t>
      </w:r>
      <w:r w:rsidRPr="00F11EB3">
        <w:t>The instruments used to assess disease activity include</w:t>
      </w:r>
      <w:r w:rsidR="002B2BFE" w:rsidRPr="00F11EB3">
        <w:t xml:space="preserve"> the</w:t>
      </w:r>
      <w:r w:rsidR="00701263" w:rsidRPr="00F11EB3">
        <w:t>:</w:t>
      </w:r>
    </w:p>
    <w:p w14:paraId="78D80570" w14:textId="4D27BC11" w:rsidR="00701263" w:rsidRPr="00F11EB3" w:rsidRDefault="009034B5" w:rsidP="00854261">
      <w:pPr>
        <w:pStyle w:val="3-BodyText"/>
        <w:numPr>
          <w:ilvl w:val="0"/>
          <w:numId w:val="17"/>
        </w:numPr>
        <w:spacing w:after="0"/>
        <w:ind w:left="1077" w:hanging="357"/>
      </w:pPr>
      <w:r w:rsidRPr="00F11EB3">
        <w:t>British Isles Lupus Assessment Group (BILAG) 2004 index</w:t>
      </w:r>
      <w:r w:rsidR="00701263" w:rsidRPr="00F11EB3">
        <w:t>, which measures disease activity in individual organ systems. It is generally regarded as complex and time-consuming to complete.</w:t>
      </w:r>
    </w:p>
    <w:p w14:paraId="4555C944" w14:textId="0866A5BB" w:rsidR="00701263" w:rsidRPr="00F11EB3" w:rsidRDefault="00701263" w:rsidP="00854261">
      <w:pPr>
        <w:pStyle w:val="CommentText"/>
        <w:numPr>
          <w:ilvl w:val="0"/>
          <w:numId w:val="17"/>
        </w:numPr>
        <w:rPr>
          <w:rFonts w:asciiTheme="minorHAnsi" w:hAnsiTheme="minorHAnsi" w:cs="Arial"/>
          <w:snapToGrid w:val="0"/>
          <w:sz w:val="24"/>
        </w:rPr>
      </w:pPr>
      <w:r w:rsidRPr="00F11EB3">
        <w:rPr>
          <w:rFonts w:asciiTheme="minorHAnsi" w:hAnsiTheme="minorHAnsi" w:cs="Arial"/>
          <w:snapToGrid w:val="0"/>
          <w:sz w:val="24"/>
        </w:rPr>
        <w:t>Systemic Lupus Erythematosus Disease Activity Index 2000 (SLEDAI-2K)</w:t>
      </w:r>
      <w:r w:rsidRPr="00F11EB3">
        <w:t xml:space="preserve">, </w:t>
      </w:r>
      <w:r w:rsidRPr="00F11EB3">
        <w:rPr>
          <w:rFonts w:asciiTheme="minorHAnsi" w:hAnsiTheme="minorHAnsi" w:cs="Arial"/>
          <w:snapToGrid w:val="0"/>
          <w:sz w:val="24"/>
        </w:rPr>
        <w:t>which is a global measure of disease activity</w:t>
      </w:r>
      <w:r w:rsidR="00CF039A" w:rsidRPr="00F11EB3">
        <w:rPr>
          <w:rFonts w:asciiTheme="minorHAnsi" w:hAnsiTheme="minorHAnsi" w:cs="Arial"/>
          <w:snapToGrid w:val="0"/>
          <w:sz w:val="24"/>
        </w:rPr>
        <w:t>. It is slightly less complex than the BILAG index.</w:t>
      </w:r>
    </w:p>
    <w:p w14:paraId="2A11A9D1" w14:textId="4B27A809" w:rsidR="00701263" w:rsidRPr="00D80CEA" w:rsidRDefault="00CF039A" w:rsidP="00854261">
      <w:pPr>
        <w:pStyle w:val="CommentText"/>
        <w:numPr>
          <w:ilvl w:val="0"/>
          <w:numId w:val="17"/>
        </w:numPr>
        <w:spacing w:after="120"/>
        <w:ind w:left="1077" w:hanging="357"/>
        <w:rPr>
          <w:rFonts w:asciiTheme="minorHAnsi" w:hAnsiTheme="minorHAnsi" w:cs="Arial"/>
          <w:i/>
          <w:iCs/>
          <w:snapToGrid w:val="0"/>
          <w:sz w:val="24"/>
        </w:rPr>
      </w:pPr>
      <w:r w:rsidRPr="00F11EB3">
        <w:rPr>
          <w:rFonts w:asciiTheme="minorHAnsi" w:hAnsiTheme="minorHAnsi" w:cs="Arial"/>
          <w:snapToGrid w:val="0"/>
          <w:sz w:val="24"/>
        </w:rPr>
        <w:lastRenderedPageBreak/>
        <w:t>Physician global assessment (</w:t>
      </w:r>
      <w:r w:rsidR="00701263" w:rsidRPr="00F11EB3">
        <w:rPr>
          <w:rFonts w:asciiTheme="minorHAnsi" w:hAnsiTheme="minorHAnsi" w:cs="Arial"/>
          <w:snapToGrid w:val="0"/>
          <w:sz w:val="24"/>
        </w:rPr>
        <w:t>PGA</w:t>
      </w:r>
      <w:r w:rsidRPr="00F11EB3">
        <w:rPr>
          <w:rFonts w:asciiTheme="minorHAnsi" w:hAnsiTheme="minorHAnsi" w:cs="Arial"/>
          <w:snapToGrid w:val="0"/>
          <w:sz w:val="24"/>
        </w:rPr>
        <w:t>)</w:t>
      </w:r>
      <w:r w:rsidR="00701263" w:rsidRPr="00F11EB3">
        <w:rPr>
          <w:rFonts w:asciiTheme="minorHAnsi" w:hAnsiTheme="minorHAnsi" w:cs="Arial"/>
          <w:snapToGrid w:val="0"/>
          <w:sz w:val="24"/>
        </w:rPr>
        <w:t xml:space="preserve"> which is a visual analogue scale (0-3 scale</w:t>
      </w:r>
      <w:r w:rsidRPr="00F11EB3">
        <w:rPr>
          <w:rFonts w:asciiTheme="minorHAnsi" w:hAnsiTheme="minorHAnsi" w:cs="Arial"/>
          <w:snapToGrid w:val="0"/>
          <w:sz w:val="24"/>
        </w:rPr>
        <w:t>) which is</w:t>
      </w:r>
      <w:r w:rsidR="00701263" w:rsidRPr="00F11EB3">
        <w:rPr>
          <w:rFonts w:asciiTheme="minorHAnsi" w:hAnsiTheme="minorHAnsi" w:cs="Arial"/>
          <w:snapToGrid w:val="0"/>
          <w:sz w:val="24"/>
        </w:rPr>
        <w:t xml:space="preserve"> </w:t>
      </w:r>
      <w:r w:rsidRPr="00F11EB3">
        <w:rPr>
          <w:rFonts w:asciiTheme="minorHAnsi" w:hAnsiTheme="minorHAnsi" w:cs="Arial"/>
          <w:snapToGrid w:val="0"/>
          <w:sz w:val="24"/>
        </w:rPr>
        <w:t>substantially</w:t>
      </w:r>
      <w:r w:rsidR="00701263" w:rsidRPr="00F11EB3">
        <w:rPr>
          <w:rFonts w:asciiTheme="minorHAnsi" w:hAnsiTheme="minorHAnsi" w:cs="Arial"/>
          <w:snapToGrid w:val="0"/>
          <w:sz w:val="24"/>
        </w:rPr>
        <w:t xml:space="preserve"> less complex</w:t>
      </w:r>
      <w:r w:rsidRPr="00F11EB3">
        <w:rPr>
          <w:rFonts w:asciiTheme="minorHAnsi" w:hAnsiTheme="minorHAnsi" w:cs="Arial"/>
          <w:snapToGrid w:val="0"/>
          <w:sz w:val="24"/>
        </w:rPr>
        <w:t xml:space="preserve"> to complete.</w:t>
      </w:r>
    </w:p>
    <w:p w14:paraId="4C37A3D6" w14:textId="0E95354D" w:rsidR="00CF039A" w:rsidRPr="00F11EB3" w:rsidRDefault="00CF039A" w:rsidP="00CF039A">
      <w:pPr>
        <w:pStyle w:val="3-BodyText"/>
        <w:rPr>
          <w:snapToGrid/>
        </w:rPr>
      </w:pPr>
      <w:r w:rsidRPr="00F11EB3">
        <w:t>Two composite outcomes are relevant for the submission:</w:t>
      </w:r>
    </w:p>
    <w:p w14:paraId="02AC70D9" w14:textId="7A735977" w:rsidR="00701263" w:rsidRPr="00F11EB3" w:rsidRDefault="00701263" w:rsidP="00854261">
      <w:pPr>
        <w:pStyle w:val="CommentText"/>
        <w:numPr>
          <w:ilvl w:val="0"/>
          <w:numId w:val="18"/>
        </w:numPr>
        <w:rPr>
          <w:rFonts w:asciiTheme="minorHAnsi" w:hAnsiTheme="minorHAnsi" w:cs="Arial"/>
          <w:snapToGrid w:val="0"/>
          <w:sz w:val="24"/>
        </w:rPr>
      </w:pPr>
      <w:r w:rsidRPr="00F11EB3">
        <w:rPr>
          <w:rFonts w:asciiTheme="minorHAnsi" w:hAnsiTheme="minorHAnsi" w:cs="Arial"/>
          <w:snapToGrid w:val="0"/>
          <w:sz w:val="24"/>
        </w:rPr>
        <w:t xml:space="preserve">SLE Responder Index </w:t>
      </w:r>
      <w:r w:rsidR="00CF039A" w:rsidRPr="00F11EB3">
        <w:rPr>
          <w:rFonts w:asciiTheme="minorHAnsi" w:hAnsiTheme="minorHAnsi" w:cs="Arial"/>
          <w:snapToGrid w:val="0"/>
          <w:sz w:val="24"/>
        </w:rPr>
        <w:t>(SRI), which is</w:t>
      </w:r>
      <w:r w:rsidRPr="00F11EB3">
        <w:rPr>
          <w:rFonts w:asciiTheme="minorHAnsi" w:hAnsiTheme="minorHAnsi" w:cs="Arial"/>
          <w:snapToGrid w:val="0"/>
          <w:sz w:val="24"/>
        </w:rPr>
        <w:t xml:space="preserve"> a composite of SLEDAI-2K, BILAG, PGA</w:t>
      </w:r>
      <w:r w:rsidR="00805FE5" w:rsidRPr="00F11EB3">
        <w:rPr>
          <w:rFonts w:asciiTheme="minorHAnsi" w:hAnsiTheme="minorHAnsi" w:cs="Arial"/>
          <w:snapToGrid w:val="0"/>
          <w:sz w:val="24"/>
        </w:rPr>
        <w:t>; and</w:t>
      </w:r>
    </w:p>
    <w:p w14:paraId="3E299985" w14:textId="6FC13E77" w:rsidR="00701263" w:rsidRPr="00F11EB3" w:rsidRDefault="00701263" w:rsidP="00854261">
      <w:pPr>
        <w:pStyle w:val="CommentText"/>
        <w:numPr>
          <w:ilvl w:val="0"/>
          <w:numId w:val="18"/>
        </w:numPr>
        <w:spacing w:after="120"/>
        <w:ind w:left="1077" w:hanging="357"/>
        <w:rPr>
          <w:rFonts w:asciiTheme="minorHAnsi" w:hAnsiTheme="minorHAnsi" w:cs="Arial"/>
          <w:snapToGrid w:val="0"/>
          <w:sz w:val="24"/>
        </w:rPr>
      </w:pPr>
      <w:r w:rsidRPr="00F11EB3">
        <w:rPr>
          <w:rFonts w:asciiTheme="minorHAnsi" w:hAnsiTheme="minorHAnsi" w:cs="Arial"/>
          <w:snapToGrid w:val="0"/>
          <w:sz w:val="24"/>
        </w:rPr>
        <w:t>BICLA</w:t>
      </w:r>
      <w:r w:rsidR="00CF039A" w:rsidRPr="00F11EB3">
        <w:rPr>
          <w:rFonts w:asciiTheme="minorHAnsi" w:hAnsiTheme="minorHAnsi" w:cs="Arial"/>
          <w:snapToGrid w:val="0"/>
          <w:sz w:val="24"/>
        </w:rPr>
        <w:t>, which is</w:t>
      </w:r>
      <w:r w:rsidRPr="00F11EB3">
        <w:rPr>
          <w:rFonts w:asciiTheme="minorHAnsi" w:hAnsiTheme="minorHAnsi" w:cs="Arial"/>
          <w:snapToGrid w:val="0"/>
          <w:sz w:val="24"/>
        </w:rPr>
        <w:t xml:space="preserve"> a different composite of SLEDAI-2K, BILAG, PGA</w:t>
      </w:r>
      <w:r w:rsidR="00805FE5" w:rsidRPr="00F11EB3">
        <w:rPr>
          <w:rFonts w:asciiTheme="minorHAnsi" w:hAnsiTheme="minorHAnsi" w:cs="Arial"/>
          <w:snapToGrid w:val="0"/>
          <w:sz w:val="24"/>
        </w:rPr>
        <w:t>.</w:t>
      </w:r>
    </w:p>
    <w:p w14:paraId="54C86C1A" w14:textId="02E3441B" w:rsidR="006F21C6" w:rsidRPr="00475018" w:rsidRDefault="006F21C6" w:rsidP="004E18E9">
      <w:pPr>
        <w:pStyle w:val="3-BodyText"/>
        <w:rPr>
          <w:i/>
        </w:rPr>
      </w:pPr>
      <w:r>
        <w:t xml:space="preserve">Both SLEDAI-2K and BILAG scores correlate with organ damage and mortality risk. SLEDAI-2K differs from BILAG in that it is binary (presence/absence of a symptom), whereas BILAG assesses the presence of a symptom (whether new, improved, same or worse) </w:t>
      </w:r>
      <w:r w:rsidRPr="00224C2E">
        <w:rPr>
          <w:iCs/>
        </w:rPr>
        <w:t>to evaluate the activity for each organ. While the SLEDAI is a simple global index and the BILAG is comprehensive organ-specific index, the limitations of these instruments are that SLEDAI cannot evaluate improvement and the BILAG does not contain serological evaluation.</w:t>
      </w:r>
    </w:p>
    <w:p w14:paraId="73980279" w14:textId="77777777" w:rsidR="00E02588" w:rsidRDefault="006F21C6" w:rsidP="004E18E9">
      <w:pPr>
        <w:pStyle w:val="3-BodyText"/>
      </w:pPr>
      <w:r>
        <w:t>T</w:t>
      </w:r>
      <w:r w:rsidRPr="006F21C6">
        <w:t xml:space="preserve">he overall goals of treatment </w:t>
      </w:r>
      <w:r w:rsidR="00EF1FD2" w:rsidRPr="006F21C6">
        <w:t>are</w:t>
      </w:r>
      <w:r w:rsidRPr="006F21C6">
        <w:t xml:space="preserve"> to ensure long-term patient survival, prevention of organ damage, minimise drug side-effects and improve patient outcome. Management of SLE should aim for remission of disease symptoms and signs (or low disease activity) to improve long-term patient outcomes. </w:t>
      </w:r>
    </w:p>
    <w:p w14:paraId="20F184CC" w14:textId="6369F03B" w:rsidR="00DE06B4" w:rsidRPr="00DE06B4" w:rsidRDefault="006F21C6" w:rsidP="00E02588">
      <w:pPr>
        <w:pStyle w:val="3-BodyText"/>
      </w:pPr>
      <w:r>
        <w:t xml:space="preserve">For patients with </w:t>
      </w:r>
      <w:r w:rsidR="00DE06B4">
        <w:t xml:space="preserve">high </w:t>
      </w:r>
      <w:r>
        <w:t xml:space="preserve">disease activity (SLEDAI-2K </w:t>
      </w:r>
      <w:r>
        <w:rPr>
          <w:rFonts w:cs="Calibri"/>
        </w:rPr>
        <w:t>≥</w:t>
      </w:r>
      <w:r>
        <w:t xml:space="preserve">10), current treatments </w:t>
      </w:r>
      <w:proofErr w:type="gramStart"/>
      <w:r>
        <w:t>are:</w:t>
      </w:r>
      <w:proofErr w:type="gramEnd"/>
      <w:r>
        <w:t xml:space="preserve"> non-steroidal anti-inflammatory drugs (NSAIDs), antimalarials (i.e. </w:t>
      </w:r>
      <w:r w:rsidR="00CF2C5C" w:rsidRPr="00CF2C5C">
        <w:t xml:space="preserve">hydroxychloroquine </w:t>
      </w:r>
      <w:r w:rsidR="00CF2C5C">
        <w:t>(</w:t>
      </w:r>
      <w:r>
        <w:t>HCQ</w:t>
      </w:r>
      <w:r w:rsidR="00CF2C5C">
        <w:t>)</w:t>
      </w:r>
      <w:r>
        <w:t xml:space="preserve">), </w:t>
      </w:r>
      <w:r w:rsidR="00DE13D6">
        <w:t xml:space="preserve">oral </w:t>
      </w:r>
      <w:r>
        <w:t>corticosteroids</w:t>
      </w:r>
      <w:r w:rsidR="00DE13D6">
        <w:t xml:space="preserve"> (OCS)</w:t>
      </w:r>
      <w:r>
        <w:t xml:space="preserve">, non-biologic immunosuppressants (i.e. </w:t>
      </w:r>
      <w:r w:rsidR="00CF2C5C" w:rsidRPr="00CF2C5C">
        <w:t xml:space="preserve">azathioprine </w:t>
      </w:r>
      <w:r w:rsidR="00CF2C5C">
        <w:t>(</w:t>
      </w:r>
      <w:r>
        <w:t>AZA</w:t>
      </w:r>
      <w:r w:rsidR="00CF2C5C">
        <w:t>)</w:t>
      </w:r>
      <w:r>
        <w:t xml:space="preserve">, </w:t>
      </w:r>
      <w:r w:rsidR="00CF2C5C">
        <w:t>methotrexate (</w:t>
      </w:r>
      <w:r>
        <w:t>MTX</w:t>
      </w:r>
      <w:r w:rsidR="00CF2C5C">
        <w:t>)</w:t>
      </w:r>
      <w:r>
        <w:t xml:space="preserve"> and mycophenolate), </w:t>
      </w:r>
      <w:r w:rsidR="00DE13D6">
        <w:t xml:space="preserve">and/or </w:t>
      </w:r>
      <w:r>
        <w:t xml:space="preserve">biologic therapies (i.e. belimumab and off-label rituximab). The preferred treatment is </w:t>
      </w:r>
      <w:r w:rsidR="00E02588">
        <w:t>‘</w:t>
      </w:r>
      <w:r>
        <w:t>triple therapy</w:t>
      </w:r>
      <w:r w:rsidR="00E02588">
        <w:t>’</w:t>
      </w:r>
      <w:r>
        <w:t xml:space="preserve"> comprising HCQ, OCS and an immunosuppressive agent, unless contraindicated or not tolerated</w:t>
      </w:r>
      <w:r w:rsidR="00E02588">
        <w:t xml:space="preserve">. </w:t>
      </w:r>
      <w:r w:rsidR="00E02588" w:rsidRPr="00F11EB3">
        <w:t>This population is reflected by</w:t>
      </w:r>
      <w:r w:rsidR="00E02588">
        <w:t xml:space="preserve"> </w:t>
      </w:r>
      <w:bookmarkStart w:id="8" w:name="_Ref105754178"/>
      <w:r w:rsidR="00E02588">
        <w:t>t</w:t>
      </w:r>
      <w:r w:rsidR="00DE06B4" w:rsidRPr="00DE06B4">
        <w:t>he target population in the submission</w:t>
      </w:r>
      <w:r w:rsidR="00E02588">
        <w:t>:</w:t>
      </w:r>
      <w:r w:rsidR="00DE06B4" w:rsidRPr="00DE06B4">
        <w:t xml:space="preserve"> patients with diagnosed severe SLE who have a high degree of disease activity </w:t>
      </w:r>
      <w:r w:rsidR="00714DAB">
        <w:t>(</w:t>
      </w:r>
      <w:r w:rsidR="00DE06B4" w:rsidRPr="00DE06B4">
        <w:t xml:space="preserve">measured by SLEDAI-2K ≥10 points </w:t>
      </w:r>
      <w:r w:rsidR="00DE06B4" w:rsidRPr="000C6734">
        <w:t>disease activity score</w:t>
      </w:r>
      <w:r w:rsidR="00714DAB" w:rsidRPr="000C6734">
        <w:t>)</w:t>
      </w:r>
      <w:r w:rsidR="00DE06B4" w:rsidRPr="000C6734">
        <w:t xml:space="preserve"> despite</w:t>
      </w:r>
      <w:r w:rsidR="00E02588" w:rsidRPr="000C6734">
        <w:t xml:space="preserve"> triple therapy</w:t>
      </w:r>
      <w:r w:rsidR="00DE06B4" w:rsidRPr="000C6734">
        <w:t xml:space="preserve"> SOC (i</w:t>
      </w:r>
      <w:r w:rsidR="00702DCC" w:rsidRPr="000C6734">
        <w:t>.</w:t>
      </w:r>
      <w:r w:rsidR="00DE06B4" w:rsidRPr="000C6734">
        <w:t>e</w:t>
      </w:r>
      <w:r w:rsidR="00702DCC" w:rsidRPr="000C6734">
        <w:t>.</w:t>
      </w:r>
      <w:r w:rsidR="00DE06B4" w:rsidRPr="000C6734">
        <w:t xml:space="preserve"> an antimalarial</w:t>
      </w:r>
      <w:r w:rsidR="00E02588" w:rsidRPr="000C6734">
        <w:t xml:space="preserve"> [HCQ]</w:t>
      </w:r>
      <w:r w:rsidR="00DE06B4" w:rsidRPr="000C6734">
        <w:t>, an immunosup</w:t>
      </w:r>
      <w:r w:rsidR="00DE06B4" w:rsidRPr="00DE06B4">
        <w:t>pressant</w:t>
      </w:r>
      <w:r w:rsidR="00714DAB">
        <w:t>,</w:t>
      </w:r>
      <w:r w:rsidR="00DE06B4" w:rsidRPr="00DE06B4">
        <w:t xml:space="preserve"> and 7.5 mg/day prednisone or equivalent).</w:t>
      </w:r>
      <w:bookmarkEnd w:id="8"/>
      <w:r w:rsidR="00194692">
        <w:t xml:space="preserve"> </w:t>
      </w:r>
    </w:p>
    <w:p w14:paraId="7C3295CB" w14:textId="1D3FD528" w:rsidR="006F21C6" w:rsidRDefault="006F21C6" w:rsidP="004E18E9">
      <w:pPr>
        <w:pStyle w:val="3-BodyText"/>
      </w:pPr>
      <w:proofErr w:type="spellStart"/>
      <w:r w:rsidRPr="00616338">
        <w:t>Anifrolumab</w:t>
      </w:r>
      <w:proofErr w:type="spellEnd"/>
      <w:r w:rsidRPr="00616338">
        <w:t xml:space="preserve"> is a human immunoglobulin G1 kappa monoclonal antibody that binds</w:t>
      </w:r>
      <w:r>
        <w:t xml:space="preserve"> to Type I interferon receptor (IFNA1), inducing the internalisation of IFNAR1 (reducing the cell surface levels) and blocking the activity of Type I IFNs. </w:t>
      </w:r>
      <w:r w:rsidRPr="00B46381">
        <w:t>Type I IFNs play an important role in the pathogenesis of SLE.</w:t>
      </w:r>
      <w:r>
        <w:t xml:space="preserve"> By blocking Type I signalling, </w:t>
      </w:r>
      <w:proofErr w:type="spellStart"/>
      <w:r>
        <w:t>anifrolumab</w:t>
      </w:r>
      <w:proofErr w:type="spellEnd"/>
      <w:r>
        <w:t xml:space="preserve"> inhibits IFN responsive gene expression and downstream inflammatory and immunological processes. </w:t>
      </w:r>
      <w:proofErr w:type="spellStart"/>
      <w:r>
        <w:t>Anifrolumab</w:t>
      </w:r>
      <w:proofErr w:type="spellEnd"/>
      <w:r>
        <w:t xml:space="preserve"> is able to target IFN signalling that is dysregulated in SLE and therefore block</w:t>
      </w:r>
      <w:r w:rsidR="00AC215F">
        <w:t>s</w:t>
      </w:r>
      <w:r>
        <w:t xml:space="preserve"> plasma cell differentiation and normalises peripheral T-cells subsets, restoring balance between adaptive and </w:t>
      </w:r>
      <w:r w:rsidRPr="00B46381">
        <w:t>innate immunity that is dysregulated in multiple autoimmune disorders.</w:t>
      </w:r>
    </w:p>
    <w:p w14:paraId="51E5AE96" w14:textId="136A63B1" w:rsidR="00B50DB8" w:rsidRPr="00407F2D" w:rsidRDefault="00B50DB8" w:rsidP="004E18E9">
      <w:pPr>
        <w:pStyle w:val="2-SectionHeading"/>
      </w:pPr>
      <w:bookmarkStart w:id="9" w:name="_Toc103015531"/>
      <w:r w:rsidRPr="00407F2D">
        <w:t>Comparator</w:t>
      </w:r>
      <w:bookmarkEnd w:id="9"/>
    </w:p>
    <w:p w14:paraId="48621769" w14:textId="2662DA0D" w:rsidR="0054136F" w:rsidRPr="0054136F" w:rsidRDefault="0054136F" w:rsidP="00882E3C">
      <w:pPr>
        <w:pStyle w:val="3-BodyText"/>
        <w:rPr>
          <w:snapToGrid/>
          <w:lang w:val="en-US"/>
        </w:rPr>
      </w:pPr>
      <w:r w:rsidRPr="0054136F">
        <w:rPr>
          <w:snapToGrid/>
          <w:lang w:val="en-US"/>
        </w:rPr>
        <w:t xml:space="preserve">The submission nominated SOC alone (placebo) as </w:t>
      </w:r>
      <w:r w:rsidR="00CF039A">
        <w:rPr>
          <w:snapToGrid/>
          <w:lang w:val="en-US"/>
        </w:rPr>
        <w:t xml:space="preserve">the </w:t>
      </w:r>
      <w:r w:rsidRPr="0054136F">
        <w:rPr>
          <w:snapToGrid/>
          <w:lang w:val="en-US"/>
        </w:rPr>
        <w:t xml:space="preserve">main comparator comprising triple therapy </w:t>
      </w:r>
      <w:proofErr w:type="gramStart"/>
      <w:r w:rsidRPr="0054136F">
        <w:rPr>
          <w:snapToGrid/>
          <w:lang w:val="en-US"/>
        </w:rPr>
        <w:t>with:</w:t>
      </w:r>
      <w:proofErr w:type="gramEnd"/>
      <w:r w:rsidRPr="0054136F">
        <w:rPr>
          <w:snapToGrid/>
          <w:lang w:val="en-US"/>
        </w:rPr>
        <w:t xml:space="preserve"> </w:t>
      </w:r>
      <w:proofErr w:type="spellStart"/>
      <w:r w:rsidRPr="0054136F">
        <w:rPr>
          <w:snapToGrid/>
          <w:lang w:val="en-US"/>
        </w:rPr>
        <w:t>i</w:t>
      </w:r>
      <w:proofErr w:type="spellEnd"/>
      <w:r w:rsidRPr="0054136F">
        <w:rPr>
          <w:snapToGrid/>
          <w:lang w:val="en-US"/>
        </w:rPr>
        <w:t xml:space="preserve">) HCQ, ii) an immunosuppressant (minimum dose of MTX 20 mg </w:t>
      </w:r>
      <w:r w:rsidRPr="0054136F">
        <w:rPr>
          <w:snapToGrid/>
          <w:lang w:val="en-US"/>
        </w:rPr>
        <w:lastRenderedPageBreak/>
        <w:t xml:space="preserve">per week, AZA 100 mg per day or mycophenolate 1000 mg per day) for at least 12 weeks, and iii) </w:t>
      </w:r>
      <w:r w:rsidR="00486BF5">
        <w:t xml:space="preserve">prednisone </w:t>
      </w:r>
      <w:r w:rsidR="00486BF5">
        <w:rPr>
          <w:rFonts w:cs="Calibri"/>
        </w:rPr>
        <w:t>≥</w:t>
      </w:r>
      <w:r w:rsidR="00486BF5">
        <w:t xml:space="preserve">7.5 mg per day (or equivalent) for at least 4 weeks. </w:t>
      </w:r>
    </w:p>
    <w:p w14:paraId="1C303F88" w14:textId="746EC195" w:rsidR="0054136F" w:rsidRPr="009225AB" w:rsidRDefault="0054136F" w:rsidP="00882E3C">
      <w:pPr>
        <w:pStyle w:val="3-BodyText"/>
        <w:rPr>
          <w:i/>
          <w:snapToGrid/>
          <w:lang w:val="en-US"/>
        </w:rPr>
      </w:pPr>
      <w:r w:rsidRPr="0054136F">
        <w:rPr>
          <w:snapToGrid/>
          <w:lang w:val="en-US"/>
        </w:rPr>
        <w:t>The submission did not consider belimumab a near market comparator, given that it was not recommended by the PBAC and</w:t>
      </w:r>
      <w:r w:rsidR="007D34E0">
        <w:rPr>
          <w:snapToGrid/>
          <w:lang w:val="en-US"/>
        </w:rPr>
        <w:t xml:space="preserve"> the</w:t>
      </w:r>
      <w:r w:rsidRPr="0054136F">
        <w:rPr>
          <w:snapToGrid/>
          <w:lang w:val="en-US"/>
        </w:rPr>
        <w:t xml:space="preserve"> sponsor of belimumab </w:t>
      </w:r>
      <w:r w:rsidR="000B5B3D">
        <w:rPr>
          <w:snapToGrid/>
          <w:lang w:val="en-US"/>
        </w:rPr>
        <w:t xml:space="preserve">stated that it </w:t>
      </w:r>
      <w:r w:rsidRPr="0054136F">
        <w:rPr>
          <w:snapToGrid/>
          <w:lang w:val="en-US"/>
        </w:rPr>
        <w:t xml:space="preserve">will not be resubmitting to the PBAC for the subset of patients with severe SLE (paragraph 9, belimumab PSD July 2020 PBAC meeting). </w:t>
      </w:r>
    </w:p>
    <w:p w14:paraId="42644BCF" w14:textId="3C8DE67A" w:rsidR="009225AB" w:rsidRPr="0054136F" w:rsidRDefault="009225AB" w:rsidP="009225AB">
      <w:pPr>
        <w:pStyle w:val="3-BodyText"/>
        <w:numPr>
          <w:ilvl w:val="0"/>
          <w:numId w:val="0"/>
        </w:numPr>
        <w:ind w:left="720"/>
        <w:rPr>
          <w:i/>
          <w:snapToGrid/>
          <w:lang w:val="en-US"/>
        </w:rPr>
      </w:pPr>
      <w:r w:rsidRPr="00C33D30">
        <w:rPr>
          <w:i/>
        </w:rPr>
        <w:t>For more detail on PBAC’s view, see section 7 PBAC outcome.</w:t>
      </w:r>
    </w:p>
    <w:p w14:paraId="7F9C27C8" w14:textId="5E2C01AF" w:rsidR="00223D5A" w:rsidRDefault="00223D5A" w:rsidP="00223D5A">
      <w:pPr>
        <w:pStyle w:val="2-SectionHeading"/>
        <w:numPr>
          <w:ilvl w:val="0"/>
          <w:numId w:val="1"/>
        </w:numPr>
      </w:pPr>
      <w:bookmarkStart w:id="10" w:name="_Toc103015532"/>
      <w:bookmarkStart w:id="11" w:name="_Toc22897640"/>
      <w:r>
        <w:t>C</w:t>
      </w:r>
      <w:r w:rsidRPr="00407F2D">
        <w:t>onsideration of the evidence</w:t>
      </w:r>
      <w:bookmarkEnd w:id="10"/>
    </w:p>
    <w:p w14:paraId="70B41AFE" w14:textId="77777777" w:rsidR="009225AB" w:rsidRPr="006E1229" w:rsidRDefault="009225AB" w:rsidP="00BD25AB">
      <w:pPr>
        <w:pStyle w:val="4-SubsectionHeading"/>
      </w:pPr>
      <w:bookmarkStart w:id="12" w:name="_Hlk76375935"/>
      <w:r w:rsidRPr="006E1229">
        <w:t>Sponsor hearing</w:t>
      </w:r>
    </w:p>
    <w:p w14:paraId="67B5B4A8" w14:textId="78298258" w:rsidR="00792338" w:rsidRPr="00195274" w:rsidRDefault="001306B5" w:rsidP="00195274">
      <w:pPr>
        <w:widowControl w:val="0"/>
        <w:numPr>
          <w:ilvl w:val="1"/>
          <w:numId w:val="1"/>
        </w:numPr>
        <w:spacing w:after="120"/>
        <w:rPr>
          <w:rFonts w:asciiTheme="minorHAnsi" w:hAnsiTheme="minorHAnsi"/>
          <w:bCs/>
          <w:snapToGrid w:val="0"/>
        </w:rPr>
      </w:pPr>
      <w:bookmarkStart w:id="13" w:name="_Hlk76382586"/>
      <w:r w:rsidRPr="00836F75">
        <w:rPr>
          <w:rFonts w:asciiTheme="minorHAnsi" w:hAnsiTheme="minorHAnsi"/>
          <w:bCs/>
          <w:snapToGrid w:val="0"/>
        </w:rPr>
        <w:t xml:space="preserve">The sponsor requested a hearing for this item. The clinician </w:t>
      </w:r>
      <w:bookmarkEnd w:id="13"/>
      <w:r>
        <w:rPr>
          <w:rFonts w:asciiTheme="minorHAnsi" w:hAnsiTheme="minorHAnsi"/>
          <w:bCs/>
          <w:snapToGrid w:val="0"/>
        </w:rPr>
        <w:t>stated that SLE p</w:t>
      </w:r>
      <w:r w:rsidRPr="00195274">
        <w:rPr>
          <w:rFonts w:asciiTheme="minorHAnsi" w:hAnsiTheme="minorHAnsi"/>
          <w:bCs/>
          <w:snapToGrid w:val="0"/>
        </w:rPr>
        <w:t>atients are currently treated with drugs that have been available since the 1950s</w:t>
      </w:r>
      <w:r>
        <w:rPr>
          <w:rFonts w:asciiTheme="minorHAnsi" w:hAnsiTheme="minorHAnsi"/>
          <w:bCs/>
          <w:snapToGrid w:val="0"/>
        </w:rPr>
        <w:t xml:space="preserve"> w</w:t>
      </w:r>
      <w:r w:rsidR="00E02F62">
        <w:rPr>
          <w:rFonts w:asciiTheme="minorHAnsi" w:hAnsiTheme="minorHAnsi"/>
          <w:bCs/>
          <w:snapToGrid w:val="0"/>
        </w:rPr>
        <w:t xml:space="preserve">hich can have </w:t>
      </w:r>
      <w:r w:rsidRPr="00195274">
        <w:rPr>
          <w:rFonts w:asciiTheme="minorHAnsi" w:hAnsiTheme="minorHAnsi"/>
          <w:bCs/>
          <w:snapToGrid w:val="0"/>
        </w:rPr>
        <w:t xml:space="preserve">poor effectiveness and </w:t>
      </w:r>
      <w:r>
        <w:rPr>
          <w:rFonts w:asciiTheme="minorHAnsi" w:hAnsiTheme="minorHAnsi"/>
          <w:bCs/>
          <w:snapToGrid w:val="0"/>
        </w:rPr>
        <w:t>safety</w:t>
      </w:r>
      <w:r w:rsidRPr="00195274">
        <w:rPr>
          <w:rFonts w:asciiTheme="minorHAnsi" w:hAnsiTheme="minorHAnsi"/>
          <w:bCs/>
          <w:snapToGrid w:val="0"/>
        </w:rPr>
        <w:t xml:space="preserve">. Consequently, patients </w:t>
      </w:r>
      <w:r w:rsidR="009D1A8F">
        <w:rPr>
          <w:rFonts w:asciiTheme="minorHAnsi" w:hAnsiTheme="minorHAnsi"/>
          <w:bCs/>
          <w:snapToGrid w:val="0"/>
        </w:rPr>
        <w:t>experience</w:t>
      </w:r>
      <w:r w:rsidRPr="00195274">
        <w:rPr>
          <w:rFonts w:asciiTheme="minorHAnsi" w:hAnsiTheme="minorHAnsi"/>
          <w:bCs/>
          <w:snapToGrid w:val="0"/>
        </w:rPr>
        <w:t xml:space="preserve"> accrual of organ damage</w:t>
      </w:r>
      <w:r>
        <w:rPr>
          <w:rFonts w:asciiTheme="minorHAnsi" w:hAnsiTheme="minorHAnsi"/>
          <w:bCs/>
          <w:snapToGrid w:val="0"/>
        </w:rPr>
        <w:t xml:space="preserve">, </w:t>
      </w:r>
      <w:r w:rsidR="00A45B49">
        <w:rPr>
          <w:rFonts w:asciiTheme="minorHAnsi" w:hAnsiTheme="minorHAnsi"/>
          <w:bCs/>
          <w:snapToGrid w:val="0"/>
        </w:rPr>
        <w:t>reduced</w:t>
      </w:r>
      <w:r w:rsidRPr="00195274">
        <w:rPr>
          <w:rFonts w:asciiTheme="minorHAnsi" w:hAnsiTheme="minorHAnsi"/>
          <w:bCs/>
          <w:snapToGrid w:val="0"/>
        </w:rPr>
        <w:t xml:space="preserve"> </w:t>
      </w:r>
      <w:r w:rsidR="009D1A8F">
        <w:rPr>
          <w:rFonts w:asciiTheme="minorHAnsi" w:hAnsiTheme="minorHAnsi"/>
          <w:bCs/>
          <w:snapToGrid w:val="0"/>
        </w:rPr>
        <w:t>quality of life</w:t>
      </w:r>
      <w:r w:rsidRPr="00195274">
        <w:rPr>
          <w:rFonts w:asciiTheme="minorHAnsi" w:hAnsiTheme="minorHAnsi"/>
          <w:bCs/>
          <w:snapToGrid w:val="0"/>
        </w:rPr>
        <w:t>, low work</w:t>
      </w:r>
      <w:r w:rsidR="00A45B49">
        <w:rPr>
          <w:rFonts w:asciiTheme="minorHAnsi" w:hAnsiTheme="minorHAnsi"/>
          <w:bCs/>
          <w:snapToGrid w:val="0"/>
        </w:rPr>
        <w:t>force</w:t>
      </w:r>
      <w:r w:rsidRPr="00195274">
        <w:rPr>
          <w:rFonts w:asciiTheme="minorHAnsi" w:hAnsiTheme="minorHAnsi"/>
          <w:bCs/>
          <w:snapToGrid w:val="0"/>
        </w:rPr>
        <w:t xml:space="preserve"> participation</w:t>
      </w:r>
      <w:r>
        <w:rPr>
          <w:rFonts w:asciiTheme="minorHAnsi" w:hAnsiTheme="minorHAnsi"/>
          <w:bCs/>
          <w:snapToGrid w:val="0"/>
        </w:rPr>
        <w:t>,</w:t>
      </w:r>
      <w:r w:rsidRPr="00195274">
        <w:rPr>
          <w:rFonts w:asciiTheme="minorHAnsi" w:hAnsiTheme="minorHAnsi"/>
          <w:bCs/>
          <w:snapToGrid w:val="0"/>
        </w:rPr>
        <w:t xml:space="preserve"> and increased mortality. </w:t>
      </w:r>
      <w:r w:rsidR="00F2330D">
        <w:rPr>
          <w:rFonts w:asciiTheme="minorHAnsi" w:hAnsiTheme="minorHAnsi"/>
          <w:bCs/>
          <w:snapToGrid w:val="0"/>
        </w:rPr>
        <w:t>P</w:t>
      </w:r>
      <w:r w:rsidRPr="00195274">
        <w:rPr>
          <w:rFonts w:asciiTheme="minorHAnsi" w:hAnsiTheme="minorHAnsi"/>
          <w:bCs/>
          <w:snapToGrid w:val="0"/>
        </w:rPr>
        <w:t>atients with SLEDAI</w:t>
      </w:r>
      <w:r>
        <w:rPr>
          <w:rFonts w:asciiTheme="minorHAnsi" w:hAnsiTheme="minorHAnsi"/>
          <w:bCs/>
          <w:snapToGrid w:val="0"/>
        </w:rPr>
        <w:t> </w:t>
      </w:r>
      <w:r w:rsidRPr="00195274">
        <w:rPr>
          <w:rFonts w:asciiTheme="minorHAnsi" w:hAnsiTheme="minorHAnsi" w:cstheme="minorHAnsi"/>
          <w:bCs/>
          <w:snapToGrid w:val="0"/>
        </w:rPr>
        <w:t>≥</w:t>
      </w:r>
      <w:r w:rsidRPr="00195274">
        <w:rPr>
          <w:rFonts w:asciiTheme="minorHAnsi" w:hAnsiTheme="minorHAnsi"/>
          <w:bCs/>
          <w:snapToGrid w:val="0"/>
        </w:rPr>
        <w:t xml:space="preserve">10 have much worse outcomes, with increased organ damage and 5-times </w:t>
      </w:r>
      <w:r w:rsidR="000F3CCA">
        <w:rPr>
          <w:rFonts w:asciiTheme="minorHAnsi" w:hAnsiTheme="minorHAnsi"/>
          <w:bCs/>
          <w:snapToGrid w:val="0"/>
        </w:rPr>
        <w:t>higher</w:t>
      </w:r>
      <w:r w:rsidRPr="00195274">
        <w:rPr>
          <w:rFonts w:asciiTheme="minorHAnsi" w:hAnsiTheme="minorHAnsi"/>
          <w:bCs/>
          <w:snapToGrid w:val="0"/>
        </w:rPr>
        <w:t xml:space="preserve"> mortality. </w:t>
      </w:r>
      <w:r>
        <w:rPr>
          <w:rFonts w:asciiTheme="minorHAnsi" w:hAnsiTheme="minorHAnsi"/>
          <w:bCs/>
          <w:snapToGrid w:val="0"/>
        </w:rPr>
        <w:t xml:space="preserve">The clinician explained that </w:t>
      </w:r>
      <w:r w:rsidRPr="00195274">
        <w:rPr>
          <w:rFonts w:asciiTheme="minorHAnsi" w:hAnsiTheme="minorHAnsi"/>
          <w:bCs/>
          <w:snapToGrid w:val="0"/>
        </w:rPr>
        <w:t>SLE is a complex disease where any organ can be affected, at any time, and multiple organ damage can occur</w:t>
      </w:r>
      <w:r>
        <w:rPr>
          <w:rFonts w:asciiTheme="minorHAnsi" w:hAnsiTheme="minorHAnsi"/>
          <w:bCs/>
          <w:snapToGrid w:val="0"/>
        </w:rPr>
        <w:t>; t</w:t>
      </w:r>
      <w:r w:rsidRPr="00195274">
        <w:rPr>
          <w:rFonts w:asciiTheme="minorHAnsi" w:hAnsiTheme="minorHAnsi"/>
          <w:bCs/>
          <w:snapToGrid w:val="0"/>
        </w:rPr>
        <w:t>reatment needs to be driven by individual patient circumstances, and this makes measurement of outcomes difficult.</w:t>
      </w:r>
      <w:r>
        <w:rPr>
          <w:rFonts w:asciiTheme="minorHAnsi" w:hAnsiTheme="minorHAnsi"/>
          <w:bCs/>
          <w:snapToGrid w:val="0"/>
        </w:rPr>
        <w:t xml:space="preserve"> </w:t>
      </w:r>
      <w:r w:rsidRPr="00195274">
        <w:rPr>
          <w:rFonts w:asciiTheme="minorHAnsi" w:hAnsiTheme="minorHAnsi"/>
          <w:bCs/>
          <w:snapToGrid w:val="0"/>
        </w:rPr>
        <w:t>The clinician stated that a</w:t>
      </w:r>
      <w:r w:rsidR="00521DDD">
        <w:rPr>
          <w:rFonts w:asciiTheme="minorHAnsi" w:hAnsiTheme="minorHAnsi"/>
          <w:bCs/>
          <w:snapToGrid w:val="0"/>
        </w:rPr>
        <w:t xml:space="preserve"> disease</w:t>
      </w:r>
      <w:r w:rsidRPr="00195274">
        <w:rPr>
          <w:rFonts w:asciiTheme="minorHAnsi" w:hAnsiTheme="minorHAnsi"/>
          <w:bCs/>
          <w:snapToGrid w:val="0"/>
        </w:rPr>
        <w:t xml:space="preserve"> flare is not always accompanied by an increase in SLEDAI score, and a flare that resolves may not be accompanied by a decrease in SLEDAI score. This</w:t>
      </w:r>
      <w:r>
        <w:rPr>
          <w:rFonts w:asciiTheme="minorHAnsi" w:hAnsiTheme="minorHAnsi"/>
          <w:bCs/>
          <w:snapToGrid w:val="0"/>
        </w:rPr>
        <w:t xml:space="preserve"> complexity</w:t>
      </w:r>
      <w:r w:rsidRPr="00195274">
        <w:rPr>
          <w:rFonts w:asciiTheme="minorHAnsi" w:hAnsiTheme="minorHAnsi"/>
          <w:bCs/>
          <w:snapToGrid w:val="0"/>
        </w:rPr>
        <w:t xml:space="preserve"> may lead to an individual outcome not reaching statistical significance,</w:t>
      </w:r>
      <w:r>
        <w:rPr>
          <w:rFonts w:asciiTheme="minorHAnsi" w:hAnsiTheme="minorHAnsi"/>
          <w:bCs/>
          <w:snapToGrid w:val="0"/>
        </w:rPr>
        <w:t xml:space="preserve"> as in the TULIP-1 trial</w:t>
      </w:r>
      <w:r w:rsidRPr="00195274">
        <w:rPr>
          <w:rFonts w:asciiTheme="minorHAnsi" w:hAnsiTheme="minorHAnsi"/>
          <w:bCs/>
          <w:snapToGrid w:val="0"/>
        </w:rPr>
        <w:t xml:space="preserve">. </w:t>
      </w:r>
    </w:p>
    <w:p w14:paraId="5C9D9D56" w14:textId="77777777" w:rsidR="009225AB" w:rsidRPr="006E1229" w:rsidRDefault="009225AB" w:rsidP="00BD25AB">
      <w:pPr>
        <w:pStyle w:val="4-SubsectionHeading"/>
      </w:pPr>
      <w:r w:rsidRPr="006E1229">
        <w:t>Consumer comments</w:t>
      </w:r>
    </w:p>
    <w:p w14:paraId="4763623C" w14:textId="2EF36E4E" w:rsidR="00096F2E" w:rsidRDefault="00096F2E" w:rsidP="00096F2E">
      <w:pPr>
        <w:widowControl w:val="0"/>
        <w:numPr>
          <w:ilvl w:val="1"/>
          <w:numId w:val="1"/>
        </w:numPr>
        <w:spacing w:after="120"/>
        <w:rPr>
          <w:rFonts w:asciiTheme="minorHAnsi" w:hAnsiTheme="minorHAnsi"/>
          <w:bCs/>
          <w:snapToGrid w:val="0"/>
        </w:rPr>
      </w:pPr>
      <w:bookmarkStart w:id="14" w:name="_Hlk76382618"/>
      <w:r w:rsidRPr="00836F75">
        <w:rPr>
          <w:rFonts w:asciiTheme="minorHAnsi" w:hAnsiTheme="minorHAnsi"/>
          <w:bCs/>
          <w:snapToGrid w:val="0"/>
        </w:rPr>
        <w:t>The PBAC noted and welcomed the input from individuals</w:t>
      </w:r>
      <w:r w:rsidR="00521DDD">
        <w:rPr>
          <w:rFonts w:asciiTheme="minorHAnsi" w:hAnsiTheme="minorHAnsi"/>
          <w:bCs/>
          <w:snapToGrid w:val="0"/>
        </w:rPr>
        <w:t xml:space="preserve"> with SLE or family members</w:t>
      </w:r>
      <w:r w:rsidRPr="00836F75">
        <w:rPr>
          <w:rFonts w:asciiTheme="minorHAnsi" w:hAnsiTheme="minorHAnsi"/>
          <w:bCs/>
          <w:snapToGrid w:val="0"/>
        </w:rPr>
        <w:t xml:space="preserve"> (</w:t>
      </w:r>
      <w:r>
        <w:rPr>
          <w:rFonts w:asciiTheme="minorHAnsi" w:hAnsiTheme="minorHAnsi"/>
          <w:bCs/>
          <w:snapToGrid w:val="0"/>
        </w:rPr>
        <w:t>128</w:t>
      </w:r>
      <w:r w:rsidRPr="00836F75">
        <w:rPr>
          <w:rFonts w:asciiTheme="minorHAnsi" w:hAnsiTheme="minorHAnsi"/>
          <w:bCs/>
          <w:snapToGrid w:val="0"/>
        </w:rPr>
        <w:t xml:space="preserve">), </w:t>
      </w:r>
      <w:r w:rsidR="00BF73DC">
        <w:rPr>
          <w:rFonts w:asciiTheme="minorHAnsi" w:hAnsiTheme="minorHAnsi"/>
          <w:bCs/>
          <w:snapToGrid w:val="0"/>
        </w:rPr>
        <w:t xml:space="preserve">a </w:t>
      </w:r>
      <w:r w:rsidRPr="00836F75">
        <w:rPr>
          <w:rFonts w:asciiTheme="minorHAnsi" w:hAnsiTheme="minorHAnsi"/>
          <w:bCs/>
          <w:snapToGrid w:val="0"/>
        </w:rPr>
        <w:t>health care professional</w:t>
      </w:r>
      <w:r w:rsidR="00BF73DC">
        <w:rPr>
          <w:rFonts w:asciiTheme="minorHAnsi" w:hAnsiTheme="minorHAnsi"/>
          <w:bCs/>
          <w:snapToGrid w:val="0"/>
        </w:rPr>
        <w:t xml:space="preserve"> (HCP)</w:t>
      </w:r>
      <w:r w:rsidRPr="00836F75">
        <w:rPr>
          <w:rFonts w:asciiTheme="minorHAnsi" w:hAnsiTheme="minorHAnsi"/>
          <w:bCs/>
          <w:snapToGrid w:val="0"/>
        </w:rPr>
        <w:t xml:space="preserve"> (1) and organisations (</w:t>
      </w:r>
      <w:r>
        <w:rPr>
          <w:rFonts w:asciiTheme="minorHAnsi" w:hAnsiTheme="minorHAnsi"/>
          <w:bCs/>
          <w:snapToGrid w:val="0"/>
        </w:rPr>
        <w:t>5</w:t>
      </w:r>
      <w:r w:rsidRPr="00836F75">
        <w:rPr>
          <w:rFonts w:asciiTheme="minorHAnsi" w:hAnsiTheme="minorHAnsi"/>
          <w:bCs/>
          <w:snapToGrid w:val="0"/>
        </w:rPr>
        <w:t xml:space="preserve">) via the Consumer Comments facility on the PBS website.  </w:t>
      </w:r>
    </w:p>
    <w:p w14:paraId="3C7CB393" w14:textId="56AD1671" w:rsidR="00096F2E" w:rsidRDefault="00096F2E" w:rsidP="009225AB">
      <w:pPr>
        <w:widowControl w:val="0"/>
        <w:numPr>
          <w:ilvl w:val="1"/>
          <w:numId w:val="1"/>
        </w:numPr>
        <w:spacing w:after="120"/>
        <w:rPr>
          <w:rFonts w:asciiTheme="minorHAnsi" w:hAnsiTheme="minorHAnsi"/>
          <w:bCs/>
          <w:snapToGrid w:val="0"/>
        </w:rPr>
      </w:pPr>
      <w:bookmarkStart w:id="15" w:name="_Ref109219584"/>
      <w:r w:rsidRPr="00096F2E">
        <w:rPr>
          <w:rFonts w:asciiTheme="minorHAnsi" w:hAnsiTheme="minorHAnsi"/>
          <w:bCs/>
          <w:snapToGrid w:val="0"/>
        </w:rPr>
        <w:t>The majority of the consumer contributors (101</w:t>
      </w:r>
      <w:r>
        <w:rPr>
          <w:rFonts w:asciiTheme="minorHAnsi" w:hAnsiTheme="minorHAnsi"/>
          <w:bCs/>
          <w:snapToGrid w:val="0"/>
        </w:rPr>
        <w:t>)</w:t>
      </w:r>
      <w:r w:rsidRPr="00096F2E">
        <w:rPr>
          <w:rFonts w:asciiTheme="minorHAnsi" w:hAnsiTheme="minorHAnsi"/>
          <w:bCs/>
          <w:snapToGrid w:val="0"/>
        </w:rPr>
        <w:t xml:space="preserve"> were individuals who have </w:t>
      </w:r>
      <w:r>
        <w:rPr>
          <w:rFonts w:asciiTheme="minorHAnsi" w:hAnsiTheme="minorHAnsi"/>
          <w:bCs/>
          <w:snapToGrid w:val="0"/>
        </w:rPr>
        <w:t>SLE</w:t>
      </w:r>
      <w:r w:rsidRPr="00096F2E">
        <w:rPr>
          <w:rFonts w:asciiTheme="minorHAnsi" w:hAnsiTheme="minorHAnsi"/>
          <w:bCs/>
          <w:snapToGrid w:val="0"/>
        </w:rPr>
        <w:t xml:space="preserve">. </w:t>
      </w:r>
      <w:r w:rsidR="001F0C32">
        <w:rPr>
          <w:rFonts w:asciiTheme="minorHAnsi" w:hAnsiTheme="minorHAnsi"/>
          <w:bCs/>
          <w:snapToGrid w:val="0"/>
        </w:rPr>
        <w:t xml:space="preserve">Consumers outlined that </w:t>
      </w:r>
      <w:r>
        <w:rPr>
          <w:rFonts w:asciiTheme="minorHAnsi" w:hAnsiTheme="minorHAnsi"/>
          <w:bCs/>
          <w:snapToGrid w:val="0"/>
        </w:rPr>
        <w:t>SLE</w:t>
      </w:r>
      <w:r w:rsidRPr="00096F2E">
        <w:rPr>
          <w:rFonts w:asciiTheme="minorHAnsi" w:hAnsiTheme="minorHAnsi"/>
          <w:bCs/>
          <w:snapToGrid w:val="0"/>
        </w:rPr>
        <w:t xml:space="preserve"> affects every </w:t>
      </w:r>
      <w:r w:rsidR="001F0C32">
        <w:rPr>
          <w:rFonts w:asciiTheme="minorHAnsi" w:hAnsiTheme="minorHAnsi"/>
          <w:bCs/>
          <w:snapToGrid w:val="0"/>
        </w:rPr>
        <w:t>aspect</w:t>
      </w:r>
      <w:r w:rsidRPr="00096F2E">
        <w:rPr>
          <w:rFonts w:asciiTheme="minorHAnsi" w:hAnsiTheme="minorHAnsi"/>
          <w:bCs/>
          <w:snapToGrid w:val="0"/>
        </w:rPr>
        <w:t xml:space="preserve"> of their life including </w:t>
      </w:r>
      <w:r w:rsidR="001F0C32">
        <w:rPr>
          <w:rFonts w:asciiTheme="minorHAnsi" w:hAnsiTheme="minorHAnsi"/>
          <w:bCs/>
          <w:snapToGrid w:val="0"/>
        </w:rPr>
        <w:t xml:space="preserve">their </w:t>
      </w:r>
      <w:r w:rsidRPr="00096F2E">
        <w:rPr>
          <w:rFonts w:asciiTheme="minorHAnsi" w:hAnsiTheme="minorHAnsi"/>
          <w:bCs/>
          <w:snapToGrid w:val="0"/>
        </w:rPr>
        <w:t xml:space="preserve">physical, </w:t>
      </w:r>
      <w:proofErr w:type="gramStart"/>
      <w:r w:rsidRPr="00096F2E">
        <w:rPr>
          <w:rFonts w:asciiTheme="minorHAnsi" w:hAnsiTheme="minorHAnsi"/>
          <w:bCs/>
          <w:snapToGrid w:val="0"/>
        </w:rPr>
        <w:t>mental</w:t>
      </w:r>
      <w:proofErr w:type="gramEnd"/>
      <w:r w:rsidRPr="00096F2E">
        <w:rPr>
          <w:rFonts w:asciiTheme="minorHAnsi" w:hAnsiTheme="minorHAnsi"/>
          <w:bCs/>
          <w:snapToGrid w:val="0"/>
        </w:rPr>
        <w:t xml:space="preserve"> and emotional health. </w:t>
      </w:r>
      <w:r w:rsidR="001F0C32" w:rsidRPr="004C0622">
        <w:rPr>
          <w:rFonts w:asciiTheme="minorHAnsi" w:hAnsiTheme="minorHAnsi"/>
          <w:bCs/>
          <w:snapToGrid w:val="0"/>
        </w:rPr>
        <w:t xml:space="preserve">Many </w:t>
      </w:r>
      <w:r w:rsidR="001F0C32">
        <w:rPr>
          <w:rFonts w:asciiTheme="minorHAnsi" w:hAnsiTheme="minorHAnsi"/>
          <w:bCs/>
          <w:snapToGrid w:val="0"/>
        </w:rPr>
        <w:t>patients</w:t>
      </w:r>
      <w:r w:rsidR="001F0C32" w:rsidRPr="004C0622">
        <w:rPr>
          <w:rFonts w:asciiTheme="minorHAnsi" w:hAnsiTheme="minorHAnsi"/>
          <w:bCs/>
          <w:snapToGrid w:val="0"/>
        </w:rPr>
        <w:t xml:space="preserve"> discussed their current condition without </w:t>
      </w:r>
      <w:proofErr w:type="spellStart"/>
      <w:r w:rsidR="001F0C32">
        <w:rPr>
          <w:rFonts w:asciiTheme="minorHAnsi" w:hAnsiTheme="minorHAnsi"/>
          <w:bCs/>
          <w:snapToGrid w:val="0"/>
        </w:rPr>
        <w:t>anifrolumab</w:t>
      </w:r>
      <w:proofErr w:type="spellEnd"/>
      <w:r w:rsidR="001F0C32" w:rsidRPr="004C0622">
        <w:rPr>
          <w:rFonts w:asciiTheme="minorHAnsi" w:hAnsiTheme="minorHAnsi"/>
          <w:bCs/>
          <w:snapToGrid w:val="0"/>
        </w:rPr>
        <w:t>: painful joints, sleep difficulties, inflamed gums, headaches, low energy, depression, stress, anxiety, nose and mouth</w:t>
      </w:r>
      <w:r w:rsidR="001F0C32">
        <w:rPr>
          <w:rFonts w:asciiTheme="minorHAnsi" w:hAnsiTheme="minorHAnsi"/>
          <w:bCs/>
          <w:snapToGrid w:val="0"/>
        </w:rPr>
        <w:t xml:space="preserve"> ulcers</w:t>
      </w:r>
      <w:r w:rsidR="001F0C32" w:rsidRPr="004C0622">
        <w:rPr>
          <w:rFonts w:asciiTheme="minorHAnsi" w:hAnsiTheme="minorHAnsi"/>
          <w:bCs/>
          <w:snapToGrid w:val="0"/>
        </w:rPr>
        <w:t>, rashes</w:t>
      </w:r>
      <w:r w:rsidR="001F0C32">
        <w:rPr>
          <w:rFonts w:asciiTheme="minorHAnsi" w:hAnsiTheme="minorHAnsi"/>
          <w:bCs/>
          <w:snapToGrid w:val="0"/>
        </w:rPr>
        <w:t>,</w:t>
      </w:r>
      <w:r w:rsidR="001F0C32" w:rsidRPr="004C0622">
        <w:rPr>
          <w:rFonts w:asciiTheme="minorHAnsi" w:hAnsiTheme="minorHAnsi"/>
          <w:bCs/>
          <w:snapToGrid w:val="0"/>
        </w:rPr>
        <w:t xml:space="preserve"> and the effect that this ha</w:t>
      </w:r>
      <w:r w:rsidR="001F0C32">
        <w:rPr>
          <w:rFonts w:asciiTheme="minorHAnsi" w:hAnsiTheme="minorHAnsi"/>
          <w:bCs/>
          <w:snapToGrid w:val="0"/>
        </w:rPr>
        <w:t>s</w:t>
      </w:r>
      <w:r w:rsidR="001F0C32" w:rsidRPr="004C0622">
        <w:rPr>
          <w:rFonts w:asciiTheme="minorHAnsi" w:hAnsiTheme="minorHAnsi"/>
          <w:bCs/>
          <w:snapToGrid w:val="0"/>
        </w:rPr>
        <w:t xml:space="preserve"> on their school</w:t>
      </w:r>
      <w:r w:rsidR="001F0C32">
        <w:rPr>
          <w:rFonts w:asciiTheme="minorHAnsi" w:hAnsiTheme="minorHAnsi"/>
          <w:bCs/>
          <w:snapToGrid w:val="0"/>
        </w:rPr>
        <w:t xml:space="preserve">ing and </w:t>
      </w:r>
      <w:r w:rsidR="001F0C32" w:rsidRPr="004C0622">
        <w:rPr>
          <w:rFonts w:asciiTheme="minorHAnsi" w:hAnsiTheme="minorHAnsi"/>
          <w:bCs/>
          <w:snapToGrid w:val="0"/>
        </w:rPr>
        <w:t xml:space="preserve">work, </w:t>
      </w:r>
      <w:r w:rsidR="001F0C32">
        <w:rPr>
          <w:rFonts w:asciiTheme="minorHAnsi" w:hAnsiTheme="minorHAnsi"/>
          <w:bCs/>
          <w:snapToGrid w:val="0"/>
        </w:rPr>
        <w:t xml:space="preserve">as well as </w:t>
      </w:r>
      <w:r w:rsidR="001F0C32" w:rsidRPr="004C0622">
        <w:rPr>
          <w:rFonts w:asciiTheme="minorHAnsi" w:hAnsiTheme="minorHAnsi"/>
          <w:bCs/>
          <w:snapToGrid w:val="0"/>
        </w:rPr>
        <w:t>social and family lives.</w:t>
      </w:r>
      <w:r w:rsidR="009572CA">
        <w:rPr>
          <w:rFonts w:asciiTheme="minorHAnsi" w:hAnsiTheme="minorHAnsi"/>
          <w:bCs/>
          <w:snapToGrid w:val="0"/>
        </w:rPr>
        <w:t xml:space="preserve"> </w:t>
      </w:r>
      <w:r w:rsidR="001F0C32">
        <w:rPr>
          <w:rFonts w:asciiTheme="minorHAnsi" w:hAnsiTheme="minorHAnsi"/>
          <w:bCs/>
          <w:snapToGrid w:val="0"/>
        </w:rPr>
        <w:t xml:space="preserve">Consumers outlined the importance of </w:t>
      </w:r>
      <w:r w:rsidRPr="00096F2E">
        <w:rPr>
          <w:rFonts w:asciiTheme="minorHAnsi" w:hAnsiTheme="minorHAnsi"/>
          <w:bCs/>
          <w:snapToGrid w:val="0"/>
        </w:rPr>
        <w:t>having an</w:t>
      </w:r>
      <w:r>
        <w:rPr>
          <w:rFonts w:asciiTheme="minorHAnsi" w:hAnsiTheme="minorHAnsi"/>
          <w:bCs/>
          <w:snapToGrid w:val="0"/>
        </w:rPr>
        <w:t>other</w:t>
      </w:r>
      <w:r w:rsidRPr="00096F2E">
        <w:rPr>
          <w:rFonts w:asciiTheme="minorHAnsi" w:hAnsiTheme="minorHAnsi"/>
          <w:bCs/>
          <w:snapToGrid w:val="0"/>
        </w:rPr>
        <w:t xml:space="preserve"> </w:t>
      </w:r>
      <w:r w:rsidR="001F0C32">
        <w:rPr>
          <w:rFonts w:asciiTheme="minorHAnsi" w:hAnsiTheme="minorHAnsi"/>
          <w:bCs/>
          <w:snapToGrid w:val="0"/>
        </w:rPr>
        <w:t xml:space="preserve">treatment </w:t>
      </w:r>
      <w:r w:rsidRPr="00096F2E">
        <w:rPr>
          <w:rFonts w:asciiTheme="minorHAnsi" w:hAnsiTheme="minorHAnsi"/>
          <w:bCs/>
          <w:snapToGrid w:val="0"/>
        </w:rPr>
        <w:t xml:space="preserve">option </w:t>
      </w:r>
      <w:r w:rsidR="001F0C32">
        <w:rPr>
          <w:rFonts w:asciiTheme="minorHAnsi" w:hAnsiTheme="minorHAnsi"/>
          <w:bCs/>
          <w:snapToGrid w:val="0"/>
        </w:rPr>
        <w:t xml:space="preserve">available, particularly for those whose condition is not adequately managed with current treatments. Consumers expressed </w:t>
      </w:r>
      <w:r w:rsidRPr="00096F2E">
        <w:rPr>
          <w:rFonts w:asciiTheme="minorHAnsi" w:hAnsiTheme="minorHAnsi"/>
          <w:bCs/>
          <w:snapToGrid w:val="0"/>
        </w:rPr>
        <w:t xml:space="preserve">hope </w:t>
      </w:r>
      <w:r w:rsidR="001F0C32">
        <w:rPr>
          <w:rFonts w:asciiTheme="minorHAnsi" w:hAnsiTheme="minorHAnsi"/>
          <w:bCs/>
          <w:snapToGrid w:val="0"/>
        </w:rPr>
        <w:t xml:space="preserve">that </w:t>
      </w:r>
      <w:proofErr w:type="spellStart"/>
      <w:r w:rsidR="007428F8">
        <w:rPr>
          <w:rFonts w:asciiTheme="minorHAnsi" w:hAnsiTheme="minorHAnsi"/>
          <w:bCs/>
          <w:snapToGrid w:val="0"/>
        </w:rPr>
        <w:t>anifrolumab</w:t>
      </w:r>
      <w:proofErr w:type="spellEnd"/>
      <w:r w:rsidRPr="00096F2E">
        <w:rPr>
          <w:rFonts w:asciiTheme="minorHAnsi" w:hAnsiTheme="minorHAnsi"/>
          <w:bCs/>
          <w:snapToGrid w:val="0"/>
        </w:rPr>
        <w:t xml:space="preserve"> will </w:t>
      </w:r>
      <w:r w:rsidR="004C0622">
        <w:rPr>
          <w:rFonts w:asciiTheme="minorHAnsi" w:hAnsiTheme="minorHAnsi"/>
          <w:bCs/>
          <w:snapToGrid w:val="0"/>
        </w:rPr>
        <w:t>improve their</w:t>
      </w:r>
      <w:r w:rsidRPr="00096F2E">
        <w:rPr>
          <w:rFonts w:asciiTheme="minorHAnsi" w:hAnsiTheme="minorHAnsi"/>
          <w:bCs/>
          <w:snapToGrid w:val="0"/>
        </w:rPr>
        <w:t xml:space="preserve"> </w:t>
      </w:r>
      <w:r w:rsidR="009D1A8F">
        <w:rPr>
          <w:rFonts w:asciiTheme="minorHAnsi" w:hAnsiTheme="minorHAnsi"/>
          <w:bCs/>
          <w:snapToGrid w:val="0"/>
        </w:rPr>
        <w:t>quality of life</w:t>
      </w:r>
      <w:r w:rsidRPr="00096F2E">
        <w:rPr>
          <w:rFonts w:asciiTheme="minorHAnsi" w:hAnsiTheme="minorHAnsi"/>
          <w:bCs/>
          <w:snapToGrid w:val="0"/>
        </w:rPr>
        <w:t xml:space="preserve"> </w:t>
      </w:r>
      <w:r w:rsidR="004C0622">
        <w:rPr>
          <w:rFonts w:asciiTheme="minorHAnsi" w:hAnsiTheme="minorHAnsi"/>
          <w:bCs/>
          <w:snapToGrid w:val="0"/>
        </w:rPr>
        <w:t>and</w:t>
      </w:r>
      <w:r w:rsidRPr="00096F2E">
        <w:rPr>
          <w:rFonts w:asciiTheme="minorHAnsi" w:hAnsiTheme="minorHAnsi"/>
          <w:bCs/>
          <w:snapToGrid w:val="0"/>
        </w:rPr>
        <w:t xml:space="preserve"> allow them</w:t>
      </w:r>
      <w:r w:rsidR="000F3CCA">
        <w:rPr>
          <w:rFonts w:asciiTheme="minorHAnsi" w:hAnsiTheme="minorHAnsi"/>
          <w:bCs/>
          <w:snapToGrid w:val="0"/>
        </w:rPr>
        <w:t xml:space="preserve"> to</w:t>
      </w:r>
      <w:r w:rsidRPr="00096F2E">
        <w:rPr>
          <w:rFonts w:asciiTheme="minorHAnsi" w:hAnsiTheme="minorHAnsi"/>
          <w:bCs/>
          <w:snapToGrid w:val="0"/>
        </w:rPr>
        <w:t xml:space="preserve"> live pain free</w:t>
      </w:r>
      <w:r>
        <w:rPr>
          <w:rFonts w:asciiTheme="minorHAnsi" w:hAnsiTheme="minorHAnsi"/>
          <w:bCs/>
          <w:snapToGrid w:val="0"/>
        </w:rPr>
        <w:t xml:space="preserve"> </w:t>
      </w:r>
      <w:r w:rsidRPr="00096F2E">
        <w:rPr>
          <w:rFonts w:asciiTheme="minorHAnsi" w:hAnsiTheme="minorHAnsi"/>
          <w:bCs/>
          <w:snapToGrid w:val="0"/>
        </w:rPr>
        <w:t>and productive lives.</w:t>
      </w:r>
      <w:r w:rsidR="004C0622">
        <w:rPr>
          <w:rFonts w:asciiTheme="minorHAnsi" w:hAnsiTheme="minorHAnsi"/>
          <w:bCs/>
          <w:snapToGrid w:val="0"/>
        </w:rPr>
        <w:t xml:space="preserve"> </w:t>
      </w:r>
      <w:bookmarkEnd w:id="15"/>
    </w:p>
    <w:p w14:paraId="25A9DFC9" w14:textId="6300D440" w:rsidR="009225AB" w:rsidRPr="00BF73DC" w:rsidRDefault="00BF73DC" w:rsidP="00BF73DC">
      <w:pPr>
        <w:widowControl w:val="0"/>
        <w:numPr>
          <w:ilvl w:val="1"/>
          <w:numId w:val="1"/>
        </w:numPr>
        <w:spacing w:after="120"/>
        <w:rPr>
          <w:rFonts w:asciiTheme="minorHAnsi" w:hAnsiTheme="minorHAnsi"/>
          <w:bCs/>
          <w:snapToGrid w:val="0"/>
        </w:rPr>
      </w:pPr>
      <w:bookmarkStart w:id="16" w:name="_Ref109219594"/>
      <w:r w:rsidRPr="00513158">
        <w:rPr>
          <w:rFonts w:asciiTheme="minorHAnsi" w:hAnsiTheme="minorHAnsi"/>
          <w:bCs/>
          <w:snapToGrid w:val="0"/>
        </w:rPr>
        <w:t xml:space="preserve">The HCP </w:t>
      </w:r>
      <w:r w:rsidR="00513158" w:rsidRPr="00513158">
        <w:rPr>
          <w:rFonts w:asciiTheme="minorHAnsi" w:hAnsiTheme="minorHAnsi"/>
          <w:bCs/>
          <w:snapToGrid w:val="0"/>
        </w:rPr>
        <w:t xml:space="preserve">commented </w:t>
      </w:r>
      <w:r w:rsidR="000F3CCA">
        <w:rPr>
          <w:rFonts w:asciiTheme="minorHAnsi" w:hAnsiTheme="minorHAnsi"/>
          <w:bCs/>
          <w:snapToGrid w:val="0"/>
        </w:rPr>
        <w:t xml:space="preserve">that </w:t>
      </w:r>
      <w:proofErr w:type="spellStart"/>
      <w:r w:rsidR="000F3CCA">
        <w:rPr>
          <w:rFonts w:asciiTheme="minorHAnsi" w:hAnsiTheme="minorHAnsi"/>
          <w:bCs/>
          <w:snapToGrid w:val="0"/>
        </w:rPr>
        <w:t>anifrolumab</w:t>
      </w:r>
      <w:proofErr w:type="spellEnd"/>
      <w:r w:rsidR="000F3CCA">
        <w:rPr>
          <w:rFonts w:asciiTheme="minorHAnsi" w:hAnsiTheme="minorHAnsi"/>
          <w:bCs/>
          <w:snapToGrid w:val="0"/>
        </w:rPr>
        <w:t xml:space="preserve"> is </w:t>
      </w:r>
      <w:r w:rsidR="000F3CCA" w:rsidRPr="000F3CCA">
        <w:rPr>
          <w:rFonts w:asciiTheme="minorHAnsi" w:hAnsiTheme="minorHAnsi"/>
          <w:bCs/>
          <w:snapToGrid w:val="0"/>
        </w:rPr>
        <w:t>effective across the spectrum of lupus manifestations</w:t>
      </w:r>
      <w:r w:rsidR="000F3CCA" w:rsidRPr="00513158">
        <w:rPr>
          <w:rFonts w:asciiTheme="minorHAnsi" w:hAnsiTheme="minorHAnsi"/>
          <w:bCs/>
          <w:snapToGrid w:val="0"/>
        </w:rPr>
        <w:t xml:space="preserve"> </w:t>
      </w:r>
      <w:r w:rsidR="000F3CCA">
        <w:rPr>
          <w:rFonts w:asciiTheme="minorHAnsi" w:hAnsiTheme="minorHAnsi"/>
          <w:bCs/>
          <w:snapToGrid w:val="0"/>
        </w:rPr>
        <w:t xml:space="preserve">and has an early onset of benefit. The HCP </w:t>
      </w:r>
      <w:r w:rsidR="00513158">
        <w:rPr>
          <w:rFonts w:asciiTheme="minorHAnsi" w:hAnsiTheme="minorHAnsi"/>
          <w:bCs/>
          <w:snapToGrid w:val="0"/>
        </w:rPr>
        <w:t xml:space="preserve">noted the steroid sparing effect of </w:t>
      </w:r>
      <w:proofErr w:type="spellStart"/>
      <w:r w:rsidR="00513158">
        <w:rPr>
          <w:rFonts w:asciiTheme="minorHAnsi" w:hAnsiTheme="minorHAnsi"/>
          <w:bCs/>
          <w:snapToGrid w:val="0"/>
        </w:rPr>
        <w:t>anifrolumab</w:t>
      </w:r>
      <w:proofErr w:type="spellEnd"/>
      <w:r w:rsidR="00513158">
        <w:rPr>
          <w:rFonts w:asciiTheme="minorHAnsi" w:hAnsiTheme="minorHAnsi"/>
          <w:bCs/>
          <w:snapToGrid w:val="0"/>
        </w:rPr>
        <w:t>, where</w:t>
      </w:r>
      <w:r w:rsidR="0057445E">
        <w:rPr>
          <w:rFonts w:asciiTheme="minorHAnsi" w:hAnsiTheme="minorHAnsi"/>
          <w:bCs/>
          <w:snapToGrid w:val="0"/>
        </w:rPr>
        <w:t>by</w:t>
      </w:r>
      <w:r w:rsidR="00513158">
        <w:rPr>
          <w:rFonts w:asciiTheme="minorHAnsi" w:hAnsiTheme="minorHAnsi"/>
          <w:bCs/>
          <w:snapToGrid w:val="0"/>
        </w:rPr>
        <w:t xml:space="preserve"> patients have been able to taper their</w:t>
      </w:r>
      <w:r w:rsidR="0057445E">
        <w:rPr>
          <w:rFonts w:asciiTheme="minorHAnsi" w:hAnsiTheme="minorHAnsi"/>
          <w:bCs/>
          <w:snapToGrid w:val="0"/>
        </w:rPr>
        <w:t xml:space="preserve"> steroid</w:t>
      </w:r>
      <w:r w:rsidR="00513158">
        <w:rPr>
          <w:rFonts w:asciiTheme="minorHAnsi" w:hAnsiTheme="minorHAnsi"/>
          <w:bCs/>
          <w:snapToGrid w:val="0"/>
        </w:rPr>
        <w:t xml:space="preserve"> dose </w:t>
      </w:r>
      <w:r w:rsidR="00513158">
        <w:rPr>
          <w:rFonts w:asciiTheme="minorHAnsi" w:hAnsiTheme="minorHAnsi"/>
          <w:bCs/>
          <w:snapToGrid w:val="0"/>
        </w:rPr>
        <w:lastRenderedPageBreak/>
        <w:t xml:space="preserve">and </w:t>
      </w:r>
      <w:r w:rsidR="00CB5215">
        <w:rPr>
          <w:rFonts w:asciiTheme="minorHAnsi" w:hAnsiTheme="minorHAnsi"/>
          <w:bCs/>
          <w:snapToGrid w:val="0"/>
        </w:rPr>
        <w:t>avoid a</w:t>
      </w:r>
      <w:r w:rsidR="008958DF">
        <w:rPr>
          <w:rFonts w:asciiTheme="minorHAnsi" w:hAnsiTheme="minorHAnsi"/>
          <w:bCs/>
          <w:snapToGrid w:val="0"/>
        </w:rPr>
        <w:t>n associated</w:t>
      </w:r>
      <w:r w:rsidR="00CB5215">
        <w:rPr>
          <w:rFonts w:asciiTheme="minorHAnsi" w:hAnsiTheme="minorHAnsi"/>
          <w:bCs/>
          <w:snapToGrid w:val="0"/>
        </w:rPr>
        <w:t xml:space="preserve"> disease flare.</w:t>
      </w:r>
      <w:r w:rsidR="008958DF">
        <w:rPr>
          <w:rFonts w:asciiTheme="minorHAnsi" w:hAnsiTheme="minorHAnsi"/>
          <w:bCs/>
          <w:snapToGrid w:val="0"/>
        </w:rPr>
        <w:t xml:space="preserve"> The HCP </w:t>
      </w:r>
      <w:r w:rsidR="00870D5D">
        <w:rPr>
          <w:rFonts w:asciiTheme="minorHAnsi" w:hAnsiTheme="minorHAnsi"/>
          <w:bCs/>
          <w:snapToGrid w:val="0"/>
        </w:rPr>
        <w:t>stated that</w:t>
      </w:r>
      <w:r w:rsidR="001F0C32">
        <w:rPr>
          <w:rFonts w:asciiTheme="minorHAnsi" w:hAnsiTheme="minorHAnsi"/>
          <w:bCs/>
          <w:snapToGrid w:val="0"/>
        </w:rPr>
        <w:t xml:space="preserve"> the</w:t>
      </w:r>
      <w:r w:rsidR="00870D5D">
        <w:rPr>
          <w:rFonts w:asciiTheme="minorHAnsi" w:hAnsiTheme="minorHAnsi"/>
          <w:bCs/>
          <w:snapToGrid w:val="0"/>
        </w:rPr>
        <w:t xml:space="preserve"> reduction in active disease </w:t>
      </w:r>
      <w:r w:rsidR="001F0C32">
        <w:rPr>
          <w:rFonts w:asciiTheme="minorHAnsi" w:hAnsiTheme="minorHAnsi"/>
          <w:bCs/>
          <w:snapToGrid w:val="0"/>
        </w:rPr>
        <w:t xml:space="preserve">observed </w:t>
      </w:r>
      <w:r w:rsidR="00870D5D">
        <w:rPr>
          <w:rFonts w:asciiTheme="minorHAnsi" w:hAnsiTheme="minorHAnsi"/>
          <w:bCs/>
          <w:snapToGrid w:val="0"/>
        </w:rPr>
        <w:t xml:space="preserve">with </w:t>
      </w:r>
      <w:proofErr w:type="spellStart"/>
      <w:r w:rsidR="00870D5D">
        <w:rPr>
          <w:rFonts w:asciiTheme="minorHAnsi" w:hAnsiTheme="minorHAnsi"/>
          <w:bCs/>
          <w:snapToGrid w:val="0"/>
        </w:rPr>
        <w:t>anifrolumab</w:t>
      </w:r>
      <w:proofErr w:type="spellEnd"/>
      <w:r w:rsidR="00870D5D">
        <w:rPr>
          <w:rFonts w:asciiTheme="minorHAnsi" w:hAnsiTheme="minorHAnsi"/>
          <w:bCs/>
          <w:snapToGrid w:val="0"/>
        </w:rPr>
        <w:t xml:space="preserve"> treatment </w:t>
      </w:r>
      <w:r w:rsidR="001F0C32">
        <w:rPr>
          <w:rFonts w:asciiTheme="minorHAnsi" w:hAnsiTheme="minorHAnsi"/>
          <w:bCs/>
          <w:snapToGrid w:val="0"/>
        </w:rPr>
        <w:t>was expected to</w:t>
      </w:r>
      <w:r w:rsidR="00870D5D">
        <w:rPr>
          <w:rFonts w:asciiTheme="minorHAnsi" w:hAnsiTheme="minorHAnsi"/>
          <w:bCs/>
          <w:snapToGrid w:val="0"/>
        </w:rPr>
        <w:t xml:space="preserve"> reduce or prevent </w:t>
      </w:r>
      <w:r w:rsidR="001F0C32">
        <w:rPr>
          <w:rFonts w:asciiTheme="minorHAnsi" w:hAnsiTheme="minorHAnsi"/>
          <w:bCs/>
          <w:snapToGrid w:val="0"/>
        </w:rPr>
        <w:t>long-term</w:t>
      </w:r>
      <w:r w:rsidR="00870D5D">
        <w:rPr>
          <w:rFonts w:asciiTheme="minorHAnsi" w:hAnsiTheme="minorHAnsi"/>
          <w:bCs/>
          <w:snapToGrid w:val="0"/>
        </w:rPr>
        <w:t xml:space="preserve"> </w:t>
      </w:r>
      <w:r w:rsidR="00E02F62">
        <w:rPr>
          <w:rFonts w:asciiTheme="minorHAnsi" w:hAnsiTheme="minorHAnsi"/>
          <w:bCs/>
          <w:snapToGrid w:val="0"/>
        </w:rPr>
        <w:t>damage</w:t>
      </w:r>
      <w:r w:rsidR="001F0C32">
        <w:rPr>
          <w:rFonts w:asciiTheme="minorHAnsi" w:hAnsiTheme="minorHAnsi"/>
          <w:bCs/>
          <w:snapToGrid w:val="0"/>
        </w:rPr>
        <w:t xml:space="preserve"> such as permanent organ damage and death</w:t>
      </w:r>
      <w:r w:rsidR="00870D5D">
        <w:rPr>
          <w:rFonts w:asciiTheme="minorHAnsi" w:hAnsiTheme="minorHAnsi"/>
          <w:bCs/>
          <w:snapToGrid w:val="0"/>
        </w:rPr>
        <w:t>.</w:t>
      </w:r>
      <w:r w:rsidR="00513158" w:rsidRPr="00513158">
        <w:rPr>
          <w:rFonts w:asciiTheme="minorHAnsi" w:hAnsiTheme="minorHAnsi"/>
          <w:bCs/>
          <w:snapToGrid w:val="0"/>
        </w:rPr>
        <w:t xml:space="preserve"> </w:t>
      </w:r>
      <w:bookmarkEnd w:id="16"/>
    </w:p>
    <w:p w14:paraId="00FAD8F2" w14:textId="650AD770" w:rsidR="009225AB" w:rsidRPr="00362897" w:rsidRDefault="008E7770" w:rsidP="00362897">
      <w:pPr>
        <w:pStyle w:val="3-BodyText"/>
        <w:rPr>
          <w:bCs/>
        </w:rPr>
      </w:pPr>
      <w:r w:rsidRPr="00836F75">
        <w:t>The PBAC noted the advice received from</w:t>
      </w:r>
      <w:r>
        <w:t xml:space="preserve"> </w:t>
      </w:r>
      <w:r w:rsidRPr="00BF73DC">
        <w:t>Musculoskeletal Australia</w:t>
      </w:r>
      <w:r w:rsidR="0057445E">
        <w:t xml:space="preserve"> (MSK)</w:t>
      </w:r>
      <w:r>
        <w:t xml:space="preserve">, </w:t>
      </w:r>
      <w:r w:rsidRPr="00BF73DC">
        <w:t>Lupus Victoria</w:t>
      </w:r>
      <w:r>
        <w:t xml:space="preserve">, </w:t>
      </w:r>
      <w:r w:rsidRPr="00BF73DC">
        <w:t>Lupus Australia</w:t>
      </w:r>
      <w:r>
        <w:t xml:space="preserve">, </w:t>
      </w:r>
      <w:r w:rsidR="0057445E">
        <w:t>the National Aboriginal Community Controlled Health Organisation (</w:t>
      </w:r>
      <w:r w:rsidRPr="0057445E">
        <w:t>NACCHO</w:t>
      </w:r>
      <w:r w:rsidR="0057445E">
        <w:t>),</w:t>
      </w:r>
      <w:r>
        <w:t xml:space="preserve"> and the </w:t>
      </w:r>
      <w:r w:rsidRPr="00BF73DC">
        <w:t>Australian Rheumatology Association</w:t>
      </w:r>
      <w:r w:rsidR="0057445E">
        <w:t xml:space="preserve"> (ARA)</w:t>
      </w:r>
      <w:r w:rsidRPr="00836F75">
        <w:t xml:space="preserve"> clarifying the likely </w:t>
      </w:r>
      <w:r w:rsidR="00B91661">
        <w:t>benefit</w:t>
      </w:r>
      <w:r w:rsidRPr="00836F75">
        <w:t xml:space="preserve"> of </w:t>
      </w:r>
      <w:proofErr w:type="spellStart"/>
      <w:r>
        <w:t>anifrolumab</w:t>
      </w:r>
      <w:proofErr w:type="spellEnd"/>
      <w:r w:rsidRPr="00836F75">
        <w:t xml:space="preserve"> in clinical practice.</w:t>
      </w:r>
      <w:r w:rsidR="0057445E">
        <w:t xml:space="preserve"> </w:t>
      </w:r>
      <w:r w:rsidR="00B91661">
        <w:t>The organisations raised many of the points</w:t>
      </w:r>
      <w:r w:rsidR="0057445E">
        <w:t xml:space="preserve"> </w:t>
      </w:r>
      <w:r w:rsidR="00B91661">
        <w:t xml:space="preserve">detailed in </w:t>
      </w:r>
      <w:r w:rsidR="00B91661" w:rsidRPr="009D1A8F">
        <w:t xml:space="preserve">paragraphs </w:t>
      </w:r>
      <w:r w:rsidR="00B91661" w:rsidRPr="009D1A8F">
        <w:fldChar w:fldCharType="begin"/>
      </w:r>
      <w:r w:rsidR="00B91661" w:rsidRPr="009D1A8F">
        <w:instrText xml:space="preserve"> REF _Ref109219584 \r \h  \* MERGEFORMAT </w:instrText>
      </w:r>
      <w:r w:rsidR="00B91661" w:rsidRPr="009D1A8F">
        <w:fldChar w:fldCharType="separate"/>
      </w:r>
      <w:r w:rsidR="00942C22">
        <w:t>6.3</w:t>
      </w:r>
      <w:r w:rsidR="00B91661" w:rsidRPr="009D1A8F">
        <w:fldChar w:fldCharType="end"/>
      </w:r>
      <w:r w:rsidR="00B91661" w:rsidRPr="009D1A8F">
        <w:t xml:space="preserve"> and </w:t>
      </w:r>
      <w:r w:rsidR="00B91661" w:rsidRPr="009D1A8F">
        <w:fldChar w:fldCharType="begin"/>
      </w:r>
      <w:r w:rsidR="00B91661" w:rsidRPr="009D1A8F">
        <w:instrText xml:space="preserve"> REF _Ref109219594 \r \h  \* MERGEFORMAT </w:instrText>
      </w:r>
      <w:r w:rsidR="00B91661" w:rsidRPr="009D1A8F">
        <w:fldChar w:fldCharType="separate"/>
      </w:r>
      <w:r w:rsidR="00942C22">
        <w:t>6.4</w:t>
      </w:r>
      <w:r w:rsidR="00B91661" w:rsidRPr="009D1A8F">
        <w:fldChar w:fldCharType="end"/>
      </w:r>
      <w:r w:rsidR="00BD6802">
        <w:t>, and provided the following additional information</w:t>
      </w:r>
      <w:r w:rsidR="00B91661">
        <w:t xml:space="preserve">. </w:t>
      </w:r>
      <w:r w:rsidR="0057445E">
        <w:t xml:space="preserve">MSK stated that </w:t>
      </w:r>
      <w:r w:rsidR="00B91661">
        <w:t>young people often suffer from</w:t>
      </w:r>
      <w:r w:rsidR="007428F8">
        <w:t xml:space="preserve"> SLE, and emphasised the importance of achieving symptom control early in life to </w:t>
      </w:r>
      <w:r w:rsidR="009D1A8F">
        <w:t>improve</w:t>
      </w:r>
      <w:r w:rsidR="007428F8">
        <w:t xml:space="preserve"> long term outcome</w:t>
      </w:r>
      <w:r w:rsidR="00E22A42">
        <w:t>s</w:t>
      </w:r>
      <w:r w:rsidR="007428F8">
        <w:t>, as well as the capacity to return to work/increase hours as health improves.</w:t>
      </w:r>
      <w:r w:rsidR="0057445E">
        <w:t xml:space="preserve"> </w:t>
      </w:r>
      <w:r w:rsidR="0057445E" w:rsidRPr="0057445E">
        <w:t>NACCHO</w:t>
      </w:r>
      <w:r w:rsidR="0057445E">
        <w:t xml:space="preserve"> noted that </w:t>
      </w:r>
      <w:r w:rsidR="00362897" w:rsidRPr="00362897">
        <w:rPr>
          <w:bCs/>
        </w:rPr>
        <w:t xml:space="preserve">Aboriginal and Torres Strait Islander </w:t>
      </w:r>
      <w:r w:rsidR="00BE6C16">
        <w:rPr>
          <w:bCs/>
        </w:rPr>
        <w:t>peoples</w:t>
      </w:r>
      <w:r w:rsidR="00362897" w:rsidRPr="00362897">
        <w:rPr>
          <w:bCs/>
        </w:rPr>
        <w:t xml:space="preserve"> are known to suffer from SLE at greater rates and severity compared to other Australians</w:t>
      </w:r>
      <w:r w:rsidR="00362897">
        <w:rPr>
          <w:bCs/>
        </w:rPr>
        <w:t xml:space="preserve">, and </w:t>
      </w:r>
      <w:r w:rsidR="00C03FFE">
        <w:rPr>
          <w:bCs/>
        </w:rPr>
        <w:t>stated that, i</w:t>
      </w:r>
      <w:r w:rsidR="00C03FFE" w:rsidRPr="00362897">
        <w:rPr>
          <w:bCs/>
        </w:rPr>
        <w:t>f cost effectiveness is a concern across the whole Australian population</w:t>
      </w:r>
      <w:r w:rsidR="00C03FFE">
        <w:rPr>
          <w:bCs/>
        </w:rPr>
        <w:t>, listing could be considered</w:t>
      </w:r>
      <w:r w:rsidR="00362897" w:rsidRPr="00362897">
        <w:rPr>
          <w:bCs/>
        </w:rPr>
        <w:t xml:space="preserve"> </w:t>
      </w:r>
      <w:r w:rsidR="00362897">
        <w:rPr>
          <w:bCs/>
        </w:rPr>
        <w:t xml:space="preserve">on the Schedule for </w:t>
      </w:r>
      <w:r w:rsidR="00362897" w:rsidRPr="00362897">
        <w:rPr>
          <w:bCs/>
        </w:rPr>
        <w:t>Aboriginal and Torres Strait Islander people</w:t>
      </w:r>
      <w:r w:rsidR="00362897">
        <w:rPr>
          <w:bCs/>
        </w:rPr>
        <w:t>.</w:t>
      </w:r>
      <w:r w:rsidR="00362897" w:rsidRPr="00362897">
        <w:rPr>
          <w:bCs/>
        </w:rPr>
        <w:t xml:space="preserve"> </w:t>
      </w:r>
      <w:r w:rsidR="00E22A42">
        <w:t>Lupus Victoria similarly</w:t>
      </w:r>
      <w:r w:rsidR="00BE6C16">
        <w:t xml:space="preserve"> noted the</w:t>
      </w:r>
      <w:r w:rsidR="00E22A42">
        <w:t xml:space="preserve"> disproportionate </w:t>
      </w:r>
      <w:r w:rsidR="00E02F62">
        <w:t xml:space="preserve">burden of </w:t>
      </w:r>
      <w:r w:rsidR="00E22A42">
        <w:t>SLE</w:t>
      </w:r>
      <w:r w:rsidR="00BE6C16">
        <w:t xml:space="preserve"> disease among</w:t>
      </w:r>
      <w:r w:rsidR="00E22A42">
        <w:t xml:space="preserve"> Indigenous Australians</w:t>
      </w:r>
      <w:r w:rsidR="009D1A8F">
        <w:t>, as well as among</w:t>
      </w:r>
      <w:r w:rsidR="00E22A42">
        <w:t xml:space="preserve"> African</w:t>
      </w:r>
      <w:r w:rsidR="009D1A8F">
        <w:t xml:space="preserve"> and </w:t>
      </w:r>
      <w:r w:rsidR="00E22A42">
        <w:t xml:space="preserve">Asian populations. </w:t>
      </w:r>
      <w:r w:rsidRPr="0057445E">
        <w:t>The PBAC noted that this advice</w:t>
      </w:r>
      <w:r w:rsidR="00BE6C16">
        <w:t xml:space="preserve"> from the organisations</w:t>
      </w:r>
      <w:r w:rsidRPr="0057445E">
        <w:t xml:space="preserve"> was supportive of the evidence provided in the submission.</w:t>
      </w:r>
    </w:p>
    <w:p w14:paraId="609C0765" w14:textId="343ED0FC" w:rsidR="00B60939" w:rsidRPr="00C9624D" w:rsidRDefault="00B60939" w:rsidP="002E4F02">
      <w:pPr>
        <w:pStyle w:val="4-SubsectionHeading"/>
      </w:pPr>
      <w:bookmarkStart w:id="17" w:name="_Toc103015533"/>
      <w:bookmarkEnd w:id="12"/>
      <w:bookmarkEnd w:id="14"/>
      <w:r w:rsidRPr="00C9624D">
        <w:t>Clinical trials</w:t>
      </w:r>
      <w:bookmarkEnd w:id="11"/>
      <w:bookmarkEnd w:id="17"/>
    </w:p>
    <w:p w14:paraId="49E34618" w14:textId="1F0D1935" w:rsidR="00BF2805" w:rsidRDefault="00BF23B4" w:rsidP="002E4F02">
      <w:pPr>
        <w:pStyle w:val="3-BodyText"/>
      </w:pPr>
      <w:r>
        <w:t xml:space="preserve">The clinical evidence in the </w:t>
      </w:r>
      <w:r w:rsidRPr="005616A5">
        <w:t>submission</w:t>
      </w:r>
      <w:r w:rsidR="005616A5" w:rsidRPr="005616A5">
        <w:t xml:space="preserve"> (</w:t>
      </w:r>
      <w:r w:rsidR="005616A5" w:rsidRPr="005616A5">
        <w:fldChar w:fldCharType="begin"/>
      </w:r>
      <w:r w:rsidR="005616A5" w:rsidRPr="005616A5">
        <w:instrText xml:space="preserve"> REF _Ref103772895 \h  \* MERGEFORMAT </w:instrText>
      </w:r>
      <w:r w:rsidR="005616A5" w:rsidRPr="005616A5">
        <w:fldChar w:fldCharType="separate"/>
      </w:r>
      <w:r w:rsidR="00942C22" w:rsidRPr="00942C22">
        <w:rPr>
          <w:rStyle w:val="CommentReference"/>
          <w:rFonts w:asciiTheme="minorHAnsi" w:hAnsiTheme="minorHAnsi"/>
          <w:b w:val="0"/>
          <w:sz w:val="24"/>
          <w:szCs w:val="24"/>
        </w:rPr>
        <w:t xml:space="preserve">Table </w:t>
      </w:r>
      <w:r w:rsidR="00942C22" w:rsidRPr="00942C22">
        <w:rPr>
          <w:rStyle w:val="CommentReference"/>
          <w:rFonts w:asciiTheme="minorHAnsi" w:hAnsiTheme="minorHAnsi"/>
          <w:b w:val="0"/>
          <w:noProof/>
          <w:sz w:val="24"/>
          <w:szCs w:val="24"/>
        </w:rPr>
        <w:t>2</w:t>
      </w:r>
      <w:r w:rsidR="005616A5" w:rsidRPr="005616A5">
        <w:fldChar w:fldCharType="end"/>
      </w:r>
      <w:r w:rsidR="005616A5" w:rsidRPr="005616A5">
        <w:t>)</w:t>
      </w:r>
      <w:r w:rsidRPr="005616A5">
        <w:t xml:space="preserve"> was</w:t>
      </w:r>
      <w:r>
        <w:t xml:space="preserve"> based on three head-to-head randomised controlled trials (RCTs) comparing </w:t>
      </w:r>
      <w:proofErr w:type="spellStart"/>
      <w:r>
        <w:t>anifrolumab</w:t>
      </w:r>
      <w:proofErr w:type="spellEnd"/>
      <w:r>
        <w:t xml:space="preserve"> to placebo in adults with moderate to severe SLE</w:t>
      </w:r>
      <w:r w:rsidR="004E5359" w:rsidRPr="004E5359">
        <w:t xml:space="preserve"> </w:t>
      </w:r>
      <w:r w:rsidR="004E5359">
        <w:t xml:space="preserve">(with SLEDAI-2K </w:t>
      </w:r>
      <w:r w:rsidR="004E5359">
        <w:rPr>
          <w:rFonts w:cstheme="minorHAnsi"/>
        </w:rPr>
        <w:t>≥</w:t>
      </w:r>
      <w:r w:rsidR="004E5359">
        <w:t xml:space="preserve">6 </w:t>
      </w:r>
      <w:r w:rsidR="004E5359" w:rsidRPr="00284FEF">
        <w:t>and receiving one or more therapy for SLE</w:t>
      </w:r>
      <w:r w:rsidR="004E5359">
        <w:t>)</w:t>
      </w:r>
      <w:r w:rsidR="0017653F">
        <w:t xml:space="preserve"> which were</w:t>
      </w:r>
      <w:r>
        <w:t>: TULIP</w:t>
      </w:r>
      <w:r w:rsidR="0017653F">
        <w:t> </w:t>
      </w:r>
      <w:r>
        <w:t>1, TULIP 2, MUSE, and an open-label treatment extension study (MUSE LTE).</w:t>
      </w:r>
    </w:p>
    <w:p w14:paraId="3B530272" w14:textId="356AD632" w:rsidR="00BF23B4" w:rsidRPr="00C523D4" w:rsidRDefault="00C523D4" w:rsidP="00C523D4">
      <w:pPr>
        <w:pStyle w:val="TableFigureHeading"/>
        <w:rPr>
          <w:rStyle w:val="CommentReference"/>
          <w:szCs w:val="24"/>
        </w:rPr>
      </w:pPr>
      <w:bookmarkStart w:id="18" w:name="_Ref103772895"/>
      <w:r w:rsidRPr="00C523D4">
        <w:rPr>
          <w:rStyle w:val="CommentReference"/>
          <w:b/>
          <w:szCs w:val="24"/>
        </w:rPr>
        <w:lastRenderedPageBreak/>
        <w:t xml:space="preserve">Table </w:t>
      </w:r>
      <w:r w:rsidRPr="00C523D4">
        <w:rPr>
          <w:rStyle w:val="CommentReference"/>
          <w:b/>
          <w:szCs w:val="24"/>
        </w:rPr>
        <w:fldChar w:fldCharType="begin"/>
      </w:r>
      <w:r w:rsidRPr="00C523D4">
        <w:rPr>
          <w:rStyle w:val="CommentReference"/>
          <w:b/>
          <w:szCs w:val="24"/>
        </w:rPr>
        <w:instrText xml:space="preserve"> SEQ Table \* ARABIC </w:instrText>
      </w:r>
      <w:r w:rsidRPr="00C523D4">
        <w:rPr>
          <w:rStyle w:val="CommentReference"/>
          <w:b/>
          <w:szCs w:val="24"/>
        </w:rPr>
        <w:fldChar w:fldCharType="separate"/>
      </w:r>
      <w:r w:rsidR="00942C22">
        <w:rPr>
          <w:rStyle w:val="CommentReference"/>
          <w:b/>
          <w:noProof/>
          <w:szCs w:val="24"/>
        </w:rPr>
        <w:t>2</w:t>
      </w:r>
      <w:r w:rsidRPr="00C523D4">
        <w:rPr>
          <w:rStyle w:val="CommentReference"/>
          <w:b/>
          <w:szCs w:val="24"/>
        </w:rPr>
        <w:fldChar w:fldCharType="end"/>
      </w:r>
      <w:bookmarkEnd w:id="18"/>
      <w:r w:rsidR="00BF23B4" w:rsidRPr="00C523D4">
        <w:rPr>
          <w:rStyle w:val="CommentReference"/>
          <w:b/>
          <w:szCs w:val="24"/>
        </w:rPr>
        <w:t>:</w:t>
      </w:r>
      <w:r w:rsidR="00BF23B4" w:rsidRPr="0023413C">
        <w:rPr>
          <w:rStyle w:val="CommentReference"/>
          <w:b/>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29"/>
        <w:gridCol w:w="5812"/>
        <w:gridCol w:w="2076"/>
      </w:tblGrid>
      <w:tr w:rsidR="00BF23B4" w:rsidRPr="00B41614" w14:paraId="687E3FFD" w14:textId="77777777" w:rsidTr="00BE2D03">
        <w:trPr>
          <w:tblHeader/>
        </w:trPr>
        <w:tc>
          <w:tcPr>
            <w:tcW w:w="626" w:type="pct"/>
            <w:vAlign w:val="center"/>
          </w:tcPr>
          <w:p w14:paraId="7A9196D1" w14:textId="77777777" w:rsidR="00BF23B4" w:rsidRPr="00B41614" w:rsidRDefault="00BF23B4" w:rsidP="007663FA">
            <w:pPr>
              <w:pStyle w:val="In-tableHeading"/>
            </w:pPr>
            <w:r w:rsidRPr="00B41614">
              <w:t>Trial ID</w:t>
            </w:r>
          </w:p>
        </w:tc>
        <w:tc>
          <w:tcPr>
            <w:tcW w:w="3223" w:type="pct"/>
            <w:vAlign w:val="center"/>
          </w:tcPr>
          <w:p w14:paraId="3E53D41A" w14:textId="77777777" w:rsidR="00BF23B4" w:rsidRPr="00B41614" w:rsidRDefault="00BF23B4" w:rsidP="007663FA">
            <w:pPr>
              <w:pStyle w:val="In-tableHeading"/>
            </w:pPr>
            <w:r w:rsidRPr="00B41614">
              <w:t>Protocol title/ Publication title</w:t>
            </w:r>
          </w:p>
        </w:tc>
        <w:tc>
          <w:tcPr>
            <w:tcW w:w="1151" w:type="pct"/>
            <w:vAlign w:val="center"/>
          </w:tcPr>
          <w:p w14:paraId="30FCACCF" w14:textId="77777777" w:rsidR="00BF23B4" w:rsidRPr="00B41614" w:rsidRDefault="00BF23B4" w:rsidP="007663FA">
            <w:pPr>
              <w:pStyle w:val="In-tableHeading"/>
            </w:pPr>
            <w:r w:rsidRPr="00B41614">
              <w:t>Publication citation</w:t>
            </w:r>
          </w:p>
        </w:tc>
      </w:tr>
      <w:tr w:rsidR="00BF23B4" w:rsidRPr="00CB38A8" w14:paraId="37C93C30" w14:textId="77777777" w:rsidTr="00BE2D03">
        <w:tc>
          <w:tcPr>
            <w:tcW w:w="626" w:type="pct"/>
            <w:vMerge w:val="restart"/>
            <w:vAlign w:val="center"/>
          </w:tcPr>
          <w:p w14:paraId="4E69AEFE" w14:textId="77777777" w:rsidR="00BF23B4" w:rsidRDefault="00BF23B4" w:rsidP="007663FA">
            <w:pPr>
              <w:pStyle w:val="TableText0"/>
            </w:pPr>
            <w:r>
              <w:t>TULIP-1 (Study 05)</w:t>
            </w:r>
          </w:p>
          <w:p w14:paraId="476B1732" w14:textId="77777777" w:rsidR="00BF23B4" w:rsidRPr="00CB38A8" w:rsidRDefault="00BF23B4" w:rsidP="007663FA">
            <w:pPr>
              <w:pStyle w:val="TableText0"/>
            </w:pPr>
            <w:r>
              <w:t>NCT02446912</w:t>
            </w:r>
          </w:p>
        </w:tc>
        <w:tc>
          <w:tcPr>
            <w:tcW w:w="3223" w:type="pct"/>
            <w:tcBorders>
              <w:bottom w:val="nil"/>
            </w:tcBorders>
            <w:vAlign w:val="center"/>
          </w:tcPr>
          <w:p w14:paraId="7265B998" w14:textId="77777777" w:rsidR="00BF23B4" w:rsidRPr="00AB6248" w:rsidRDefault="00BF23B4" w:rsidP="007663FA">
            <w:pPr>
              <w:pStyle w:val="TableText0"/>
              <w:rPr>
                <w:szCs w:val="18"/>
              </w:rPr>
            </w:pPr>
            <w:r w:rsidRPr="00D40EC4">
              <w:rPr>
                <w:szCs w:val="18"/>
              </w:rPr>
              <w:t xml:space="preserve">A Multicentre, Randomised, Double-blind, Placebo-controlled, Phase 3 Study Evaluating the Efficacy and Safety of Two Doses of </w:t>
            </w:r>
            <w:proofErr w:type="spellStart"/>
            <w:r w:rsidRPr="00D40EC4">
              <w:rPr>
                <w:szCs w:val="18"/>
              </w:rPr>
              <w:t>Anifrolumab</w:t>
            </w:r>
            <w:proofErr w:type="spellEnd"/>
            <w:r w:rsidRPr="00D40EC4">
              <w:rPr>
                <w:szCs w:val="18"/>
              </w:rPr>
              <w:t xml:space="preserve"> in Adult Subjects with Active Systemic Lupus Erythematosus</w:t>
            </w:r>
          </w:p>
        </w:tc>
        <w:tc>
          <w:tcPr>
            <w:tcW w:w="1151" w:type="pct"/>
            <w:tcBorders>
              <w:bottom w:val="nil"/>
            </w:tcBorders>
            <w:vAlign w:val="center"/>
          </w:tcPr>
          <w:p w14:paraId="438DF3A8" w14:textId="77777777" w:rsidR="00BF23B4" w:rsidRPr="00CB38A8" w:rsidRDefault="00BF23B4" w:rsidP="007663FA">
            <w:pPr>
              <w:pStyle w:val="TableText0"/>
            </w:pPr>
            <w:r>
              <w:t>20 May 2019</w:t>
            </w:r>
          </w:p>
        </w:tc>
      </w:tr>
      <w:tr w:rsidR="00BF23B4" w:rsidRPr="00CB38A8" w14:paraId="211B0FAD" w14:textId="77777777" w:rsidTr="00BE2D03">
        <w:tc>
          <w:tcPr>
            <w:tcW w:w="626" w:type="pct"/>
            <w:vMerge/>
            <w:tcBorders>
              <w:bottom w:val="nil"/>
            </w:tcBorders>
            <w:vAlign w:val="center"/>
          </w:tcPr>
          <w:p w14:paraId="3E16D434" w14:textId="77777777" w:rsidR="00BF23B4" w:rsidRPr="00CB38A8" w:rsidRDefault="00BF23B4" w:rsidP="007663FA">
            <w:pPr>
              <w:pStyle w:val="TableText0"/>
            </w:pPr>
          </w:p>
        </w:tc>
        <w:tc>
          <w:tcPr>
            <w:tcW w:w="3223" w:type="pct"/>
            <w:tcBorders>
              <w:top w:val="nil"/>
              <w:bottom w:val="nil"/>
            </w:tcBorders>
            <w:vAlign w:val="center"/>
          </w:tcPr>
          <w:p w14:paraId="0CD7B5C5" w14:textId="77777777" w:rsidR="00BF23B4" w:rsidRPr="00E34A35" w:rsidRDefault="00BF23B4" w:rsidP="007663FA">
            <w:pPr>
              <w:pStyle w:val="TableText0"/>
              <w:rPr>
                <w:szCs w:val="18"/>
              </w:rPr>
            </w:pPr>
            <w:proofErr w:type="spellStart"/>
            <w:r w:rsidRPr="00D40EC4">
              <w:rPr>
                <w:szCs w:val="18"/>
              </w:rPr>
              <w:t>Furie</w:t>
            </w:r>
            <w:proofErr w:type="spellEnd"/>
            <w:r w:rsidRPr="00D40EC4">
              <w:rPr>
                <w:szCs w:val="18"/>
              </w:rPr>
              <w:t xml:space="preserve">, R. A., et al. Type I interferon inhibitor </w:t>
            </w:r>
            <w:proofErr w:type="spellStart"/>
            <w:r w:rsidRPr="00D40EC4">
              <w:rPr>
                <w:szCs w:val="18"/>
              </w:rPr>
              <w:t>anifrolumab</w:t>
            </w:r>
            <w:proofErr w:type="spellEnd"/>
            <w:r w:rsidRPr="00D40EC4">
              <w:rPr>
                <w:szCs w:val="18"/>
              </w:rPr>
              <w:t xml:space="preserve"> in active systemic lupus erythematosus (TULIP-1): a randomised, controlled, phase 3 trial.</w:t>
            </w:r>
          </w:p>
        </w:tc>
        <w:tc>
          <w:tcPr>
            <w:tcW w:w="1151" w:type="pct"/>
            <w:tcBorders>
              <w:top w:val="nil"/>
              <w:bottom w:val="nil"/>
            </w:tcBorders>
            <w:vAlign w:val="center"/>
          </w:tcPr>
          <w:p w14:paraId="4A65091A" w14:textId="77777777" w:rsidR="00BF23B4" w:rsidRPr="00D40EC4" w:rsidRDefault="00BF23B4" w:rsidP="007663FA">
            <w:pPr>
              <w:pStyle w:val="TableText0"/>
              <w:rPr>
                <w:szCs w:val="18"/>
              </w:rPr>
            </w:pPr>
            <w:r w:rsidRPr="00D40EC4">
              <w:rPr>
                <w:szCs w:val="18"/>
              </w:rPr>
              <w:t>The Lancet Rheumatology 2019</w:t>
            </w:r>
            <w:r>
              <w:rPr>
                <w:szCs w:val="18"/>
              </w:rPr>
              <w:t>;</w:t>
            </w:r>
            <w:r w:rsidRPr="00D40EC4">
              <w:rPr>
                <w:szCs w:val="18"/>
              </w:rPr>
              <w:t xml:space="preserve"> 1(4): e208-e219.</w:t>
            </w:r>
          </w:p>
        </w:tc>
      </w:tr>
      <w:tr w:rsidR="00BF23B4" w:rsidRPr="00CB38A8" w14:paraId="49DA425E" w14:textId="77777777" w:rsidTr="00BE2D03">
        <w:tc>
          <w:tcPr>
            <w:tcW w:w="626" w:type="pct"/>
            <w:vMerge w:val="restart"/>
            <w:vAlign w:val="center"/>
          </w:tcPr>
          <w:p w14:paraId="26352289" w14:textId="77777777" w:rsidR="00BF23B4" w:rsidRDefault="00BF23B4" w:rsidP="007663FA">
            <w:pPr>
              <w:pStyle w:val="TableText0"/>
            </w:pPr>
            <w:r>
              <w:t>TULIP-2 (Study 04)</w:t>
            </w:r>
          </w:p>
          <w:p w14:paraId="5F7AAE92" w14:textId="77777777" w:rsidR="00BF23B4" w:rsidRPr="00CB38A8" w:rsidRDefault="00BF23B4" w:rsidP="007663FA">
            <w:pPr>
              <w:pStyle w:val="TableText0"/>
            </w:pPr>
            <w:r>
              <w:t>NCT02446899</w:t>
            </w:r>
          </w:p>
        </w:tc>
        <w:tc>
          <w:tcPr>
            <w:tcW w:w="3223" w:type="pct"/>
            <w:tcBorders>
              <w:bottom w:val="nil"/>
            </w:tcBorders>
            <w:vAlign w:val="center"/>
          </w:tcPr>
          <w:p w14:paraId="0087F7DA" w14:textId="77777777" w:rsidR="00BF23B4" w:rsidRPr="00CB38A8" w:rsidRDefault="00BF23B4" w:rsidP="007663FA">
            <w:pPr>
              <w:pStyle w:val="TableText0"/>
            </w:pPr>
            <w:r w:rsidRPr="00D40EC4">
              <w:t xml:space="preserve">A Multicentre, Randomised, Double-blind, Placebo-controlled, Phase 3 Study Evaluating the Efficacy and Safety of </w:t>
            </w:r>
            <w:proofErr w:type="spellStart"/>
            <w:r w:rsidRPr="00D40EC4">
              <w:t>Anifrolumab</w:t>
            </w:r>
            <w:proofErr w:type="spellEnd"/>
            <w:r w:rsidRPr="00D40EC4">
              <w:t xml:space="preserve"> in Adult Subjects with Active Systemic Lupus Erythematosus. </w:t>
            </w:r>
          </w:p>
        </w:tc>
        <w:tc>
          <w:tcPr>
            <w:tcW w:w="1151" w:type="pct"/>
            <w:tcBorders>
              <w:bottom w:val="nil"/>
            </w:tcBorders>
            <w:vAlign w:val="center"/>
          </w:tcPr>
          <w:p w14:paraId="7B3C0D61" w14:textId="77777777" w:rsidR="00BF23B4" w:rsidRPr="004A2558" w:rsidRDefault="00BF23B4" w:rsidP="007663FA">
            <w:pPr>
              <w:pStyle w:val="TableText0"/>
            </w:pPr>
            <w:r w:rsidRPr="00D40EC4">
              <w:t>16 December 2019</w:t>
            </w:r>
          </w:p>
        </w:tc>
      </w:tr>
      <w:tr w:rsidR="00BF23B4" w:rsidRPr="00CB38A8" w14:paraId="50276BCF" w14:textId="77777777" w:rsidTr="00BE2D03">
        <w:tc>
          <w:tcPr>
            <w:tcW w:w="626" w:type="pct"/>
            <w:vMerge/>
            <w:tcBorders>
              <w:bottom w:val="nil"/>
            </w:tcBorders>
            <w:vAlign w:val="center"/>
          </w:tcPr>
          <w:p w14:paraId="5530E664" w14:textId="77777777" w:rsidR="00BF23B4" w:rsidRPr="00CB38A8" w:rsidRDefault="00BF23B4" w:rsidP="007663FA">
            <w:pPr>
              <w:pStyle w:val="TableText0"/>
            </w:pPr>
          </w:p>
        </w:tc>
        <w:tc>
          <w:tcPr>
            <w:tcW w:w="3223" w:type="pct"/>
            <w:tcBorders>
              <w:top w:val="nil"/>
              <w:bottom w:val="nil"/>
            </w:tcBorders>
            <w:vAlign w:val="center"/>
          </w:tcPr>
          <w:p w14:paraId="500366CA" w14:textId="77777777" w:rsidR="00BF23B4" w:rsidRPr="00E34A35" w:rsidRDefault="00BF23B4" w:rsidP="007663FA">
            <w:pPr>
              <w:pStyle w:val="TableText0"/>
              <w:rPr>
                <w:szCs w:val="18"/>
              </w:rPr>
            </w:pPr>
            <w:proofErr w:type="spellStart"/>
            <w:r w:rsidRPr="00D40EC4">
              <w:rPr>
                <w:szCs w:val="18"/>
              </w:rPr>
              <w:t>Morand</w:t>
            </w:r>
            <w:proofErr w:type="spellEnd"/>
            <w:r w:rsidRPr="00D40EC4">
              <w:rPr>
                <w:szCs w:val="18"/>
              </w:rPr>
              <w:t xml:space="preserve">, E. F., et al. Trial of </w:t>
            </w:r>
            <w:proofErr w:type="spellStart"/>
            <w:r w:rsidRPr="00D40EC4">
              <w:rPr>
                <w:szCs w:val="18"/>
              </w:rPr>
              <w:t>anifrolumab</w:t>
            </w:r>
            <w:proofErr w:type="spellEnd"/>
            <w:r w:rsidRPr="00D40EC4">
              <w:rPr>
                <w:szCs w:val="18"/>
              </w:rPr>
              <w:t xml:space="preserve"> in active systemic lupus erythematosus. </w:t>
            </w:r>
          </w:p>
        </w:tc>
        <w:tc>
          <w:tcPr>
            <w:tcW w:w="1151" w:type="pct"/>
            <w:tcBorders>
              <w:top w:val="nil"/>
              <w:bottom w:val="nil"/>
            </w:tcBorders>
            <w:vAlign w:val="center"/>
          </w:tcPr>
          <w:p w14:paraId="2D8B32C5" w14:textId="77777777" w:rsidR="00BF23B4" w:rsidRPr="00CB38A8" w:rsidRDefault="00BF23B4" w:rsidP="007663FA">
            <w:pPr>
              <w:pStyle w:val="TableText0"/>
              <w:rPr>
                <w:i/>
              </w:rPr>
            </w:pPr>
            <w:r w:rsidRPr="00D40EC4">
              <w:rPr>
                <w:szCs w:val="18"/>
              </w:rPr>
              <w:t>New England Journal of Medicine 2020</w:t>
            </w:r>
            <w:r>
              <w:rPr>
                <w:szCs w:val="18"/>
              </w:rPr>
              <w:t>;</w:t>
            </w:r>
            <w:r w:rsidRPr="00D40EC4">
              <w:rPr>
                <w:szCs w:val="18"/>
              </w:rPr>
              <w:t xml:space="preserve"> 382(3): 211-221</w:t>
            </w:r>
            <w:r>
              <w:rPr>
                <w:szCs w:val="18"/>
              </w:rPr>
              <w:t>.</w:t>
            </w:r>
          </w:p>
        </w:tc>
      </w:tr>
      <w:tr w:rsidR="00BF23B4" w:rsidRPr="00CB38A8" w14:paraId="31C54E3E" w14:textId="77777777" w:rsidTr="00BE2D03">
        <w:tc>
          <w:tcPr>
            <w:tcW w:w="626" w:type="pct"/>
            <w:vMerge w:val="restart"/>
            <w:vAlign w:val="center"/>
          </w:tcPr>
          <w:p w14:paraId="135FBF8A" w14:textId="77777777" w:rsidR="00BF23B4" w:rsidRDefault="00BF23B4" w:rsidP="007663FA">
            <w:pPr>
              <w:pStyle w:val="TableText0"/>
            </w:pPr>
            <w:r>
              <w:t>MUSE</w:t>
            </w:r>
          </w:p>
          <w:p w14:paraId="5B43D4B7" w14:textId="77777777" w:rsidR="00BF23B4" w:rsidRPr="00CB38A8" w:rsidRDefault="00BF23B4" w:rsidP="007663FA">
            <w:pPr>
              <w:pStyle w:val="TableText0"/>
            </w:pPr>
            <w:r>
              <w:t>NCT01438489</w:t>
            </w:r>
          </w:p>
        </w:tc>
        <w:tc>
          <w:tcPr>
            <w:tcW w:w="3223" w:type="pct"/>
            <w:tcBorders>
              <w:bottom w:val="nil"/>
            </w:tcBorders>
            <w:vAlign w:val="center"/>
          </w:tcPr>
          <w:p w14:paraId="54446A8A" w14:textId="77777777" w:rsidR="00BF23B4" w:rsidRPr="00CB38A8" w:rsidRDefault="00BF23B4" w:rsidP="007663FA">
            <w:pPr>
              <w:pStyle w:val="TableText0"/>
            </w:pPr>
            <w:r w:rsidRPr="009710E7">
              <w:t xml:space="preserve">A Phase 2, Randomized Study to Evaluate the Efficacy and Safety of MEDI-546 in Subjects with Systemic Lupus Erythematosus. </w:t>
            </w:r>
          </w:p>
        </w:tc>
        <w:tc>
          <w:tcPr>
            <w:tcW w:w="1151" w:type="pct"/>
            <w:tcBorders>
              <w:bottom w:val="nil"/>
            </w:tcBorders>
            <w:vAlign w:val="center"/>
          </w:tcPr>
          <w:p w14:paraId="5FB805D9" w14:textId="77777777" w:rsidR="00BF23B4" w:rsidRPr="00CB38A8" w:rsidRDefault="00BF23B4" w:rsidP="007663FA">
            <w:pPr>
              <w:pStyle w:val="TableText0"/>
            </w:pPr>
            <w:r w:rsidRPr="009710E7">
              <w:t>April 2015.</w:t>
            </w:r>
          </w:p>
        </w:tc>
      </w:tr>
      <w:tr w:rsidR="00BF23B4" w:rsidRPr="00CB38A8" w14:paraId="14588C8B" w14:textId="77777777" w:rsidTr="00BE2D03">
        <w:tc>
          <w:tcPr>
            <w:tcW w:w="626" w:type="pct"/>
            <w:vMerge/>
            <w:tcBorders>
              <w:bottom w:val="single" w:sz="4" w:space="0" w:color="auto"/>
            </w:tcBorders>
            <w:vAlign w:val="center"/>
          </w:tcPr>
          <w:p w14:paraId="79577663" w14:textId="77777777" w:rsidR="00BF23B4" w:rsidRPr="00CB38A8" w:rsidRDefault="00BF23B4" w:rsidP="007663FA">
            <w:pPr>
              <w:pStyle w:val="TableText0"/>
            </w:pPr>
          </w:p>
        </w:tc>
        <w:tc>
          <w:tcPr>
            <w:tcW w:w="3223" w:type="pct"/>
            <w:tcBorders>
              <w:top w:val="nil"/>
              <w:bottom w:val="single" w:sz="4" w:space="0" w:color="auto"/>
            </w:tcBorders>
            <w:vAlign w:val="center"/>
          </w:tcPr>
          <w:p w14:paraId="2B65BA50" w14:textId="77777777" w:rsidR="00BF23B4" w:rsidRPr="00AC45E8" w:rsidRDefault="00BF23B4" w:rsidP="007663FA">
            <w:pPr>
              <w:pStyle w:val="TableText0"/>
              <w:rPr>
                <w:szCs w:val="18"/>
              </w:rPr>
            </w:pPr>
            <w:proofErr w:type="spellStart"/>
            <w:r w:rsidRPr="009710E7">
              <w:rPr>
                <w:szCs w:val="18"/>
              </w:rPr>
              <w:t>Furie</w:t>
            </w:r>
            <w:proofErr w:type="spellEnd"/>
            <w:r w:rsidRPr="009710E7">
              <w:rPr>
                <w:szCs w:val="18"/>
              </w:rPr>
              <w:t xml:space="preserve">, R., et al. </w:t>
            </w:r>
            <w:proofErr w:type="spellStart"/>
            <w:r w:rsidRPr="009710E7">
              <w:rPr>
                <w:szCs w:val="18"/>
              </w:rPr>
              <w:t>Anifrolumab</w:t>
            </w:r>
            <w:proofErr w:type="spellEnd"/>
            <w:r w:rsidRPr="009710E7">
              <w:rPr>
                <w:szCs w:val="18"/>
              </w:rPr>
              <w:t xml:space="preserve">, an Anti–Interferon-α Receptor Monoclonal Antibody, in Moderate to Severe Systemic Lupus Erythematosus. </w:t>
            </w:r>
          </w:p>
        </w:tc>
        <w:tc>
          <w:tcPr>
            <w:tcW w:w="1151" w:type="pct"/>
            <w:tcBorders>
              <w:top w:val="nil"/>
              <w:bottom w:val="single" w:sz="4" w:space="0" w:color="auto"/>
            </w:tcBorders>
            <w:vAlign w:val="center"/>
          </w:tcPr>
          <w:p w14:paraId="78A95CC3" w14:textId="77777777" w:rsidR="00BF23B4" w:rsidRPr="00AC45E8" w:rsidRDefault="00BF23B4" w:rsidP="007663FA">
            <w:pPr>
              <w:pStyle w:val="TableText0"/>
            </w:pPr>
            <w:r w:rsidRPr="009710E7">
              <w:rPr>
                <w:szCs w:val="18"/>
              </w:rPr>
              <w:t>Arthritis and Rheumatology 2017</w:t>
            </w:r>
            <w:r>
              <w:rPr>
                <w:szCs w:val="18"/>
              </w:rPr>
              <w:t>;</w:t>
            </w:r>
            <w:r w:rsidRPr="009710E7">
              <w:rPr>
                <w:szCs w:val="18"/>
              </w:rPr>
              <w:t xml:space="preserve"> 69(2): 376-386.</w:t>
            </w:r>
          </w:p>
        </w:tc>
      </w:tr>
      <w:tr w:rsidR="00BF23B4" w:rsidRPr="00CB38A8" w14:paraId="4A7B5DC8" w14:textId="77777777" w:rsidTr="00BE2D03">
        <w:tc>
          <w:tcPr>
            <w:tcW w:w="626" w:type="pct"/>
            <w:vMerge w:val="restart"/>
            <w:tcBorders>
              <w:top w:val="single" w:sz="4" w:space="0" w:color="auto"/>
            </w:tcBorders>
            <w:vAlign w:val="center"/>
          </w:tcPr>
          <w:p w14:paraId="241472F6" w14:textId="77777777" w:rsidR="00BF23B4" w:rsidRDefault="00BF23B4" w:rsidP="007663FA">
            <w:pPr>
              <w:pStyle w:val="TableText0"/>
            </w:pPr>
            <w:r>
              <w:t>MUSE LTE</w:t>
            </w:r>
          </w:p>
          <w:p w14:paraId="3F8AFF44" w14:textId="77777777" w:rsidR="00BF23B4" w:rsidRDefault="00BF23B4" w:rsidP="007663FA">
            <w:pPr>
              <w:pStyle w:val="TableText0"/>
            </w:pPr>
            <w:r>
              <w:t>NCT01753193</w:t>
            </w:r>
          </w:p>
        </w:tc>
        <w:tc>
          <w:tcPr>
            <w:tcW w:w="3223" w:type="pct"/>
            <w:tcBorders>
              <w:top w:val="single" w:sz="4" w:space="0" w:color="auto"/>
              <w:bottom w:val="nil"/>
            </w:tcBorders>
            <w:vAlign w:val="center"/>
          </w:tcPr>
          <w:p w14:paraId="526F9A82" w14:textId="77777777" w:rsidR="00BF23B4" w:rsidRPr="00766836" w:rsidRDefault="00BF23B4" w:rsidP="007663FA">
            <w:pPr>
              <w:pStyle w:val="TableText0"/>
              <w:rPr>
                <w:szCs w:val="18"/>
                <w:lang w:val="fr-FR"/>
              </w:rPr>
            </w:pPr>
            <w:r w:rsidRPr="009710E7">
              <w:rPr>
                <w:szCs w:val="18"/>
                <w:lang w:val="fr-FR"/>
              </w:rPr>
              <w:t xml:space="preserve">A Phase 2, Open-label Extension </w:t>
            </w:r>
            <w:proofErr w:type="spellStart"/>
            <w:r w:rsidRPr="009710E7">
              <w:rPr>
                <w:szCs w:val="18"/>
                <w:lang w:val="fr-FR"/>
              </w:rPr>
              <w:t>Study</w:t>
            </w:r>
            <w:proofErr w:type="spellEnd"/>
            <w:r w:rsidRPr="009710E7">
              <w:rPr>
                <w:szCs w:val="18"/>
                <w:lang w:val="fr-FR"/>
              </w:rPr>
              <w:t xml:space="preserve"> to </w:t>
            </w:r>
            <w:proofErr w:type="spellStart"/>
            <w:r w:rsidRPr="009710E7">
              <w:rPr>
                <w:szCs w:val="18"/>
                <w:lang w:val="fr-FR"/>
              </w:rPr>
              <w:t>Evaluate</w:t>
            </w:r>
            <w:proofErr w:type="spellEnd"/>
            <w:r w:rsidRPr="009710E7">
              <w:rPr>
                <w:szCs w:val="18"/>
                <w:lang w:val="fr-FR"/>
              </w:rPr>
              <w:t xml:space="preserve"> Long-</w:t>
            </w:r>
            <w:proofErr w:type="spellStart"/>
            <w:r w:rsidRPr="009710E7">
              <w:rPr>
                <w:szCs w:val="18"/>
                <w:lang w:val="fr-FR"/>
              </w:rPr>
              <w:t>term</w:t>
            </w:r>
            <w:proofErr w:type="spellEnd"/>
            <w:r>
              <w:rPr>
                <w:szCs w:val="18"/>
                <w:lang w:val="fr-FR"/>
              </w:rPr>
              <w:t xml:space="preserve"> </w:t>
            </w:r>
            <w:proofErr w:type="spellStart"/>
            <w:r w:rsidRPr="009710E7">
              <w:rPr>
                <w:szCs w:val="18"/>
                <w:lang w:val="fr-FR"/>
              </w:rPr>
              <w:t>Safety</w:t>
            </w:r>
            <w:proofErr w:type="spellEnd"/>
            <w:r w:rsidRPr="009710E7">
              <w:rPr>
                <w:szCs w:val="18"/>
                <w:lang w:val="fr-FR"/>
              </w:rPr>
              <w:t xml:space="preserve"> of MEDI-546 in </w:t>
            </w:r>
            <w:proofErr w:type="spellStart"/>
            <w:r w:rsidRPr="009710E7">
              <w:rPr>
                <w:szCs w:val="18"/>
                <w:lang w:val="fr-FR"/>
              </w:rPr>
              <w:t>Adults</w:t>
            </w:r>
            <w:proofErr w:type="spellEnd"/>
            <w:r w:rsidRPr="009710E7">
              <w:rPr>
                <w:szCs w:val="18"/>
                <w:lang w:val="fr-FR"/>
              </w:rPr>
              <w:t xml:space="preserve"> </w:t>
            </w:r>
            <w:proofErr w:type="spellStart"/>
            <w:r w:rsidRPr="009710E7">
              <w:rPr>
                <w:szCs w:val="18"/>
                <w:lang w:val="fr-FR"/>
              </w:rPr>
              <w:t>with</w:t>
            </w:r>
            <w:proofErr w:type="spellEnd"/>
            <w:r w:rsidRPr="009710E7">
              <w:rPr>
                <w:szCs w:val="18"/>
                <w:lang w:val="fr-FR"/>
              </w:rPr>
              <w:t xml:space="preserve"> </w:t>
            </w:r>
            <w:proofErr w:type="spellStart"/>
            <w:r w:rsidRPr="009710E7">
              <w:rPr>
                <w:szCs w:val="18"/>
                <w:lang w:val="fr-FR"/>
              </w:rPr>
              <w:t>Systemic</w:t>
            </w:r>
            <w:proofErr w:type="spellEnd"/>
            <w:r w:rsidRPr="009710E7">
              <w:rPr>
                <w:szCs w:val="18"/>
                <w:lang w:val="fr-FR"/>
              </w:rPr>
              <w:t xml:space="preserve"> Lupus</w:t>
            </w:r>
            <w:r>
              <w:rPr>
                <w:szCs w:val="18"/>
                <w:lang w:val="fr-FR"/>
              </w:rPr>
              <w:t xml:space="preserve"> </w:t>
            </w:r>
            <w:proofErr w:type="spellStart"/>
            <w:r w:rsidRPr="009710E7">
              <w:rPr>
                <w:szCs w:val="18"/>
                <w:lang w:val="fr-FR"/>
              </w:rPr>
              <w:t>Erythematosus</w:t>
            </w:r>
            <w:proofErr w:type="spellEnd"/>
          </w:p>
        </w:tc>
        <w:tc>
          <w:tcPr>
            <w:tcW w:w="1151" w:type="pct"/>
            <w:tcBorders>
              <w:top w:val="single" w:sz="4" w:space="0" w:color="auto"/>
              <w:bottom w:val="nil"/>
            </w:tcBorders>
            <w:vAlign w:val="center"/>
          </w:tcPr>
          <w:p w14:paraId="1E876005" w14:textId="77777777" w:rsidR="00BF23B4" w:rsidRPr="009710E7" w:rsidRDefault="00BF23B4" w:rsidP="007663FA">
            <w:pPr>
              <w:pStyle w:val="TableText0"/>
              <w:rPr>
                <w:szCs w:val="18"/>
              </w:rPr>
            </w:pPr>
            <w:r w:rsidRPr="009710E7">
              <w:rPr>
                <w:szCs w:val="18"/>
              </w:rPr>
              <w:t>05 December 2018</w:t>
            </w:r>
          </w:p>
        </w:tc>
      </w:tr>
      <w:tr w:rsidR="00BF23B4" w:rsidRPr="00CB38A8" w14:paraId="445F2375" w14:textId="77777777" w:rsidTr="00BE2D03">
        <w:tc>
          <w:tcPr>
            <w:tcW w:w="626" w:type="pct"/>
            <w:vMerge/>
            <w:tcBorders>
              <w:bottom w:val="single" w:sz="4" w:space="0" w:color="auto"/>
            </w:tcBorders>
            <w:vAlign w:val="center"/>
          </w:tcPr>
          <w:p w14:paraId="79C9A3CF" w14:textId="77777777" w:rsidR="00BF23B4" w:rsidRDefault="00BF23B4" w:rsidP="007663FA">
            <w:pPr>
              <w:pStyle w:val="TableText0"/>
            </w:pPr>
          </w:p>
        </w:tc>
        <w:tc>
          <w:tcPr>
            <w:tcW w:w="3223" w:type="pct"/>
            <w:tcBorders>
              <w:top w:val="nil"/>
              <w:bottom w:val="single" w:sz="4" w:space="0" w:color="auto"/>
            </w:tcBorders>
            <w:vAlign w:val="center"/>
          </w:tcPr>
          <w:p w14:paraId="479E3A74" w14:textId="77777777" w:rsidR="00BF23B4" w:rsidRPr="00766836" w:rsidRDefault="00BF23B4" w:rsidP="007663FA">
            <w:pPr>
              <w:pStyle w:val="TableText0"/>
              <w:rPr>
                <w:szCs w:val="18"/>
                <w:lang w:val="fr-FR"/>
              </w:rPr>
            </w:pPr>
            <w:r w:rsidRPr="009710E7">
              <w:rPr>
                <w:szCs w:val="18"/>
                <w:lang w:val="fr-FR"/>
              </w:rPr>
              <w:t>Chatham, W. W., et al. Long-</w:t>
            </w:r>
            <w:proofErr w:type="spellStart"/>
            <w:r w:rsidRPr="009710E7">
              <w:rPr>
                <w:szCs w:val="18"/>
                <w:lang w:val="fr-FR"/>
              </w:rPr>
              <w:t>Term</w:t>
            </w:r>
            <w:proofErr w:type="spellEnd"/>
            <w:r w:rsidRPr="009710E7">
              <w:rPr>
                <w:szCs w:val="18"/>
                <w:lang w:val="fr-FR"/>
              </w:rPr>
              <w:t xml:space="preserve"> </w:t>
            </w:r>
            <w:proofErr w:type="spellStart"/>
            <w:r w:rsidRPr="009710E7">
              <w:rPr>
                <w:szCs w:val="18"/>
                <w:lang w:val="fr-FR"/>
              </w:rPr>
              <w:t>Safety</w:t>
            </w:r>
            <w:proofErr w:type="spellEnd"/>
            <w:r w:rsidRPr="009710E7">
              <w:rPr>
                <w:szCs w:val="18"/>
                <w:lang w:val="fr-FR"/>
              </w:rPr>
              <w:t xml:space="preserve"> and </w:t>
            </w:r>
            <w:proofErr w:type="spellStart"/>
            <w:r w:rsidRPr="009710E7">
              <w:rPr>
                <w:szCs w:val="18"/>
                <w:lang w:val="fr-FR"/>
              </w:rPr>
              <w:t>Efficacy</w:t>
            </w:r>
            <w:proofErr w:type="spellEnd"/>
            <w:r w:rsidRPr="009710E7">
              <w:rPr>
                <w:szCs w:val="18"/>
                <w:lang w:val="fr-FR"/>
              </w:rPr>
              <w:t xml:space="preserve"> of </w:t>
            </w:r>
            <w:proofErr w:type="spellStart"/>
            <w:r w:rsidRPr="009710E7">
              <w:rPr>
                <w:szCs w:val="18"/>
                <w:lang w:val="fr-FR"/>
              </w:rPr>
              <w:t>Anifrolumab</w:t>
            </w:r>
            <w:proofErr w:type="spellEnd"/>
            <w:r w:rsidRPr="009710E7">
              <w:rPr>
                <w:szCs w:val="18"/>
                <w:lang w:val="fr-FR"/>
              </w:rPr>
              <w:t xml:space="preserve"> in </w:t>
            </w:r>
            <w:proofErr w:type="spellStart"/>
            <w:r w:rsidRPr="009710E7">
              <w:rPr>
                <w:szCs w:val="18"/>
                <w:lang w:val="fr-FR"/>
              </w:rPr>
              <w:t>Adults</w:t>
            </w:r>
            <w:proofErr w:type="spellEnd"/>
            <w:r w:rsidRPr="009710E7">
              <w:rPr>
                <w:szCs w:val="18"/>
                <w:lang w:val="fr-FR"/>
              </w:rPr>
              <w:t xml:space="preserve"> </w:t>
            </w:r>
            <w:proofErr w:type="spellStart"/>
            <w:r w:rsidRPr="009710E7">
              <w:rPr>
                <w:szCs w:val="18"/>
                <w:lang w:val="fr-FR"/>
              </w:rPr>
              <w:t>With</w:t>
            </w:r>
            <w:proofErr w:type="spellEnd"/>
            <w:r w:rsidRPr="009710E7">
              <w:rPr>
                <w:szCs w:val="18"/>
                <w:lang w:val="fr-FR"/>
              </w:rPr>
              <w:t xml:space="preserve"> </w:t>
            </w:r>
            <w:proofErr w:type="spellStart"/>
            <w:r w:rsidRPr="009710E7">
              <w:rPr>
                <w:szCs w:val="18"/>
                <w:lang w:val="fr-FR"/>
              </w:rPr>
              <w:t>Systemic</w:t>
            </w:r>
            <w:proofErr w:type="spellEnd"/>
            <w:r w:rsidRPr="009710E7">
              <w:rPr>
                <w:szCs w:val="18"/>
                <w:lang w:val="fr-FR"/>
              </w:rPr>
              <w:t xml:space="preserve"> Lupus </w:t>
            </w:r>
            <w:proofErr w:type="spellStart"/>
            <w:proofErr w:type="gramStart"/>
            <w:r w:rsidRPr="009710E7">
              <w:rPr>
                <w:szCs w:val="18"/>
                <w:lang w:val="fr-FR"/>
              </w:rPr>
              <w:t>Erythematosus</w:t>
            </w:r>
            <w:proofErr w:type="spellEnd"/>
            <w:r w:rsidRPr="009710E7">
              <w:rPr>
                <w:szCs w:val="18"/>
                <w:lang w:val="fr-FR"/>
              </w:rPr>
              <w:t>:</w:t>
            </w:r>
            <w:proofErr w:type="gramEnd"/>
            <w:r w:rsidRPr="009710E7">
              <w:rPr>
                <w:szCs w:val="18"/>
                <w:lang w:val="fr-FR"/>
              </w:rPr>
              <w:t xml:space="preserve"> </w:t>
            </w:r>
            <w:proofErr w:type="spellStart"/>
            <w:r w:rsidRPr="009710E7">
              <w:rPr>
                <w:szCs w:val="18"/>
                <w:lang w:val="fr-FR"/>
              </w:rPr>
              <w:t>Results</w:t>
            </w:r>
            <w:proofErr w:type="spellEnd"/>
            <w:r w:rsidRPr="009710E7">
              <w:rPr>
                <w:szCs w:val="18"/>
                <w:lang w:val="fr-FR"/>
              </w:rPr>
              <w:t xml:space="preserve"> of a Phase II Open-Label Extension </w:t>
            </w:r>
            <w:proofErr w:type="spellStart"/>
            <w:r w:rsidRPr="009710E7">
              <w:rPr>
                <w:szCs w:val="18"/>
                <w:lang w:val="fr-FR"/>
              </w:rPr>
              <w:t>Study</w:t>
            </w:r>
            <w:proofErr w:type="spellEnd"/>
            <w:r w:rsidRPr="009710E7">
              <w:rPr>
                <w:szCs w:val="18"/>
                <w:lang w:val="fr-FR"/>
              </w:rPr>
              <w:t>.</w:t>
            </w:r>
          </w:p>
        </w:tc>
        <w:tc>
          <w:tcPr>
            <w:tcW w:w="1151" w:type="pct"/>
            <w:tcBorders>
              <w:top w:val="nil"/>
              <w:bottom w:val="single" w:sz="4" w:space="0" w:color="auto"/>
            </w:tcBorders>
            <w:vAlign w:val="center"/>
          </w:tcPr>
          <w:p w14:paraId="1C355088" w14:textId="780A136A" w:rsidR="00BF23B4" w:rsidRPr="00F74CD9" w:rsidRDefault="00BF23B4" w:rsidP="007663FA">
            <w:pPr>
              <w:pStyle w:val="TableText0"/>
              <w:rPr>
                <w:i/>
                <w:szCs w:val="18"/>
              </w:rPr>
            </w:pPr>
            <w:proofErr w:type="spellStart"/>
            <w:r w:rsidRPr="009710E7">
              <w:rPr>
                <w:szCs w:val="18"/>
                <w:lang w:val="fr-FR"/>
              </w:rPr>
              <w:t>Arthritis</w:t>
            </w:r>
            <w:proofErr w:type="spellEnd"/>
            <w:r w:rsidRPr="009710E7">
              <w:rPr>
                <w:szCs w:val="18"/>
                <w:lang w:val="fr-FR"/>
              </w:rPr>
              <w:t xml:space="preserve"> and </w:t>
            </w:r>
            <w:proofErr w:type="spellStart"/>
            <w:r w:rsidRPr="009710E7">
              <w:rPr>
                <w:szCs w:val="18"/>
                <w:lang w:val="fr-FR"/>
              </w:rPr>
              <w:t>Rheumatology</w:t>
            </w:r>
            <w:proofErr w:type="spellEnd"/>
            <w:r w:rsidR="00C40B75">
              <w:rPr>
                <w:szCs w:val="18"/>
                <w:lang w:val="fr-FR"/>
              </w:rPr>
              <w:t xml:space="preserve"> </w:t>
            </w:r>
            <w:r w:rsidR="00C40B75" w:rsidRPr="009710E7">
              <w:rPr>
                <w:szCs w:val="18"/>
                <w:lang w:val="fr-FR"/>
              </w:rPr>
              <w:t>2021</w:t>
            </w:r>
            <w:r w:rsidR="00C40B75">
              <w:rPr>
                <w:szCs w:val="18"/>
                <w:lang w:val="fr-FR"/>
              </w:rPr>
              <w:t> ;</w:t>
            </w:r>
            <w:r w:rsidRPr="009710E7">
              <w:rPr>
                <w:szCs w:val="18"/>
                <w:lang w:val="fr-FR"/>
              </w:rPr>
              <w:t xml:space="preserve"> 73(5</w:t>
            </w:r>
            <w:proofErr w:type="gramStart"/>
            <w:r w:rsidRPr="009710E7">
              <w:rPr>
                <w:szCs w:val="18"/>
                <w:lang w:val="fr-FR"/>
              </w:rPr>
              <w:t>):</w:t>
            </w:r>
            <w:proofErr w:type="gramEnd"/>
            <w:r w:rsidRPr="009710E7">
              <w:rPr>
                <w:szCs w:val="18"/>
                <w:lang w:val="fr-FR"/>
              </w:rPr>
              <w:t xml:space="preserve"> 816-825.</w:t>
            </w:r>
          </w:p>
        </w:tc>
      </w:tr>
    </w:tbl>
    <w:p w14:paraId="10E0263C" w14:textId="77777777" w:rsidR="00BF23B4" w:rsidRPr="00B1011F" w:rsidRDefault="00BF23B4" w:rsidP="00BF23B4">
      <w:pPr>
        <w:pStyle w:val="TableFigureFooter"/>
        <w:rPr>
          <w:sz w:val="20"/>
        </w:rPr>
      </w:pPr>
      <w:r>
        <w:t xml:space="preserve">Source: Table 2.2-1, p47 </w:t>
      </w:r>
      <w:r w:rsidRPr="00D13A3E">
        <w:t xml:space="preserve">of the </w:t>
      </w:r>
      <w:r>
        <w:t>submission.</w:t>
      </w:r>
    </w:p>
    <w:p w14:paraId="2393032D" w14:textId="349DB2A5" w:rsidR="007663FA" w:rsidRPr="00CB6EE4" w:rsidRDefault="007663FA" w:rsidP="002E4F02">
      <w:pPr>
        <w:pStyle w:val="3-BodyText"/>
        <w:rPr>
          <w:iCs/>
        </w:rPr>
      </w:pPr>
      <w:r w:rsidRPr="007663FA">
        <w:t xml:space="preserve">A potentially relevant safety study in Japanese patients with SLE (Tanaka 2020, NCT01559090) was excluded on the grounds it was not conducted in the PBS population. </w:t>
      </w:r>
      <w:r w:rsidRPr="00CB6EE4">
        <w:rPr>
          <w:iCs/>
        </w:rPr>
        <w:t>This may not be appropriate, studies conducted in Asian patients are relevant to the requested restriction, as it is one of the predominant ethnic groups affected by SLE in Australia and are associated with more severe phenotypes (Connelly et al</w:t>
      </w:r>
      <w:r w:rsidR="00DF6485" w:rsidRPr="00CB6EE4">
        <w:rPr>
          <w:iCs/>
        </w:rPr>
        <w:t>.,</w:t>
      </w:r>
      <w:r w:rsidRPr="00CB6EE4">
        <w:rPr>
          <w:iCs/>
        </w:rPr>
        <w:t xml:space="preserve"> 2013</w:t>
      </w:r>
      <w:r w:rsidRPr="00CB6EE4">
        <w:rPr>
          <w:rStyle w:val="FootnoteReference"/>
          <w:iCs/>
        </w:rPr>
        <w:footnoteReference w:id="4"/>
      </w:r>
      <w:r w:rsidRPr="00CB6EE4">
        <w:rPr>
          <w:iCs/>
        </w:rPr>
        <w:t xml:space="preserve">). </w:t>
      </w:r>
      <w:r w:rsidR="009D6568" w:rsidRPr="00F11EB3">
        <w:rPr>
          <w:iCs/>
        </w:rPr>
        <w:t>Thirty-eight percent</w:t>
      </w:r>
      <w:r w:rsidR="009D6568">
        <w:rPr>
          <w:iCs/>
        </w:rPr>
        <w:t xml:space="preserve"> </w:t>
      </w:r>
      <w:r w:rsidRPr="00CB6EE4">
        <w:rPr>
          <w:iCs/>
        </w:rPr>
        <w:t>of patients in the Australian Lupus Registry and Biobank (ALRB) are of Asian ethnicity (ALRB 2021).</w:t>
      </w:r>
    </w:p>
    <w:p w14:paraId="6B4CA6EB" w14:textId="5AFD9A1B" w:rsidR="00BF2805" w:rsidRDefault="00C523D4" w:rsidP="002E4F02">
      <w:pPr>
        <w:pStyle w:val="3-BodyText"/>
      </w:pPr>
      <w:r w:rsidRPr="004258A3">
        <w:rPr>
          <w:rFonts w:cstheme="minorHAnsi"/>
          <w:b/>
          <w:bCs/>
        </w:rPr>
        <w:fldChar w:fldCharType="begin"/>
      </w:r>
      <w:r w:rsidRPr="004258A3">
        <w:rPr>
          <w:rFonts w:cstheme="minorHAnsi"/>
          <w:b/>
          <w:bCs/>
        </w:rPr>
        <w:instrText xml:space="preserve"> REF _Ref102983113 \h </w:instrText>
      </w:r>
      <w:r w:rsidR="004258A3" w:rsidRPr="004258A3">
        <w:rPr>
          <w:rFonts w:cstheme="minorHAnsi"/>
          <w:b/>
          <w:bCs/>
        </w:rPr>
        <w:instrText xml:space="preserve"> \* MERGEFORMAT </w:instrText>
      </w:r>
      <w:r w:rsidRPr="004258A3">
        <w:rPr>
          <w:rFonts w:cstheme="minorHAnsi"/>
          <w:b/>
          <w:bCs/>
        </w:rPr>
      </w:r>
      <w:r w:rsidRPr="004258A3">
        <w:rPr>
          <w:rFonts w:cstheme="minorHAnsi"/>
          <w:b/>
          <w:bCs/>
        </w:rPr>
        <w:fldChar w:fldCharType="separate"/>
      </w:r>
      <w:r w:rsidR="00942C22" w:rsidRPr="00942C22">
        <w:rPr>
          <w:rStyle w:val="CommentReference"/>
          <w:rFonts w:asciiTheme="minorHAnsi" w:hAnsiTheme="minorHAnsi" w:cstheme="minorHAnsi"/>
          <w:b w:val="0"/>
          <w:bCs/>
          <w:sz w:val="24"/>
          <w:szCs w:val="24"/>
        </w:rPr>
        <w:t xml:space="preserve">Table </w:t>
      </w:r>
      <w:r w:rsidR="00942C22" w:rsidRPr="00942C22">
        <w:rPr>
          <w:rStyle w:val="CommentReference"/>
          <w:rFonts w:asciiTheme="minorHAnsi" w:hAnsiTheme="minorHAnsi" w:cstheme="minorHAnsi"/>
          <w:b w:val="0"/>
          <w:bCs/>
          <w:noProof/>
          <w:sz w:val="24"/>
          <w:szCs w:val="24"/>
        </w:rPr>
        <w:t>3</w:t>
      </w:r>
      <w:r w:rsidRPr="004258A3">
        <w:rPr>
          <w:rFonts w:cstheme="minorHAnsi"/>
          <w:b/>
          <w:bCs/>
        </w:rPr>
        <w:fldChar w:fldCharType="end"/>
      </w:r>
      <w:r w:rsidR="00BF23B4" w:rsidRPr="004258A3">
        <w:rPr>
          <w:rFonts w:cstheme="minorHAnsi"/>
        </w:rPr>
        <w:t xml:space="preserve"> pr</w:t>
      </w:r>
      <w:r w:rsidR="00BF23B4">
        <w:t>esents the key features of the included trials.</w:t>
      </w:r>
    </w:p>
    <w:p w14:paraId="1B7E373B" w14:textId="2EA8AA52" w:rsidR="007663FA" w:rsidRPr="00C523D4" w:rsidRDefault="00C523D4" w:rsidP="00C523D4">
      <w:pPr>
        <w:pStyle w:val="TableFigureHeading"/>
        <w:rPr>
          <w:rStyle w:val="CommentReference"/>
          <w:b/>
          <w:szCs w:val="24"/>
        </w:rPr>
      </w:pPr>
      <w:bookmarkStart w:id="19" w:name="_Ref102983113"/>
      <w:r w:rsidRPr="00C523D4">
        <w:rPr>
          <w:rStyle w:val="CommentReference"/>
          <w:b/>
          <w:szCs w:val="24"/>
        </w:rPr>
        <w:lastRenderedPageBreak/>
        <w:t xml:space="preserve">Table </w:t>
      </w:r>
      <w:r w:rsidRPr="00C523D4">
        <w:rPr>
          <w:rStyle w:val="CommentReference"/>
          <w:b/>
          <w:szCs w:val="24"/>
        </w:rPr>
        <w:fldChar w:fldCharType="begin"/>
      </w:r>
      <w:r w:rsidRPr="00C523D4">
        <w:rPr>
          <w:rStyle w:val="CommentReference"/>
          <w:b/>
          <w:szCs w:val="24"/>
        </w:rPr>
        <w:instrText xml:space="preserve"> SEQ Table \* ARABIC </w:instrText>
      </w:r>
      <w:r w:rsidRPr="00C523D4">
        <w:rPr>
          <w:rStyle w:val="CommentReference"/>
          <w:b/>
          <w:szCs w:val="24"/>
        </w:rPr>
        <w:fldChar w:fldCharType="separate"/>
      </w:r>
      <w:r w:rsidR="00942C22">
        <w:rPr>
          <w:rStyle w:val="CommentReference"/>
          <w:b/>
          <w:noProof/>
          <w:szCs w:val="24"/>
        </w:rPr>
        <w:t>3</w:t>
      </w:r>
      <w:r w:rsidRPr="00C523D4">
        <w:rPr>
          <w:rStyle w:val="CommentReference"/>
          <w:b/>
          <w:szCs w:val="24"/>
        </w:rPr>
        <w:fldChar w:fldCharType="end"/>
      </w:r>
      <w:bookmarkEnd w:id="19"/>
      <w:r w:rsidR="007663FA" w:rsidRPr="00C523D4">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4"/>
        <w:gridCol w:w="389"/>
        <w:gridCol w:w="1307"/>
        <w:gridCol w:w="622"/>
        <w:gridCol w:w="1708"/>
        <w:gridCol w:w="1542"/>
        <w:gridCol w:w="1824"/>
        <w:gridCol w:w="931"/>
      </w:tblGrid>
      <w:tr w:rsidR="007663FA" w:rsidRPr="00CB6EE4" w14:paraId="0EDF35E5" w14:textId="77777777" w:rsidTr="005616A5">
        <w:trPr>
          <w:cantSplit/>
          <w:tblHeader/>
        </w:trPr>
        <w:tc>
          <w:tcPr>
            <w:tcW w:w="386" w:type="pct"/>
            <w:shd w:val="clear" w:color="auto" w:fill="auto"/>
            <w:vAlign w:val="center"/>
          </w:tcPr>
          <w:p w14:paraId="541987A2" w14:textId="77777777" w:rsidR="007663FA" w:rsidRPr="00CB6EE4" w:rsidRDefault="007663FA" w:rsidP="007663FA">
            <w:pPr>
              <w:pStyle w:val="In-tableHeading"/>
            </w:pPr>
            <w:r w:rsidRPr="00CB6EE4">
              <w:t>Trial</w:t>
            </w:r>
          </w:p>
        </w:tc>
        <w:tc>
          <w:tcPr>
            <w:tcW w:w="214" w:type="pct"/>
            <w:shd w:val="clear" w:color="auto" w:fill="auto"/>
            <w:vAlign w:val="center"/>
          </w:tcPr>
          <w:p w14:paraId="72752A57" w14:textId="77777777" w:rsidR="007663FA" w:rsidRPr="00CB6EE4" w:rsidRDefault="007663FA" w:rsidP="007663FA">
            <w:pPr>
              <w:pStyle w:val="In-tableHeading"/>
              <w:jc w:val="center"/>
            </w:pPr>
            <w:r w:rsidRPr="00CB6EE4">
              <w:t>N</w:t>
            </w:r>
          </w:p>
        </w:tc>
        <w:tc>
          <w:tcPr>
            <w:tcW w:w="726" w:type="pct"/>
            <w:shd w:val="clear" w:color="auto" w:fill="auto"/>
            <w:vAlign w:val="center"/>
          </w:tcPr>
          <w:p w14:paraId="13E6394E" w14:textId="77777777" w:rsidR="007663FA" w:rsidRPr="00CB6EE4" w:rsidRDefault="007663FA" w:rsidP="007663FA">
            <w:pPr>
              <w:pStyle w:val="In-tableHeading"/>
              <w:jc w:val="center"/>
            </w:pPr>
            <w:r w:rsidRPr="00CB6EE4">
              <w:t>Design/ duration</w:t>
            </w:r>
          </w:p>
        </w:tc>
        <w:tc>
          <w:tcPr>
            <w:tcW w:w="341" w:type="pct"/>
            <w:shd w:val="clear" w:color="auto" w:fill="auto"/>
            <w:vAlign w:val="center"/>
          </w:tcPr>
          <w:p w14:paraId="023115D2" w14:textId="77777777" w:rsidR="007663FA" w:rsidRPr="00CB6EE4" w:rsidRDefault="007663FA" w:rsidP="007663FA">
            <w:pPr>
              <w:pStyle w:val="In-tableHeading"/>
              <w:jc w:val="center"/>
            </w:pPr>
            <w:r w:rsidRPr="00CB6EE4">
              <w:t>Bias</w:t>
            </w:r>
          </w:p>
        </w:tc>
        <w:tc>
          <w:tcPr>
            <w:tcW w:w="948" w:type="pct"/>
            <w:vAlign w:val="center"/>
          </w:tcPr>
          <w:p w14:paraId="301EBA69" w14:textId="77777777" w:rsidR="007663FA" w:rsidRPr="00CB6EE4" w:rsidRDefault="007663FA" w:rsidP="007663FA">
            <w:pPr>
              <w:pStyle w:val="In-tableHeading"/>
              <w:jc w:val="center"/>
            </w:pPr>
            <w:r w:rsidRPr="00CB6EE4">
              <w:t>Treatment arms</w:t>
            </w:r>
          </w:p>
        </w:tc>
        <w:tc>
          <w:tcPr>
            <w:tcW w:w="856" w:type="pct"/>
            <w:shd w:val="clear" w:color="auto" w:fill="auto"/>
            <w:vAlign w:val="center"/>
          </w:tcPr>
          <w:p w14:paraId="25E20C90" w14:textId="77777777" w:rsidR="007663FA" w:rsidRPr="00CB6EE4" w:rsidRDefault="007663FA" w:rsidP="007663FA">
            <w:pPr>
              <w:pStyle w:val="In-tableHeading"/>
              <w:jc w:val="center"/>
            </w:pPr>
            <w:r w:rsidRPr="00CB6EE4">
              <w:t>Population</w:t>
            </w:r>
          </w:p>
        </w:tc>
        <w:tc>
          <w:tcPr>
            <w:tcW w:w="1012" w:type="pct"/>
            <w:shd w:val="clear" w:color="auto" w:fill="auto"/>
            <w:vAlign w:val="center"/>
          </w:tcPr>
          <w:p w14:paraId="6C08C68D" w14:textId="77777777" w:rsidR="007663FA" w:rsidRPr="00CB6EE4" w:rsidRDefault="007663FA" w:rsidP="007663FA">
            <w:pPr>
              <w:pStyle w:val="In-tableHeading"/>
              <w:jc w:val="center"/>
            </w:pPr>
            <w:r w:rsidRPr="00CB6EE4">
              <w:t>Outcome(s)</w:t>
            </w:r>
          </w:p>
        </w:tc>
        <w:tc>
          <w:tcPr>
            <w:tcW w:w="517" w:type="pct"/>
            <w:shd w:val="clear" w:color="auto" w:fill="auto"/>
            <w:vAlign w:val="center"/>
          </w:tcPr>
          <w:p w14:paraId="27B6120D" w14:textId="77777777" w:rsidR="007663FA" w:rsidRPr="00CB6EE4" w:rsidRDefault="007663FA" w:rsidP="007663FA">
            <w:pPr>
              <w:pStyle w:val="In-tableHeading"/>
              <w:jc w:val="center"/>
            </w:pPr>
            <w:r w:rsidRPr="00CB6EE4">
              <w:t>Modelled evaluation</w:t>
            </w:r>
          </w:p>
        </w:tc>
      </w:tr>
      <w:tr w:rsidR="007663FA" w:rsidRPr="00CB6EE4" w14:paraId="7B9B7B9B" w14:textId="77777777" w:rsidTr="005616A5">
        <w:trPr>
          <w:cantSplit/>
        </w:trPr>
        <w:tc>
          <w:tcPr>
            <w:tcW w:w="5000" w:type="pct"/>
            <w:gridSpan w:val="8"/>
          </w:tcPr>
          <w:p w14:paraId="24235C5F" w14:textId="77777777" w:rsidR="007663FA" w:rsidRPr="00CB6EE4" w:rsidRDefault="007663FA" w:rsidP="007663FA">
            <w:pPr>
              <w:pStyle w:val="In-tableHeading"/>
            </w:pPr>
            <w:proofErr w:type="spellStart"/>
            <w:r w:rsidRPr="00CB6EE4">
              <w:t>Anifrolumab</w:t>
            </w:r>
            <w:proofErr w:type="spellEnd"/>
            <w:r w:rsidRPr="00CB6EE4">
              <w:t xml:space="preserve"> vs SOC (placebo)</w:t>
            </w:r>
          </w:p>
        </w:tc>
      </w:tr>
      <w:tr w:rsidR="007663FA" w:rsidRPr="00CB6EE4" w14:paraId="3AF61E93" w14:textId="77777777" w:rsidTr="005616A5">
        <w:trPr>
          <w:cantSplit/>
        </w:trPr>
        <w:tc>
          <w:tcPr>
            <w:tcW w:w="386" w:type="pct"/>
            <w:shd w:val="clear" w:color="auto" w:fill="auto"/>
            <w:vAlign w:val="center"/>
          </w:tcPr>
          <w:p w14:paraId="16E1D402" w14:textId="77777777" w:rsidR="007663FA" w:rsidRPr="00CB6EE4" w:rsidRDefault="007663FA" w:rsidP="007663FA">
            <w:pPr>
              <w:pStyle w:val="TableText0"/>
              <w:rPr>
                <w:lang w:val="en-US"/>
              </w:rPr>
            </w:pPr>
            <w:r w:rsidRPr="00CB6EE4">
              <w:rPr>
                <w:lang w:val="en-US"/>
              </w:rPr>
              <w:t>TULIP 1</w:t>
            </w:r>
          </w:p>
        </w:tc>
        <w:tc>
          <w:tcPr>
            <w:tcW w:w="214" w:type="pct"/>
            <w:shd w:val="clear" w:color="auto" w:fill="auto"/>
            <w:vAlign w:val="center"/>
          </w:tcPr>
          <w:p w14:paraId="708F1D60" w14:textId="77777777" w:rsidR="007663FA" w:rsidRPr="00CB6EE4" w:rsidRDefault="007663FA" w:rsidP="007663FA">
            <w:pPr>
              <w:pStyle w:val="TableText0"/>
              <w:jc w:val="center"/>
              <w:rPr>
                <w:lang w:val="en-US"/>
              </w:rPr>
            </w:pPr>
            <w:r w:rsidRPr="00CB6EE4">
              <w:rPr>
                <w:lang w:val="en-US"/>
              </w:rPr>
              <w:t>457</w:t>
            </w:r>
            <w:r w:rsidRPr="00CB6EE4">
              <w:rPr>
                <w:vertAlign w:val="superscript"/>
                <w:lang w:val="en-US"/>
              </w:rPr>
              <w:t>a</w:t>
            </w:r>
          </w:p>
        </w:tc>
        <w:tc>
          <w:tcPr>
            <w:tcW w:w="726" w:type="pct"/>
            <w:shd w:val="clear" w:color="auto" w:fill="auto"/>
            <w:vAlign w:val="center"/>
          </w:tcPr>
          <w:p w14:paraId="3D66E51C" w14:textId="20DB371D" w:rsidR="007663FA" w:rsidRPr="00CB6EE4" w:rsidRDefault="007663FA" w:rsidP="007663FA">
            <w:pPr>
              <w:pStyle w:val="TableText0"/>
              <w:jc w:val="center"/>
              <w:rPr>
                <w:lang w:val="en-US"/>
              </w:rPr>
            </w:pPr>
            <w:r w:rsidRPr="00CB6EE4">
              <w:rPr>
                <w:lang w:val="en-US"/>
              </w:rPr>
              <w:t xml:space="preserve">R, MC, DB, PBO 52 weeks / f-up 12 </w:t>
            </w:r>
            <w:proofErr w:type="spellStart"/>
            <w:r w:rsidRPr="00CB6EE4">
              <w:rPr>
                <w:lang w:val="en-US"/>
              </w:rPr>
              <w:t>weeks</w:t>
            </w:r>
            <w:r w:rsidR="009D6568" w:rsidRPr="009D6568">
              <w:rPr>
                <w:vertAlign w:val="superscript"/>
                <w:lang w:val="en-US"/>
              </w:rPr>
              <w:t>g</w:t>
            </w:r>
            <w:proofErr w:type="spellEnd"/>
          </w:p>
        </w:tc>
        <w:tc>
          <w:tcPr>
            <w:tcW w:w="341" w:type="pct"/>
            <w:shd w:val="clear" w:color="auto" w:fill="auto"/>
            <w:vAlign w:val="center"/>
          </w:tcPr>
          <w:p w14:paraId="2F70391E" w14:textId="77777777" w:rsidR="007663FA" w:rsidRPr="00CB6EE4" w:rsidRDefault="007663FA" w:rsidP="007663FA">
            <w:pPr>
              <w:pStyle w:val="TableText0"/>
              <w:jc w:val="center"/>
              <w:rPr>
                <w:lang w:val="en-US"/>
              </w:rPr>
            </w:pPr>
            <w:r w:rsidRPr="00CB6EE4">
              <w:rPr>
                <w:lang w:val="en-US"/>
              </w:rPr>
              <w:t>Unclear</w:t>
            </w:r>
          </w:p>
        </w:tc>
        <w:tc>
          <w:tcPr>
            <w:tcW w:w="948" w:type="pct"/>
            <w:vAlign w:val="center"/>
          </w:tcPr>
          <w:p w14:paraId="7F4BF47C" w14:textId="77777777" w:rsidR="007663FA" w:rsidRPr="00CB6EE4" w:rsidRDefault="007663FA" w:rsidP="007663FA">
            <w:pPr>
              <w:pStyle w:val="TableText0"/>
              <w:jc w:val="center"/>
              <w:rPr>
                <w:lang w:val="en-US"/>
              </w:rPr>
            </w:pPr>
            <w:r w:rsidRPr="00CB6EE4">
              <w:rPr>
                <w:lang w:val="en-US"/>
              </w:rPr>
              <w:t>ANI 150 mg IV Q4W</w:t>
            </w:r>
          </w:p>
          <w:p w14:paraId="1FEF28EB" w14:textId="77777777" w:rsidR="007663FA" w:rsidRPr="00CB6EE4" w:rsidRDefault="007663FA" w:rsidP="007663FA">
            <w:pPr>
              <w:pStyle w:val="TableText0"/>
              <w:jc w:val="center"/>
              <w:rPr>
                <w:lang w:val="en-US"/>
              </w:rPr>
            </w:pPr>
            <w:r w:rsidRPr="00CB6EE4">
              <w:rPr>
                <w:lang w:val="en-US"/>
              </w:rPr>
              <w:t>ANI 300 mg IV Q4W</w:t>
            </w:r>
          </w:p>
          <w:p w14:paraId="35017A31" w14:textId="77777777" w:rsidR="007663FA" w:rsidRPr="00CB6EE4" w:rsidRDefault="007663FA" w:rsidP="007663FA">
            <w:pPr>
              <w:pStyle w:val="TableText0"/>
              <w:jc w:val="center"/>
              <w:rPr>
                <w:lang w:val="en-US"/>
              </w:rPr>
            </w:pPr>
            <w:r w:rsidRPr="00CB6EE4">
              <w:rPr>
                <w:lang w:val="en-US"/>
              </w:rPr>
              <w:t>SOC (PBO)</w:t>
            </w:r>
            <w:r w:rsidRPr="00CB6EE4">
              <w:rPr>
                <w:vertAlign w:val="superscript"/>
                <w:lang w:val="en-US"/>
              </w:rPr>
              <w:t>e</w:t>
            </w:r>
          </w:p>
        </w:tc>
        <w:tc>
          <w:tcPr>
            <w:tcW w:w="856" w:type="pct"/>
            <w:shd w:val="clear" w:color="auto" w:fill="auto"/>
            <w:vAlign w:val="center"/>
          </w:tcPr>
          <w:p w14:paraId="14B973D5" w14:textId="77777777" w:rsidR="007663FA" w:rsidRPr="00CB6EE4" w:rsidRDefault="007663FA" w:rsidP="007663FA">
            <w:pPr>
              <w:pStyle w:val="TableText0"/>
              <w:jc w:val="center"/>
              <w:rPr>
                <w:lang w:val="en-US"/>
              </w:rPr>
            </w:pPr>
            <w:r w:rsidRPr="00CB6EE4">
              <w:rPr>
                <w:lang w:val="en-US"/>
              </w:rPr>
              <w:t>18-70, SLEDAI-2K ≥6, autoantibody positive</w:t>
            </w:r>
          </w:p>
        </w:tc>
        <w:tc>
          <w:tcPr>
            <w:tcW w:w="1012" w:type="pct"/>
            <w:shd w:val="clear" w:color="auto" w:fill="auto"/>
            <w:vAlign w:val="center"/>
          </w:tcPr>
          <w:p w14:paraId="299D778A" w14:textId="77777777" w:rsidR="007663FA" w:rsidRPr="00CB6EE4" w:rsidRDefault="007663FA" w:rsidP="007663FA">
            <w:pPr>
              <w:pStyle w:val="TableText0"/>
              <w:jc w:val="center"/>
              <w:rPr>
                <w:lang w:val="en-US"/>
              </w:rPr>
            </w:pPr>
            <w:r w:rsidRPr="00CB6EE4">
              <w:rPr>
                <w:lang w:val="en-US"/>
              </w:rPr>
              <w:t xml:space="preserve">1°: </w:t>
            </w:r>
            <w:proofErr w:type="gramStart"/>
            <w:r w:rsidRPr="00CB6EE4">
              <w:rPr>
                <w:lang w:val="en-US"/>
              </w:rPr>
              <w:t>SRI(</w:t>
            </w:r>
            <w:proofErr w:type="gramEnd"/>
            <w:r w:rsidRPr="00CB6EE4">
              <w:rPr>
                <w:lang w:val="en-US"/>
              </w:rPr>
              <w:t>4) (</w:t>
            </w:r>
            <w:proofErr w:type="spellStart"/>
            <w:r w:rsidRPr="00CB6EE4">
              <w:rPr>
                <w:lang w:val="en-US"/>
              </w:rPr>
              <w:t>Wk</w:t>
            </w:r>
            <w:proofErr w:type="spellEnd"/>
            <w:r w:rsidRPr="00CB6EE4">
              <w:rPr>
                <w:lang w:val="en-US"/>
              </w:rPr>
              <w:t xml:space="preserve"> 52)</w:t>
            </w:r>
          </w:p>
          <w:p w14:paraId="18FFB5B6" w14:textId="77777777" w:rsidR="007663FA" w:rsidRPr="00CB6EE4" w:rsidRDefault="007663FA" w:rsidP="007663FA">
            <w:pPr>
              <w:pStyle w:val="TableText0"/>
              <w:jc w:val="center"/>
              <w:rPr>
                <w:lang w:val="en-US"/>
              </w:rPr>
            </w:pPr>
            <w:r w:rsidRPr="00CB6EE4">
              <w:rPr>
                <w:lang w:val="en-US"/>
              </w:rPr>
              <w:t>2°: OCS dose, flare rate</w:t>
            </w:r>
          </w:p>
          <w:p w14:paraId="24EAD306" w14:textId="77777777" w:rsidR="007663FA" w:rsidRPr="00CB6EE4" w:rsidRDefault="007663FA" w:rsidP="007663FA">
            <w:pPr>
              <w:pStyle w:val="TableText0"/>
              <w:jc w:val="center"/>
              <w:rPr>
                <w:lang w:val="en-US"/>
              </w:rPr>
            </w:pPr>
            <w:r w:rsidRPr="00CB6EE4">
              <w:rPr>
                <w:lang w:val="en-US"/>
              </w:rPr>
              <w:t>Other: BICLA</w:t>
            </w:r>
          </w:p>
        </w:tc>
        <w:tc>
          <w:tcPr>
            <w:tcW w:w="517" w:type="pct"/>
            <w:vMerge w:val="restart"/>
            <w:shd w:val="clear" w:color="auto" w:fill="auto"/>
            <w:vAlign w:val="center"/>
          </w:tcPr>
          <w:p w14:paraId="5FAE40BB" w14:textId="77777777" w:rsidR="007663FA" w:rsidRPr="00CB6EE4" w:rsidRDefault="007663FA" w:rsidP="007663FA">
            <w:pPr>
              <w:pStyle w:val="TableText0"/>
              <w:jc w:val="center"/>
              <w:rPr>
                <w:lang w:val="en-US"/>
              </w:rPr>
            </w:pPr>
            <w:r w:rsidRPr="00CB6EE4">
              <w:rPr>
                <w:lang w:val="en-US"/>
              </w:rPr>
              <w:t>SLEDAI-2K, flare rates, OCS dose</w:t>
            </w:r>
          </w:p>
        </w:tc>
      </w:tr>
      <w:tr w:rsidR="007663FA" w:rsidRPr="00CB6EE4" w14:paraId="7CB42319" w14:textId="77777777" w:rsidTr="005616A5">
        <w:trPr>
          <w:cantSplit/>
        </w:trPr>
        <w:tc>
          <w:tcPr>
            <w:tcW w:w="386" w:type="pct"/>
            <w:shd w:val="clear" w:color="auto" w:fill="auto"/>
            <w:vAlign w:val="center"/>
          </w:tcPr>
          <w:p w14:paraId="0EFFC2AD" w14:textId="77777777" w:rsidR="007663FA" w:rsidRPr="00CB6EE4" w:rsidRDefault="007663FA" w:rsidP="007663FA">
            <w:pPr>
              <w:pStyle w:val="TableText0"/>
              <w:rPr>
                <w:lang w:val="en-US"/>
              </w:rPr>
            </w:pPr>
            <w:r w:rsidRPr="00CB6EE4">
              <w:rPr>
                <w:lang w:val="en-US"/>
              </w:rPr>
              <w:t>TULIP 2</w:t>
            </w:r>
          </w:p>
        </w:tc>
        <w:tc>
          <w:tcPr>
            <w:tcW w:w="214" w:type="pct"/>
            <w:shd w:val="clear" w:color="auto" w:fill="auto"/>
            <w:vAlign w:val="center"/>
          </w:tcPr>
          <w:p w14:paraId="04DC0F17" w14:textId="77777777" w:rsidR="007663FA" w:rsidRPr="00CB6EE4" w:rsidRDefault="007663FA" w:rsidP="007663FA">
            <w:pPr>
              <w:pStyle w:val="TableText0"/>
              <w:jc w:val="center"/>
              <w:rPr>
                <w:lang w:val="en-US"/>
              </w:rPr>
            </w:pPr>
            <w:r w:rsidRPr="00CB6EE4">
              <w:rPr>
                <w:lang w:val="en-US"/>
              </w:rPr>
              <w:t>362</w:t>
            </w:r>
          </w:p>
        </w:tc>
        <w:tc>
          <w:tcPr>
            <w:tcW w:w="726" w:type="pct"/>
            <w:shd w:val="clear" w:color="auto" w:fill="auto"/>
            <w:vAlign w:val="center"/>
          </w:tcPr>
          <w:p w14:paraId="093B873A" w14:textId="14DE1ED7" w:rsidR="007663FA" w:rsidRPr="00CB6EE4" w:rsidRDefault="007663FA" w:rsidP="007663FA">
            <w:pPr>
              <w:pStyle w:val="TableText0"/>
              <w:jc w:val="center"/>
              <w:rPr>
                <w:lang w:val="en-US"/>
              </w:rPr>
            </w:pPr>
            <w:r w:rsidRPr="00CB6EE4">
              <w:rPr>
                <w:lang w:val="en-US"/>
              </w:rPr>
              <w:t xml:space="preserve">R, MC, DB, PBO 52 weeks / f-up 12 </w:t>
            </w:r>
            <w:proofErr w:type="spellStart"/>
            <w:r w:rsidRPr="00CB6EE4">
              <w:rPr>
                <w:lang w:val="en-US"/>
              </w:rPr>
              <w:t>weeks</w:t>
            </w:r>
            <w:r w:rsidR="009D6568" w:rsidRPr="009D6568">
              <w:rPr>
                <w:vertAlign w:val="superscript"/>
                <w:lang w:val="en-US"/>
              </w:rPr>
              <w:t>g</w:t>
            </w:r>
            <w:proofErr w:type="spellEnd"/>
          </w:p>
        </w:tc>
        <w:tc>
          <w:tcPr>
            <w:tcW w:w="341" w:type="pct"/>
            <w:shd w:val="clear" w:color="auto" w:fill="auto"/>
            <w:vAlign w:val="center"/>
          </w:tcPr>
          <w:p w14:paraId="4BBF7371" w14:textId="77777777" w:rsidR="007663FA" w:rsidRPr="00CB6EE4" w:rsidRDefault="007663FA" w:rsidP="007663FA">
            <w:pPr>
              <w:pStyle w:val="TableText0"/>
              <w:jc w:val="center"/>
              <w:rPr>
                <w:lang w:val="en-US"/>
              </w:rPr>
            </w:pPr>
            <w:r w:rsidRPr="00CB6EE4">
              <w:rPr>
                <w:lang w:val="en-US"/>
              </w:rPr>
              <w:t>Low</w:t>
            </w:r>
          </w:p>
        </w:tc>
        <w:tc>
          <w:tcPr>
            <w:tcW w:w="948" w:type="pct"/>
            <w:vAlign w:val="center"/>
          </w:tcPr>
          <w:p w14:paraId="0ABC98CF" w14:textId="77777777" w:rsidR="007663FA" w:rsidRPr="00CB6EE4" w:rsidRDefault="007663FA" w:rsidP="007663FA">
            <w:pPr>
              <w:pStyle w:val="TableText0"/>
              <w:jc w:val="center"/>
              <w:rPr>
                <w:lang w:val="en-US"/>
              </w:rPr>
            </w:pPr>
            <w:r w:rsidRPr="00CB6EE4">
              <w:rPr>
                <w:lang w:val="en-US"/>
              </w:rPr>
              <w:t>ANI 300 mg IV Q4W</w:t>
            </w:r>
          </w:p>
          <w:p w14:paraId="003F001D" w14:textId="77777777" w:rsidR="007663FA" w:rsidRPr="00CB6EE4" w:rsidRDefault="007663FA" w:rsidP="007663FA">
            <w:pPr>
              <w:pStyle w:val="TableText0"/>
              <w:jc w:val="center"/>
              <w:rPr>
                <w:lang w:val="en-US"/>
              </w:rPr>
            </w:pPr>
            <w:r w:rsidRPr="00CB6EE4">
              <w:rPr>
                <w:lang w:val="en-US"/>
              </w:rPr>
              <w:t>SOC (PBO)</w:t>
            </w:r>
            <w:r w:rsidRPr="00CB6EE4">
              <w:rPr>
                <w:vertAlign w:val="superscript"/>
                <w:lang w:val="en-US"/>
              </w:rPr>
              <w:t>e</w:t>
            </w:r>
          </w:p>
        </w:tc>
        <w:tc>
          <w:tcPr>
            <w:tcW w:w="856" w:type="pct"/>
            <w:shd w:val="clear" w:color="auto" w:fill="auto"/>
            <w:vAlign w:val="center"/>
          </w:tcPr>
          <w:p w14:paraId="0BF413E2" w14:textId="77777777" w:rsidR="007663FA" w:rsidRPr="00CB6EE4" w:rsidRDefault="007663FA" w:rsidP="007663FA">
            <w:pPr>
              <w:pStyle w:val="TableText0"/>
              <w:jc w:val="center"/>
              <w:rPr>
                <w:lang w:val="en-US"/>
              </w:rPr>
            </w:pPr>
            <w:r w:rsidRPr="00CB6EE4">
              <w:rPr>
                <w:lang w:val="en-US"/>
              </w:rPr>
              <w:t>18-70, SLEDAI-2K ≥6, autoantibody positive</w:t>
            </w:r>
          </w:p>
        </w:tc>
        <w:tc>
          <w:tcPr>
            <w:tcW w:w="1012" w:type="pct"/>
            <w:shd w:val="clear" w:color="auto" w:fill="auto"/>
            <w:vAlign w:val="center"/>
          </w:tcPr>
          <w:p w14:paraId="2DAB732F" w14:textId="77777777" w:rsidR="007663FA" w:rsidRPr="00CB6EE4" w:rsidRDefault="007663FA" w:rsidP="007663FA">
            <w:pPr>
              <w:pStyle w:val="TableText0"/>
              <w:jc w:val="center"/>
              <w:rPr>
                <w:lang w:val="en-US"/>
              </w:rPr>
            </w:pPr>
            <w:r w:rsidRPr="00CB6EE4">
              <w:rPr>
                <w:lang w:val="en-US"/>
              </w:rPr>
              <w:t>1°: BICLA (</w:t>
            </w:r>
            <w:proofErr w:type="spellStart"/>
            <w:r w:rsidRPr="00CB6EE4">
              <w:rPr>
                <w:lang w:val="en-US"/>
              </w:rPr>
              <w:t>Wk</w:t>
            </w:r>
            <w:proofErr w:type="spellEnd"/>
            <w:r w:rsidRPr="00CB6EE4">
              <w:rPr>
                <w:lang w:val="en-US"/>
              </w:rPr>
              <w:t xml:space="preserve"> 52)</w:t>
            </w:r>
          </w:p>
          <w:p w14:paraId="256EAF21" w14:textId="77777777" w:rsidR="007663FA" w:rsidRPr="00CB6EE4" w:rsidRDefault="007663FA" w:rsidP="007663FA">
            <w:pPr>
              <w:pStyle w:val="TableText0"/>
              <w:jc w:val="center"/>
              <w:rPr>
                <w:lang w:val="en-US"/>
              </w:rPr>
            </w:pPr>
            <w:r w:rsidRPr="00CB6EE4">
              <w:rPr>
                <w:lang w:val="en-US"/>
              </w:rPr>
              <w:t xml:space="preserve">2°: OCS dose, flare rate, </w:t>
            </w:r>
          </w:p>
          <w:p w14:paraId="22414025" w14:textId="77777777" w:rsidR="007663FA" w:rsidRPr="00CB6EE4" w:rsidRDefault="007663FA" w:rsidP="007663FA">
            <w:pPr>
              <w:pStyle w:val="TableText0"/>
              <w:jc w:val="center"/>
              <w:rPr>
                <w:lang w:val="en-US"/>
              </w:rPr>
            </w:pPr>
            <w:r w:rsidRPr="00CB6EE4">
              <w:rPr>
                <w:lang w:val="en-US"/>
              </w:rPr>
              <w:t xml:space="preserve">Other: </w:t>
            </w:r>
            <w:proofErr w:type="gramStart"/>
            <w:r w:rsidRPr="00CB6EE4">
              <w:rPr>
                <w:lang w:val="en-US"/>
              </w:rPr>
              <w:t>SRI(</w:t>
            </w:r>
            <w:proofErr w:type="gramEnd"/>
            <w:r w:rsidRPr="00CB6EE4">
              <w:rPr>
                <w:lang w:val="en-US"/>
              </w:rPr>
              <w:t>4)</w:t>
            </w:r>
          </w:p>
        </w:tc>
        <w:tc>
          <w:tcPr>
            <w:tcW w:w="517" w:type="pct"/>
            <w:vMerge/>
            <w:shd w:val="clear" w:color="auto" w:fill="auto"/>
            <w:vAlign w:val="center"/>
          </w:tcPr>
          <w:p w14:paraId="3C46A1A6" w14:textId="77777777" w:rsidR="007663FA" w:rsidRPr="00CB6EE4" w:rsidRDefault="007663FA" w:rsidP="007663FA">
            <w:pPr>
              <w:pStyle w:val="TableText0"/>
              <w:jc w:val="center"/>
              <w:rPr>
                <w:lang w:val="en-US"/>
              </w:rPr>
            </w:pPr>
          </w:p>
        </w:tc>
      </w:tr>
      <w:tr w:rsidR="007663FA" w:rsidRPr="00CB6EE4" w14:paraId="41EDA3BA" w14:textId="77777777" w:rsidTr="005616A5">
        <w:trPr>
          <w:cantSplit/>
        </w:trPr>
        <w:tc>
          <w:tcPr>
            <w:tcW w:w="386" w:type="pct"/>
            <w:shd w:val="clear" w:color="auto" w:fill="auto"/>
            <w:vAlign w:val="center"/>
          </w:tcPr>
          <w:p w14:paraId="25B36AAC" w14:textId="77777777" w:rsidR="007663FA" w:rsidRPr="00CB6EE4" w:rsidRDefault="007663FA" w:rsidP="007663FA">
            <w:pPr>
              <w:pStyle w:val="TableText0"/>
              <w:rPr>
                <w:lang w:val="en-US"/>
              </w:rPr>
            </w:pPr>
            <w:r w:rsidRPr="00CB6EE4">
              <w:rPr>
                <w:lang w:val="en-US"/>
              </w:rPr>
              <w:t>MUSE</w:t>
            </w:r>
          </w:p>
        </w:tc>
        <w:tc>
          <w:tcPr>
            <w:tcW w:w="214" w:type="pct"/>
            <w:shd w:val="clear" w:color="auto" w:fill="auto"/>
            <w:vAlign w:val="center"/>
          </w:tcPr>
          <w:p w14:paraId="6F10143C" w14:textId="77777777" w:rsidR="007663FA" w:rsidRPr="00CB6EE4" w:rsidRDefault="007663FA" w:rsidP="007663FA">
            <w:pPr>
              <w:pStyle w:val="TableText0"/>
              <w:jc w:val="center"/>
              <w:rPr>
                <w:lang w:val="en-US"/>
              </w:rPr>
            </w:pPr>
            <w:r w:rsidRPr="00CB6EE4">
              <w:rPr>
                <w:lang w:val="en-US"/>
              </w:rPr>
              <w:t>305</w:t>
            </w:r>
            <w:r w:rsidRPr="00CB6EE4">
              <w:rPr>
                <w:vertAlign w:val="superscript"/>
                <w:lang w:val="en-US"/>
              </w:rPr>
              <w:t>b</w:t>
            </w:r>
          </w:p>
        </w:tc>
        <w:tc>
          <w:tcPr>
            <w:tcW w:w="726" w:type="pct"/>
            <w:shd w:val="clear" w:color="auto" w:fill="auto"/>
            <w:vAlign w:val="center"/>
          </w:tcPr>
          <w:p w14:paraId="56E53423" w14:textId="2851E6A3" w:rsidR="007663FA" w:rsidRPr="00CB6EE4" w:rsidRDefault="007663FA" w:rsidP="007663FA">
            <w:pPr>
              <w:pStyle w:val="TableText0"/>
              <w:jc w:val="center"/>
              <w:rPr>
                <w:lang w:val="en-US"/>
              </w:rPr>
            </w:pPr>
            <w:r w:rsidRPr="00CB6EE4">
              <w:rPr>
                <w:lang w:val="en-US"/>
              </w:rPr>
              <w:t xml:space="preserve">R, MC, DB, PBO 52 weeks / f-up 12 </w:t>
            </w:r>
            <w:proofErr w:type="spellStart"/>
            <w:r w:rsidRPr="00CB6EE4">
              <w:rPr>
                <w:lang w:val="en-US"/>
              </w:rPr>
              <w:t>weeks</w:t>
            </w:r>
            <w:r w:rsidR="009D6568" w:rsidRPr="009D6568">
              <w:rPr>
                <w:vertAlign w:val="superscript"/>
                <w:lang w:val="en-US"/>
              </w:rPr>
              <w:t>h</w:t>
            </w:r>
            <w:proofErr w:type="spellEnd"/>
          </w:p>
        </w:tc>
        <w:tc>
          <w:tcPr>
            <w:tcW w:w="341" w:type="pct"/>
            <w:shd w:val="clear" w:color="auto" w:fill="auto"/>
            <w:vAlign w:val="center"/>
          </w:tcPr>
          <w:p w14:paraId="320E03C0" w14:textId="77777777" w:rsidR="007663FA" w:rsidRPr="00CB6EE4" w:rsidRDefault="007663FA" w:rsidP="007663FA">
            <w:pPr>
              <w:pStyle w:val="TableText0"/>
              <w:jc w:val="center"/>
              <w:rPr>
                <w:lang w:val="en-US"/>
              </w:rPr>
            </w:pPr>
            <w:r w:rsidRPr="00CB6EE4">
              <w:rPr>
                <w:lang w:val="en-US"/>
              </w:rPr>
              <w:t>Low</w:t>
            </w:r>
          </w:p>
        </w:tc>
        <w:tc>
          <w:tcPr>
            <w:tcW w:w="948" w:type="pct"/>
            <w:vAlign w:val="center"/>
          </w:tcPr>
          <w:p w14:paraId="5EB298D7" w14:textId="77777777" w:rsidR="007663FA" w:rsidRPr="00CB6EE4" w:rsidRDefault="007663FA" w:rsidP="007663FA">
            <w:pPr>
              <w:pStyle w:val="TableText0"/>
              <w:jc w:val="center"/>
              <w:rPr>
                <w:lang w:val="en-US"/>
              </w:rPr>
            </w:pPr>
            <w:r w:rsidRPr="00CB6EE4">
              <w:rPr>
                <w:lang w:val="en-US"/>
              </w:rPr>
              <w:t>ANI 1000 mg IV Q4W</w:t>
            </w:r>
          </w:p>
          <w:p w14:paraId="049E63E0" w14:textId="77777777" w:rsidR="007663FA" w:rsidRPr="00CB6EE4" w:rsidRDefault="007663FA" w:rsidP="007663FA">
            <w:pPr>
              <w:pStyle w:val="TableText0"/>
              <w:jc w:val="center"/>
              <w:rPr>
                <w:lang w:val="en-US"/>
              </w:rPr>
            </w:pPr>
            <w:r w:rsidRPr="00CB6EE4">
              <w:rPr>
                <w:lang w:val="en-US"/>
              </w:rPr>
              <w:t>ANI 300 mg IV Q4W</w:t>
            </w:r>
          </w:p>
          <w:p w14:paraId="4B6A2DD7" w14:textId="77777777" w:rsidR="007663FA" w:rsidRPr="00CB6EE4" w:rsidRDefault="007663FA" w:rsidP="007663FA">
            <w:pPr>
              <w:pStyle w:val="TableText0"/>
              <w:jc w:val="center"/>
              <w:rPr>
                <w:lang w:val="en-US"/>
              </w:rPr>
            </w:pPr>
            <w:r w:rsidRPr="00CB6EE4">
              <w:rPr>
                <w:lang w:val="en-US"/>
              </w:rPr>
              <w:t>SOC (PBO)</w:t>
            </w:r>
            <w:r w:rsidRPr="00CB6EE4">
              <w:rPr>
                <w:vertAlign w:val="superscript"/>
                <w:lang w:val="en-US"/>
              </w:rPr>
              <w:t>e</w:t>
            </w:r>
          </w:p>
        </w:tc>
        <w:tc>
          <w:tcPr>
            <w:tcW w:w="856" w:type="pct"/>
            <w:vMerge w:val="restart"/>
            <w:shd w:val="clear" w:color="auto" w:fill="auto"/>
            <w:vAlign w:val="center"/>
          </w:tcPr>
          <w:p w14:paraId="436D640D" w14:textId="77777777" w:rsidR="007663FA" w:rsidRPr="00CB6EE4" w:rsidRDefault="007663FA" w:rsidP="007663FA">
            <w:pPr>
              <w:pStyle w:val="TableText0"/>
              <w:jc w:val="center"/>
              <w:rPr>
                <w:lang w:val="en-US"/>
              </w:rPr>
            </w:pPr>
            <w:r w:rsidRPr="00CB6EE4">
              <w:rPr>
                <w:lang w:val="en-US"/>
              </w:rPr>
              <w:t>18-65, SLEDAI-2K ≥6, autoantibody positive</w:t>
            </w:r>
          </w:p>
        </w:tc>
        <w:tc>
          <w:tcPr>
            <w:tcW w:w="1012" w:type="pct"/>
            <w:shd w:val="clear" w:color="auto" w:fill="auto"/>
            <w:vAlign w:val="center"/>
          </w:tcPr>
          <w:p w14:paraId="56A4237C" w14:textId="77777777" w:rsidR="007663FA" w:rsidRPr="00CB6EE4" w:rsidRDefault="007663FA" w:rsidP="007663FA">
            <w:pPr>
              <w:pStyle w:val="TableText0"/>
              <w:jc w:val="center"/>
              <w:rPr>
                <w:lang w:val="en-US"/>
              </w:rPr>
            </w:pPr>
            <w:r w:rsidRPr="00CB6EE4">
              <w:rPr>
                <w:lang w:val="en-US"/>
              </w:rPr>
              <w:t xml:space="preserve">1°: </w:t>
            </w:r>
            <w:proofErr w:type="gramStart"/>
            <w:r w:rsidRPr="00CB6EE4">
              <w:rPr>
                <w:lang w:val="en-US"/>
              </w:rPr>
              <w:t>SRI(</w:t>
            </w:r>
            <w:proofErr w:type="gramEnd"/>
            <w:r w:rsidRPr="00CB6EE4">
              <w:rPr>
                <w:lang w:val="en-US"/>
              </w:rPr>
              <w:t>4) (</w:t>
            </w:r>
            <w:proofErr w:type="spellStart"/>
            <w:r w:rsidRPr="00CB6EE4">
              <w:rPr>
                <w:lang w:val="en-US"/>
              </w:rPr>
              <w:t>Wk</w:t>
            </w:r>
            <w:proofErr w:type="spellEnd"/>
            <w:r w:rsidRPr="00CB6EE4">
              <w:rPr>
                <w:lang w:val="en-US"/>
              </w:rPr>
              <w:t xml:space="preserve"> 24)</w:t>
            </w:r>
          </w:p>
          <w:p w14:paraId="71F220F0" w14:textId="77777777" w:rsidR="007663FA" w:rsidRPr="00CB6EE4" w:rsidRDefault="007663FA" w:rsidP="007663FA">
            <w:pPr>
              <w:pStyle w:val="TableText0"/>
              <w:jc w:val="center"/>
              <w:rPr>
                <w:lang w:val="en-US"/>
              </w:rPr>
            </w:pPr>
            <w:r w:rsidRPr="00CB6EE4">
              <w:rPr>
                <w:lang w:val="en-US"/>
              </w:rPr>
              <w:t>2°: OCS dose, AEs</w:t>
            </w:r>
          </w:p>
          <w:p w14:paraId="70E68FAB" w14:textId="77777777" w:rsidR="007663FA" w:rsidRPr="00CB6EE4" w:rsidRDefault="007663FA" w:rsidP="007663FA">
            <w:pPr>
              <w:pStyle w:val="TableText0"/>
              <w:jc w:val="center"/>
              <w:rPr>
                <w:lang w:val="en-US"/>
              </w:rPr>
            </w:pPr>
            <w:r w:rsidRPr="00CB6EE4">
              <w:rPr>
                <w:lang w:val="en-US"/>
              </w:rPr>
              <w:t>Other: BICLA, flares</w:t>
            </w:r>
          </w:p>
        </w:tc>
        <w:tc>
          <w:tcPr>
            <w:tcW w:w="517" w:type="pct"/>
            <w:shd w:val="clear" w:color="auto" w:fill="auto"/>
            <w:vAlign w:val="center"/>
          </w:tcPr>
          <w:p w14:paraId="58229652" w14:textId="77777777" w:rsidR="007663FA" w:rsidRPr="00CB6EE4" w:rsidRDefault="007663FA" w:rsidP="007663FA">
            <w:pPr>
              <w:pStyle w:val="TableText0"/>
              <w:jc w:val="center"/>
              <w:rPr>
                <w:lang w:val="en-US"/>
              </w:rPr>
            </w:pPr>
            <w:r w:rsidRPr="00CB6EE4">
              <w:rPr>
                <w:lang w:val="en-US"/>
              </w:rPr>
              <w:t>-</w:t>
            </w:r>
          </w:p>
        </w:tc>
      </w:tr>
      <w:tr w:rsidR="007663FA" w:rsidRPr="00CB6EE4" w14:paraId="7FE5F780" w14:textId="77777777" w:rsidTr="005616A5">
        <w:trPr>
          <w:cantSplit/>
        </w:trPr>
        <w:tc>
          <w:tcPr>
            <w:tcW w:w="386" w:type="pct"/>
            <w:shd w:val="clear" w:color="auto" w:fill="auto"/>
            <w:vAlign w:val="center"/>
          </w:tcPr>
          <w:p w14:paraId="54AEEB8A" w14:textId="77777777" w:rsidR="007663FA" w:rsidRPr="00CB6EE4" w:rsidRDefault="007663FA" w:rsidP="007663FA">
            <w:pPr>
              <w:pStyle w:val="TableText0"/>
              <w:rPr>
                <w:lang w:val="en-US"/>
              </w:rPr>
            </w:pPr>
            <w:r w:rsidRPr="00CB6EE4">
              <w:rPr>
                <w:lang w:val="en-US"/>
              </w:rPr>
              <w:t>MUSE LTE</w:t>
            </w:r>
          </w:p>
        </w:tc>
        <w:tc>
          <w:tcPr>
            <w:tcW w:w="214" w:type="pct"/>
            <w:shd w:val="clear" w:color="auto" w:fill="auto"/>
            <w:vAlign w:val="center"/>
          </w:tcPr>
          <w:p w14:paraId="558EE639" w14:textId="77777777" w:rsidR="007663FA" w:rsidRPr="00CB6EE4" w:rsidRDefault="007663FA" w:rsidP="007663FA">
            <w:pPr>
              <w:pStyle w:val="TableText0"/>
              <w:jc w:val="center"/>
              <w:rPr>
                <w:lang w:val="en-US"/>
              </w:rPr>
            </w:pPr>
            <w:r w:rsidRPr="00CB6EE4">
              <w:rPr>
                <w:lang w:val="en-US"/>
              </w:rPr>
              <w:t>246</w:t>
            </w:r>
            <w:r w:rsidRPr="00CB6EE4">
              <w:rPr>
                <w:vertAlign w:val="superscript"/>
                <w:lang w:val="en-US"/>
              </w:rPr>
              <w:t>c</w:t>
            </w:r>
          </w:p>
        </w:tc>
        <w:tc>
          <w:tcPr>
            <w:tcW w:w="726" w:type="pct"/>
            <w:shd w:val="clear" w:color="auto" w:fill="auto"/>
            <w:vAlign w:val="center"/>
          </w:tcPr>
          <w:p w14:paraId="6622F16C" w14:textId="77777777" w:rsidR="007663FA" w:rsidRPr="00CB6EE4" w:rsidRDefault="007663FA" w:rsidP="007663FA">
            <w:pPr>
              <w:pStyle w:val="TableText0"/>
              <w:jc w:val="center"/>
              <w:rPr>
                <w:lang w:val="en-US"/>
              </w:rPr>
            </w:pPr>
            <w:r w:rsidRPr="00CB6EE4">
              <w:rPr>
                <w:lang w:val="en-US"/>
              </w:rPr>
              <w:t>MC, OL</w:t>
            </w:r>
          </w:p>
          <w:p w14:paraId="65949878" w14:textId="77777777" w:rsidR="007663FA" w:rsidRPr="00CB6EE4" w:rsidRDefault="007663FA" w:rsidP="007663FA">
            <w:pPr>
              <w:pStyle w:val="TableText0"/>
              <w:jc w:val="center"/>
              <w:rPr>
                <w:lang w:val="en-US"/>
              </w:rPr>
            </w:pPr>
            <w:r w:rsidRPr="00CB6EE4">
              <w:rPr>
                <w:lang w:val="en-US"/>
              </w:rPr>
              <w:t>156 weeks</w:t>
            </w:r>
          </w:p>
        </w:tc>
        <w:tc>
          <w:tcPr>
            <w:tcW w:w="341" w:type="pct"/>
            <w:shd w:val="clear" w:color="auto" w:fill="auto"/>
            <w:vAlign w:val="center"/>
          </w:tcPr>
          <w:p w14:paraId="10AA2470" w14:textId="77777777" w:rsidR="007663FA" w:rsidRPr="00CB6EE4" w:rsidRDefault="007663FA" w:rsidP="007663FA">
            <w:pPr>
              <w:pStyle w:val="TableText0"/>
              <w:jc w:val="center"/>
              <w:rPr>
                <w:lang w:val="en-US"/>
              </w:rPr>
            </w:pPr>
            <w:r w:rsidRPr="00CB6EE4">
              <w:rPr>
                <w:lang w:val="en-US"/>
              </w:rPr>
              <w:t>High</w:t>
            </w:r>
          </w:p>
        </w:tc>
        <w:tc>
          <w:tcPr>
            <w:tcW w:w="948" w:type="pct"/>
            <w:vAlign w:val="center"/>
          </w:tcPr>
          <w:p w14:paraId="6A44A54A" w14:textId="77777777" w:rsidR="007663FA" w:rsidRPr="00CB6EE4" w:rsidRDefault="007663FA" w:rsidP="007663FA">
            <w:pPr>
              <w:pStyle w:val="TableText0"/>
              <w:jc w:val="center"/>
              <w:rPr>
                <w:lang w:val="en-US"/>
              </w:rPr>
            </w:pPr>
            <w:r w:rsidRPr="00CB6EE4">
              <w:rPr>
                <w:lang w:val="en-US"/>
              </w:rPr>
              <w:t>ANI 300 mg IV Q4W</w:t>
            </w:r>
            <w:r w:rsidRPr="00CB6EE4">
              <w:rPr>
                <w:vertAlign w:val="superscript"/>
                <w:lang w:val="en-US"/>
              </w:rPr>
              <w:t>d f</w:t>
            </w:r>
          </w:p>
        </w:tc>
        <w:tc>
          <w:tcPr>
            <w:tcW w:w="856" w:type="pct"/>
            <w:vMerge/>
            <w:shd w:val="clear" w:color="auto" w:fill="auto"/>
            <w:vAlign w:val="center"/>
          </w:tcPr>
          <w:p w14:paraId="66860875" w14:textId="77777777" w:rsidR="007663FA" w:rsidRPr="00CB6EE4" w:rsidRDefault="007663FA" w:rsidP="007663FA">
            <w:pPr>
              <w:pStyle w:val="TableText0"/>
              <w:jc w:val="center"/>
              <w:rPr>
                <w:lang w:val="en-US"/>
              </w:rPr>
            </w:pPr>
          </w:p>
        </w:tc>
        <w:tc>
          <w:tcPr>
            <w:tcW w:w="1012" w:type="pct"/>
            <w:shd w:val="clear" w:color="auto" w:fill="auto"/>
            <w:vAlign w:val="center"/>
          </w:tcPr>
          <w:p w14:paraId="3EFF6505" w14:textId="77777777" w:rsidR="007663FA" w:rsidRPr="00CB6EE4" w:rsidRDefault="007663FA" w:rsidP="007663FA">
            <w:pPr>
              <w:pStyle w:val="TableText0"/>
              <w:jc w:val="center"/>
              <w:rPr>
                <w:lang w:val="en-US"/>
              </w:rPr>
            </w:pPr>
            <w:r w:rsidRPr="00CB6EE4">
              <w:rPr>
                <w:lang w:val="en-US"/>
              </w:rPr>
              <w:t>1°: Safety</w:t>
            </w:r>
          </w:p>
          <w:p w14:paraId="66D33599" w14:textId="77777777" w:rsidR="007663FA" w:rsidRPr="00CB6EE4" w:rsidRDefault="007663FA" w:rsidP="007663FA">
            <w:pPr>
              <w:pStyle w:val="TableText0"/>
              <w:jc w:val="center"/>
              <w:rPr>
                <w:lang w:val="en-US"/>
              </w:rPr>
            </w:pPr>
            <w:r w:rsidRPr="00CB6EE4">
              <w:rPr>
                <w:lang w:val="en-US"/>
              </w:rPr>
              <w:t>Other: SLEDAI-2K</w:t>
            </w:r>
          </w:p>
        </w:tc>
        <w:tc>
          <w:tcPr>
            <w:tcW w:w="517" w:type="pct"/>
            <w:shd w:val="clear" w:color="auto" w:fill="auto"/>
            <w:vAlign w:val="center"/>
          </w:tcPr>
          <w:p w14:paraId="4FBC250B" w14:textId="77777777" w:rsidR="007663FA" w:rsidRPr="00CB6EE4" w:rsidRDefault="007663FA" w:rsidP="007663FA">
            <w:pPr>
              <w:pStyle w:val="TableText0"/>
              <w:jc w:val="center"/>
              <w:rPr>
                <w:lang w:val="en-US"/>
              </w:rPr>
            </w:pPr>
            <w:r w:rsidRPr="00CB6EE4">
              <w:rPr>
                <w:lang w:val="en-US"/>
              </w:rPr>
              <w:t>-</w:t>
            </w:r>
          </w:p>
        </w:tc>
      </w:tr>
    </w:tbl>
    <w:p w14:paraId="3851733E" w14:textId="77777777" w:rsidR="007663FA" w:rsidRPr="00CB6EE4" w:rsidRDefault="007663FA" w:rsidP="007663FA">
      <w:pPr>
        <w:pStyle w:val="TableFigureFooter"/>
      </w:pPr>
      <w:r w:rsidRPr="00CB6EE4">
        <w:t xml:space="preserve">Source: </w:t>
      </w:r>
      <w:proofErr w:type="spellStart"/>
      <w:r w:rsidRPr="00CB6EE4">
        <w:t>Furie</w:t>
      </w:r>
      <w:proofErr w:type="spellEnd"/>
      <w:r w:rsidRPr="00CB6EE4">
        <w:t xml:space="preserve"> 2019 (TULIP-1), </w:t>
      </w:r>
      <w:proofErr w:type="spellStart"/>
      <w:r w:rsidRPr="00CB6EE4">
        <w:t>Morand</w:t>
      </w:r>
      <w:proofErr w:type="spellEnd"/>
      <w:r w:rsidRPr="00CB6EE4">
        <w:t xml:space="preserve"> 2020 (TULIP-2), </w:t>
      </w:r>
      <w:proofErr w:type="spellStart"/>
      <w:r w:rsidRPr="00CB6EE4">
        <w:t>Furie</w:t>
      </w:r>
      <w:proofErr w:type="spellEnd"/>
      <w:r w:rsidRPr="00CB6EE4">
        <w:t xml:space="preserve"> 2017 (MUSE), Chatham 2020 (MUSE LTE).</w:t>
      </w:r>
    </w:p>
    <w:p w14:paraId="27BEE1B3" w14:textId="297F29AD" w:rsidR="007663FA" w:rsidRPr="00CB6EE4" w:rsidRDefault="007663FA" w:rsidP="007663FA">
      <w:pPr>
        <w:pStyle w:val="TableFigureFooter"/>
      </w:pPr>
      <w:r w:rsidRPr="00CB6EE4">
        <w:t>ANI=</w:t>
      </w:r>
      <w:proofErr w:type="spellStart"/>
      <w:r w:rsidRPr="00CB6EE4">
        <w:t>anifrolumab</w:t>
      </w:r>
      <w:proofErr w:type="spellEnd"/>
      <w:r w:rsidRPr="00CB6EE4">
        <w:t>; AE=adverse event; AZA=azathioprine; BICLA=British Isles Lupus Assessment Group-based Composite Lupus Assessment; BILAG=</w:t>
      </w:r>
      <w:bookmarkStart w:id="20" w:name="_Hlk102569929"/>
      <w:r w:rsidRPr="00CB6EE4">
        <w:t>British Isles Lupus Assessment Group</w:t>
      </w:r>
      <w:bookmarkEnd w:id="20"/>
      <w:r w:rsidRPr="00CB6EE4">
        <w:t xml:space="preserve">; DB=double blind; </w:t>
      </w:r>
      <w:r w:rsidRPr="00CB6EE4">
        <w:rPr>
          <w:lang w:val="en-US"/>
        </w:rPr>
        <w:t xml:space="preserve">f-up =follow up, </w:t>
      </w:r>
      <w:r w:rsidRPr="00CB6EE4">
        <w:t>MC=multi-centre; MTX=methotrexate; NSAIDs=nonsteroidal anti-inflammatory drugs; OCS=oral corticosteroids; OL=open label; PBO=placebo; R=randomised; SLE=systemic lupus erythematosus; SLEDAI-2K=Systemic Lupus Erythematosus Disease Activity Index 2000; SRI(4)=4</w:t>
      </w:r>
      <w:r w:rsidR="0025495C" w:rsidRPr="00CB6EE4">
        <w:t>-</w:t>
      </w:r>
      <w:r w:rsidRPr="00CB6EE4">
        <w:t xml:space="preserve">point reduction on the SLE Responder Index; SOC=standard of care; Q4W=every 4 weeks; </w:t>
      </w:r>
      <w:proofErr w:type="spellStart"/>
      <w:r w:rsidRPr="00CB6EE4">
        <w:t>Wk</w:t>
      </w:r>
      <w:proofErr w:type="spellEnd"/>
      <w:r w:rsidRPr="00CB6EE4">
        <w:t>=week.</w:t>
      </w:r>
    </w:p>
    <w:p w14:paraId="74FB1242" w14:textId="77777777" w:rsidR="007663FA" w:rsidRPr="00CB6EE4" w:rsidRDefault="007663FA" w:rsidP="009D6568">
      <w:pPr>
        <w:pStyle w:val="TableFigureFooter"/>
        <w:ind w:left="165" w:hanging="165"/>
      </w:pPr>
      <w:proofErr w:type="spellStart"/>
      <w:proofErr w:type="gramStart"/>
      <w:r w:rsidRPr="00CB6EE4">
        <w:t>a</w:t>
      </w:r>
      <w:proofErr w:type="spellEnd"/>
      <w:proofErr w:type="gramEnd"/>
      <w:r w:rsidRPr="00CB6EE4">
        <w:rPr>
          <w:vertAlign w:val="superscript"/>
        </w:rPr>
        <w:tab/>
      </w:r>
      <w:r w:rsidRPr="00CB6EE4">
        <w:t xml:space="preserve">Eligible patients randomized in 1:2:2 ratio to receive a fixed IV dose of </w:t>
      </w:r>
      <w:proofErr w:type="spellStart"/>
      <w:r w:rsidRPr="00CB6EE4">
        <w:t>anifrolumab</w:t>
      </w:r>
      <w:proofErr w:type="spellEnd"/>
      <w:r w:rsidRPr="00CB6EE4">
        <w:t>, (150 or 300 mg) or placebo Q4W for a total of 13 doses (Week 0 to Week 48).</w:t>
      </w:r>
    </w:p>
    <w:p w14:paraId="5EF85A06" w14:textId="77777777" w:rsidR="007663FA" w:rsidRPr="00CB6EE4" w:rsidRDefault="007663FA" w:rsidP="007663FA">
      <w:pPr>
        <w:pStyle w:val="TableFigureFooter"/>
        <w:ind w:left="170" w:hanging="170"/>
        <w:rPr>
          <w:szCs w:val="18"/>
        </w:rPr>
      </w:pPr>
      <w:r w:rsidRPr="00CB6EE4">
        <w:rPr>
          <w:szCs w:val="18"/>
        </w:rPr>
        <w:t>b</w:t>
      </w:r>
      <w:r w:rsidRPr="00CB6EE4">
        <w:rPr>
          <w:szCs w:val="18"/>
        </w:rPr>
        <w:tab/>
        <w:t xml:space="preserve">Eligible patients randomised in a 1:1:1 ratio to receive a fixed IV dose of </w:t>
      </w:r>
      <w:proofErr w:type="spellStart"/>
      <w:r w:rsidRPr="00CB6EE4">
        <w:rPr>
          <w:szCs w:val="18"/>
        </w:rPr>
        <w:t>anifrolumab</w:t>
      </w:r>
      <w:proofErr w:type="spellEnd"/>
      <w:r w:rsidRPr="00CB6EE4">
        <w:rPr>
          <w:szCs w:val="18"/>
        </w:rPr>
        <w:t xml:space="preserve"> (300 or 1000 mg) or placebo Q4W for a total of 13 doses over 48 weeks.</w:t>
      </w:r>
    </w:p>
    <w:p w14:paraId="78A26F51" w14:textId="77777777" w:rsidR="007663FA" w:rsidRPr="00CB6EE4" w:rsidRDefault="007663FA" w:rsidP="007663FA">
      <w:pPr>
        <w:pStyle w:val="TableFigureFooter"/>
        <w:ind w:left="170" w:hanging="170"/>
        <w:rPr>
          <w:szCs w:val="18"/>
        </w:rPr>
      </w:pPr>
      <w:r w:rsidRPr="00CB6EE4">
        <w:rPr>
          <w:szCs w:val="18"/>
        </w:rPr>
        <w:t>c</w:t>
      </w:r>
      <w:r w:rsidRPr="00CB6EE4">
        <w:rPr>
          <w:szCs w:val="18"/>
        </w:rPr>
        <w:tab/>
        <w:t>Patients were eligible for the OL extension if they completed RCT treatment (MUSE) and follow-up, met the open-label extension inclusion criteria, and had no safety issues that led to exclusion.</w:t>
      </w:r>
      <w:r w:rsidRPr="00CB6EE4">
        <w:t xml:space="preserve"> </w:t>
      </w:r>
      <w:r w:rsidRPr="00CB6EE4">
        <w:rPr>
          <w:szCs w:val="18"/>
        </w:rPr>
        <w:t xml:space="preserve">The start of OLE study (Day 1 the subject received their first dose of </w:t>
      </w:r>
      <w:proofErr w:type="gramStart"/>
      <w:r w:rsidRPr="00CB6EE4">
        <w:rPr>
          <w:szCs w:val="18"/>
        </w:rPr>
        <w:t>open-label</w:t>
      </w:r>
      <w:proofErr w:type="gramEnd"/>
      <w:r w:rsidRPr="00CB6EE4">
        <w:rPr>
          <w:szCs w:val="18"/>
        </w:rPr>
        <w:t xml:space="preserve"> </w:t>
      </w:r>
      <w:proofErr w:type="spellStart"/>
      <w:r w:rsidRPr="00CB6EE4">
        <w:rPr>
          <w:szCs w:val="18"/>
        </w:rPr>
        <w:t>anifrolumab</w:t>
      </w:r>
      <w:proofErr w:type="spellEnd"/>
      <w:r w:rsidRPr="00CB6EE4">
        <w:rPr>
          <w:szCs w:val="18"/>
        </w:rPr>
        <w:t>) was to occur within 28 days of the Day 422 visit of MUSE.</w:t>
      </w:r>
    </w:p>
    <w:p w14:paraId="0A958026" w14:textId="77777777" w:rsidR="007663FA" w:rsidRPr="00CB6EE4" w:rsidRDefault="007663FA" w:rsidP="007663FA">
      <w:pPr>
        <w:pStyle w:val="TableFigureFooter"/>
        <w:ind w:left="170" w:hanging="170"/>
        <w:rPr>
          <w:szCs w:val="18"/>
        </w:rPr>
      </w:pPr>
      <w:r w:rsidRPr="00CB6EE4">
        <w:rPr>
          <w:szCs w:val="18"/>
        </w:rPr>
        <w:t>d</w:t>
      </w:r>
      <w:r w:rsidRPr="00CB6EE4">
        <w:rPr>
          <w:szCs w:val="18"/>
        </w:rPr>
        <w:tab/>
        <w:t xml:space="preserve">Prior to implementation of Protocol Amendment dated 12 February 2015, all patients received IV </w:t>
      </w:r>
      <w:proofErr w:type="spellStart"/>
      <w:r w:rsidRPr="00CB6EE4">
        <w:rPr>
          <w:szCs w:val="18"/>
        </w:rPr>
        <w:t>anifrolumab</w:t>
      </w:r>
      <w:proofErr w:type="spellEnd"/>
      <w:r w:rsidRPr="00CB6EE4">
        <w:rPr>
          <w:szCs w:val="18"/>
        </w:rPr>
        <w:t xml:space="preserve"> 1000 mg fixed dose administered as infusion over at least 60 minutes Q4W starting at Day 1 (Week 0). After implementation of Amendment, all patients received IV </w:t>
      </w:r>
      <w:proofErr w:type="spellStart"/>
      <w:r w:rsidRPr="00CB6EE4">
        <w:rPr>
          <w:szCs w:val="18"/>
        </w:rPr>
        <w:t>anifrolumab</w:t>
      </w:r>
      <w:proofErr w:type="spellEnd"/>
      <w:r w:rsidRPr="00CB6EE4">
        <w:rPr>
          <w:szCs w:val="18"/>
        </w:rPr>
        <w:t xml:space="preserve"> as a 300 mg fixed dose infusion over at least 30 minutes Q4W starting at Day 1 (Week 0) for a total 40 doses or up to 3 years.</w:t>
      </w:r>
    </w:p>
    <w:p w14:paraId="2461DFE3" w14:textId="77777777" w:rsidR="007663FA" w:rsidRPr="00CB6EE4" w:rsidRDefault="007663FA" w:rsidP="007663FA">
      <w:pPr>
        <w:pStyle w:val="TableFigureFooter"/>
        <w:ind w:left="170" w:hanging="170"/>
        <w:rPr>
          <w:szCs w:val="18"/>
        </w:rPr>
      </w:pPr>
      <w:r w:rsidRPr="00CB6EE4">
        <w:rPr>
          <w:szCs w:val="18"/>
        </w:rPr>
        <w:t>e</w:t>
      </w:r>
      <w:r w:rsidRPr="00CB6EE4">
        <w:rPr>
          <w:szCs w:val="18"/>
        </w:rPr>
        <w:tab/>
        <w:t>Permitted medications for SOC included OCS (≤40 mg/day prednisone or equivalent), antimalarials, immunosuppressants (AZA, MTX, mycophenolate) and NSAIDs.</w:t>
      </w:r>
    </w:p>
    <w:p w14:paraId="59D6D623" w14:textId="00139704" w:rsidR="007663FA" w:rsidRDefault="007663FA" w:rsidP="007663FA">
      <w:pPr>
        <w:pStyle w:val="TableFigureFooter"/>
        <w:ind w:left="170" w:hanging="170"/>
        <w:rPr>
          <w:szCs w:val="18"/>
        </w:rPr>
      </w:pPr>
      <w:r w:rsidRPr="00CB6EE4">
        <w:rPr>
          <w:szCs w:val="18"/>
        </w:rPr>
        <w:t>f</w:t>
      </w:r>
      <w:r w:rsidRPr="00CB6EE4">
        <w:rPr>
          <w:szCs w:val="18"/>
        </w:rPr>
        <w:tab/>
        <w:t>SOC treatments for SLE were allowed throughout the open-label extension and were modified at the discretion of the investigator within protocol-defined limits. Permitted SLE medication included OCS (up to 40 mg/day of prednisone or equivalent), immunosuppressants (MTX, AZA, mycophenolate) and NSAIDs.</w:t>
      </w:r>
    </w:p>
    <w:p w14:paraId="52273E70" w14:textId="6EF7A312" w:rsidR="009D6568" w:rsidRDefault="009D6568" w:rsidP="009D6568">
      <w:pPr>
        <w:pStyle w:val="TableFigureFooter"/>
        <w:ind w:left="165" w:hanging="165"/>
      </w:pPr>
      <w:r>
        <w:rPr>
          <w:szCs w:val="18"/>
        </w:rPr>
        <w:t>g</w:t>
      </w:r>
      <w:r>
        <w:rPr>
          <w:szCs w:val="18"/>
        </w:rPr>
        <w:tab/>
      </w:r>
      <w:proofErr w:type="gramStart"/>
      <w:r w:rsidRPr="00CB6EE4">
        <w:t>At</w:t>
      </w:r>
      <w:proofErr w:type="gramEnd"/>
      <w:r w:rsidRPr="00CB6EE4">
        <w:t xml:space="preserve"> week 52, if eligible, patients were enrolled in a separate long-term extension study (TULIP SLE LTE), or they continued the study for another 8 weeks to complete a 12-week safety follow-up after the last dose of study medication (given at Week 48)</w:t>
      </w:r>
      <w:r>
        <w:t>.</w:t>
      </w:r>
    </w:p>
    <w:p w14:paraId="2D37D091" w14:textId="6D250F6A" w:rsidR="009D6568" w:rsidRPr="00CB6EE4" w:rsidRDefault="009D6568" w:rsidP="009D6568">
      <w:pPr>
        <w:pStyle w:val="TableFigureFooter"/>
        <w:ind w:left="165" w:hanging="165"/>
      </w:pPr>
      <w:r>
        <w:t>h</w:t>
      </w:r>
      <w:r>
        <w:tab/>
      </w:r>
      <w:r w:rsidRPr="00CB6EE4">
        <w:t>All patients were required to complete a 12-week follow-up period after administration of the final dose of the study drug.</w:t>
      </w:r>
    </w:p>
    <w:p w14:paraId="0A952CE1" w14:textId="46933C15" w:rsidR="009D6568" w:rsidRPr="00CB6EE4" w:rsidRDefault="009D6568" w:rsidP="007663FA">
      <w:pPr>
        <w:pStyle w:val="TableFigureFooter"/>
        <w:ind w:left="170" w:hanging="170"/>
        <w:rPr>
          <w:szCs w:val="18"/>
        </w:rPr>
      </w:pPr>
    </w:p>
    <w:p w14:paraId="1BDF6F03" w14:textId="1B1D200A" w:rsidR="00BF23B4" w:rsidRDefault="007663FA" w:rsidP="002E4F02">
      <w:pPr>
        <w:pStyle w:val="3-BodyText"/>
      </w:pPr>
      <w:r w:rsidRPr="007663FA">
        <w:t xml:space="preserve">The TULIP-1, TULIP-2 and MUSE trials were all multicentre </w:t>
      </w:r>
      <w:r w:rsidRPr="00CB6EE4">
        <w:t>(TULIP-1 also included 2 study sites in Australia),</w:t>
      </w:r>
      <w:r w:rsidRPr="007663FA">
        <w:t xml:space="preserve"> randomised, double blind placebo-controlled trials where patients received either </w:t>
      </w:r>
      <w:proofErr w:type="spellStart"/>
      <w:r w:rsidRPr="007663FA">
        <w:t>anifrolumab</w:t>
      </w:r>
      <w:proofErr w:type="spellEnd"/>
      <w:r w:rsidR="00A62D31">
        <w:t xml:space="preserve"> or placebo</w:t>
      </w:r>
      <w:r w:rsidRPr="007663FA">
        <w:t xml:space="preserve"> in addition to SOC for 52 weeks. MUSE LTE was an open-label extension </w:t>
      </w:r>
      <w:r w:rsidR="00CE4D26" w:rsidRPr="007663FA">
        <w:t xml:space="preserve">(to 156 weeks) </w:t>
      </w:r>
      <w:r w:rsidRPr="007663FA">
        <w:t xml:space="preserve">of the </w:t>
      </w:r>
      <w:r w:rsidR="00CE4D26">
        <w:t xml:space="preserve">Phase 2 dose-finding </w:t>
      </w:r>
      <w:r w:rsidRPr="007663FA">
        <w:t>MUSE trial. In all trials, SRI or BICLA response were assessed as either the primary or secondary endpoints at time points between Week 24 and 52.</w:t>
      </w:r>
    </w:p>
    <w:p w14:paraId="7DC28E2D" w14:textId="580563FE" w:rsidR="00881C6D" w:rsidRPr="00CB6EE4" w:rsidRDefault="00881C6D" w:rsidP="002E4F02">
      <w:pPr>
        <w:pStyle w:val="3-BodyText"/>
        <w:rPr>
          <w:iCs/>
        </w:rPr>
      </w:pPr>
      <w:bookmarkStart w:id="21" w:name="_Ref110247445"/>
      <w:r w:rsidRPr="00CB6EE4">
        <w:rPr>
          <w:iCs/>
        </w:rPr>
        <w:t>Among the RCTs, the risk of bias associated with the MUSE trial was considered low. However, there was</w:t>
      </w:r>
      <w:r w:rsidR="001018F0">
        <w:rPr>
          <w:iCs/>
        </w:rPr>
        <w:t xml:space="preserve"> an</w:t>
      </w:r>
      <w:r w:rsidRPr="00CB6EE4">
        <w:rPr>
          <w:iCs/>
        </w:rPr>
        <w:t xml:space="preserve"> unclear risk of bias with the TULIP trials due to two amendments </w:t>
      </w:r>
      <w:r w:rsidR="00217DE2">
        <w:rPr>
          <w:iCs/>
        </w:rPr>
        <w:t>to</w:t>
      </w:r>
      <w:r w:rsidR="00217DE2" w:rsidRPr="00CB6EE4">
        <w:rPr>
          <w:iCs/>
        </w:rPr>
        <w:t xml:space="preserve"> </w:t>
      </w:r>
      <w:r w:rsidRPr="00CB6EE4">
        <w:rPr>
          <w:iCs/>
        </w:rPr>
        <w:t>outcome assessment</w:t>
      </w:r>
      <w:r w:rsidR="00A62D31">
        <w:rPr>
          <w:iCs/>
        </w:rPr>
        <w:t xml:space="preserve"> that</w:t>
      </w:r>
      <w:r w:rsidRPr="00CB6EE4">
        <w:rPr>
          <w:iCs/>
        </w:rPr>
        <w:t xml:space="preserve"> likely favour</w:t>
      </w:r>
      <w:r w:rsidR="00A62D31">
        <w:rPr>
          <w:iCs/>
        </w:rPr>
        <w:t>ed</w:t>
      </w:r>
      <w:r w:rsidRPr="00CB6EE4">
        <w:rPr>
          <w:iCs/>
        </w:rPr>
        <w:t xml:space="preserve"> </w:t>
      </w:r>
      <w:proofErr w:type="spellStart"/>
      <w:r w:rsidRPr="00CB6EE4">
        <w:rPr>
          <w:iCs/>
        </w:rPr>
        <w:t>anifrolumab</w:t>
      </w:r>
      <w:proofErr w:type="spellEnd"/>
      <w:r w:rsidRPr="00CB6EE4">
        <w:rPr>
          <w:iCs/>
        </w:rPr>
        <w:t>:</w:t>
      </w:r>
      <w:bookmarkEnd w:id="21"/>
    </w:p>
    <w:p w14:paraId="35B4FB98" w14:textId="320742B3" w:rsidR="00881C6D" w:rsidRPr="00CB6EE4" w:rsidRDefault="00881C6D" w:rsidP="00DC2530">
      <w:pPr>
        <w:pStyle w:val="3-BodyText"/>
        <w:numPr>
          <w:ilvl w:val="0"/>
          <w:numId w:val="8"/>
        </w:numPr>
        <w:rPr>
          <w:iCs/>
        </w:rPr>
      </w:pPr>
      <w:r w:rsidRPr="00CB6EE4">
        <w:rPr>
          <w:iCs/>
        </w:rPr>
        <w:t>The pre</w:t>
      </w:r>
      <w:r w:rsidR="00562E02">
        <w:rPr>
          <w:iCs/>
        </w:rPr>
        <w:t>-</w:t>
      </w:r>
      <w:r w:rsidRPr="00CB6EE4">
        <w:rPr>
          <w:iCs/>
        </w:rPr>
        <w:t xml:space="preserve">specified primary endpoint in both TULIP-1 and TULIP-2 trials was a 4-point reduction on the SRI, primarily based on </w:t>
      </w:r>
      <w:r w:rsidRPr="00CB6EE4">
        <w:rPr>
          <w:rFonts w:cstheme="minorHAnsi"/>
          <w:iCs/>
        </w:rPr>
        <w:t>≥</w:t>
      </w:r>
      <w:r w:rsidRPr="00CB6EE4">
        <w:rPr>
          <w:iCs/>
        </w:rPr>
        <w:t xml:space="preserve">4 point improvement on the SLEDAI-2K. </w:t>
      </w:r>
      <w:r w:rsidRPr="00CB6EE4">
        <w:rPr>
          <w:iCs/>
        </w:rPr>
        <w:lastRenderedPageBreak/>
        <w:t>TULIP-1 was unblinded first</w:t>
      </w:r>
      <w:r w:rsidR="00CE4D26">
        <w:rPr>
          <w:iCs/>
        </w:rPr>
        <w:t xml:space="preserve"> and</w:t>
      </w:r>
      <w:r w:rsidRPr="00CB6EE4">
        <w:rPr>
          <w:iCs/>
        </w:rPr>
        <w:t xml:space="preserve"> detected no difference between </w:t>
      </w:r>
      <w:proofErr w:type="spellStart"/>
      <w:r w:rsidRPr="00CB6EE4">
        <w:rPr>
          <w:iCs/>
        </w:rPr>
        <w:t>anifrolumab</w:t>
      </w:r>
      <w:proofErr w:type="spellEnd"/>
      <w:r w:rsidRPr="00CB6EE4">
        <w:rPr>
          <w:iCs/>
        </w:rPr>
        <w:t xml:space="preserve"> and placebo in terms of </w:t>
      </w:r>
      <w:proofErr w:type="gramStart"/>
      <w:r w:rsidRPr="00CB6EE4">
        <w:rPr>
          <w:iCs/>
        </w:rPr>
        <w:t>SRI(</w:t>
      </w:r>
      <w:proofErr w:type="gramEnd"/>
      <w:r w:rsidRPr="00CB6EE4">
        <w:rPr>
          <w:iCs/>
        </w:rPr>
        <w:t>4) response, however a larger nominally significant difference was detected using the BICLA. Based on this, the primary outcome of TULIP-2 was amended to BICLA response</w:t>
      </w:r>
      <w:r w:rsidR="00453FC9">
        <w:rPr>
          <w:iCs/>
        </w:rPr>
        <w:t xml:space="preserve"> (with the trial </w:t>
      </w:r>
      <w:r w:rsidR="00453FC9" w:rsidRPr="00CB6EE4">
        <w:rPr>
          <w:iCs/>
        </w:rPr>
        <w:t>investigators argu</w:t>
      </w:r>
      <w:r w:rsidR="00453FC9">
        <w:rPr>
          <w:iCs/>
        </w:rPr>
        <w:t>ing</w:t>
      </w:r>
      <w:r w:rsidR="00453FC9" w:rsidRPr="00CB6EE4">
        <w:rPr>
          <w:iCs/>
        </w:rPr>
        <w:t xml:space="preserve"> that </w:t>
      </w:r>
      <w:proofErr w:type="gramStart"/>
      <w:r w:rsidR="00453FC9" w:rsidRPr="00CB6EE4">
        <w:rPr>
          <w:iCs/>
        </w:rPr>
        <w:t>SRI(</w:t>
      </w:r>
      <w:proofErr w:type="gramEnd"/>
      <w:r w:rsidR="00453FC9" w:rsidRPr="00CB6EE4">
        <w:rPr>
          <w:iCs/>
        </w:rPr>
        <w:t>4) lacked sensitivity</w:t>
      </w:r>
      <w:r w:rsidR="00453FC9">
        <w:rPr>
          <w:iCs/>
        </w:rPr>
        <w:t>)</w:t>
      </w:r>
      <w:r w:rsidRPr="00CB6EE4">
        <w:rPr>
          <w:iCs/>
        </w:rPr>
        <w:t>. While the trial amendment had occurred prior to data lock and unblind</w:t>
      </w:r>
      <w:r w:rsidR="000519F7" w:rsidRPr="00CB6EE4">
        <w:rPr>
          <w:iCs/>
        </w:rPr>
        <w:t>ing</w:t>
      </w:r>
      <w:r w:rsidRPr="00CB6EE4">
        <w:rPr>
          <w:iCs/>
        </w:rPr>
        <w:t xml:space="preserve"> in TULIP-2, the amended analysis was akin to a </w:t>
      </w:r>
      <w:r w:rsidRPr="002B2BFE">
        <w:rPr>
          <w:i/>
        </w:rPr>
        <w:t>post</w:t>
      </w:r>
      <w:r w:rsidR="000519F7" w:rsidRPr="002B2BFE">
        <w:rPr>
          <w:i/>
        </w:rPr>
        <w:t>-</w:t>
      </w:r>
      <w:r w:rsidRPr="002B2BFE">
        <w:rPr>
          <w:i/>
        </w:rPr>
        <w:t>hoc</w:t>
      </w:r>
      <w:r w:rsidRPr="00CB6EE4">
        <w:rPr>
          <w:iCs/>
        </w:rPr>
        <w:t xml:space="preserve"> analysis given the trial was already nearing completion at the time of the change. </w:t>
      </w:r>
    </w:p>
    <w:p w14:paraId="4E7C9F0D" w14:textId="114D26DF" w:rsidR="00881C6D" w:rsidRPr="00CB6EE4" w:rsidRDefault="00881C6D" w:rsidP="006243D2">
      <w:pPr>
        <w:pStyle w:val="3-BodyText"/>
        <w:numPr>
          <w:ilvl w:val="0"/>
          <w:numId w:val="8"/>
        </w:numPr>
      </w:pPr>
      <w:r w:rsidRPr="00A0757D">
        <w:t>The primary and several secondary outcomes</w:t>
      </w:r>
      <w:r>
        <w:t xml:space="preserve"> in TULIP</w:t>
      </w:r>
      <w:r w:rsidR="00A62D31">
        <w:t>-1</w:t>
      </w:r>
      <w:r w:rsidRPr="00A0757D">
        <w:t xml:space="preserve"> included the condition “no use of restricted medications beyond the protocol-allowed threshold before assessment.” Following the unblinding of </w:t>
      </w:r>
      <w:r w:rsidR="00E61731">
        <w:t xml:space="preserve">the </w:t>
      </w:r>
      <w:r w:rsidRPr="00A0757D">
        <w:t>TULIP-1</w:t>
      </w:r>
      <w:r w:rsidR="00E61731">
        <w:t xml:space="preserve"> trial</w:t>
      </w:r>
      <w:r w:rsidRPr="00A0757D">
        <w:t xml:space="preserve"> and data</w:t>
      </w:r>
      <w:r w:rsidR="00E61731">
        <w:t xml:space="preserve"> review</w:t>
      </w:r>
      <w:r w:rsidRPr="00A0757D">
        <w:t xml:space="preserve">, investigators decided that the restricted medication rules were not appropriate and overly restrictive </w:t>
      </w:r>
      <w:r>
        <w:t xml:space="preserve">in </w:t>
      </w:r>
      <w:r w:rsidRPr="00A0757D">
        <w:t xml:space="preserve">clinical practice, particularly </w:t>
      </w:r>
      <w:r w:rsidR="005A45A9">
        <w:t>with</w:t>
      </w:r>
      <w:r w:rsidRPr="00A0757D">
        <w:t xml:space="preserve"> regard to the use of NSAID</w:t>
      </w:r>
      <w:r>
        <w:t>s</w:t>
      </w:r>
      <w:r w:rsidRPr="00A0757D">
        <w:t xml:space="preserve"> and limited OCS for mild flares. TULIP-1 therefore performed </w:t>
      </w:r>
      <w:r w:rsidRPr="002B2BFE">
        <w:rPr>
          <w:i/>
          <w:iCs/>
        </w:rPr>
        <w:t>post-hoc</w:t>
      </w:r>
      <w:r w:rsidRPr="00A0757D">
        <w:t xml:space="preserve"> analyses with the revised restricted medication rules that allowed patients with NSAID use before Week 50</w:t>
      </w:r>
      <w:r w:rsidR="00E61731">
        <w:t xml:space="preserve"> of the </w:t>
      </w:r>
      <w:proofErr w:type="gramStart"/>
      <w:r w:rsidR="00E61731">
        <w:t>52 week</w:t>
      </w:r>
      <w:proofErr w:type="gramEnd"/>
      <w:r w:rsidR="00E61731">
        <w:t xml:space="preserve"> trial</w:t>
      </w:r>
      <w:r w:rsidRPr="00A0757D">
        <w:t xml:space="preserve"> to be classified as responders. </w:t>
      </w:r>
      <w:r>
        <w:t xml:space="preserve">The new medication rule was also adopted for TULIP-2 and was referred to as the pre-specified analysis in the publications. </w:t>
      </w:r>
      <w:r w:rsidR="006243D2">
        <w:t>T</w:t>
      </w:r>
      <w:r w:rsidRPr="00CB6EE4">
        <w:t xml:space="preserve">he rule change </w:t>
      </w:r>
      <w:r w:rsidR="006243D2">
        <w:t xml:space="preserve">occurred </w:t>
      </w:r>
      <w:r w:rsidRPr="00CB6EE4">
        <w:t xml:space="preserve">after significant data collection, thus for much of the trial investigators had followed the original medication rules. Based on results of TULIP-1, the new medication rule appeared to favour </w:t>
      </w:r>
      <w:proofErr w:type="spellStart"/>
      <w:r w:rsidRPr="00CB6EE4">
        <w:t>anifrolumab</w:t>
      </w:r>
      <w:proofErr w:type="spellEnd"/>
      <w:r w:rsidRPr="00CB6EE4">
        <w:t>.</w:t>
      </w:r>
    </w:p>
    <w:p w14:paraId="2A55EDE3" w14:textId="5911A5A3" w:rsidR="00041BF8" w:rsidRPr="00F11EB3" w:rsidRDefault="00041BF8" w:rsidP="00535097">
      <w:pPr>
        <w:pStyle w:val="3-BodyText"/>
        <w:rPr>
          <w:iCs/>
        </w:rPr>
      </w:pPr>
      <w:bookmarkStart w:id="22" w:name="_Ref106114928"/>
      <w:bookmarkStart w:id="23" w:name="_Ref106260123"/>
      <w:r w:rsidRPr="00CB6EE4">
        <w:rPr>
          <w:iCs/>
        </w:rPr>
        <w:t xml:space="preserve">Broadly, patients enrolled in the trials had less severe SLE compared to the requested PBS population. </w:t>
      </w:r>
      <w:r w:rsidR="00CE4D26">
        <w:rPr>
          <w:iCs/>
        </w:rPr>
        <w:t>T</w:t>
      </w:r>
      <w:r w:rsidRPr="00CB6EE4">
        <w:rPr>
          <w:iCs/>
        </w:rPr>
        <w:t>he requested PBS eligibility criteria</w:t>
      </w:r>
      <w:r w:rsidR="00CE4D26">
        <w:rPr>
          <w:iCs/>
        </w:rPr>
        <w:t xml:space="preserve"> requires</w:t>
      </w:r>
      <w:r w:rsidRPr="00CB6EE4">
        <w:rPr>
          <w:iCs/>
        </w:rPr>
        <w:t xml:space="preserve"> patients </w:t>
      </w:r>
      <w:r w:rsidR="00CE4D26">
        <w:rPr>
          <w:iCs/>
        </w:rPr>
        <w:t>to</w:t>
      </w:r>
      <w:r w:rsidR="00CE4D26" w:rsidRPr="00CB6EE4">
        <w:rPr>
          <w:iCs/>
        </w:rPr>
        <w:t xml:space="preserve"> </w:t>
      </w:r>
      <w:r w:rsidRPr="00CB6EE4">
        <w:rPr>
          <w:iCs/>
        </w:rPr>
        <w:t xml:space="preserve">have </w:t>
      </w:r>
      <w:bookmarkStart w:id="24" w:name="_Hlk103172971"/>
      <w:r w:rsidRPr="00CB6EE4">
        <w:rPr>
          <w:iCs/>
        </w:rPr>
        <w:t>SLEDAI-2K ≥10 and be on triple therapy including OCS ≥7.5</w:t>
      </w:r>
      <w:r w:rsidR="00621913" w:rsidRPr="00CB6EE4">
        <w:rPr>
          <w:iCs/>
        </w:rPr>
        <w:t xml:space="preserve"> </w:t>
      </w:r>
      <w:r w:rsidRPr="00CB6EE4">
        <w:rPr>
          <w:iCs/>
        </w:rPr>
        <w:t>mg/day</w:t>
      </w:r>
      <w:bookmarkEnd w:id="24"/>
      <w:r w:rsidR="00FB49DB">
        <w:rPr>
          <w:iCs/>
        </w:rPr>
        <w:t>,</w:t>
      </w:r>
      <w:r w:rsidRPr="00CB6EE4">
        <w:rPr>
          <w:iCs/>
        </w:rPr>
        <w:t xml:space="preserve"> </w:t>
      </w:r>
      <w:r w:rsidR="002F58B9">
        <w:rPr>
          <w:iCs/>
        </w:rPr>
        <w:t>while</w:t>
      </w:r>
      <w:r w:rsidRPr="00CB6EE4">
        <w:rPr>
          <w:iCs/>
        </w:rPr>
        <w:t xml:space="preserve"> the trials only required patients to have SLEDAI-2K ≥6 and be on one of the triple therapy agents. The </w:t>
      </w:r>
      <w:r w:rsidR="00000C0C">
        <w:rPr>
          <w:iCs/>
        </w:rPr>
        <w:t xml:space="preserve">evaluation considered that </w:t>
      </w:r>
      <w:r w:rsidR="003840D4" w:rsidRPr="00CB6EE4">
        <w:rPr>
          <w:iCs/>
        </w:rPr>
        <w:t xml:space="preserve">it was </w:t>
      </w:r>
      <w:r w:rsidRPr="00CB6EE4">
        <w:rPr>
          <w:iCs/>
        </w:rPr>
        <w:t xml:space="preserve">likely </w:t>
      </w:r>
      <w:r w:rsidR="003840D4" w:rsidRPr="00CB6EE4">
        <w:rPr>
          <w:iCs/>
        </w:rPr>
        <w:t xml:space="preserve">that </w:t>
      </w:r>
      <w:r w:rsidRPr="00CB6EE4">
        <w:rPr>
          <w:iCs/>
        </w:rPr>
        <w:t>less than 16% of the trial population would meet the PBS eligibility criteria</w:t>
      </w:r>
      <w:r w:rsidR="00000C0C">
        <w:rPr>
          <w:iCs/>
        </w:rPr>
        <w:t xml:space="preserve">, </w:t>
      </w:r>
      <w:r w:rsidR="00000C0C" w:rsidRPr="00F11EB3">
        <w:rPr>
          <w:iCs/>
        </w:rPr>
        <w:t>given only 16% of patients in the TULIP trials were on triple therapy (including OCS ≥7.5 mg/day) and had SLEDAI-2K ≥8 at baseline</w:t>
      </w:r>
      <w:r w:rsidRPr="00F11EB3">
        <w:rPr>
          <w:iCs/>
        </w:rPr>
        <w:t>. Th</w:t>
      </w:r>
      <w:r w:rsidR="00000C0C" w:rsidRPr="00F11EB3">
        <w:rPr>
          <w:iCs/>
        </w:rPr>
        <w:t xml:space="preserve">e </w:t>
      </w:r>
      <w:r w:rsidR="00F6500C" w:rsidRPr="00F11EB3">
        <w:rPr>
          <w:iCs/>
        </w:rPr>
        <w:t xml:space="preserve">evaluation further considered that the </w:t>
      </w:r>
      <w:r w:rsidR="00000C0C" w:rsidRPr="00F11EB3">
        <w:rPr>
          <w:iCs/>
        </w:rPr>
        <w:t>actual</w:t>
      </w:r>
      <w:r w:rsidRPr="00F11EB3">
        <w:rPr>
          <w:iCs/>
        </w:rPr>
        <w:t xml:space="preserve"> proportion </w:t>
      </w:r>
      <w:r w:rsidR="00000C0C" w:rsidRPr="00F11EB3">
        <w:rPr>
          <w:iCs/>
        </w:rPr>
        <w:t xml:space="preserve">would likely be </w:t>
      </w:r>
      <w:r w:rsidRPr="00F11EB3">
        <w:rPr>
          <w:iCs/>
        </w:rPr>
        <w:t xml:space="preserve">lower </w:t>
      </w:r>
      <w:r w:rsidR="002F58B9" w:rsidRPr="00F11EB3">
        <w:rPr>
          <w:iCs/>
        </w:rPr>
        <w:t xml:space="preserve">than 16% </w:t>
      </w:r>
      <w:r w:rsidRPr="00F11EB3">
        <w:rPr>
          <w:iCs/>
        </w:rPr>
        <w:t>due to</w:t>
      </w:r>
      <w:r w:rsidR="00000C0C" w:rsidRPr="00F11EB3">
        <w:rPr>
          <w:iCs/>
        </w:rPr>
        <w:t>:</w:t>
      </w:r>
      <w:r w:rsidRPr="00F11EB3">
        <w:rPr>
          <w:iCs/>
        </w:rPr>
        <w:t xml:space="preserve"> </w:t>
      </w:r>
      <w:r w:rsidR="00000C0C" w:rsidRPr="00F11EB3">
        <w:rPr>
          <w:iCs/>
        </w:rPr>
        <w:t xml:space="preserve">(a) the requested PBS eligibility criteria requires patients to have SLEDAI-2K ≥10; and (b) </w:t>
      </w:r>
      <w:r w:rsidRPr="00F11EB3">
        <w:rPr>
          <w:iCs/>
        </w:rPr>
        <w:t>differences in diagnostic criteria used, ACR 1982 (trial</w:t>
      </w:r>
      <w:r w:rsidR="00FB49DB">
        <w:rPr>
          <w:iCs/>
        </w:rPr>
        <w:t xml:space="preserve"> population</w:t>
      </w:r>
      <w:r w:rsidRPr="00F11EB3">
        <w:rPr>
          <w:iCs/>
        </w:rPr>
        <w:t>s) and the EULAR/ACR 2019 (</w:t>
      </w:r>
      <w:r w:rsidR="00FB49DB">
        <w:rPr>
          <w:iCs/>
        </w:rPr>
        <w:t xml:space="preserve">requested </w:t>
      </w:r>
      <w:r w:rsidRPr="00F11EB3">
        <w:rPr>
          <w:iCs/>
        </w:rPr>
        <w:t>PBS</w:t>
      </w:r>
      <w:r w:rsidR="00FB49DB">
        <w:rPr>
          <w:iCs/>
        </w:rPr>
        <w:t xml:space="preserve"> population</w:t>
      </w:r>
      <w:r w:rsidRPr="00F11EB3">
        <w:rPr>
          <w:iCs/>
        </w:rPr>
        <w:t xml:space="preserve">). Overall, </w:t>
      </w:r>
      <w:r w:rsidR="00630E69" w:rsidRPr="00F11EB3">
        <w:rPr>
          <w:iCs/>
        </w:rPr>
        <w:t>the</w:t>
      </w:r>
      <w:r w:rsidR="00717243">
        <w:rPr>
          <w:iCs/>
        </w:rPr>
        <w:t xml:space="preserve"> PBAC agreed with the</w:t>
      </w:r>
      <w:r w:rsidR="00630E69" w:rsidRPr="00F11EB3">
        <w:rPr>
          <w:iCs/>
        </w:rPr>
        <w:t xml:space="preserve"> ESC </w:t>
      </w:r>
      <w:r w:rsidR="00717243">
        <w:rPr>
          <w:iCs/>
        </w:rPr>
        <w:t>that</w:t>
      </w:r>
      <w:r w:rsidR="00717243" w:rsidRPr="00F11EB3">
        <w:rPr>
          <w:iCs/>
        </w:rPr>
        <w:t xml:space="preserve"> </w:t>
      </w:r>
      <w:r w:rsidR="00630E69" w:rsidRPr="00F11EB3">
        <w:rPr>
          <w:iCs/>
        </w:rPr>
        <w:t xml:space="preserve">the proportion of patients in the trials who would meet the proposed PBS criteria was likely to be small, and as such </w:t>
      </w:r>
      <w:r w:rsidRPr="00F11EB3">
        <w:rPr>
          <w:iCs/>
        </w:rPr>
        <w:t>the included trials may not present direct evidence for the requested PBS population</w:t>
      </w:r>
      <w:r w:rsidR="00702DCC" w:rsidRPr="00F11EB3">
        <w:rPr>
          <w:iCs/>
        </w:rPr>
        <w:t>.</w:t>
      </w:r>
      <w:r w:rsidR="00D80CEA" w:rsidRPr="00F11EB3">
        <w:rPr>
          <w:iCs/>
        </w:rPr>
        <w:t xml:space="preserve"> </w:t>
      </w:r>
      <w:r w:rsidR="00F6500C" w:rsidRPr="00F11EB3">
        <w:rPr>
          <w:iCs/>
        </w:rPr>
        <w:t>However, the ESC</w:t>
      </w:r>
      <w:r w:rsidR="00847F1B">
        <w:rPr>
          <w:iCs/>
        </w:rPr>
        <w:t xml:space="preserve"> and PBAC</w:t>
      </w:r>
      <w:r w:rsidR="00F6500C" w:rsidRPr="00F11EB3">
        <w:rPr>
          <w:iCs/>
        </w:rPr>
        <w:t xml:space="preserve"> </w:t>
      </w:r>
      <w:r w:rsidR="0073499A" w:rsidRPr="00F11EB3">
        <w:rPr>
          <w:iCs/>
        </w:rPr>
        <w:t>acknowledg</w:t>
      </w:r>
      <w:r w:rsidR="00F6500C" w:rsidRPr="00F11EB3">
        <w:rPr>
          <w:iCs/>
        </w:rPr>
        <w:t>ed that the purpose of restricting use to this narrow population was to target patients with the greatest clinical need.</w:t>
      </w:r>
      <w:bookmarkEnd w:id="22"/>
      <w:bookmarkEnd w:id="23"/>
    </w:p>
    <w:p w14:paraId="4A4FE085" w14:textId="1C5613CC" w:rsidR="00B60939" w:rsidRPr="00C9624D" w:rsidRDefault="00B60939" w:rsidP="00EC5836">
      <w:pPr>
        <w:pStyle w:val="4-SubsectionHeading"/>
      </w:pPr>
      <w:bookmarkStart w:id="25" w:name="_Toc22897641"/>
      <w:bookmarkStart w:id="26" w:name="_Toc103015534"/>
      <w:r w:rsidRPr="00C9624D">
        <w:t>Comparative effectiveness</w:t>
      </w:r>
      <w:bookmarkEnd w:id="25"/>
      <w:bookmarkEnd w:id="26"/>
    </w:p>
    <w:p w14:paraId="0E4C5055" w14:textId="400C3C6D" w:rsidR="00041BF8" w:rsidRPr="00CB6EE4" w:rsidRDefault="003735E4" w:rsidP="00041BF8">
      <w:pPr>
        <w:pStyle w:val="3-BodyText"/>
        <w:rPr>
          <w:iCs/>
        </w:rPr>
      </w:pPr>
      <w:r>
        <w:t>Under the proposed PBS restriction f</w:t>
      </w:r>
      <w:r w:rsidR="00041BF8" w:rsidRPr="00041BF8">
        <w:t>or continuing therapy</w:t>
      </w:r>
      <w:r>
        <w:t xml:space="preserve"> with </w:t>
      </w:r>
      <w:proofErr w:type="spellStart"/>
      <w:r>
        <w:t>anifrolumab</w:t>
      </w:r>
      <w:proofErr w:type="spellEnd"/>
      <w:r w:rsidR="00041BF8" w:rsidRPr="00041BF8">
        <w:t xml:space="preserve">, patients must demonstrate response to therapy, defined as </w:t>
      </w:r>
      <w:r w:rsidR="002F58B9">
        <w:t xml:space="preserve">a </w:t>
      </w:r>
      <w:r w:rsidR="00041BF8" w:rsidRPr="00041BF8">
        <w:t>reduction in SLEDAI-2K of at least four points from baseline after 24 weeks of initial treatment.</w:t>
      </w:r>
      <w:r w:rsidR="00041BF8" w:rsidRPr="00041BF8">
        <w:rPr>
          <w:i/>
        </w:rPr>
        <w:t xml:space="preserve"> </w:t>
      </w:r>
      <w:r w:rsidR="00041BF8" w:rsidRPr="00CB6EE4">
        <w:rPr>
          <w:iCs/>
        </w:rPr>
        <w:t>Response in the included trials w</w:t>
      </w:r>
      <w:r w:rsidR="00702DCC">
        <w:rPr>
          <w:iCs/>
        </w:rPr>
        <w:t>as</w:t>
      </w:r>
      <w:r w:rsidR="00041BF8" w:rsidRPr="00CB6EE4">
        <w:rPr>
          <w:iCs/>
        </w:rPr>
        <w:t xml:space="preserve"> assessed using composite outcomes (either BICLA and </w:t>
      </w:r>
      <w:proofErr w:type="gramStart"/>
      <w:r w:rsidR="00041BF8" w:rsidRPr="00CB6EE4">
        <w:rPr>
          <w:iCs/>
        </w:rPr>
        <w:t>SRI(</w:t>
      </w:r>
      <w:proofErr w:type="gramEnd"/>
      <w:r w:rsidR="00041BF8" w:rsidRPr="00CB6EE4">
        <w:rPr>
          <w:iCs/>
        </w:rPr>
        <w:t xml:space="preserve">4)). However, the </w:t>
      </w:r>
      <w:r w:rsidR="00041BF8" w:rsidRPr="00CB6EE4">
        <w:rPr>
          <w:iCs/>
        </w:rPr>
        <w:lastRenderedPageBreak/>
        <w:t xml:space="preserve">SLEDAI-2K results fed into both composite scales and were also reported separately as an exploratory outcome. </w:t>
      </w:r>
    </w:p>
    <w:p w14:paraId="21100099" w14:textId="6E54A253" w:rsidR="00A61EFC" w:rsidRPr="00CB6EE4" w:rsidRDefault="00C523D4" w:rsidP="00EC5836">
      <w:pPr>
        <w:pStyle w:val="3-BodyText"/>
        <w:rPr>
          <w:iCs/>
        </w:rPr>
      </w:pPr>
      <w:r w:rsidRPr="00542F83">
        <w:rPr>
          <w:rFonts w:cstheme="minorHAnsi"/>
        </w:rPr>
        <w:fldChar w:fldCharType="begin"/>
      </w:r>
      <w:r w:rsidRPr="00542F83">
        <w:rPr>
          <w:rFonts w:cstheme="minorHAnsi"/>
        </w:rPr>
        <w:instrText xml:space="preserve"> REF _Ref102983167 \h </w:instrText>
      </w:r>
      <w:r w:rsidR="00512C4B" w:rsidRPr="00542F83">
        <w:rPr>
          <w:rFonts w:cstheme="minorHAnsi"/>
        </w:rPr>
        <w:instrText xml:space="preserve"> \* MERGEFORMAT </w:instrText>
      </w:r>
      <w:r w:rsidRPr="00542F83">
        <w:rPr>
          <w:rFonts w:cstheme="minorHAnsi"/>
        </w:rPr>
      </w:r>
      <w:r w:rsidRPr="00542F83">
        <w:rPr>
          <w:rFonts w:cstheme="minorHAnsi"/>
        </w:rPr>
        <w:fldChar w:fldCharType="separate"/>
      </w:r>
      <w:r w:rsidR="00942C22" w:rsidRPr="00942C22">
        <w:rPr>
          <w:rStyle w:val="CommentReference"/>
          <w:rFonts w:asciiTheme="minorHAnsi" w:hAnsiTheme="minorHAnsi" w:cstheme="minorHAnsi"/>
          <w:b w:val="0"/>
          <w:bCs/>
          <w:sz w:val="24"/>
          <w:szCs w:val="24"/>
        </w:rPr>
        <w:t>Table</w:t>
      </w:r>
      <w:r w:rsidR="00942C22" w:rsidRPr="00942C22">
        <w:rPr>
          <w:rStyle w:val="CommentReference"/>
          <w:rFonts w:asciiTheme="minorHAnsi" w:hAnsiTheme="minorHAnsi" w:cstheme="minorHAnsi"/>
          <w:sz w:val="24"/>
          <w:szCs w:val="24"/>
        </w:rPr>
        <w:t xml:space="preserve"> </w:t>
      </w:r>
      <w:r w:rsidR="00942C22" w:rsidRPr="00942C22">
        <w:rPr>
          <w:rStyle w:val="CommentReference"/>
          <w:rFonts w:asciiTheme="minorHAnsi" w:hAnsiTheme="minorHAnsi" w:cstheme="minorHAnsi"/>
          <w:b w:val="0"/>
          <w:noProof/>
          <w:sz w:val="24"/>
          <w:szCs w:val="24"/>
        </w:rPr>
        <w:t>4</w:t>
      </w:r>
      <w:r w:rsidRPr="00542F83">
        <w:rPr>
          <w:rFonts w:cstheme="minorHAnsi"/>
        </w:rPr>
        <w:fldChar w:fldCharType="end"/>
      </w:r>
      <w:r w:rsidR="00535097" w:rsidRPr="00542F83">
        <w:rPr>
          <w:rFonts w:cstheme="minorHAnsi"/>
        </w:rPr>
        <w:t xml:space="preserve"> </w:t>
      </w:r>
      <w:r w:rsidR="00A61EFC" w:rsidRPr="00A61EFC">
        <w:t xml:space="preserve">presents the trial results for </w:t>
      </w:r>
      <w:proofErr w:type="gramStart"/>
      <w:r w:rsidR="00A61EFC" w:rsidRPr="00A61EFC">
        <w:t>SRI(</w:t>
      </w:r>
      <w:proofErr w:type="gramEnd"/>
      <w:r w:rsidR="00A61EFC" w:rsidRPr="00A61EFC">
        <w:t>4) and BICLA response plus its component indexes at Week 52.</w:t>
      </w:r>
    </w:p>
    <w:p w14:paraId="2CDABA37" w14:textId="7BE7D12E" w:rsidR="00A61EFC" w:rsidRPr="00C523D4" w:rsidRDefault="00C523D4" w:rsidP="00C523D4">
      <w:pPr>
        <w:pStyle w:val="TableFigureHeading"/>
        <w:rPr>
          <w:rStyle w:val="CommentReference"/>
          <w:b/>
          <w:szCs w:val="24"/>
        </w:rPr>
      </w:pPr>
      <w:bookmarkStart w:id="27" w:name="_Ref102983167"/>
      <w:r w:rsidRPr="00C523D4">
        <w:rPr>
          <w:rStyle w:val="CommentReference"/>
          <w:b/>
          <w:szCs w:val="24"/>
        </w:rPr>
        <w:t xml:space="preserve">Table </w:t>
      </w:r>
      <w:r w:rsidRPr="00C523D4">
        <w:rPr>
          <w:rStyle w:val="CommentReference"/>
          <w:b/>
          <w:szCs w:val="24"/>
        </w:rPr>
        <w:fldChar w:fldCharType="begin"/>
      </w:r>
      <w:r w:rsidRPr="00C523D4">
        <w:rPr>
          <w:rStyle w:val="CommentReference"/>
          <w:b/>
          <w:szCs w:val="24"/>
        </w:rPr>
        <w:instrText xml:space="preserve"> SEQ Table \* ARABIC </w:instrText>
      </w:r>
      <w:r w:rsidRPr="00C523D4">
        <w:rPr>
          <w:rStyle w:val="CommentReference"/>
          <w:b/>
          <w:szCs w:val="24"/>
        </w:rPr>
        <w:fldChar w:fldCharType="separate"/>
      </w:r>
      <w:r w:rsidR="00942C22">
        <w:rPr>
          <w:rStyle w:val="CommentReference"/>
          <w:b/>
          <w:noProof/>
          <w:szCs w:val="24"/>
        </w:rPr>
        <w:t>4</w:t>
      </w:r>
      <w:r w:rsidRPr="00C523D4">
        <w:rPr>
          <w:rStyle w:val="CommentReference"/>
          <w:b/>
          <w:szCs w:val="24"/>
        </w:rPr>
        <w:fldChar w:fldCharType="end"/>
      </w:r>
      <w:bookmarkEnd w:id="27"/>
      <w:r w:rsidR="00A61EFC" w:rsidRPr="00C523D4">
        <w:rPr>
          <w:rStyle w:val="CommentReference"/>
          <w:b/>
          <w:szCs w:val="24"/>
        </w:rPr>
        <w:t xml:space="preserve">: </w:t>
      </w:r>
      <w:proofErr w:type="gramStart"/>
      <w:r w:rsidR="00A61EFC" w:rsidRPr="00C523D4">
        <w:rPr>
          <w:rStyle w:val="CommentReference"/>
          <w:b/>
          <w:szCs w:val="24"/>
        </w:rPr>
        <w:t>SRI(</w:t>
      </w:r>
      <w:proofErr w:type="gramEnd"/>
      <w:r w:rsidR="00A61EFC" w:rsidRPr="00C523D4">
        <w:rPr>
          <w:rStyle w:val="CommentReference"/>
          <w:b/>
          <w:szCs w:val="24"/>
        </w:rPr>
        <w:t xml:space="preserve">4) and BICLA and their component indexes plus medication rules at Week 52 </w:t>
      </w:r>
    </w:p>
    <w:tbl>
      <w:tblPr>
        <w:tblStyle w:val="TableGrid"/>
        <w:tblW w:w="0" w:type="auto"/>
        <w:tblCellMar>
          <w:left w:w="28" w:type="dxa"/>
          <w:right w:w="28" w:type="dxa"/>
        </w:tblCellMar>
        <w:tblLook w:val="04A0" w:firstRow="1" w:lastRow="0" w:firstColumn="1" w:lastColumn="0" w:noHBand="0" w:noVBand="1"/>
      </w:tblPr>
      <w:tblGrid>
        <w:gridCol w:w="2405"/>
        <w:gridCol w:w="2204"/>
        <w:gridCol w:w="2190"/>
        <w:gridCol w:w="2218"/>
      </w:tblGrid>
      <w:tr w:rsidR="00A61EFC" w:rsidRPr="00CB6EE4" w14:paraId="698A264E" w14:textId="77777777" w:rsidTr="00881C6D">
        <w:trPr>
          <w:tblHeader/>
        </w:trPr>
        <w:tc>
          <w:tcPr>
            <w:tcW w:w="2405" w:type="dxa"/>
            <w:tcBorders>
              <w:bottom w:val="single" w:sz="4" w:space="0" w:color="auto"/>
            </w:tcBorders>
            <w:vAlign w:val="center"/>
          </w:tcPr>
          <w:p w14:paraId="5E2699B5" w14:textId="77777777" w:rsidR="00A61EFC" w:rsidRPr="00CB6EE4" w:rsidRDefault="00A61EFC" w:rsidP="00881C6D">
            <w:pPr>
              <w:jc w:val="left"/>
              <w:rPr>
                <w:rFonts w:ascii="Arial Narrow" w:hAnsi="Arial Narrow"/>
                <w:b/>
                <w:sz w:val="20"/>
                <w:szCs w:val="20"/>
              </w:rPr>
            </w:pPr>
          </w:p>
        </w:tc>
        <w:tc>
          <w:tcPr>
            <w:tcW w:w="2204" w:type="dxa"/>
            <w:tcBorders>
              <w:bottom w:val="single" w:sz="4" w:space="0" w:color="auto"/>
            </w:tcBorders>
            <w:vAlign w:val="center"/>
          </w:tcPr>
          <w:p w14:paraId="09E3AAC5" w14:textId="77777777" w:rsidR="00A61EFC" w:rsidRPr="00CB6EE4" w:rsidRDefault="00A61EFC" w:rsidP="00881C6D">
            <w:pPr>
              <w:jc w:val="center"/>
              <w:rPr>
                <w:rFonts w:ascii="Arial Narrow" w:hAnsi="Arial Narrow"/>
                <w:b/>
                <w:sz w:val="20"/>
                <w:szCs w:val="20"/>
              </w:rPr>
            </w:pPr>
            <w:proofErr w:type="spellStart"/>
            <w:r w:rsidRPr="00CB6EE4">
              <w:rPr>
                <w:rFonts w:ascii="Arial Narrow" w:hAnsi="Arial Narrow"/>
                <w:b/>
                <w:sz w:val="20"/>
                <w:szCs w:val="20"/>
              </w:rPr>
              <w:t>Anifrolumab</w:t>
            </w:r>
            <w:proofErr w:type="spellEnd"/>
            <w:r w:rsidRPr="00CB6EE4">
              <w:rPr>
                <w:rFonts w:ascii="Arial Narrow" w:hAnsi="Arial Narrow"/>
                <w:b/>
                <w:sz w:val="20"/>
                <w:szCs w:val="20"/>
              </w:rPr>
              <w:t xml:space="preserve"> 300 mg IV</w:t>
            </w:r>
          </w:p>
          <w:p w14:paraId="7E1AFE43" w14:textId="77777777" w:rsidR="00A61EFC" w:rsidRPr="00CB6EE4" w:rsidRDefault="00A61EFC" w:rsidP="00881C6D">
            <w:pPr>
              <w:jc w:val="center"/>
              <w:rPr>
                <w:rFonts w:ascii="Arial Narrow" w:hAnsi="Arial Narrow"/>
                <w:b/>
                <w:sz w:val="20"/>
                <w:szCs w:val="20"/>
              </w:rPr>
            </w:pPr>
            <w:r w:rsidRPr="00CB6EE4">
              <w:rPr>
                <w:rFonts w:ascii="Arial Narrow" w:hAnsi="Arial Narrow"/>
                <w:b/>
                <w:sz w:val="20"/>
                <w:szCs w:val="20"/>
              </w:rPr>
              <w:t>n/N (%)</w:t>
            </w:r>
          </w:p>
        </w:tc>
        <w:tc>
          <w:tcPr>
            <w:tcW w:w="2190" w:type="dxa"/>
            <w:tcBorders>
              <w:bottom w:val="single" w:sz="4" w:space="0" w:color="auto"/>
            </w:tcBorders>
            <w:vAlign w:val="center"/>
          </w:tcPr>
          <w:p w14:paraId="6C99411B" w14:textId="77777777" w:rsidR="00A61EFC" w:rsidRPr="00CB6EE4" w:rsidRDefault="00A61EFC" w:rsidP="00881C6D">
            <w:pPr>
              <w:jc w:val="center"/>
              <w:rPr>
                <w:rFonts w:ascii="Arial Narrow" w:hAnsi="Arial Narrow"/>
                <w:b/>
                <w:sz w:val="20"/>
                <w:szCs w:val="20"/>
              </w:rPr>
            </w:pPr>
            <w:r w:rsidRPr="00CB6EE4">
              <w:rPr>
                <w:rFonts w:ascii="Arial Narrow" w:hAnsi="Arial Narrow"/>
                <w:b/>
                <w:sz w:val="20"/>
                <w:szCs w:val="20"/>
              </w:rPr>
              <w:t>Placebo (SOC)</w:t>
            </w:r>
          </w:p>
          <w:p w14:paraId="4E6390E2" w14:textId="77777777" w:rsidR="00A61EFC" w:rsidRPr="00CB6EE4" w:rsidRDefault="00A61EFC" w:rsidP="00881C6D">
            <w:pPr>
              <w:jc w:val="center"/>
              <w:rPr>
                <w:rFonts w:ascii="Arial Narrow" w:hAnsi="Arial Narrow"/>
                <w:b/>
                <w:sz w:val="20"/>
                <w:szCs w:val="20"/>
              </w:rPr>
            </w:pPr>
            <w:r w:rsidRPr="00CB6EE4">
              <w:rPr>
                <w:rFonts w:ascii="Arial Narrow" w:hAnsi="Arial Narrow"/>
                <w:b/>
                <w:sz w:val="20"/>
                <w:szCs w:val="20"/>
              </w:rPr>
              <w:t>n/N (%)</w:t>
            </w:r>
          </w:p>
        </w:tc>
        <w:tc>
          <w:tcPr>
            <w:tcW w:w="2218" w:type="dxa"/>
            <w:tcBorders>
              <w:bottom w:val="single" w:sz="4" w:space="0" w:color="auto"/>
            </w:tcBorders>
            <w:vAlign w:val="center"/>
          </w:tcPr>
          <w:p w14:paraId="5CBA137A" w14:textId="4B13D54A" w:rsidR="00A61EFC" w:rsidRPr="00CB6EE4" w:rsidRDefault="00A61EFC" w:rsidP="00881C6D">
            <w:pPr>
              <w:jc w:val="center"/>
              <w:rPr>
                <w:rFonts w:ascii="Arial Narrow" w:hAnsi="Arial Narrow"/>
                <w:b/>
                <w:sz w:val="20"/>
                <w:szCs w:val="20"/>
              </w:rPr>
            </w:pPr>
            <w:r w:rsidRPr="00CB6EE4">
              <w:rPr>
                <w:rFonts w:ascii="Arial Narrow" w:hAnsi="Arial Narrow"/>
                <w:b/>
                <w:sz w:val="20"/>
                <w:szCs w:val="20"/>
              </w:rPr>
              <w:t>RD (95%</w:t>
            </w:r>
            <w:r w:rsidR="00B505EB">
              <w:rPr>
                <w:rFonts w:ascii="Arial Narrow" w:hAnsi="Arial Narrow"/>
                <w:b/>
                <w:sz w:val="20"/>
                <w:szCs w:val="20"/>
              </w:rPr>
              <w:t xml:space="preserve"> </w:t>
            </w:r>
            <w:r w:rsidRPr="00CB6EE4">
              <w:rPr>
                <w:rFonts w:ascii="Arial Narrow" w:hAnsi="Arial Narrow"/>
                <w:b/>
                <w:sz w:val="20"/>
                <w:szCs w:val="20"/>
              </w:rPr>
              <w:t>CI)</w:t>
            </w:r>
          </w:p>
        </w:tc>
      </w:tr>
      <w:tr w:rsidR="00A61EFC" w:rsidRPr="00CB6EE4" w14:paraId="4F8EEA88" w14:textId="77777777" w:rsidTr="00881C6D">
        <w:tc>
          <w:tcPr>
            <w:tcW w:w="9017" w:type="dxa"/>
            <w:gridSpan w:val="4"/>
            <w:tcBorders>
              <w:bottom w:val="nil"/>
            </w:tcBorders>
            <w:shd w:val="clear" w:color="auto" w:fill="D9D9D9" w:themeFill="background1" w:themeFillShade="D9"/>
            <w:vAlign w:val="center"/>
          </w:tcPr>
          <w:p w14:paraId="73EC6941" w14:textId="77777777" w:rsidR="00A61EFC" w:rsidRPr="00CB6EE4" w:rsidRDefault="00A61EFC" w:rsidP="00881C6D">
            <w:pPr>
              <w:jc w:val="left"/>
              <w:rPr>
                <w:rFonts w:ascii="Arial Narrow" w:hAnsi="Arial Narrow"/>
                <w:b/>
                <w:sz w:val="20"/>
                <w:szCs w:val="20"/>
              </w:rPr>
            </w:pPr>
            <w:proofErr w:type="gramStart"/>
            <w:r w:rsidRPr="00CB6EE4">
              <w:rPr>
                <w:rFonts w:ascii="Arial Narrow" w:hAnsi="Arial Narrow"/>
                <w:b/>
                <w:sz w:val="20"/>
                <w:szCs w:val="20"/>
              </w:rPr>
              <w:t>SRI(</w:t>
            </w:r>
            <w:proofErr w:type="gramEnd"/>
            <w:r w:rsidRPr="00CB6EE4">
              <w:rPr>
                <w:rFonts w:ascii="Arial Narrow" w:hAnsi="Arial Narrow"/>
                <w:b/>
                <w:sz w:val="20"/>
                <w:szCs w:val="20"/>
              </w:rPr>
              <w:t>4) response</w:t>
            </w:r>
          </w:p>
        </w:tc>
      </w:tr>
      <w:tr w:rsidR="00A61EFC" w:rsidRPr="00CB6EE4" w14:paraId="5CACE68A" w14:textId="77777777" w:rsidTr="00881C6D">
        <w:trPr>
          <w:trHeight w:val="94"/>
        </w:trPr>
        <w:tc>
          <w:tcPr>
            <w:tcW w:w="2405" w:type="dxa"/>
            <w:tcBorders>
              <w:top w:val="nil"/>
              <w:bottom w:val="nil"/>
            </w:tcBorders>
          </w:tcPr>
          <w:p w14:paraId="38C8506D" w14:textId="5D0D0178" w:rsidR="00A61EFC" w:rsidRPr="00CB6EE4" w:rsidRDefault="00A61EFC" w:rsidP="00881C6D">
            <w:pPr>
              <w:jc w:val="left"/>
              <w:rPr>
                <w:rFonts w:ascii="Arial Narrow" w:hAnsi="Arial Narrow"/>
                <w:sz w:val="20"/>
                <w:szCs w:val="20"/>
              </w:rPr>
            </w:pPr>
            <w:r w:rsidRPr="00CB6EE4">
              <w:rPr>
                <w:rFonts w:ascii="Arial Narrow" w:hAnsi="Arial Narrow"/>
                <w:sz w:val="20"/>
                <w:szCs w:val="20"/>
              </w:rPr>
              <w:t>TULIP-1 (pre-specified)</w:t>
            </w:r>
            <w:r w:rsidRPr="00CB6EE4">
              <w:rPr>
                <w:rFonts w:ascii="Arial Narrow" w:hAnsi="Arial Narrow"/>
                <w:sz w:val="20"/>
                <w:szCs w:val="20"/>
                <w:vertAlign w:val="superscript"/>
              </w:rPr>
              <w:t xml:space="preserve"> </w:t>
            </w:r>
            <w:proofErr w:type="spellStart"/>
            <w:proofErr w:type="gramStart"/>
            <w:r w:rsidRPr="00CB6EE4">
              <w:rPr>
                <w:rFonts w:ascii="Arial Narrow" w:hAnsi="Arial Narrow"/>
                <w:sz w:val="20"/>
                <w:szCs w:val="20"/>
                <w:vertAlign w:val="superscript"/>
              </w:rPr>
              <w:t>a</w:t>
            </w:r>
            <w:r w:rsidR="008D0A35">
              <w:rPr>
                <w:rFonts w:ascii="Arial Narrow" w:hAnsi="Arial Narrow"/>
                <w:sz w:val="20"/>
                <w:szCs w:val="20"/>
                <w:vertAlign w:val="superscript"/>
              </w:rPr>
              <w:t>,i</w:t>
            </w:r>
            <w:proofErr w:type="spellEnd"/>
            <w:proofErr w:type="gramEnd"/>
          </w:p>
        </w:tc>
        <w:tc>
          <w:tcPr>
            <w:tcW w:w="2204" w:type="dxa"/>
            <w:tcBorders>
              <w:top w:val="nil"/>
              <w:bottom w:val="nil"/>
            </w:tcBorders>
            <w:vAlign w:val="center"/>
          </w:tcPr>
          <w:p w14:paraId="77C24A73"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65/180 (36.2)</w:t>
            </w:r>
          </w:p>
        </w:tc>
        <w:tc>
          <w:tcPr>
            <w:tcW w:w="2190" w:type="dxa"/>
            <w:tcBorders>
              <w:top w:val="nil"/>
              <w:bottom w:val="nil"/>
            </w:tcBorders>
            <w:vAlign w:val="center"/>
          </w:tcPr>
          <w:p w14:paraId="73AF0A58"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74/184 (40.4)</w:t>
            </w:r>
          </w:p>
        </w:tc>
        <w:tc>
          <w:tcPr>
            <w:tcW w:w="2218" w:type="dxa"/>
            <w:tcBorders>
              <w:top w:val="nil"/>
              <w:bottom w:val="nil"/>
            </w:tcBorders>
            <w:vAlign w:val="center"/>
          </w:tcPr>
          <w:p w14:paraId="1D2CD9D1"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–4·2 (–14·2, 5·</w:t>
            </w:r>
            <w:proofErr w:type="gramStart"/>
            <w:r w:rsidRPr="00CB6EE4">
              <w:rPr>
                <w:rFonts w:ascii="Arial Narrow" w:hAnsi="Arial Narrow"/>
                <w:sz w:val="20"/>
                <w:szCs w:val="20"/>
              </w:rPr>
              <w:t>8)</w:t>
            </w:r>
            <w:r w:rsidRPr="00CB6EE4">
              <w:rPr>
                <w:rFonts w:ascii="Arial Narrow" w:hAnsi="Arial Narrow"/>
                <w:sz w:val="20"/>
                <w:szCs w:val="20"/>
                <w:vertAlign w:val="superscript"/>
              </w:rPr>
              <w:t>b</w:t>
            </w:r>
            <w:proofErr w:type="gramEnd"/>
          </w:p>
        </w:tc>
      </w:tr>
      <w:tr w:rsidR="00A61EFC" w:rsidRPr="00CB6EE4" w14:paraId="71C76AF6" w14:textId="77777777" w:rsidTr="00881C6D">
        <w:tc>
          <w:tcPr>
            <w:tcW w:w="2405" w:type="dxa"/>
            <w:tcBorders>
              <w:top w:val="nil"/>
              <w:bottom w:val="nil"/>
            </w:tcBorders>
          </w:tcPr>
          <w:p w14:paraId="70151E23" w14:textId="56FE3E7F" w:rsidR="00A61EFC" w:rsidRPr="00CB6EE4" w:rsidRDefault="00A61EFC" w:rsidP="00881C6D">
            <w:pPr>
              <w:rPr>
                <w:rFonts w:ascii="Arial Narrow" w:hAnsi="Arial Narrow"/>
                <w:sz w:val="20"/>
                <w:szCs w:val="20"/>
              </w:rPr>
            </w:pPr>
            <w:r w:rsidRPr="00CB6EE4">
              <w:rPr>
                <w:rFonts w:ascii="Arial Narrow" w:hAnsi="Arial Narrow"/>
                <w:sz w:val="20"/>
                <w:szCs w:val="20"/>
              </w:rPr>
              <w:t>TULIP-1 (post-hoc)</w:t>
            </w:r>
            <w:r w:rsidRPr="00CB6EE4">
              <w:rPr>
                <w:rFonts w:ascii="Arial Narrow" w:hAnsi="Arial Narrow"/>
                <w:sz w:val="20"/>
                <w:szCs w:val="20"/>
                <w:vertAlign w:val="superscript"/>
              </w:rPr>
              <w:t xml:space="preserve"> </w:t>
            </w:r>
            <w:proofErr w:type="spellStart"/>
            <w:proofErr w:type="gramStart"/>
            <w:r w:rsidRPr="00CB6EE4">
              <w:rPr>
                <w:rFonts w:ascii="Arial Narrow" w:hAnsi="Arial Narrow"/>
                <w:sz w:val="20"/>
                <w:szCs w:val="20"/>
                <w:vertAlign w:val="superscript"/>
              </w:rPr>
              <w:t>c</w:t>
            </w:r>
            <w:r w:rsidR="008D0A35">
              <w:rPr>
                <w:rFonts w:ascii="Arial Narrow" w:hAnsi="Arial Narrow"/>
                <w:sz w:val="20"/>
                <w:szCs w:val="20"/>
                <w:vertAlign w:val="superscript"/>
              </w:rPr>
              <w:t>,i</w:t>
            </w:r>
            <w:proofErr w:type="spellEnd"/>
            <w:proofErr w:type="gramEnd"/>
          </w:p>
        </w:tc>
        <w:tc>
          <w:tcPr>
            <w:tcW w:w="2204" w:type="dxa"/>
            <w:tcBorders>
              <w:top w:val="nil"/>
              <w:bottom w:val="nil"/>
            </w:tcBorders>
            <w:vAlign w:val="center"/>
          </w:tcPr>
          <w:p w14:paraId="75321508"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84/180 (46.9)</w:t>
            </w:r>
          </w:p>
        </w:tc>
        <w:tc>
          <w:tcPr>
            <w:tcW w:w="2190" w:type="dxa"/>
            <w:tcBorders>
              <w:top w:val="nil"/>
              <w:bottom w:val="nil"/>
            </w:tcBorders>
            <w:vAlign w:val="center"/>
          </w:tcPr>
          <w:p w14:paraId="1D5DB88A"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79/184 (43.0)</w:t>
            </w:r>
          </w:p>
        </w:tc>
        <w:tc>
          <w:tcPr>
            <w:tcW w:w="2218" w:type="dxa"/>
            <w:tcBorders>
              <w:top w:val="nil"/>
              <w:bottom w:val="nil"/>
            </w:tcBorders>
            <w:vAlign w:val="center"/>
          </w:tcPr>
          <w:p w14:paraId="2F7D3783"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3·9 (–6·3, 14·</w:t>
            </w:r>
            <w:proofErr w:type="gramStart"/>
            <w:r w:rsidRPr="00CB6EE4">
              <w:rPr>
                <w:rFonts w:ascii="Arial Narrow" w:hAnsi="Arial Narrow"/>
                <w:sz w:val="20"/>
                <w:szCs w:val="20"/>
              </w:rPr>
              <w:t>1)</w:t>
            </w:r>
            <w:r w:rsidRPr="00CB6EE4">
              <w:rPr>
                <w:rFonts w:ascii="Arial Narrow" w:hAnsi="Arial Narrow"/>
                <w:sz w:val="20"/>
                <w:szCs w:val="20"/>
                <w:vertAlign w:val="superscript"/>
              </w:rPr>
              <w:t>b</w:t>
            </w:r>
            <w:proofErr w:type="gramEnd"/>
          </w:p>
        </w:tc>
      </w:tr>
      <w:tr w:rsidR="00A61EFC" w:rsidRPr="00CB6EE4" w14:paraId="58EFB45B" w14:textId="77777777" w:rsidTr="00881C6D">
        <w:tc>
          <w:tcPr>
            <w:tcW w:w="2405" w:type="dxa"/>
            <w:tcBorders>
              <w:top w:val="nil"/>
              <w:bottom w:val="nil"/>
            </w:tcBorders>
          </w:tcPr>
          <w:p w14:paraId="0A5F5F6C" w14:textId="59642BEB" w:rsidR="00A61EFC" w:rsidRPr="00CB6EE4" w:rsidRDefault="00A61EFC" w:rsidP="00881C6D">
            <w:pPr>
              <w:rPr>
                <w:rFonts w:ascii="Arial Narrow" w:hAnsi="Arial Narrow"/>
                <w:sz w:val="20"/>
                <w:szCs w:val="20"/>
              </w:rPr>
            </w:pPr>
            <w:r w:rsidRPr="00CB6EE4">
              <w:rPr>
                <w:rFonts w:ascii="Arial Narrow" w:hAnsi="Arial Narrow"/>
                <w:sz w:val="20"/>
                <w:szCs w:val="20"/>
              </w:rPr>
              <w:t>TULIP-2</w:t>
            </w:r>
            <w:r w:rsidR="0046558E">
              <w:rPr>
                <w:rFonts w:ascii="Arial Narrow" w:hAnsi="Arial Narrow"/>
                <w:sz w:val="20"/>
                <w:szCs w:val="20"/>
                <w:vertAlign w:val="superscript"/>
              </w:rPr>
              <w:t xml:space="preserve"> </w:t>
            </w:r>
            <w:proofErr w:type="spellStart"/>
            <w:r w:rsidR="0046558E">
              <w:rPr>
                <w:rFonts w:ascii="Arial Narrow" w:hAnsi="Arial Narrow"/>
                <w:sz w:val="20"/>
                <w:szCs w:val="20"/>
                <w:vertAlign w:val="superscript"/>
              </w:rPr>
              <w:t>i</w:t>
            </w:r>
            <w:proofErr w:type="spellEnd"/>
          </w:p>
        </w:tc>
        <w:tc>
          <w:tcPr>
            <w:tcW w:w="2204" w:type="dxa"/>
            <w:tcBorders>
              <w:top w:val="nil"/>
              <w:bottom w:val="nil"/>
            </w:tcBorders>
            <w:vAlign w:val="center"/>
          </w:tcPr>
          <w:p w14:paraId="07DC760C"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100/180 (55.5)</w:t>
            </w:r>
          </w:p>
        </w:tc>
        <w:tc>
          <w:tcPr>
            <w:tcW w:w="2190" w:type="dxa"/>
            <w:tcBorders>
              <w:top w:val="nil"/>
              <w:bottom w:val="nil"/>
            </w:tcBorders>
            <w:vAlign w:val="center"/>
          </w:tcPr>
          <w:p w14:paraId="2FA96C99"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68/182 (37.3)</w:t>
            </w:r>
          </w:p>
        </w:tc>
        <w:tc>
          <w:tcPr>
            <w:tcW w:w="2218" w:type="dxa"/>
            <w:tcBorders>
              <w:top w:val="nil"/>
              <w:bottom w:val="nil"/>
            </w:tcBorders>
            <w:vAlign w:val="center"/>
          </w:tcPr>
          <w:p w14:paraId="11B7F2F1" w14:textId="77777777" w:rsidR="00A61EFC" w:rsidRPr="00CB6EE4" w:rsidRDefault="00A61EFC" w:rsidP="00881C6D">
            <w:pPr>
              <w:jc w:val="center"/>
              <w:rPr>
                <w:rFonts w:ascii="Arial Narrow" w:hAnsi="Arial Narrow"/>
                <w:b/>
                <w:sz w:val="20"/>
                <w:szCs w:val="20"/>
              </w:rPr>
            </w:pPr>
            <w:r w:rsidRPr="00CB6EE4">
              <w:rPr>
                <w:rFonts w:ascii="Arial Narrow" w:hAnsi="Arial Narrow"/>
                <w:b/>
                <w:sz w:val="20"/>
                <w:szCs w:val="20"/>
              </w:rPr>
              <w:t xml:space="preserve">18.2 (8.1, </w:t>
            </w:r>
            <w:proofErr w:type="gramStart"/>
            <w:r w:rsidRPr="00CB6EE4">
              <w:rPr>
                <w:rFonts w:ascii="Arial Narrow" w:hAnsi="Arial Narrow"/>
                <w:b/>
                <w:sz w:val="20"/>
                <w:szCs w:val="20"/>
              </w:rPr>
              <w:t>28.3)</w:t>
            </w:r>
            <w:r w:rsidRPr="00CB6EE4">
              <w:rPr>
                <w:rFonts w:ascii="Arial Narrow" w:hAnsi="Arial Narrow"/>
                <w:b/>
                <w:sz w:val="20"/>
                <w:szCs w:val="20"/>
                <w:vertAlign w:val="superscript"/>
              </w:rPr>
              <w:t>b</w:t>
            </w:r>
            <w:proofErr w:type="gramEnd"/>
          </w:p>
        </w:tc>
      </w:tr>
      <w:tr w:rsidR="00A61EFC" w:rsidRPr="00CB6EE4" w14:paraId="7ADCDBAE" w14:textId="77777777" w:rsidTr="00881C6D">
        <w:tc>
          <w:tcPr>
            <w:tcW w:w="2405" w:type="dxa"/>
            <w:tcBorders>
              <w:top w:val="nil"/>
              <w:bottom w:val="nil"/>
            </w:tcBorders>
          </w:tcPr>
          <w:p w14:paraId="7EE6F8B9" w14:textId="77777777" w:rsidR="00A61EFC" w:rsidRPr="00CB6EE4" w:rsidRDefault="00A61EFC" w:rsidP="00881C6D">
            <w:pPr>
              <w:jc w:val="right"/>
              <w:rPr>
                <w:rFonts w:ascii="Arial Narrow" w:hAnsi="Arial Narrow"/>
                <w:sz w:val="20"/>
                <w:szCs w:val="20"/>
              </w:rPr>
            </w:pPr>
            <w:r w:rsidRPr="00CB6EE4">
              <w:rPr>
                <w:rFonts w:ascii="Arial Narrow" w:hAnsi="Arial Narrow"/>
                <w:sz w:val="20"/>
                <w:szCs w:val="20"/>
              </w:rPr>
              <w:t xml:space="preserve">TULIP 1 &amp; 2 </w:t>
            </w:r>
            <w:proofErr w:type="spellStart"/>
            <w:r w:rsidRPr="00CB6EE4">
              <w:rPr>
                <w:rFonts w:ascii="Arial Narrow" w:hAnsi="Arial Narrow"/>
                <w:sz w:val="20"/>
                <w:szCs w:val="20"/>
              </w:rPr>
              <w:t>pooled</w:t>
            </w:r>
            <w:r w:rsidRPr="00CB6EE4">
              <w:rPr>
                <w:rFonts w:ascii="Arial Narrow" w:hAnsi="Arial Narrow"/>
                <w:sz w:val="20"/>
                <w:szCs w:val="20"/>
                <w:vertAlign w:val="superscript"/>
              </w:rPr>
              <w:t>d</w:t>
            </w:r>
            <w:proofErr w:type="spellEnd"/>
          </w:p>
        </w:tc>
        <w:tc>
          <w:tcPr>
            <w:tcW w:w="2204" w:type="dxa"/>
            <w:tcBorders>
              <w:top w:val="nil"/>
              <w:bottom w:val="nil"/>
            </w:tcBorders>
            <w:vAlign w:val="center"/>
          </w:tcPr>
          <w:p w14:paraId="7DE0C019"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184/360 (52.2)</w:t>
            </w:r>
          </w:p>
        </w:tc>
        <w:tc>
          <w:tcPr>
            <w:tcW w:w="2190" w:type="dxa"/>
            <w:tcBorders>
              <w:top w:val="nil"/>
              <w:bottom w:val="nil"/>
            </w:tcBorders>
            <w:vAlign w:val="center"/>
          </w:tcPr>
          <w:p w14:paraId="323678B1"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147/366 (40.2)</w:t>
            </w:r>
          </w:p>
        </w:tc>
        <w:tc>
          <w:tcPr>
            <w:tcW w:w="2218" w:type="dxa"/>
            <w:tcBorders>
              <w:top w:val="nil"/>
              <w:bottom w:val="nil"/>
            </w:tcBorders>
            <w:vAlign w:val="center"/>
          </w:tcPr>
          <w:p w14:paraId="6EC0F0A5" w14:textId="77777777" w:rsidR="00A61EFC" w:rsidRPr="00CB6EE4" w:rsidRDefault="00A61EFC" w:rsidP="00881C6D">
            <w:pPr>
              <w:jc w:val="center"/>
              <w:rPr>
                <w:rFonts w:ascii="Arial Narrow" w:hAnsi="Arial Narrow"/>
                <w:b/>
                <w:sz w:val="20"/>
                <w:szCs w:val="20"/>
              </w:rPr>
            </w:pPr>
            <w:r w:rsidRPr="00CB6EE4">
              <w:rPr>
                <w:rFonts w:ascii="Arial Narrow" w:hAnsi="Arial Narrow"/>
                <w:b/>
                <w:sz w:val="20"/>
                <w:szCs w:val="20"/>
              </w:rPr>
              <w:t xml:space="preserve">12.1 (4.9, </w:t>
            </w:r>
            <w:proofErr w:type="gramStart"/>
            <w:r w:rsidRPr="00CB6EE4">
              <w:rPr>
                <w:rFonts w:ascii="Arial Narrow" w:hAnsi="Arial Narrow"/>
                <w:b/>
                <w:sz w:val="20"/>
                <w:szCs w:val="20"/>
              </w:rPr>
              <w:t>19.3)</w:t>
            </w:r>
            <w:r w:rsidRPr="00CB6EE4">
              <w:rPr>
                <w:rFonts w:ascii="Arial Narrow" w:hAnsi="Arial Narrow"/>
                <w:b/>
                <w:sz w:val="20"/>
                <w:szCs w:val="20"/>
                <w:vertAlign w:val="superscript"/>
              </w:rPr>
              <w:t>e</w:t>
            </w:r>
            <w:proofErr w:type="gramEnd"/>
          </w:p>
        </w:tc>
      </w:tr>
      <w:tr w:rsidR="00A61EFC" w:rsidRPr="00CB6EE4" w14:paraId="5D6F7354" w14:textId="77777777" w:rsidTr="00881C6D">
        <w:tc>
          <w:tcPr>
            <w:tcW w:w="2405" w:type="dxa"/>
            <w:tcBorders>
              <w:top w:val="nil"/>
              <w:bottom w:val="nil"/>
            </w:tcBorders>
          </w:tcPr>
          <w:p w14:paraId="05E4983A" w14:textId="77777777" w:rsidR="00A61EFC" w:rsidRPr="00CB6EE4" w:rsidRDefault="00A61EFC" w:rsidP="00881C6D">
            <w:pPr>
              <w:rPr>
                <w:rFonts w:ascii="Arial Narrow" w:hAnsi="Arial Narrow"/>
                <w:sz w:val="20"/>
                <w:szCs w:val="20"/>
              </w:rPr>
            </w:pPr>
            <w:r w:rsidRPr="00CB6EE4">
              <w:rPr>
                <w:rFonts w:ascii="Arial Narrow" w:hAnsi="Arial Narrow"/>
                <w:sz w:val="20"/>
                <w:szCs w:val="20"/>
              </w:rPr>
              <w:t>MUSE (incl. OCS taper)</w:t>
            </w:r>
          </w:p>
        </w:tc>
        <w:tc>
          <w:tcPr>
            <w:tcW w:w="2204" w:type="dxa"/>
            <w:tcBorders>
              <w:top w:val="nil"/>
              <w:bottom w:val="nil"/>
            </w:tcBorders>
            <w:vAlign w:val="center"/>
          </w:tcPr>
          <w:p w14:paraId="2DB09FD8"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51/99 (51.5)</w:t>
            </w:r>
          </w:p>
        </w:tc>
        <w:tc>
          <w:tcPr>
            <w:tcW w:w="2190" w:type="dxa"/>
            <w:tcBorders>
              <w:top w:val="nil"/>
              <w:bottom w:val="nil"/>
            </w:tcBorders>
            <w:vAlign w:val="center"/>
          </w:tcPr>
          <w:p w14:paraId="6BF0F2D7"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26/102 (25.5)</w:t>
            </w:r>
          </w:p>
        </w:tc>
        <w:tc>
          <w:tcPr>
            <w:tcW w:w="2218" w:type="dxa"/>
            <w:tcBorders>
              <w:top w:val="nil"/>
              <w:bottom w:val="nil"/>
            </w:tcBorders>
            <w:vAlign w:val="center"/>
          </w:tcPr>
          <w:p w14:paraId="15A105FD" w14:textId="77777777" w:rsidR="00A61EFC" w:rsidRPr="00CB6EE4" w:rsidRDefault="00A61EFC" w:rsidP="00881C6D">
            <w:pPr>
              <w:jc w:val="center"/>
              <w:rPr>
                <w:rFonts w:ascii="Arial Narrow" w:hAnsi="Arial Narrow"/>
                <w:b/>
                <w:sz w:val="20"/>
                <w:szCs w:val="20"/>
              </w:rPr>
            </w:pPr>
            <w:r w:rsidRPr="00CB6EE4">
              <w:rPr>
                <w:rFonts w:ascii="Arial Narrow" w:hAnsi="Arial Narrow"/>
                <w:b/>
                <w:sz w:val="20"/>
                <w:szCs w:val="20"/>
              </w:rPr>
              <w:t xml:space="preserve">26 (13, </w:t>
            </w:r>
            <w:proofErr w:type="gramStart"/>
            <w:r w:rsidRPr="00CB6EE4">
              <w:rPr>
                <w:rFonts w:ascii="Arial Narrow" w:hAnsi="Arial Narrow"/>
                <w:b/>
                <w:sz w:val="20"/>
                <w:szCs w:val="20"/>
              </w:rPr>
              <w:t>39)</w:t>
            </w:r>
            <w:r w:rsidRPr="00CB6EE4">
              <w:rPr>
                <w:rFonts w:ascii="Arial Narrow" w:hAnsi="Arial Narrow"/>
                <w:b/>
                <w:sz w:val="20"/>
                <w:szCs w:val="20"/>
                <w:vertAlign w:val="superscript"/>
              </w:rPr>
              <w:t>f</w:t>
            </w:r>
            <w:proofErr w:type="gramEnd"/>
          </w:p>
        </w:tc>
      </w:tr>
      <w:tr w:rsidR="00A61EFC" w:rsidRPr="00CB6EE4" w14:paraId="073D1A7C" w14:textId="77777777" w:rsidTr="00881C6D">
        <w:tc>
          <w:tcPr>
            <w:tcW w:w="2405" w:type="dxa"/>
            <w:tcBorders>
              <w:top w:val="nil"/>
              <w:bottom w:val="single" w:sz="4" w:space="0" w:color="auto"/>
            </w:tcBorders>
          </w:tcPr>
          <w:p w14:paraId="17A8551B" w14:textId="77777777" w:rsidR="00A61EFC" w:rsidRPr="00CB6EE4" w:rsidRDefault="00A61EFC" w:rsidP="00881C6D">
            <w:pPr>
              <w:rPr>
                <w:rFonts w:ascii="Arial Narrow" w:hAnsi="Arial Narrow"/>
                <w:sz w:val="20"/>
                <w:szCs w:val="20"/>
              </w:rPr>
            </w:pPr>
            <w:r w:rsidRPr="00CB6EE4">
              <w:rPr>
                <w:rFonts w:ascii="Arial Narrow" w:hAnsi="Arial Narrow"/>
                <w:sz w:val="20"/>
                <w:szCs w:val="20"/>
              </w:rPr>
              <w:t>MUSE (excl. OCS taper)</w:t>
            </w:r>
          </w:p>
        </w:tc>
        <w:tc>
          <w:tcPr>
            <w:tcW w:w="2204" w:type="dxa"/>
            <w:tcBorders>
              <w:top w:val="nil"/>
              <w:bottom w:val="single" w:sz="4" w:space="0" w:color="auto"/>
            </w:tcBorders>
            <w:vAlign w:val="center"/>
          </w:tcPr>
          <w:p w14:paraId="2FD59C64"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62/99 (62.6)</w:t>
            </w:r>
          </w:p>
        </w:tc>
        <w:tc>
          <w:tcPr>
            <w:tcW w:w="2190" w:type="dxa"/>
            <w:tcBorders>
              <w:top w:val="nil"/>
              <w:bottom w:val="single" w:sz="4" w:space="0" w:color="auto"/>
            </w:tcBorders>
            <w:vAlign w:val="center"/>
          </w:tcPr>
          <w:p w14:paraId="30DD68EB"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41/102 (40.2)</w:t>
            </w:r>
          </w:p>
        </w:tc>
        <w:tc>
          <w:tcPr>
            <w:tcW w:w="2218" w:type="dxa"/>
            <w:tcBorders>
              <w:top w:val="nil"/>
              <w:bottom w:val="single" w:sz="4" w:space="0" w:color="auto"/>
            </w:tcBorders>
            <w:vAlign w:val="center"/>
          </w:tcPr>
          <w:p w14:paraId="390EC8E0" w14:textId="77777777" w:rsidR="00A61EFC" w:rsidRPr="00CB6EE4" w:rsidRDefault="00A61EFC" w:rsidP="00881C6D">
            <w:pPr>
              <w:jc w:val="center"/>
              <w:rPr>
                <w:rFonts w:ascii="Arial Narrow" w:hAnsi="Arial Narrow"/>
                <w:b/>
                <w:sz w:val="20"/>
                <w:szCs w:val="20"/>
              </w:rPr>
            </w:pPr>
            <w:r w:rsidRPr="00CB6EE4">
              <w:rPr>
                <w:rFonts w:ascii="Arial Narrow" w:hAnsi="Arial Narrow"/>
                <w:b/>
                <w:sz w:val="20"/>
                <w:szCs w:val="20"/>
              </w:rPr>
              <w:t xml:space="preserve">22 (9, </w:t>
            </w:r>
            <w:proofErr w:type="gramStart"/>
            <w:r w:rsidRPr="00CB6EE4">
              <w:rPr>
                <w:rFonts w:ascii="Arial Narrow" w:hAnsi="Arial Narrow"/>
                <w:b/>
                <w:sz w:val="20"/>
                <w:szCs w:val="20"/>
              </w:rPr>
              <w:t>36)</w:t>
            </w:r>
            <w:r w:rsidRPr="00CB6EE4">
              <w:rPr>
                <w:rFonts w:ascii="Arial Narrow" w:hAnsi="Arial Narrow"/>
                <w:b/>
                <w:sz w:val="20"/>
                <w:szCs w:val="20"/>
                <w:vertAlign w:val="superscript"/>
              </w:rPr>
              <w:t>f</w:t>
            </w:r>
            <w:proofErr w:type="gramEnd"/>
          </w:p>
        </w:tc>
      </w:tr>
      <w:tr w:rsidR="00A61EFC" w:rsidRPr="00CB6EE4" w14:paraId="4DAF5D74" w14:textId="77777777" w:rsidTr="002A2760">
        <w:tc>
          <w:tcPr>
            <w:tcW w:w="9017" w:type="dxa"/>
            <w:gridSpan w:val="4"/>
            <w:tcBorders>
              <w:bottom w:val="nil"/>
            </w:tcBorders>
            <w:shd w:val="clear" w:color="auto" w:fill="D9D9D9" w:themeFill="background1" w:themeFillShade="D9"/>
            <w:vAlign w:val="center"/>
          </w:tcPr>
          <w:p w14:paraId="4E2DCA1B" w14:textId="77777777" w:rsidR="00A61EFC" w:rsidRPr="00CB6EE4" w:rsidRDefault="00A61EFC" w:rsidP="00881C6D">
            <w:pPr>
              <w:ind w:left="104"/>
              <w:jc w:val="left"/>
              <w:rPr>
                <w:rFonts w:ascii="Arial Narrow" w:hAnsi="Arial Narrow"/>
                <w:b/>
                <w:sz w:val="20"/>
                <w:szCs w:val="20"/>
              </w:rPr>
            </w:pPr>
            <w:r w:rsidRPr="00CB6EE4">
              <w:rPr>
                <w:rFonts w:ascii="Arial Narrow" w:hAnsi="Arial Narrow"/>
                <w:b/>
                <w:sz w:val="20"/>
                <w:szCs w:val="20"/>
              </w:rPr>
              <w:t>≥</w:t>
            </w:r>
            <w:proofErr w:type="gramStart"/>
            <w:r w:rsidRPr="00CB6EE4">
              <w:rPr>
                <w:rFonts w:ascii="Arial Narrow" w:hAnsi="Arial Narrow"/>
                <w:b/>
                <w:sz w:val="20"/>
                <w:szCs w:val="20"/>
              </w:rPr>
              <w:t>4 point</w:t>
            </w:r>
            <w:proofErr w:type="gramEnd"/>
            <w:r w:rsidRPr="00CB6EE4">
              <w:rPr>
                <w:rFonts w:ascii="Arial Narrow" w:hAnsi="Arial Narrow"/>
                <w:b/>
                <w:sz w:val="20"/>
                <w:szCs w:val="20"/>
              </w:rPr>
              <w:t xml:space="preserve"> reduction from baseline in SLEDAI-2K</w:t>
            </w:r>
          </w:p>
        </w:tc>
      </w:tr>
      <w:tr w:rsidR="00A61EFC" w:rsidRPr="00CB6EE4" w14:paraId="26513F76" w14:textId="77777777" w:rsidTr="00881C6D">
        <w:tc>
          <w:tcPr>
            <w:tcW w:w="2405" w:type="dxa"/>
            <w:tcBorders>
              <w:top w:val="nil"/>
              <w:bottom w:val="nil"/>
            </w:tcBorders>
          </w:tcPr>
          <w:p w14:paraId="5BA0F757" w14:textId="77777777" w:rsidR="00A61EFC" w:rsidRPr="00CB6EE4" w:rsidRDefault="00A61EFC" w:rsidP="00881C6D">
            <w:pPr>
              <w:ind w:left="104"/>
              <w:rPr>
                <w:rFonts w:ascii="Arial Narrow" w:hAnsi="Arial Narrow"/>
                <w:sz w:val="20"/>
                <w:szCs w:val="20"/>
              </w:rPr>
            </w:pPr>
            <w:r w:rsidRPr="00CB6EE4">
              <w:rPr>
                <w:rFonts w:ascii="Arial Narrow" w:hAnsi="Arial Narrow"/>
                <w:sz w:val="20"/>
                <w:szCs w:val="20"/>
              </w:rPr>
              <w:t>TULIP-1 (pre-specified)</w:t>
            </w:r>
            <w:r w:rsidRPr="00CB6EE4">
              <w:rPr>
                <w:rFonts w:ascii="Arial Narrow" w:hAnsi="Arial Narrow"/>
                <w:sz w:val="20"/>
                <w:szCs w:val="20"/>
                <w:vertAlign w:val="superscript"/>
              </w:rPr>
              <w:t xml:space="preserve"> a</w:t>
            </w:r>
          </w:p>
        </w:tc>
        <w:tc>
          <w:tcPr>
            <w:tcW w:w="2204" w:type="dxa"/>
            <w:tcBorders>
              <w:top w:val="nil"/>
              <w:bottom w:val="nil"/>
            </w:tcBorders>
            <w:vAlign w:val="center"/>
          </w:tcPr>
          <w:p w14:paraId="493DBA64"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66/180 (36.7)</w:t>
            </w:r>
          </w:p>
        </w:tc>
        <w:tc>
          <w:tcPr>
            <w:tcW w:w="2190" w:type="dxa"/>
            <w:tcBorders>
              <w:top w:val="nil"/>
              <w:bottom w:val="nil"/>
            </w:tcBorders>
            <w:vAlign w:val="center"/>
          </w:tcPr>
          <w:p w14:paraId="60247CD9"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75/184 (40.8)</w:t>
            </w:r>
          </w:p>
        </w:tc>
        <w:tc>
          <w:tcPr>
            <w:tcW w:w="2218" w:type="dxa"/>
            <w:tcBorders>
              <w:top w:val="nil"/>
              <w:bottom w:val="nil"/>
            </w:tcBorders>
            <w:vAlign w:val="center"/>
          </w:tcPr>
          <w:p w14:paraId="72D66799"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-4 (-14, 6)</w:t>
            </w:r>
          </w:p>
        </w:tc>
      </w:tr>
      <w:tr w:rsidR="00A61EFC" w:rsidRPr="00CB6EE4" w14:paraId="65194414" w14:textId="77777777" w:rsidTr="00881C6D">
        <w:tc>
          <w:tcPr>
            <w:tcW w:w="2405" w:type="dxa"/>
            <w:tcBorders>
              <w:top w:val="nil"/>
              <w:bottom w:val="nil"/>
            </w:tcBorders>
          </w:tcPr>
          <w:p w14:paraId="15FC547B" w14:textId="77777777" w:rsidR="00A61EFC" w:rsidRPr="00CB6EE4" w:rsidRDefault="00A61EFC" w:rsidP="00881C6D">
            <w:pPr>
              <w:ind w:left="104"/>
              <w:rPr>
                <w:rFonts w:ascii="Arial Narrow" w:hAnsi="Arial Narrow"/>
                <w:sz w:val="20"/>
                <w:szCs w:val="20"/>
              </w:rPr>
            </w:pPr>
            <w:r w:rsidRPr="00CB6EE4">
              <w:rPr>
                <w:rFonts w:ascii="Arial Narrow" w:hAnsi="Arial Narrow"/>
                <w:sz w:val="20"/>
                <w:szCs w:val="20"/>
              </w:rPr>
              <w:t>TULIP-1 (post-hoc)</w:t>
            </w:r>
            <w:r w:rsidRPr="00CB6EE4">
              <w:rPr>
                <w:rFonts w:ascii="Arial Narrow" w:hAnsi="Arial Narrow"/>
                <w:sz w:val="20"/>
                <w:szCs w:val="20"/>
                <w:vertAlign w:val="superscript"/>
              </w:rPr>
              <w:t xml:space="preserve"> c</w:t>
            </w:r>
          </w:p>
        </w:tc>
        <w:tc>
          <w:tcPr>
            <w:tcW w:w="2204" w:type="dxa"/>
            <w:tcBorders>
              <w:top w:val="nil"/>
              <w:bottom w:val="nil"/>
            </w:tcBorders>
            <w:vAlign w:val="center"/>
          </w:tcPr>
          <w:p w14:paraId="0C41B885"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85/180 (47.2)</w:t>
            </w:r>
          </w:p>
        </w:tc>
        <w:tc>
          <w:tcPr>
            <w:tcW w:w="2190" w:type="dxa"/>
            <w:tcBorders>
              <w:top w:val="nil"/>
              <w:bottom w:val="nil"/>
            </w:tcBorders>
            <w:vAlign w:val="center"/>
          </w:tcPr>
          <w:p w14:paraId="505084E2"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80/184 (43.5)</w:t>
            </w:r>
          </w:p>
        </w:tc>
        <w:tc>
          <w:tcPr>
            <w:tcW w:w="2218" w:type="dxa"/>
            <w:tcBorders>
              <w:top w:val="nil"/>
              <w:bottom w:val="nil"/>
            </w:tcBorders>
            <w:vAlign w:val="center"/>
          </w:tcPr>
          <w:p w14:paraId="3C069F47"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4 (-6, 14)</w:t>
            </w:r>
          </w:p>
        </w:tc>
      </w:tr>
      <w:tr w:rsidR="00A61EFC" w:rsidRPr="00CB6EE4" w14:paraId="13AFC8C1" w14:textId="77777777" w:rsidTr="00881C6D">
        <w:tc>
          <w:tcPr>
            <w:tcW w:w="2405" w:type="dxa"/>
            <w:tcBorders>
              <w:top w:val="nil"/>
              <w:bottom w:val="nil"/>
            </w:tcBorders>
          </w:tcPr>
          <w:p w14:paraId="15559294" w14:textId="77777777" w:rsidR="00A61EFC" w:rsidRPr="00CB6EE4" w:rsidRDefault="00A61EFC" w:rsidP="00881C6D">
            <w:pPr>
              <w:ind w:left="104"/>
              <w:rPr>
                <w:rFonts w:ascii="Arial Narrow" w:hAnsi="Arial Narrow"/>
                <w:sz w:val="20"/>
                <w:szCs w:val="20"/>
              </w:rPr>
            </w:pPr>
            <w:r w:rsidRPr="00CB6EE4">
              <w:rPr>
                <w:rFonts w:ascii="Arial Narrow" w:hAnsi="Arial Narrow"/>
                <w:sz w:val="20"/>
                <w:szCs w:val="20"/>
              </w:rPr>
              <w:t>TULIP-2</w:t>
            </w:r>
          </w:p>
        </w:tc>
        <w:tc>
          <w:tcPr>
            <w:tcW w:w="2204" w:type="dxa"/>
            <w:tcBorders>
              <w:top w:val="nil"/>
              <w:bottom w:val="nil"/>
            </w:tcBorders>
            <w:vAlign w:val="center"/>
          </w:tcPr>
          <w:p w14:paraId="0EE4ED0B"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101/180 (56.1)</w:t>
            </w:r>
          </w:p>
        </w:tc>
        <w:tc>
          <w:tcPr>
            <w:tcW w:w="2190" w:type="dxa"/>
            <w:tcBorders>
              <w:top w:val="nil"/>
              <w:bottom w:val="nil"/>
            </w:tcBorders>
            <w:vAlign w:val="center"/>
          </w:tcPr>
          <w:p w14:paraId="7F667817"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71/182 (39.0)</w:t>
            </w:r>
          </w:p>
        </w:tc>
        <w:tc>
          <w:tcPr>
            <w:tcW w:w="2218" w:type="dxa"/>
            <w:tcBorders>
              <w:top w:val="nil"/>
              <w:bottom w:val="nil"/>
            </w:tcBorders>
            <w:vAlign w:val="center"/>
          </w:tcPr>
          <w:p w14:paraId="1919F3EF" w14:textId="77777777" w:rsidR="00A61EFC" w:rsidRPr="00CB6EE4" w:rsidRDefault="00A61EFC" w:rsidP="00881C6D">
            <w:pPr>
              <w:jc w:val="center"/>
              <w:rPr>
                <w:rFonts w:ascii="Arial Narrow" w:hAnsi="Arial Narrow"/>
                <w:b/>
                <w:sz w:val="20"/>
                <w:szCs w:val="20"/>
              </w:rPr>
            </w:pPr>
            <w:r w:rsidRPr="00CB6EE4">
              <w:rPr>
                <w:rFonts w:ascii="Arial Narrow" w:hAnsi="Arial Narrow"/>
                <w:b/>
                <w:sz w:val="20"/>
                <w:szCs w:val="20"/>
              </w:rPr>
              <w:t>17 (7, 27)</w:t>
            </w:r>
          </w:p>
        </w:tc>
      </w:tr>
      <w:tr w:rsidR="00A61EFC" w:rsidRPr="00CB6EE4" w14:paraId="4E28D478" w14:textId="77777777" w:rsidTr="00881C6D">
        <w:tc>
          <w:tcPr>
            <w:tcW w:w="2405" w:type="dxa"/>
            <w:tcBorders>
              <w:top w:val="nil"/>
              <w:bottom w:val="nil"/>
            </w:tcBorders>
          </w:tcPr>
          <w:p w14:paraId="59B55F0A" w14:textId="77777777" w:rsidR="00A61EFC" w:rsidRPr="00CB6EE4" w:rsidRDefault="00A61EFC" w:rsidP="00881C6D">
            <w:pPr>
              <w:ind w:left="104"/>
              <w:jc w:val="right"/>
              <w:rPr>
                <w:rFonts w:ascii="Arial Narrow" w:hAnsi="Arial Narrow"/>
                <w:sz w:val="20"/>
                <w:szCs w:val="20"/>
              </w:rPr>
            </w:pPr>
            <w:r w:rsidRPr="00CB6EE4">
              <w:rPr>
                <w:rFonts w:ascii="Arial Narrow" w:hAnsi="Arial Narrow"/>
                <w:sz w:val="20"/>
                <w:szCs w:val="20"/>
              </w:rPr>
              <w:t xml:space="preserve">TULIP 1 &amp; 2 </w:t>
            </w:r>
            <w:proofErr w:type="spellStart"/>
            <w:r w:rsidRPr="00CB6EE4">
              <w:rPr>
                <w:rFonts w:ascii="Arial Narrow" w:hAnsi="Arial Narrow"/>
                <w:sz w:val="20"/>
                <w:szCs w:val="20"/>
              </w:rPr>
              <w:t>pooled</w:t>
            </w:r>
            <w:r w:rsidRPr="00CB6EE4">
              <w:rPr>
                <w:rFonts w:ascii="Arial Narrow" w:hAnsi="Arial Narrow"/>
                <w:sz w:val="20"/>
                <w:szCs w:val="20"/>
                <w:vertAlign w:val="superscript"/>
              </w:rPr>
              <w:t>d</w:t>
            </w:r>
            <w:proofErr w:type="spellEnd"/>
          </w:p>
        </w:tc>
        <w:tc>
          <w:tcPr>
            <w:tcW w:w="2204" w:type="dxa"/>
            <w:tcBorders>
              <w:top w:val="nil"/>
              <w:bottom w:val="nil"/>
            </w:tcBorders>
            <w:vAlign w:val="center"/>
          </w:tcPr>
          <w:p w14:paraId="1E0BF50D"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186/360 (51.7)</w:t>
            </w:r>
          </w:p>
        </w:tc>
        <w:tc>
          <w:tcPr>
            <w:tcW w:w="2190" w:type="dxa"/>
            <w:tcBorders>
              <w:top w:val="nil"/>
              <w:bottom w:val="nil"/>
            </w:tcBorders>
            <w:vAlign w:val="center"/>
          </w:tcPr>
          <w:p w14:paraId="4BC4B536"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151/366 (41.3)</w:t>
            </w:r>
          </w:p>
        </w:tc>
        <w:tc>
          <w:tcPr>
            <w:tcW w:w="2218" w:type="dxa"/>
            <w:tcBorders>
              <w:top w:val="nil"/>
              <w:bottom w:val="nil"/>
            </w:tcBorders>
            <w:vAlign w:val="center"/>
          </w:tcPr>
          <w:p w14:paraId="5468A904" w14:textId="77777777" w:rsidR="00A61EFC" w:rsidRPr="00CB6EE4" w:rsidRDefault="00A61EFC" w:rsidP="00881C6D">
            <w:pPr>
              <w:jc w:val="center"/>
              <w:rPr>
                <w:rFonts w:ascii="Arial Narrow" w:hAnsi="Arial Narrow"/>
                <w:sz w:val="20"/>
                <w:szCs w:val="20"/>
              </w:rPr>
            </w:pPr>
            <w:r w:rsidRPr="00CB6EE4">
              <w:rPr>
                <w:rFonts w:ascii="Arial Narrow" w:hAnsi="Arial Narrow"/>
                <w:b/>
                <w:sz w:val="20"/>
                <w:szCs w:val="20"/>
              </w:rPr>
              <w:t>10 (3, 18)</w:t>
            </w:r>
          </w:p>
        </w:tc>
      </w:tr>
      <w:tr w:rsidR="00A61EFC" w:rsidRPr="00CB6EE4" w14:paraId="599DF235" w14:textId="77777777" w:rsidTr="00881C6D">
        <w:tc>
          <w:tcPr>
            <w:tcW w:w="2405" w:type="dxa"/>
            <w:tcBorders>
              <w:top w:val="nil"/>
              <w:bottom w:val="single" w:sz="4" w:space="0" w:color="auto"/>
            </w:tcBorders>
          </w:tcPr>
          <w:p w14:paraId="0F6BED84" w14:textId="77777777" w:rsidR="00A61EFC" w:rsidRPr="00CB6EE4" w:rsidRDefault="00A61EFC" w:rsidP="00881C6D">
            <w:pPr>
              <w:ind w:left="104"/>
              <w:rPr>
                <w:rFonts w:ascii="Arial Narrow" w:hAnsi="Arial Narrow"/>
                <w:sz w:val="20"/>
                <w:szCs w:val="20"/>
              </w:rPr>
            </w:pPr>
            <w:r w:rsidRPr="00CB6EE4">
              <w:rPr>
                <w:rFonts w:ascii="Arial Narrow" w:hAnsi="Arial Narrow"/>
                <w:sz w:val="20"/>
                <w:szCs w:val="20"/>
              </w:rPr>
              <w:t>MUSE</w:t>
            </w:r>
          </w:p>
        </w:tc>
        <w:tc>
          <w:tcPr>
            <w:tcW w:w="2204" w:type="dxa"/>
            <w:tcBorders>
              <w:top w:val="nil"/>
              <w:bottom w:val="single" w:sz="4" w:space="0" w:color="auto"/>
            </w:tcBorders>
            <w:vAlign w:val="center"/>
          </w:tcPr>
          <w:p w14:paraId="3A83A656"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62/99 (62.6)</w:t>
            </w:r>
          </w:p>
        </w:tc>
        <w:tc>
          <w:tcPr>
            <w:tcW w:w="2190" w:type="dxa"/>
            <w:tcBorders>
              <w:top w:val="nil"/>
              <w:bottom w:val="single" w:sz="4" w:space="0" w:color="auto"/>
            </w:tcBorders>
            <w:vAlign w:val="center"/>
          </w:tcPr>
          <w:p w14:paraId="679112B9"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40/102 (40.2)</w:t>
            </w:r>
          </w:p>
        </w:tc>
        <w:tc>
          <w:tcPr>
            <w:tcW w:w="2218" w:type="dxa"/>
            <w:tcBorders>
              <w:top w:val="nil"/>
              <w:bottom w:val="single" w:sz="4" w:space="0" w:color="auto"/>
            </w:tcBorders>
            <w:vAlign w:val="center"/>
          </w:tcPr>
          <w:p w14:paraId="4388291C" w14:textId="77777777" w:rsidR="00A61EFC" w:rsidRPr="00CB6EE4" w:rsidRDefault="00A61EFC" w:rsidP="00881C6D">
            <w:pPr>
              <w:jc w:val="center"/>
              <w:rPr>
                <w:rFonts w:ascii="Arial Narrow" w:hAnsi="Arial Narrow"/>
                <w:b/>
                <w:sz w:val="20"/>
                <w:szCs w:val="20"/>
              </w:rPr>
            </w:pPr>
            <w:r w:rsidRPr="00CB6EE4">
              <w:rPr>
                <w:rFonts w:ascii="Arial Narrow" w:hAnsi="Arial Narrow"/>
                <w:b/>
                <w:sz w:val="20"/>
                <w:szCs w:val="20"/>
              </w:rPr>
              <w:t>23 (10, 37)</w:t>
            </w:r>
          </w:p>
        </w:tc>
      </w:tr>
      <w:tr w:rsidR="00A61EFC" w:rsidRPr="00CB6EE4" w14:paraId="12699D7C" w14:textId="77777777" w:rsidTr="002A2760">
        <w:tc>
          <w:tcPr>
            <w:tcW w:w="9017" w:type="dxa"/>
            <w:gridSpan w:val="4"/>
            <w:tcBorders>
              <w:bottom w:val="nil"/>
            </w:tcBorders>
            <w:shd w:val="clear" w:color="auto" w:fill="D9D9D9" w:themeFill="background1" w:themeFillShade="D9"/>
            <w:vAlign w:val="center"/>
          </w:tcPr>
          <w:p w14:paraId="1B61CFB2" w14:textId="77777777" w:rsidR="00A61EFC" w:rsidRPr="00CB6EE4" w:rsidRDefault="00A61EFC" w:rsidP="00834826">
            <w:pPr>
              <w:keepNext/>
              <w:keepLines/>
              <w:ind w:left="102"/>
              <w:jc w:val="left"/>
              <w:rPr>
                <w:rFonts w:ascii="Arial Narrow" w:hAnsi="Arial Narrow"/>
                <w:b/>
                <w:sz w:val="20"/>
                <w:szCs w:val="20"/>
              </w:rPr>
            </w:pPr>
            <w:r w:rsidRPr="00CB6EE4">
              <w:rPr>
                <w:rFonts w:ascii="Arial Narrow" w:hAnsi="Arial Narrow"/>
                <w:b/>
                <w:sz w:val="20"/>
                <w:szCs w:val="20"/>
              </w:rPr>
              <w:t>No worsening (increase of &lt;0.30 points from baseline) in PGA</w:t>
            </w:r>
          </w:p>
        </w:tc>
      </w:tr>
      <w:tr w:rsidR="00A61EFC" w:rsidRPr="00CB6EE4" w14:paraId="0D061877" w14:textId="77777777" w:rsidTr="00881C6D">
        <w:tc>
          <w:tcPr>
            <w:tcW w:w="2405" w:type="dxa"/>
            <w:tcBorders>
              <w:top w:val="nil"/>
              <w:bottom w:val="nil"/>
            </w:tcBorders>
          </w:tcPr>
          <w:p w14:paraId="78CB4BE6" w14:textId="77777777" w:rsidR="00A61EFC" w:rsidRPr="00CB6EE4" w:rsidRDefault="00A61EFC" w:rsidP="00834826">
            <w:pPr>
              <w:keepNext/>
              <w:keepLines/>
              <w:ind w:left="102"/>
              <w:rPr>
                <w:rFonts w:ascii="Arial Narrow" w:hAnsi="Arial Narrow"/>
                <w:sz w:val="20"/>
                <w:szCs w:val="20"/>
              </w:rPr>
            </w:pPr>
            <w:r w:rsidRPr="00CB6EE4">
              <w:rPr>
                <w:rFonts w:ascii="Arial Narrow" w:hAnsi="Arial Narrow"/>
                <w:sz w:val="20"/>
                <w:szCs w:val="20"/>
              </w:rPr>
              <w:t>TULIP-1 (pre-specified)</w:t>
            </w:r>
            <w:r w:rsidRPr="00CB6EE4">
              <w:rPr>
                <w:rFonts w:ascii="Arial Narrow" w:hAnsi="Arial Narrow"/>
                <w:sz w:val="20"/>
                <w:szCs w:val="20"/>
                <w:vertAlign w:val="superscript"/>
              </w:rPr>
              <w:t xml:space="preserve"> a</w:t>
            </w:r>
          </w:p>
        </w:tc>
        <w:tc>
          <w:tcPr>
            <w:tcW w:w="2204" w:type="dxa"/>
            <w:tcBorders>
              <w:top w:val="nil"/>
              <w:bottom w:val="nil"/>
            </w:tcBorders>
            <w:vAlign w:val="center"/>
          </w:tcPr>
          <w:p w14:paraId="2A2BBD0D" w14:textId="77777777" w:rsidR="00A61EFC" w:rsidRPr="00CB6EE4" w:rsidRDefault="00A61EFC" w:rsidP="00834826">
            <w:pPr>
              <w:keepNext/>
              <w:keepLines/>
              <w:ind w:left="102"/>
              <w:jc w:val="center"/>
              <w:rPr>
                <w:rFonts w:ascii="Arial Narrow" w:hAnsi="Arial Narrow"/>
                <w:sz w:val="20"/>
                <w:szCs w:val="20"/>
              </w:rPr>
            </w:pPr>
            <w:r w:rsidRPr="00CB6EE4">
              <w:rPr>
                <w:rFonts w:ascii="Arial Narrow" w:hAnsi="Arial Narrow"/>
                <w:sz w:val="20"/>
                <w:szCs w:val="20"/>
              </w:rPr>
              <w:t>94/180 (52.2)</w:t>
            </w:r>
          </w:p>
        </w:tc>
        <w:tc>
          <w:tcPr>
            <w:tcW w:w="2190" w:type="dxa"/>
            <w:tcBorders>
              <w:top w:val="nil"/>
              <w:bottom w:val="nil"/>
            </w:tcBorders>
            <w:vAlign w:val="center"/>
          </w:tcPr>
          <w:p w14:paraId="6B00775C" w14:textId="77777777" w:rsidR="00A61EFC" w:rsidRPr="00CB6EE4" w:rsidRDefault="00A61EFC" w:rsidP="00834826">
            <w:pPr>
              <w:keepNext/>
              <w:keepLines/>
              <w:ind w:left="102"/>
              <w:jc w:val="center"/>
              <w:rPr>
                <w:rFonts w:ascii="Arial Narrow" w:hAnsi="Arial Narrow"/>
                <w:sz w:val="20"/>
                <w:szCs w:val="20"/>
              </w:rPr>
            </w:pPr>
            <w:r w:rsidRPr="00CB6EE4">
              <w:rPr>
                <w:rFonts w:ascii="Arial Narrow" w:hAnsi="Arial Narrow"/>
                <w:sz w:val="20"/>
                <w:szCs w:val="20"/>
              </w:rPr>
              <w:t>96/184 (52.2)</w:t>
            </w:r>
          </w:p>
        </w:tc>
        <w:tc>
          <w:tcPr>
            <w:tcW w:w="2218" w:type="dxa"/>
            <w:tcBorders>
              <w:top w:val="nil"/>
              <w:bottom w:val="nil"/>
            </w:tcBorders>
            <w:vAlign w:val="center"/>
          </w:tcPr>
          <w:p w14:paraId="0BEFE3E2" w14:textId="77777777" w:rsidR="00A61EFC" w:rsidRPr="00CB6EE4" w:rsidRDefault="00A61EFC" w:rsidP="00834826">
            <w:pPr>
              <w:keepNext/>
              <w:keepLines/>
              <w:ind w:left="102"/>
              <w:jc w:val="center"/>
              <w:rPr>
                <w:rFonts w:ascii="Arial Narrow" w:hAnsi="Arial Narrow"/>
                <w:sz w:val="20"/>
                <w:szCs w:val="20"/>
              </w:rPr>
            </w:pPr>
            <w:r w:rsidRPr="00CB6EE4">
              <w:rPr>
                <w:rFonts w:ascii="Arial Narrow" w:hAnsi="Arial Narrow"/>
                <w:sz w:val="20"/>
                <w:szCs w:val="20"/>
              </w:rPr>
              <w:t>0 (-10, 10)</w:t>
            </w:r>
          </w:p>
        </w:tc>
      </w:tr>
      <w:tr w:rsidR="00A61EFC" w:rsidRPr="00CB6EE4" w14:paraId="3785FE30" w14:textId="77777777" w:rsidTr="00881C6D">
        <w:tc>
          <w:tcPr>
            <w:tcW w:w="2405" w:type="dxa"/>
            <w:tcBorders>
              <w:top w:val="nil"/>
              <w:bottom w:val="nil"/>
            </w:tcBorders>
          </w:tcPr>
          <w:p w14:paraId="3DE54C05" w14:textId="77777777" w:rsidR="00A61EFC" w:rsidRPr="00CB6EE4" w:rsidRDefault="00A61EFC" w:rsidP="00834826">
            <w:pPr>
              <w:keepNext/>
              <w:keepLines/>
              <w:ind w:left="102"/>
              <w:rPr>
                <w:rFonts w:ascii="Arial Narrow" w:hAnsi="Arial Narrow"/>
                <w:sz w:val="20"/>
                <w:szCs w:val="20"/>
              </w:rPr>
            </w:pPr>
            <w:r w:rsidRPr="00CB6EE4">
              <w:rPr>
                <w:rFonts w:ascii="Arial Narrow" w:hAnsi="Arial Narrow"/>
                <w:sz w:val="20"/>
                <w:szCs w:val="20"/>
              </w:rPr>
              <w:t>TULIP-1 (post-hoc)</w:t>
            </w:r>
            <w:r w:rsidRPr="00CB6EE4">
              <w:rPr>
                <w:rFonts w:ascii="Arial Narrow" w:hAnsi="Arial Narrow"/>
                <w:sz w:val="20"/>
                <w:szCs w:val="20"/>
                <w:vertAlign w:val="superscript"/>
              </w:rPr>
              <w:t xml:space="preserve"> c</w:t>
            </w:r>
          </w:p>
        </w:tc>
        <w:tc>
          <w:tcPr>
            <w:tcW w:w="2204" w:type="dxa"/>
            <w:tcBorders>
              <w:top w:val="nil"/>
              <w:bottom w:val="nil"/>
            </w:tcBorders>
            <w:vAlign w:val="center"/>
          </w:tcPr>
          <w:p w14:paraId="20A23DE6" w14:textId="77777777" w:rsidR="00A61EFC" w:rsidRPr="00CB6EE4" w:rsidRDefault="00A61EFC" w:rsidP="00834826">
            <w:pPr>
              <w:keepNext/>
              <w:keepLines/>
              <w:ind w:left="102"/>
              <w:jc w:val="center"/>
              <w:rPr>
                <w:rFonts w:ascii="Arial Narrow" w:hAnsi="Arial Narrow"/>
                <w:sz w:val="20"/>
                <w:szCs w:val="20"/>
              </w:rPr>
            </w:pPr>
            <w:r w:rsidRPr="00CB6EE4">
              <w:rPr>
                <w:rFonts w:ascii="Arial Narrow" w:hAnsi="Arial Narrow"/>
                <w:sz w:val="20"/>
                <w:szCs w:val="20"/>
              </w:rPr>
              <w:t>114/180 (63.3)</w:t>
            </w:r>
          </w:p>
        </w:tc>
        <w:tc>
          <w:tcPr>
            <w:tcW w:w="2190" w:type="dxa"/>
            <w:tcBorders>
              <w:top w:val="nil"/>
              <w:bottom w:val="nil"/>
            </w:tcBorders>
            <w:vAlign w:val="center"/>
          </w:tcPr>
          <w:p w14:paraId="0B2D717B" w14:textId="77777777" w:rsidR="00A61EFC" w:rsidRPr="00CB6EE4" w:rsidRDefault="00A61EFC" w:rsidP="00834826">
            <w:pPr>
              <w:keepNext/>
              <w:keepLines/>
              <w:ind w:left="102"/>
              <w:jc w:val="center"/>
              <w:rPr>
                <w:rFonts w:ascii="Arial Narrow" w:hAnsi="Arial Narrow"/>
                <w:sz w:val="20"/>
                <w:szCs w:val="20"/>
              </w:rPr>
            </w:pPr>
            <w:r w:rsidRPr="00CB6EE4">
              <w:rPr>
                <w:rFonts w:ascii="Arial Narrow" w:hAnsi="Arial Narrow"/>
                <w:sz w:val="20"/>
                <w:szCs w:val="20"/>
              </w:rPr>
              <w:t>104/184 (56.5)</w:t>
            </w:r>
          </w:p>
        </w:tc>
        <w:tc>
          <w:tcPr>
            <w:tcW w:w="2218" w:type="dxa"/>
            <w:tcBorders>
              <w:top w:val="nil"/>
              <w:bottom w:val="nil"/>
            </w:tcBorders>
            <w:vAlign w:val="center"/>
          </w:tcPr>
          <w:p w14:paraId="696735C0" w14:textId="77777777" w:rsidR="00A61EFC" w:rsidRPr="00CB6EE4" w:rsidRDefault="00A61EFC" w:rsidP="00834826">
            <w:pPr>
              <w:keepNext/>
              <w:keepLines/>
              <w:ind w:left="102"/>
              <w:jc w:val="center"/>
              <w:rPr>
                <w:rFonts w:ascii="Arial Narrow" w:hAnsi="Arial Narrow"/>
                <w:sz w:val="20"/>
                <w:szCs w:val="20"/>
              </w:rPr>
            </w:pPr>
            <w:r w:rsidRPr="00CB6EE4">
              <w:rPr>
                <w:rFonts w:ascii="Arial Narrow" w:hAnsi="Arial Narrow"/>
                <w:sz w:val="20"/>
                <w:szCs w:val="20"/>
              </w:rPr>
              <w:t>7 (-3, 17)</w:t>
            </w:r>
          </w:p>
        </w:tc>
      </w:tr>
      <w:tr w:rsidR="00A61EFC" w:rsidRPr="00CB6EE4" w14:paraId="48A9E0B6" w14:textId="77777777" w:rsidTr="00881C6D">
        <w:tc>
          <w:tcPr>
            <w:tcW w:w="2405" w:type="dxa"/>
            <w:tcBorders>
              <w:top w:val="nil"/>
              <w:bottom w:val="nil"/>
            </w:tcBorders>
          </w:tcPr>
          <w:p w14:paraId="2A753F72" w14:textId="77777777" w:rsidR="00A61EFC" w:rsidRPr="00CB6EE4" w:rsidRDefault="00A61EFC" w:rsidP="00834826">
            <w:pPr>
              <w:keepNext/>
              <w:keepLines/>
              <w:ind w:left="102"/>
              <w:rPr>
                <w:rFonts w:ascii="Arial Narrow" w:hAnsi="Arial Narrow"/>
                <w:sz w:val="20"/>
                <w:szCs w:val="20"/>
              </w:rPr>
            </w:pPr>
            <w:r w:rsidRPr="00CB6EE4">
              <w:rPr>
                <w:rFonts w:ascii="Arial Narrow" w:hAnsi="Arial Narrow"/>
                <w:sz w:val="20"/>
                <w:szCs w:val="20"/>
              </w:rPr>
              <w:t>TULIP-2</w:t>
            </w:r>
          </w:p>
        </w:tc>
        <w:tc>
          <w:tcPr>
            <w:tcW w:w="2204" w:type="dxa"/>
            <w:tcBorders>
              <w:top w:val="nil"/>
              <w:bottom w:val="nil"/>
            </w:tcBorders>
            <w:vAlign w:val="center"/>
          </w:tcPr>
          <w:p w14:paraId="6F0FC13E" w14:textId="77777777" w:rsidR="00A61EFC" w:rsidRPr="00CB6EE4" w:rsidRDefault="00A61EFC" w:rsidP="00834826">
            <w:pPr>
              <w:keepNext/>
              <w:keepLines/>
              <w:ind w:left="102"/>
              <w:jc w:val="center"/>
              <w:rPr>
                <w:rFonts w:ascii="Arial Narrow" w:hAnsi="Arial Narrow"/>
                <w:sz w:val="20"/>
                <w:szCs w:val="20"/>
              </w:rPr>
            </w:pPr>
            <w:r w:rsidRPr="00CB6EE4">
              <w:rPr>
                <w:rFonts w:ascii="Arial Narrow" w:hAnsi="Arial Narrow"/>
                <w:sz w:val="20"/>
                <w:szCs w:val="20"/>
              </w:rPr>
              <w:t>122/180 (67.8)</w:t>
            </w:r>
          </w:p>
        </w:tc>
        <w:tc>
          <w:tcPr>
            <w:tcW w:w="2190" w:type="dxa"/>
            <w:tcBorders>
              <w:top w:val="nil"/>
              <w:bottom w:val="nil"/>
            </w:tcBorders>
            <w:vAlign w:val="center"/>
          </w:tcPr>
          <w:p w14:paraId="4A7556A4" w14:textId="77777777" w:rsidR="00A61EFC" w:rsidRPr="00CB6EE4" w:rsidRDefault="00A61EFC" w:rsidP="00834826">
            <w:pPr>
              <w:keepNext/>
              <w:keepLines/>
              <w:ind w:left="102"/>
              <w:jc w:val="center"/>
              <w:rPr>
                <w:rFonts w:ascii="Arial Narrow" w:hAnsi="Arial Narrow"/>
                <w:sz w:val="20"/>
                <w:szCs w:val="20"/>
              </w:rPr>
            </w:pPr>
            <w:r w:rsidRPr="00CB6EE4">
              <w:rPr>
                <w:rFonts w:ascii="Arial Narrow" w:hAnsi="Arial Narrow"/>
                <w:sz w:val="20"/>
                <w:szCs w:val="20"/>
              </w:rPr>
              <w:t>95/182 (52.2)</w:t>
            </w:r>
          </w:p>
        </w:tc>
        <w:tc>
          <w:tcPr>
            <w:tcW w:w="2218" w:type="dxa"/>
            <w:tcBorders>
              <w:top w:val="nil"/>
              <w:bottom w:val="nil"/>
            </w:tcBorders>
            <w:vAlign w:val="center"/>
          </w:tcPr>
          <w:p w14:paraId="1289B9CE" w14:textId="77777777" w:rsidR="00A61EFC" w:rsidRPr="00CB6EE4" w:rsidRDefault="00A61EFC" w:rsidP="00834826">
            <w:pPr>
              <w:keepNext/>
              <w:keepLines/>
              <w:ind w:left="102"/>
              <w:jc w:val="center"/>
              <w:rPr>
                <w:rFonts w:ascii="Arial Narrow" w:hAnsi="Arial Narrow"/>
                <w:b/>
                <w:sz w:val="20"/>
                <w:szCs w:val="20"/>
              </w:rPr>
            </w:pPr>
            <w:r w:rsidRPr="00CB6EE4">
              <w:rPr>
                <w:rFonts w:ascii="Arial Narrow" w:hAnsi="Arial Narrow"/>
                <w:b/>
                <w:sz w:val="20"/>
                <w:szCs w:val="20"/>
              </w:rPr>
              <w:t>16 (6, 26)</w:t>
            </w:r>
          </w:p>
        </w:tc>
      </w:tr>
      <w:tr w:rsidR="00A61EFC" w:rsidRPr="00CB6EE4" w14:paraId="78B2D359" w14:textId="77777777" w:rsidTr="00881C6D">
        <w:tc>
          <w:tcPr>
            <w:tcW w:w="2405" w:type="dxa"/>
            <w:tcBorders>
              <w:top w:val="nil"/>
              <w:bottom w:val="nil"/>
            </w:tcBorders>
          </w:tcPr>
          <w:p w14:paraId="381E8DE5" w14:textId="77777777" w:rsidR="00A61EFC" w:rsidRPr="00CB6EE4" w:rsidRDefault="00A61EFC" w:rsidP="00834826">
            <w:pPr>
              <w:keepNext/>
              <w:keepLines/>
              <w:ind w:left="102"/>
              <w:jc w:val="right"/>
              <w:rPr>
                <w:rFonts w:ascii="Arial Narrow" w:hAnsi="Arial Narrow"/>
                <w:sz w:val="20"/>
                <w:szCs w:val="20"/>
              </w:rPr>
            </w:pPr>
            <w:r w:rsidRPr="00CB6EE4">
              <w:rPr>
                <w:rFonts w:ascii="Arial Narrow" w:hAnsi="Arial Narrow"/>
                <w:sz w:val="20"/>
                <w:szCs w:val="20"/>
              </w:rPr>
              <w:t xml:space="preserve">TULIP 1 &amp; 2 </w:t>
            </w:r>
            <w:proofErr w:type="spellStart"/>
            <w:r w:rsidRPr="00CB6EE4">
              <w:rPr>
                <w:rFonts w:ascii="Arial Narrow" w:hAnsi="Arial Narrow"/>
                <w:sz w:val="20"/>
                <w:szCs w:val="20"/>
              </w:rPr>
              <w:t>pooled</w:t>
            </w:r>
            <w:r w:rsidRPr="00CB6EE4">
              <w:rPr>
                <w:rFonts w:ascii="Arial Narrow" w:hAnsi="Arial Narrow"/>
                <w:sz w:val="20"/>
                <w:szCs w:val="20"/>
                <w:vertAlign w:val="superscript"/>
              </w:rPr>
              <w:t>d</w:t>
            </w:r>
            <w:proofErr w:type="spellEnd"/>
          </w:p>
        </w:tc>
        <w:tc>
          <w:tcPr>
            <w:tcW w:w="2204" w:type="dxa"/>
            <w:tcBorders>
              <w:top w:val="nil"/>
              <w:bottom w:val="nil"/>
            </w:tcBorders>
            <w:vAlign w:val="center"/>
          </w:tcPr>
          <w:p w14:paraId="073653A0" w14:textId="77777777" w:rsidR="00A61EFC" w:rsidRPr="00CB6EE4" w:rsidRDefault="00A61EFC" w:rsidP="00834826">
            <w:pPr>
              <w:keepNext/>
              <w:keepLines/>
              <w:ind w:left="102"/>
              <w:jc w:val="center"/>
              <w:rPr>
                <w:rFonts w:ascii="Arial Narrow" w:hAnsi="Arial Narrow"/>
                <w:sz w:val="20"/>
                <w:szCs w:val="20"/>
              </w:rPr>
            </w:pPr>
            <w:r w:rsidRPr="00CB6EE4">
              <w:rPr>
                <w:rFonts w:ascii="Arial Narrow" w:hAnsi="Arial Narrow"/>
                <w:sz w:val="20"/>
                <w:szCs w:val="20"/>
              </w:rPr>
              <w:t>236/360 (65.6)</w:t>
            </w:r>
          </w:p>
        </w:tc>
        <w:tc>
          <w:tcPr>
            <w:tcW w:w="2190" w:type="dxa"/>
            <w:tcBorders>
              <w:top w:val="nil"/>
              <w:bottom w:val="nil"/>
            </w:tcBorders>
            <w:vAlign w:val="center"/>
          </w:tcPr>
          <w:p w14:paraId="4A32D4E6" w14:textId="77777777" w:rsidR="00A61EFC" w:rsidRPr="00CB6EE4" w:rsidRDefault="00A61EFC" w:rsidP="00834826">
            <w:pPr>
              <w:keepNext/>
              <w:keepLines/>
              <w:ind w:left="102"/>
              <w:jc w:val="center"/>
              <w:rPr>
                <w:rFonts w:ascii="Arial Narrow" w:hAnsi="Arial Narrow"/>
                <w:sz w:val="20"/>
                <w:szCs w:val="20"/>
              </w:rPr>
            </w:pPr>
            <w:r w:rsidRPr="00CB6EE4">
              <w:rPr>
                <w:rFonts w:ascii="Arial Narrow" w:hAnsi="Arial Narrow"/>
                <w:sz w:val="20"/>
                <w:szCs w:val="20"/>
              </w:rPr>
              <w:t>199/366 (54.4)</w:t>
            </w:r>
          </w:p>
        </w:tc>
        <w:tc>
          <w:tcPr>
            <w:tcW w:w="2218" w:type="dxa"/>
            <w:tcBorders>
              <w:top w:val="nil"/>
              <w:bottom w:val="nil"/>
            </w:tcBorders>
            <w:vAlign w:val="center"/>
          </w:tcPr>
          <w:p w14:paraId="1B1E691A" w14:textId="77777777" w:rsidR="00A61EFC" w:rsidRPr="00CB6EE4" w:rsidRDefault="00A61EFC" w:rsidP="00834826">
            <w:pPr>
              <w:keepNext/>
              <w:keepLines/>
              <w:ind w:left="102"/>
              <w:jc w:val="center"/>
              <w:rPr>
                <w:rFonts w:ascii="Arial Narrow" w:hAnsi="Arial Narrow"/>
                <w:sz w:val="20"/>
                <w:szCs w:val="20"/>
              </w:rPr>
            </w:pPr>
            <w:r w:rsidRPr="00CB6EE4">
              <w:rPr>
                <w:rFonts w:ascii="Arial Narrow" w:hAnsi="Arial Narrow"/>
                <w:b/>
                <w:sz w:val="20"/>
                <w:szCs w:val="20"/>
              </w:rPr>
              <w:t>11 (4, 18)</w:t>
            </w:r>
          </w:p>
        </w:tc>
      </w:tr>
      <w:tr w:rsidR="00A61EFC" w:rsidRPr="00CB6EE4" w14:paraId="313C419F" w14:textId="77777777" w:rsidTr="00881C6D">
        <w:tc>
          <w:tcPr>
            <w:tcW w:w="2405" w:type="dxa"/>
            <w:tcBorders>
              <w:top w:val="nil"/>
              <w:bottom w:val="single" w:sz="4" w:space="0" w:color="auto"/>
            </w:tcBorders>
          </w:tcPr>
          <w:p w14:paraId="7F62F36A" w14:textId="77777777" w:rsidR="00A61EFC" w:rsidRPr="00CB6EE4" w:rsidRDefault="00A61EFC" w:rsidP="00834826">
            <w:pPr>
              <w:keepNext/>
              <w:keepLines/>
              <w:ind w:left="102"/>
              <w:rPr>
                <w:rFonts w:ascii="Arial Narrow" w:hAnsi="Arial Narrow"/>
                <w:sz w:val="20"/>
                <w:szCs w:val="20"/>
              </w:rPr>
            </w:pPr>
            <w:r w:rsidRPr="00CB6EE4">
              <w:rPr>
                <w:rFonts w:ascii="Arial Narrow" w:hAnsi="Arial Narrow"/>
                <w:sz w:val="20"/>
                <w:szCs w:val="20"/>
              </w:rPr>
              <w:t>MUSE</w:t>
            </w:r>
          </w:p>
        </w:tc>
        <w:tc>
          <w:tcPr>
            <w:tcW w:w="2204" w:type="dxa"/>
            <w:tcBorders>
              <w:top w:val="nil"/>
              <w:bottom w:val="single" w:sz="4" w:space="0" w:color="auto"/>
            </w:tcBorders>
            <w:vAlign w:val="center"/>
          </w:tcPr>
          <w:p w14:paraId="122133E7" w14:textId="77777777" w:rsidR="00A61EFC" w:rsidRPr="00CB6EE4" w:rsidRDefault="00A61EFC" w:rsidP="00834826">
            <w:pPr>
              <w:keepNext/>
              <w:keepLines/>
              <w:ind w:left="102"/>
              <w:jc w:val="center"/>
              <w:rPr>
                <w:rFonts w:ascii="Arial Narrow" w:hAnsi="Arial Narrow"/>
                <w:sz w:val="20"/>
                <w:szCs w:val="20"/>
              </w:rPr>
            </w:pPr>
            <w:r w:rsidRPr="00CB6EE4">
              <w:rPr>
                <w:rFonts w:ascii="Arial Narrow" w:hAnsi="Arial Narrow"/>
                <w:sz w:val="20"/>
                <w:szCs w:val="20"/>
              </w:rPr>
              <w:t>76/99 (76.8)</w:t>
            </w:r>
          </w:p>
        </w:tc>
        <w:tc>
          <w:tcPr>
            <w:tcW w:w="2190" w:type="dxa"/>
            <w:tcBorders>
              <w:top w:val="nil"/>
              <w:bottom w:val="single" w:sz="4" w:space="0" w:color="auto"/>
            </w:tcBorders>
            <w:vAlign w:val="center"/>
          </w:tcPr>
          <w:p w14:paraId="1ED0EB47" w14:textId="77777777" w:rsidR="00A61EFC" w:rsidRPr="00CB6EE4" w:rsidRDefault="00A61EFC" w:rsidP="00834826">
            <w:pPr>
              <w:keepNext/>
              <w:keepLines/>
              <w:ind w:left="102"/>
              <w:jc w:val="center"/>
              <w:rPr>
                <w:rFonts w:ascii="Arial Narrow" w:hAnsi="Arial Narrow"/>
                <w:sz w:val="20"/>
                <w:szCs w:val="20"/>
              </w:rPr>
            </w:pPr>
            <w:r w:rsidRPr="00CB6EE4">
              <w:rPr>
                <w:rFonts w:ascii="Arial Narrow" w:hAnsi="Arial Narrow"/>
                <w:sz w:val="20"/>
                <w:szCs w:val="20"/>
              </w:rPr>
              <w:t>62/102 (60.8)</w:t>
            </w:r>
          </w:p>
        </w:tc>
        <w:tc>
          <w:tcPr>
            <w:tcW w:w="2218" w:type="dxa"/>
            <w:tcBorders>
              <w:top w:val="nil"/>
              <w:bottom w:val="single" w:sz="4" w:space="0" w:color="auto"/>
            </w:tcBorders>
            <w:vAlign w:val="center"/>
          </w:tcPr>
          <w:p w14:paraId="4FDECBC6" w14:textId="77777777" w:rsidR="00A61EFC" w:rsidRPr="00CB6EE4" w:rsidRDefault="00A61EFC" w:rsidP="00834826">
            <w:pPr>
              <w:keepNext/>
              <w:keepLines/>
              <w:ind w:left="102"/>
              <w:jc w:val="center"/>
              <w:rPr>
                <w:rFonts w:ascii="Arial Narrow" w:hAnsi="Arial Narrow"/>
                <w:b/>
                <w:sz w:val="20"/>
                <w:szCs w:val="20"/>
              </w:rPr>
            </w:pPr>
            <w:r w:rsidRPr="00CB6EE4">
              <w:rPr>
                <w:rFonts w:ascii="Arial Narrow" w:hAnsi="Arial Narrow"/>
                <w:b/>
                <w:sz w:val="20"/>
                <w:szCs w:val="20"/>
              </w:rPr>
              <w:t>16 (3, 29)</w:t>
            </w:r>
          </w:p>
        </w:tc>
      </w:tr>
      <w:tr w:rsidR="00A61EFC" w:rsidRPr="00CB6EE4" w14:paraId="0D599D25" w14:textId="77777777" w:rsidTr="002A2760">
        <w:tc>
          <w:tcPr>
            <w:tcW w:w="9017" w:type="dxa"/>
            <w:gridSpan w:val="4"/>
            <w:tcBorders>
              <w:bottom w:val="nil"/>
            </w:tcBorders>
            <w:shd w:val="clear" w:color="auto" w:fill="D9D9D9" w:themeFill="background1" w:themeFillShade="D9"/>
            <w:vAlign w:val="center"/>
          </w:tcPr>
          <w:p w14:paraId="6FAE50AB" w14:textId="77777777" w:rsidR="00A61EFC" w:rsidRPr="00CB6EE4" w:rsidRDefault="00A61EFC" w:rsidP="00881C6D">
            <w:pPr>
              <w:ind w:left="104"/>
              <w:jc w:val="left"/>
              <w:rPr>
                <w:rFonts w:ascii="Arial Narrow" w:hAnsi="Arial Narrow"/>
                <w:b/>
                <w:sz w:val="20"/>
                <w:szCs w:val="20"/>
              </w:rPr>
            </w:pPr>
            <w:r w:rsidRPr="00CB6EE4">
              <w:rPr>
                <w:rFonts w:ascii="Arial Narrow" w:hAnsi="Arial Narrow"/>
                <w:b/>
                <w:sz w:val="20"/>
                <w:szCs w:val="20"/>
              </w:rPr>
              <w:t xml:space="preserve">No new 1A/2B BILAG domain scores </w:t>
            </w:r>
          </w:p>
        </w:tc>
      </w:tr>
      <w:tr w:rsidR="00A61EFC" w:rsidRPr="00CB6EE4" w14:paraId="22ABF50A" w14:textId="77777777" w:rsidTr="00881C6D">
        <w:tc>
          <w:tcPr>
            <w:tcW w:w="2405" w:type="dxa"/>
            <w:tcBorders>
              <w:top w:val="nil"/>
              <w:bottom w:val="nil"/>
            </w:tcBorders>
          </w:tcPr>
          <w:p w14:paraId="41EE5302" w14:textId="77777777" w:rsidR="00A61EFC" w:rsidRPr="00CB6EE4" w:rsidRDefault="00A61EFC" w:rsidP="00881C6D">
            <w:pPr>
              <w:ind w:left="104"/>
              <w:rPr>
                <w:rFonts w:ascii="Arial Narrow" w:hAnsi="Arial Narrow"/>
                <w:sz w:val="20"/>
                <w:szCs w:val="20"/>
              </w:rPr>
            </w:pPr>
            <w:r w:rsidRPr="00CB6EE4">
              <w:rPr>
                <w:rFonts w:ascii="Arial Narrow" w:hAnsi="Arial Narrow"/>
                <w:sz w:val="20"/>
                <w:szCs w:val="20"/>
              </w:rPr>
              <w:t>TULIP-1 (pre-specified)</w:t>
            </w:r>
            <w:r w:rsidRPr="00CB6EE4">
              <w:rPr>
                <w:rFonts w:ascii="Arial Narrow" w:hAnsi="Arial Narrow"/>
                <w:sz w:val="20"/>
                <w:szCs w:val="20"/>
                <w:vertAlign w:val="superscript"/>
              </w:rPr>
              <w:t xml:space="preserve"> a</w:t>
            </w:r>
          </w:p>
        </w:tc>
        <w:tc>
          <w:tcPr>
            <w:tcW w:w="2204" w:type="dxa"/>
            <w:tcBorders>
              <w:top w:val="nil"/>
              <w:bottom w:val="nil"/>
            </w:tcBorders>
            <w:vAlign w:val="center"/>
          </w:tcPr>
          <w:p w14:paraId="6EF340E6"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96/180 (53.3)</w:t>
            </w:r>
          </w:p>
        </w:tc>
        <w:tc>
          <w:tcPr>
            <w:tcW w:w="2190" w:type="dxa"/>
            <w:tcBorders>
              <w:top w:val="nil"/>
              <w:bottom w:val="nil"/>
            </w:tcBorders>
            <w:vAlign w:val="center"/>
          </w:tcPr>
          <w:p w14:paraId="050DBB35"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96/184 (52.2)</w:t>
            </w:r>
          </w:p>
        </w:tc>
        <w:tc>
          <w:tcPr>
            <w:tcW w:w="2218" w:type="dxa"/>
            <w:tcBorders>
              <w:top w:val="nil"/>
              <w:bottom w:val="nil"/>
            </w:tcBorders>
            <w:vAlign w:val="center"/>
          </w:tcPr>
          <w:p w14:paraId="7AD39945"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1 (-9, 11)</w:t>
            </w:r>
          </w:p>
        </w:tc>
      </w:tr>
      <w:tr w:rsidR="00A61EFC" w:rsidRPr="00CB6EE4" w14:paraId="6AAB07F0" w14:textId="77777777" w:rsidTr="00881C6D">
        <w:tc>
          <w:tcPr>
            <w:tcW w:w="2405" w:type="dxa"/>
            <w:tcBorders>
              <w:top w:val="nil"/>
              <w:bottom w:val="nil"/>
            </w:tcBorders>
          </w:tcPr>
          <w:p w14:paraId="39E4359C" w14:textId="77777777" w:rsidR="00A61EFC" w:rsidRPr="00CB6EE4" w:rsidRDefault="00A61EFC" w:rsidP="00881C6D">
            <w:pPr>
              <w:ind w:left="104"/>
              <w:rPr>
                <w:rFonts w:ascii="Arial Narrow" w:hAnsi="Arial Narrow"/>
                <w:sz w:val="20"/>
                <w:szCs w:val="20"/>
              </w:rPr>
            </w:pPr>
            <w:r w:rsidRPr="00CB6EE4">
              <w:rPr>
                <w:rFonts w:ascii="Arial Narrow" w:hAnsi="Arial Narrow"/>
                <w:sz w:val="20"/>
                <w:szCs w:val="20"/>
              </w:rPr>
              <w:t>TULIP-1 (post-hoc)</w:t>
            </w:r>
            <w:r w:rsidRPr="00CB6EE4">
              <w:rPr>
                <w:rFonts w:ascii="Arial Narrow" w:hAnsi="Arial Narrow"/>
                <w:sz w:val="20"/>
                <w:szCs w:val="20"/>
                <w:vertAlign w:val="superscript"/>
              </w:rPr>
              <w:t xml:space="preserve"> c</w:t>
            </w:r>
          </w:p>
        </w:tc>
        <w:tc>
          <w:tcPr>
            <w:tcW w:w="2204" w:type="dxa"/>
            <w:tcBorders>
              <w:top w:val="nil"/>
              <w:bottom w:val="nil"/>
            </w:tcBorders>
            <w:vAlign w:val="center"/>
          </w:tcPr>
          <w:p w14:paraId="02E96543"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116/180 (64.4)</w:t>
            </w:r>
          </w:p>
        </w:tc>
        <w:tc>
          <w:tcPr>
            <w:tcW w:w="2190" w:type="dxa"/>
            <w:tcBorders>
              <w:top w:val="nil"/>
              <w:bottom w:val="nil"/>
            </w:tcBorders>
            <w:vAlign w:val="center"/>
          </w:tcPr>
          <w:p w14:paraId="4EDE68AC"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104/184 (56.5)</w:t>
            </w:r>
          </w:p>
        </w:tc>
        <w:tc>
          <w:tcPr>
            <w:tcW w:w="2218" w:type="dxa"/>
            <w:tcBorders>
              <w:top w:val="nil"/>
              <w:bottom w:val="nil"/>
            </w:tcBorders>
            <w:vAlign w:val="center"/>
          </w:tcPr>
          <w:p w14:paraId="45626434"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8 (-2, 18)</w:t>
            </w:r>
          </w:p>
        </w:tc>
      </w:tr>
      <w:tr w:rsidR="00A61EFC" w:rsidRPr="00CB6EE4" w14:paraId="1F817C02" w14:textId="77777777" w:rsidTr="00881C6D">
        <w:tc>
          <w:tcPr>
            <w:tcW w:w="2405" w:type="dxa"/>
            <w:tcBorders>
              <w:top w:val="nil"/>
              <w:bottom w:val="nil"/>
            </w:tcBorders>
          </w:tcPr>
          <w:p w14:paraId="3E5C755A" w14:textId="77777777" w:rsidR="00A61EFC" w:rsidRPr="00CB6EE4" w:rsidRDefault="00A61EFC" w:rsidP="00881C6D">
            <w:pPr>
              <w:ind w:left="104"/>
              <w:rPr>
                <w:rFonts w:ascii="Arial Narrow" w:hAnsi="Arial Narrow"/>
                <w:sz w:val="20"/>
                <w:szCs w:val="20"/>
              </w:rPr>
            </w:pPr>
            <w:r w:rsidRPr="00CB6EE4">
              <w:rPr>
                <w:rFonts w:ascii="Arial Narrow" w:hAnsi="Arial Narrow"/>
                <w:sz w:val="20"/>
                <w:szCs w:val="20"/>
              </w:rPr>
              <w:t>TULIP-2</w:t>
            </w:r>
          </w:p>
        </w:tc>
        <w:tc>
          <w:tcPr>
            <w:tcW w:w="2204" w:type="dxa"/>
            <w:tcBorders>
              <w:top w:val="nil"/>
              <w:bottom w:val="nil"/>
            </w:tcBorders>
            <w:vAlign w:val="center"/>
          </w:tcPr>
          <w:p w14:paraId="7C0EDE80"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125/180 (69.4)</w:t>
            </w:r>
          </w:p>
        </w:tc>
        <w:tc>
          <w:tcPr>
            <w:tcW w:w="2190" w:type="dxa"/>
            <w:tcBorders>
              <w:top w:val="nil"/>
              <w:bottom w:val="nil"/>
            </w:tcBorders>
            <w:vAlign w:val="center"/>
          </w:tcPr>
          <w:p w14:paraId="617AC86A"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94/182 (51.6)</w:t>
            </w:r>
          </w:p>
        </w:tc>
        <w:tc>
          <w:tcPr>
            <w:tcW w:w="2218" w:type="dxa"/>
            <w:tcBorders>
              <w:top w:val="nil"/>
              <w:bottom w:val="nil"/>
            </w:tcBorders>
            <w:vAlign w:val="center"/>
          </w:tcPr>
          <w:p w14:paraId="3E676459" w14:textId="77777777" w:rsidR="00A61EFC" w:rsidRPr="00CB6EE4" w:rsidRDefault="00A61EFC" w:rsidP="00881C6D">
            <w:pPr>
              <w:ind w:left="104"/>
              <w:jc w:val="center"/>
              <w:rPr>
                <w:rFonts w:ascii="Arial Narrow" w:hAnsi="Arial Narrow"/>
                <w:b/>
                <w:sz w:val="20"/>
                <w:szCs w:val="20"/>
              </w:rPr>
            </w:pPr>
            <w:r w:rsidRPr="00CB6EE4">
              <w:rPr>
                <w:rFonts w:ascii="Arial Narrow" w:hAnsi="Arial Narrow"/>
                <w:b/>
                <w:sz w:val="20"/>
                <w:szCs w:val="20"/>
              </w:rPr>
              <w:t>18 (8, 28)</w:t>
            </w:r>
          </w:p>
        </w:tc>
      </w:tr>
      <w:tr w:rsidR="00A61EFC" w:rsidRPr="00CB6EE4" w14:paraId="53B124F0" w14:textId="77777777" w:rsidTr="00881C6D">
        <w:tc>
          <w:tcPr>
            <w:tcW w:w="2405" w:type="dxa"/>
            <w:tcBorders>
              <w:top w:val="nil"/>
              <w:bottom w:val="nil"/>
            </w:tcBorders>
          </w:tcPr>
          <w:p w14:paraId="457F0BC1" w14:textId="77777777" w:rsidR="00A61EFC" w:rsidRPr="00CB6EE4" w:rsidRDefault="00A61EFC" w:rsidP="00881C6D">
            <w:pPr>
              <w:ind w:left="104"/>
              <w:jc w:val="right"/>
              <w:rPr>
                <w:rFonts w:ascii="Arial Narrow" w:hAnsi="Arial Narrow"/>
                <w:sz w:val="20"/>
                <w:szCs w:val="20"/>
              </w:rPr>
            </w:pPr>
            <w:r w:rsidRPr="00CB6EE4">
              <w:rPr>
                <w:rFonts w:ascii="Arial Narrow" w:hAnsi="Arial Narrow"/>
                <w:sz w:val="20"/>
                <w:szCs w:val="20"/>
              </w:rPr>
              <w:t xml:space="preserve">TULIP 1 &amp; 2 </w:t>
            </w:r>
            <w:proofErr w:type="spellStart"/>
            <w:r w:rsidRPr="00CB6EE4">
              <w:rPr>
                <w:rFonts w:ascii="Arial Narrow" w:hAnsi="Arial Narrow"/>
                <w:sz w:val="20"/>
                <w:szCs w:val="20"/>
              </w:rPr>
              <w:t>pooled</w:t>
            </w:r>
            <w:r w:rsidRPr="00CB6EE4">
              <w:rPr>
                <w:rFonts w:ascii="Arial Narrow" w:hAnsi="Arial Narrow"/>
                <w:sz w:val="20"/>
                <w:szCs w:val="20"/>
                <w:vertAlign w:val="superscript"/>
              </w:rPr>
              <w:t>d</w:t>
            </w:r>
            <w:proofErr w:type="spellEnd"/>
          </w:p>
        </w:tc>
        <w:tc>
          <w:tcPr>
            <w:tcW w:w="2204" w:type="dxa"/>
            <w:tcBorders>
              <w:top w:val="nil"/>
              <w:bottom w:val="nil"/>
            </w:tcBorders>
            <w:vAlign w:val="center"/>
          </w:tcPr>
          <w:p w14:paraId="35F2B957"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241/360 (66.9)</w:t>
            </w:r>
          </w:p>
        </w:tc>
        <w:tc>
          <w:tcPr>
            <w:tcW w:w="2190" w:type="dxa"/>
            <w:tcBorders>
              <w:top w:val="nil"/>
              <w:bottom w:val="nil"/>
            </w:tcBorders>
            <w:vAlign w:val="center"/>
          </w:tcPr>
          <w:p w14:paraId="3BBD0A5C"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198/366 (54.1)</w:t>
            </w:r>
          </w:p>
        </w:tc>
        <w:tc>
          <w:tcPr>
            <w:tcW w:w="2218" w:type="dxa"/>
            <w:tcBorders>
              <w:top w:val="nil"/>
              <w:bottom w:val="nil"/>
            </w:tcBorders>
            <w:vAlign w:val="center"/>
          </w:tcPr>
          <w:p w14:paraId="5E433766" w14:textId="77777777" w:rsidR="00A61EFC" w:rsidRPr="00CB6EE4" w:rsidRDefault="00A61EFC" w:rsidP="00881C6D">
            <w:pPr>
              <w:ind w:left="104"/>
              <w:jc w:val="center"/>
              <w:rPr>
                <w:rFonts w:ascii="Arial Narrow" w:hAnsi="Arial Narrow"/>
                <w:sz w:val="20"/>
                <w:szCs w:val="20"/>
              </w:rPr>
            </w:pPr>
            <w:r w:rsidRPr="00CB6EE4">
              <w:rPr>
                <w:rFonts w:ascii="Arial Narrow" w:hAnsi="Arial Narrow"/>
                <w:b/>
                <w:sz w:val="20"/>
                <w:szCs w:val="20"/>
              </w:rPr>
              <w:t>13 (6, 20)</w:t>
            </w:r>
          </w:p>
        </w:tc>
      </w:tr>
      <w:tr w:rsidR="00A61EFC" w:rsidRPr="00CB6EE4" w14:paraId="767B5F49" w14:textId="77777777" w:rsidTr="00881C6D">
        <w:tc>
          <w:tcPr>
            <w:tcW w:w="2405" w:type="dxa"/>
            <w:tcBorders>
              <w:top w:val="nil"/>
            </w:tcBorders>
          </w:tcPr>
          <w:p w14:paraId="4DE2DFB5" w14:textId="77777777" w:rsidR="00A61EFC" w:rsidRPr="00CB6EE4" w:rsidRDefault="00A61EFC" w:rsidP="00881C6D">
            <w:pPr>
              <w:ind w:left="104"/>
              <w:rPr>
                <w:rFonts w:ascii="Arial Narrow" w:hAnsi="Arial Narrow"/>
                <w:sz w:val="20"/>
                <w:szCs w:val="20"/>
              </w:rPr>
            </w:pPr>
            <w:r w:rsidRPr="00CB6EE4">
              <w:rPr>
                <w:rFonts w:ascii="Arial Narrow" w:hAnsi="Arial Narrow"/>
                <w:sz w:val="20"/>
                <w:szCs w:val="20"/>
              </w:rPr>
              <w:t>MUSE</w:t>
            </w:r>
          </w:p>
        </w:tc>
        <w:tc>
          <w:tcPr>
            <w:tcW w:w="2204" w:type="dxa"/>
            <w:tcBorders>
              <w:top w:val="nil"/>
            </w:tcBorders>
            <w:vAlign w:val="center"/>
          </w:tcPr>
          <w:p w14:paraId="13ACF866"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75/99 (75.8)</w:t>
            </w:r>
          </w:p>
        </w:tc>
        <w:tc>
          <w:tcPr>
            <w:tcW w:w="2190" w:type="dxa"/>
            <w:tcBorders>
              <w:top w:val="nil"/>
            </w:tcBorders>
            <w:vAlign w:val="center"/>
          </w:tcPr>
          <w:p w14:paraId="6DC22C21"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61/102 (59.8)</w:t>
            </w:r>
          </w:p>
        </w:tc>
        <w:tc>
          <w:tcPr>
            <w:tcW w:w="2218" w:type="dxa"/>
            <w:tcBorders>
              <w:top w:val="nil"/>
            </w:tcBorders>
            <w:vAlign w:val="center"/>
          </w:tcPr>
          <w:p w14:paraId="4D23EE57" w14:textId="77777777" w:rsidR="00A61EFC" w:rsidRPr="00CB6EE4" w:rsidRDefault="00A61EFC" w:rsidP="00881C6D">
            <w:pPr>
              <w:ind w:left="104"/>
              <w:jc w:val="center"/>
              <w:rPr>
                <w:rFonts w:ascii="Arial Narrow" w:hAnsi="Arial Narrow"/>
                <w:b/>
                <w:sz w:val="20"/>
                <w:szCs w:val="20"/>
              </w:rPr>
            </w:pPr>
            <w:r w:rsidRPr="00CB6EE4">
              <w:rPr>
                <w:rFonts w:ascii="Arial Narrow" w:hAnsi="Arial Narrow"/>
                <w:b/>
                <w:sz w:val="20"/>
                <w:szCs w:val="20"/>
              </w:rPr>
              <w:t>16 (3, 29)</w:t>
            </w:r>
          </w:p>
        </w:tc>
      </w:tr>
      <w:tr w:rsidR="00A61EFC" w:rsidRPr="00CB6EE4" w14:paraId="7D3934DA" w14:textId="77777777" w:rsidTr="00881C6D">
        <w:tc>
          <w:tcPr>
            <w:tcW w:w="9017" w:type="dxa"/>
            <w:gridSpan w:val="4"/>
            <w:tcBorders>
              <w:bottom w:val="nil"/>
            </w:tcBorders>
            <w:shd w:val="clear" w:color="auto" w:fill="D9D9D9" w:themeFill="background1" w:themeFillShade="D9"/>
            <w:vAlign w:val="center"/>
          </w:tcPr>
          <w:p w14:paraId="760371FF" w14:textId="77777777" w:rsidR="00A61EFC" w:rsidRPr="00CB6EE4" w:rsidRDefault="00A61EFC" w:rsidP="00881C6D">
            <w:pPr>
              <w:jc w:val="left"/>
              <w:rPr>
                <w:rFonts w:ascii="Arial Narrow" w:hAnsi="Arial Narrow"/>
                <w:b/>
                <w:sz w:val="20"/>
                <w:szCs w:val="20"/>
              </w:rPr>
            </w:pPr>
            <w:r w:rsidRPr="00CB6EE4">
              <w:rPr>
                <w:rFonts w:ascii="Arial Narrow" w:hAnsi="Arial Narrow"/>
                <w:b/>
                <w:sz w:val="20"/>
                <w:szCs w:val="20"/>
              </w:rPr>
              <w:t xml:space="preserve">BICLA response </w:t>
            </w:r>
          </w:p>
        </w:tc>
      </w:tr>
      <w:tr w:rsidR="00A61EFC" w:rsidRPr="00CB6EE4" w14:paraId="065C8956" w14:textId="77777777" w:rsidTr="00881C6D">
        <w:tc>
          <w:tcPr>
            <w:tcW w:w="2405" w:type="dxa"/>
            <w:tcBorders>
              <w:top w:val="nil"/>
              <w:bottom w:val="nil"/>
            </w:tcBorders>
          </w:tcPr>
          <w:p w14:paraId="16AD7AB8" w14:textId="72B0692C" w:rsidR="00A61EFC" w:rsidRPr="00CB6EE4" w:rsidRDefault="00A61EFC" w:rsidP="00881C6D">
            <w:pPr>
              <w:rPr>
                <w:rFonts w:ascii="Arial Narrow" w:hAnsi="Arial Narrow"/>
                <w:sz w:val="20"/>
                <w:szCs w:val="20"/>
              </w:rPr>
            </w:pPr>
            <w:r w:rsidRPr="00CB6EE4">
              <w:rPr>
                <w:rFonts w:ascii="Arial Narrow" w:hAnsi="Arial Narrow"/>
                <w:sz w:val="20"/>
                <w:szCs w:val="20"/>
              </w:rPr>
              <w:t>TULIP-1 (pre-specified)</w:t>
            </w:r>
            <w:r w:rsidR="0046558E">
              <w:rPr>
                <w:rFonts w:ascii="Arial Narrow" w:hAnsi="Arial Narrow"/>
                <w:sz w:val="20"/>
                <w:szCs w:val="20"/>
              </w:rPr>
              <w:t xml:space="preserve"> </w:t>
            </w:r>
            <w:proofErr w:type="spellStart"/>
            <w:proofErr w:type="gramStart"/>
            <w:r w:rsidRPr="00CB6EE4">
              <w:rPr>
                <w:rFonts w:ascii="Arial Narrow" w:hAnsi="Arial Narrow"/>
                <w:sz w:val="20"/>
                <w:szCs w:val="20"/>
                <w:vertAlign w:val="superscript"/>
              </w:rPr>
              <w:t>a</w:t>
            </w:r>
            <w:r w:rsidR="008D0A35">
              <w:rPr>
                <w:rFonts w:ascii="Arial Narrow" w:hAnsi="Arial Narrow"/>
                <w:sz w:val="20"/>
                <w:szCs w:val="20"/>
                <w:vertAlign w:val="superscript"/>
              </w:rPr>
              <w:t>,i</w:t>
            </w:r>
            <w:proofErr w:type="spellEnd"/>
            <w:proofErr w:type="gramEnd"/>
          </w:p>
        </w:tc>
        <w:tc>
          <w:tcPr>
            <w:tcW w:w="2204" w:type="dxa"/>
            <w:tcBorders>
              <w:top w:val="nil"/>
              <w:bottom w:val="nil"/>
            </w:tcBorders>
            <w:vAlign w:val="center"/>
          </w:tcPr>
          <w:p w14:paraId="1849B180"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67/180 (37.1)</w:t>
            </w:r>
          </w:p>
        </w:tc>
        <w:tc>
          <w:tcPr>
            <w:tcW w:w="2190" w:type="dxa"/>
            <w:tcBorders>
              <w:top w:val="nil"/>
              <w:bottom w:val="nil"/>
            </w:tcBorders>
            <w:vAlign w:val="center"/>
          </w:tcPr>
          <w:p w14:paraId="5E2B2802"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49/184 (27.0)</w:t>
            </w:r>
          </w:p>
        </w:tc>
        <w:tc>
          <w:tcPr>
            <w:tcW w:w="2218" w:type="dxa"/>
            <w:tcBorders>
              <w:top w:val="nil"/>
              <w:bottom w:val="nil"/>
            </w:tcBorders>
            <w:vAlign w:val="center"/>
          </w:tcPr>
          <w:p w14:paraId="38AAAA85" w14:textId="77777777" w:rsidR="00A61EFC" w:rsidRPr="00CB6EE4" w:rsidRDefault="00A61EFC" w:rsidP="00881C6D">
            <w:pPr>
              <w:jc w:val="center"/>
              <w:rPr>
                <w:rFonts w:ascii="Arial Narrow" w:hAnsi="Arial Narrow"/>
                <w:b/>
                <w:sz w:val="20"/>
                <w:szCs w:val="20"/>
              </w:rPr>
            </w:pPr>
            <w:r w:rsidRPr="00CB6EE4">
              <w:rPr>
                <w:rFonts w:ascii="Arial Narrow" w:hAnsi="Arial Narrow"/>
                <w:b/>
                <w:sz w:val="20"/>
                <w:szCs w:val="20"/>
              </w:rPr>
              <w:t>10.1 (0.6, 19.7)</w:t>
            </w:r>
          </w:p>
        </w:tc>
      </w:tr>
      <w:tr w:rsidR="00A61EFC" w:rsidRPr="00CB6EE4" w14:paraId="29485C11" w14:textId="77777777" w:rsidTr="00881C6D">
        <w:tc>
          <w:tcPr>
            <w:tcW w:w="2405" w:type="dxa"/>
            <w:tcBorders>
              <w:top w:val="nil"/>
              <w:bottom w:val="nil"/>
            </w:tcBorders>
          </w:tcPr>
          <w:p w14:paraId="270D53A1" w14:textId="74BFB16C" w:rsidR="00A61EFC" w:rsidRPr="00CB6EE4" w:rsidRDefault="00A61EFC" w:rsidP="00881C6D">
            <w:pPr>
              <w:rPr>
                <w:rFonts w:ascii="Arial Narrow" w:hAnsi="Arial Narrow"/>
                <w:sz w:val="20"/>
                <w:szCs w:val="20"/>
              </w:rPr>
            </w:pPr>
            <w:r w:rsidRPr="00CB6EE4">
              <w:rPr>
                <w:rFonts w:ascii="Arial Narrow" w:hAnsi="Arial Narrow"/>
                <w:sz w:val="20"/>
                <w:szCs w:val="20"/>
              </w:rPr>
              <w:t>TULIP-1 (post-hoc)</w:t>
            </w:r>
            <w:r w:rsidR="0046558E">
              <w:rPr>
                <w:rFonts w:ascii="Arial Narrow" w:hAnsi="Arial Narrow"/>
                <w:sz w:val="20"/>
                <w:szCs w:val="20"/>
              </w:rPr>
              <w:t xml:space="preserve"> </w:t>
            </w:r>
            <w:proofErr w:type="spellStart"/>
            <w:proofErr w:type="gramStart"/>
            <w:r w:rsidRPr="00CB6EE4">
              <w:rPr>
                <w:rFonts w:ascii="Arial Narrow" w:hAnsi="Arial Narrow"/>
                <w:sz w:val="20"/>
                <w:szCs w:val="20"/>
                <w:vertAlign w:val="superscript"/>
              </w:rPr>
              <w:t>c</w:t>
            </w:r>
            <w:r w:rsidR="008D0A35">
              <w:rPr>
                <w:rFonts w:ascii="Arial Narrow" w:hAnsi="Arial Narrow"/>
                <w:sz w:val="20"/>
                <w:szCs w:val="20"/>
                <w:vertAlign w:val="superscript"/>
              </w:rPr>
              <w:t>,i</w:t>
            </w:r>
            <w:proofErr w:type="spellEnd"/>
            <w:proofErr w:type="gramEnd"/>
          </w:p>
        </w:tc>
        <w:tc>
          <w:tcPr>
            <w:tcW w:w="2204" w:type="dxa"/>
            <w:tcBorders>
              <w:top w:val="nil"/>
              <w:bottom w:val="nil"/>
            </w:tcBorders>
            <w:vAlign w:val="center"/>
          </w:tcPr>
          <w:p w14:paraId="454E017C"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83/180 (46.1)</w:t>
            </w:r>
          </w:p>
        </w:tc>
        <w:tc>
          <w:tcPr>
            <w:tcW w:w="2190" w:type="dxa"/>
            <w:tcBorders>
              <w:top w:val="nil"/>
              <w:bottom w:val="nil"/>
            </w:tcBorders>
            <w:vAlign w:val="center"/>
          </w:tcPr>
          <w:p w14:paraId="5C9BBC26"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54/184 (29.6)</w:t>
            </w:r>
          </w:p>
        </w:tc>
        <w:tc>
          <w:tcPr>
            <w:tcW w:w="2218" w:type="dxa"/>
            <w:tcBorders>
              <w:top w:val="nil"/>
              <w:bottom w:val="nil"/>
            </w:tcBorders>
            <w:vAlign w:val="center"/>
          </w:tcPr>
          <w:p w14:paraId="5D8DF04B" w14:textId="77777777" w:rsidR="00A61EFC" w:rsidRPr="00CB6EE4" w:rsidRDefault="00A61EFC" w:rsidP="00881C6D">
            <w:pPr>
              <w:jc w:val="center"/>
              <w:rPr>
                <w:rFonts w:ascii="Arial Narrow" w:hAnsi="Arial Narrow"/>
                <w:b/>
                <w:sz w:val="20"/>
                <w:szCs w:val="20"/>
              </w:rPr>
            </w:pPr>
            <w:r w:rsidRPr="00CB6EE4">
              <w:rPr>
                <w:rFonts w:ascii="Arial Narrow" w:hAnsi="Arial Narrow"/>
                <w:b/>
                <w:sz w:val="20"/>
                <w:szCs w:val="20"/>
              </w:rPr>
              <w:t>16.4 (6.7, 26.2)</w:t>
            </w:r>
          </w:p>
        </w:tc>
      </w:tr>
      <w:tr w:rsidR="00A61EFC" w:rsidRPr="00CB6EE4" w14:paraId="40471A2D" w14:textId="77777777" w:rsidTr="00881C6D">
        <w:tc>
          <w:tcPr>
            <w:tcW w:w="2405" w:type="dxa"/>
            <w:tcBorders>
              <w:top w:val="nil"/>
              <w:bottom w:val="nil"/>
            </w:tcBorders>
          </w:tcPr>
          <w:p w14:paraId="5800C474" w14:textId="621DD2D3" w:rsidR="00A61EFC" w:rsidRPr="00CB6EE4" w:rsidRDefault="00A61EFC" w:rsidP="00881C6D">
            <w:pPr>
              <w:jc w:val="left"/>
              <w:rPr>
                <w:rFonts w:ascii="Arial Narrow" w:hAnsi="Arial Narrow"/>
                <w:sz w:val="20"/>
                <w:szCs w:val="20"/>
              </w:rPr>
            </w:pPr>
            <w:r w:rsidRPr="00CB6EE4">
              <w:rPr>
                <w:rFonts w:ascii="Arial Narrow" w:hAnsi="Arial Narrow"/>
                <w:sz w:val="20"/>
                <w:szCs w:val="20"/>
              </w:rPr>
              <w:t>TULIP-2</w:t>
            </w:r>
            <w:r w:rsidR="0046558E">
              <w:rPr>
                <w:rFonts w:ascii="Arial Narrow" w:hAnsi="Arial Narrow"/>
                <w:sz w:val="20"/>
                <w:szCs w:val="20"/>
              </w:rPr>
              <w:t xml:space="preserve"> </w:t>
            </w:r>
            <w:proofErr w:type="spellStart"/>
            <w:r w:rsidR="0046558E">
              <w:rPr>
                <w:rFonts w:ascii="Arial Narrow" w:hAnsi="Arial Narrow"/>
                <w:sz w:val="20"/>
                <w:szCs w:val="20"/>
                <w:vertAlign w:val="superscript"/>
              </w:rPr>
              <w:t>i</w:t>
            </w:r>
            <w:proofErr w:type="spellEnd"/>
          </w:p>
        </w:tc>
        <w:tc>
          <w:tcPr>
            <w:tcW w:w="2204" w:type="dxa"/>
            <w:tcBorders>
              <w:top w:val="nil"/>
              <w:bottom w:val="nil"/>
            </w:tcBorders>
            <w:vAlign w:val="center"/>
          </w:tcPr>
          <w:p w14:paraId="307D6C89"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86/180 (47.8)</w:t>
            </w:r>
          </w:p>
        </w:tc>
        <w:tc>
          <w:tcPr>
            <w:tcW w:w="2190" w:type="dxa"/>
            <w:tcBorders>
              <w:top w:val="nil"/>
              <w:bottom w:val="nil"/>
            </w:tcBorders>
            <w:vAlign w:val="center"/>
          </w:tcPr>
          <w:p w14:paraId="56B987CE"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57/182 (31.5)</w:t>
            </w:r>
          </w:p>
        </w:tc>
        <w:tc>
          <w:tcPr>
            <w:tcW w:w="2218" w:type="dxa"/>
            <w:tcBorders>
              <w:top w:val="nil"/>
              <w:bottom w:val="nil"/>
            </w:tcBorders>
            <w:vAlign w:val="center"/>
          </w:tcPr>
          <w:p w14:paraId="269BC0FB" w14:textId="77777777" w:rsidR="00A61EFC" w:rsidRPr="00CB6EE4" w:rsidRDefault="00A61EFC" w:rsidP="00881C6D">
            <w:pPr>
              <w:jc w:val="center"/>
              <w:rPr>
                <w:rFonts w:ascii="Arial Narrow" w:hAnsi="Arial Narrow"/>
                <w:b/>
                <w:sz w:val="20"/>
                <w:szCs w:val="20"/>
              </w:rPr>
            </w:pPr>
            <w:r w:rsidRPr="00CB6EE4">
              <w:rPr>
                <w:rFonts w:ascii="Arial Narrow" w:hAnsi="Arial Narrow"/>
                <w:b/>
                <w:sz w:val="20"/>
                <w:szCs w:val="20"/>
              </w:rPr>
              <w:t xml:space="preserve">16.3 (6.3, </w:t>
            </w:r>
            <w:proofErr w:type="gramStart"/>
            <w:r w:rsidRPr="00CB6EE4">
              <w:rPr>
                <w:rFonts w:ascii="Arial Narrow" w:hAnsi="Arial Narrow"/>
                <w:b/>
                <w:sz w:val="20"/>
                <w:szCs w:val="20"/>
              </w:rPr>
              <w:t>26.3)</w:t>
            </w:r>
            <w:r w:rsidRPr="00CB6EE4">
              <w:rPr>
                <w:rFonts w:ascii="Arial Narrow" w:hAnsi="Arial Narrow"/>
                <w:b/>
                <w:sz w:val="20"/>
                <w:szCs w:val="20"/>
                <w:vertAlign w:val="superscript"/>
              </w:rPr>
              <w:t>b</w:t>
            </w:r>
            <w:proofErr w:type="gramEnd"/>
          </w:p>
        </w:tc>
      </w:tr>
      <w:tr w:rsidR="00A61EFC" w:rsidRPr="00CB6EE4" w14:paraId="396E26E1" w14:textId="77777777" w:rsidTr="00881C6D">
        <w:tc>
          <w:tcPr>
            <w:tcW w:w="2405" w:type="dxa"/>
            <w:tcBorders>
              <w:top w:val="nil"/>
              <w:bottom w:val="nil"/>
            </w:tcBorders>
          </w:tcPr>
          <w:p w14:paraId="02C404A5" w14:textId="77777777" w:rsidR="00A61EFC" w:rsidRPr="00CB6EE4" w:rsidRDefault="00A61EFC" w:rsidP="00881C6D">
            <w:pPr>
              <w:jc w:val="right"/>
              <w:rPr>
                <w:rFonts w:ascii="Arial Narrow" w:hAnsi="Arial Narrow"/>
                <w:sz w:val="20"/>
                <w:szCs w:val="20"/>
              </w:rPr>
            </w:pPr>
            <w:r w:rsidRPr="00CB6EE4">
              <w:rPr>
                <w:rFonts w:ascii="Arial Narrow" w:hAnsi="Arial Narrow"/>
                <w:sz w:val="20"/>
                <w:szCs w:val="20"/>
              </w:rPr>
              <w:t xml:space="preserve">TULIP 1 &amp; 2 </w:t>
            </w:r>
            <w:proofErr w:type="spellStart"/>
            <w:r w:rsidRPr="00CB6EE4">
              <w:rPr>
                <w:rFonts w:ascii="Arial Narrow" w:hAnsi="Arial Narrow"/>
                <w:sz w:val="20"/>
                <w:szCs w:val="20"/>
              </w:rPr>
              <w:t>pooled</w:t>
            </w:r>
            <w:r w:rsidRPr="00CB6EE4">
              <w:rPr>
                <w:rFonts w:ascii="Arial Narrow" w:hAnsi="Arial Narrow"/>
                <w:sz w:val="20"/>
                <w:szCs w:val="20"/>
                <w:vertAlign w:val="superscript"/>
              </w:rPr>
              <w:t>d</w:t>
            </w:r>
            <w:proofErr w:type="spellEnd"/>
          </w:p>
        </w:tc>
        <w:tc>
          <w:tcPr>
            <w:tcW w:w="2204" w:type="dxa"/>
            <w:tcBorders>
              <w:top w:val="nil"/>
              <w:bottom w:val="nil"/>
            </w:tcBorders>
            <w:vAlign w:val="center"/>
          </w:tcPr>
          <w:p w14:paraId="34F2EEAE"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169/360 (46.9)</w:t>
            </w:r>
          </w:p>
        </w:tc>
        <w:tc>
          <w:tcPr>
            <w:tcW w:w="2190" w:type="dxa"/>
            <w:tcBorders>
              <w:top w:val="nil"/>
              <w:bottom w:val="nil"/>
            </w:tcBorders>
            <w:vAlign w:val="center"/>
          </w:tcPr>
          <w:p w14:paraId="66BB60A7"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111/366 (30.3)</w:t>
            </w:r>
          </w:p>
        </w:tc>
        <w:tc>
          <w:tcPr>
            <w:tcW w:w="2218" w:type="dxa"/>
            <w:tcBorders>
              <w:top w:val="nil"/>
              <w:bottom w:val="nil"/>
            </w:tcBorders>
            <w:vAlign w:val="center"/>
          </w:tcPr>
          <w:p w14:paraId="3D77D689" w14:textId="77777777" w:rsidR="00A61EFC" w:rsidRPr="00CB6EE4" w:rsidRDefault="00A61EFC" w:rsidP="00881C6D">
            <w:pPr>
              <w:jc w:val="center"/>
              <w:rPr>
                <w:rFonts w:ascii="Arial Narrow" w:hAnsi="Arial Narrow"/>
                <w:b/>
                <w:sz w:val="20"/>
                <w:szCs w:val="20"/>
              </w:rPr>
            </w:pPr>
            <w:r w:rsidRPr="00CB6EE4">
              <w:rPr>
                <w:rFonts w:ascii="Arial Narrow" w:hAnsi="Arial Narrow"/>
                <w:b/>
                <w:sz w:val="20"/>
                <w:szCs w:val="20"/>
              </w:rPr>
              <w:t xml:space="preserve">16.8 (9.8, </w:t>
            </w:r>
            <w:proofErr w:type="gramStart"/>
            <w:r w:rsidRPr="00CB6EE4">
              <w:rPr>
                <w:rFonts w:ascii="Arial Narrow" w:hAnsi="Arial Narrow"/>
                <w:b/>
                <w:sz w:val="20"/>
                <w:szCs w:val="20"/>
              </w:rPr>
              <w:t>23.8)</w:t>
            </w:r>
            <w:r w:rsidRPr="00CB6EE4">
              <w:rPr>
                <w:rFonts w:ascii="Arial Narrow" w:hAnsi="Arial Narrow"/>
                <w:b/>
                <w:sz w:val="20"/>
                <w:szCs w:val="20"/>
                <w:vertAlign w:val="superscript"/>
              </w:rPr>
              <w:t>h</w:t>
            </w:r>
            <w:proofErr w:type="gramEnd"/>
          </w:p>
        </w:tc>
      </w:tr>
      <w:tr w:rsidR="00A61EFC" w:rsidRPr="00CB6EE4" w14:paraId="6E4D2259" w14:textId="77777777" w:rsidTr="00881C6D">
        <w:tc>
          <w:tcPr>
            <w:tcW w:w="2405" w:type="dxa"/>
            <w:tcBorders>
              <w:top w:val="nil"/>
              <w:bottom w:val="nil"/>
            </w:tcBorders>
          </w:tcPr>
          <w:p w14:paraId="51D648CC" w14:textId="77777777" w:rsidR="00A61EFC" w:rsidRPr="00CB6EE4" w:rsidRDefault="00A61EFC" w:rsidP="00881C6D">
            <w:pPr>
              <w:rPr>
                <w:rFonts w:ascii="Arial Narrow" w:hAnsi="Arial Narrow"/>
                <w:sz w:val="20"/>
                <w:szCs w:val="20"/>
              </w:rPr>
            </w:pPr>
            <w:r w:rsidRPr="00CB6EE4">
              <w:rPr>
                <w:rFonts w:ascii="Arial Narrow" w:hAnsi="Arial Narrow"/>
                <w:sz w:val="20"/>
                <w:szCs w:val="20"/>
              </w:rPr>
              <w:t>MUSE (incl. OCS taper)</w:t>
            </w:r>
          </w:p>
        </w:tc>
        <w:tc>
          <w:tcPr>
            <w:tcW w:w="2204" w:type="dxa"/>
            <w:tcBorders>
              <w:top w:val="nil"/>
              <w:bottom w:val="nil"/>
            </w:tcBorders>
            <w:vAlign w:val="center"/>
          </w:tcPr>
          <w:p w14:paraId="24B3A9C1"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43/99 (43.4%)</w:t>
            </w:r>
          </w:p>
        </w:tc>
        <w:tc>
          <w:tcPr>
            <w:tcW w:w="2190" w:type="dxa"/>
            <w:tcBorders>
              <w:top w:val="nil"/>
              <w:bottom w:val="nil"/>
            </w:tcBorders>
            <w:vAlign w:val="center"/>
          </w:tcPr>
          <w:p w14:paraId="1B841D51"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17/102 (16.8%)</w:t>
            </w:r>
          </w:p>
        </w:tc>
        <w:tc>
          <w:tcPr>
            <w:tcW w:w="2218" w:type="dxa"/>
            <w:tcBorders>
              <w:top w:val="nil"/>
              <w:bottom w:val="nil"/>
            </w:tcBorders>
            <w:vAlign w:val="center"/>
          </w:tcPr>
          <w:p w14:paraId="36657BDA" w14:textId="77777777" w:rsidR="00A61EFC" w:rsidRPr="00CB6EE4" w:rsidRDefault="00A61EFC" w:rsidP="00881C6D">
            <w:pPr>
              <w:jc w:val="center"/>
              <w:rPr>
                <w:rFonts w:ascii="Arial Narrow" w:hAnsi="Arial Narrow"/>
                <w:b/>
                <w:sz w:val="20"/>
                <w:szCs w:val="20"/>
              </w:rPr>
            </w:pPr>
            <w:r w:rsidRPr="00CB6EE4">
              <w:rPr>
                <w:rFonts w:ascii="Arial Narrow" w:hAnsi="Arial Narrow"/>
                <w:b/>
                <w:sz w:val="20"/>
                <w:szCs w:val="20"/>
              </w:rPr>
              <w:t xml:space="preserve">27 (15, </w:t>
            </w:r>
            <w:proofErr w:type="gramStart"/>
            <w:r w:rsidRPr="00CB6EE4">
              <w:rPr>
                <w:rFonts w:ascii="Arial Narrow" w:hAnsi="Arial Narrow"/>
                <w:b/>
                <w:sz w:val="20"/>
                <w:szCs w:val="20"/>
              </w:rPr>
              <w:t>39)</w:t>
            </w:r>
            <w:r w:rsidRPr="00CB6EE4">
              <w:rPr>
                <w:rFonts w:ascii="Arial Narrow" w:hAnsi="Arial Narrow"/>
                <w:b/>
                <w:sz w:val="20"/>
                <w:szCs w:val="20"/>
                <w:vertAlign w:val="superscript"/>
              </w:rPr>
              <w:t>f</w:t>
            </w:r>
            <w:proofErr w:type="gramEnd"/>
          </w:p>
        </w:tc>
      </w:tr>
      <w:tr w:rsidR="00A61EFC" w:rsidRPr="00CB6EE4" w14:paraId="1C7CAFD3" w14:textId="77777777" w:rsidTr="00881C6D">
        <w:tc>
          <w:tcPr>
            <w:tcW w:w="2405" w:type="dxa"/>
            <w:tcBorders>
              <w:top w:val="nil"/>
              <w:bottom w:val="single" w:sz="4" w:space="0" w:color="auto"/>
            </w:tcBorders>
          </w:tcPr>
          <w:p w14:paraId="202BAD77" w14:textId="77777777" w:rsidR="00A61EFC" w:rsidRPr="00CB6EE4" w:rsidRDefault="00A61EFC" w:rsidP="00881C6D">
            <w:pPr>
              <w:rPr>
                <w:rFonts w:ascii="Arial Narrow" w:hAnsi="Arial Narrow"/>
                <w:sz w:val="20"/>
                <w:szCs w:val="20"/>
              </w:rPr>
            </w:pPr>
            <w:r w:rsidRPr="00CB6EE4">
              <w:rPr>
                <w:rFonts w:ascii="Arial Narrow" w:hAnsi="Arial Narrow"/>
                <w:sz w:val="20"/>
                <w:szCs w:val="20"/>
              </w:rPr>
              <w:t>MUSE (excl. OCS taper)</w:t>
            </w:r>
          </w:p>
        </w:tc>
        <w:tc>
          <w:tcPr>
            <w:tcW w:w="2204" w:type="dxa"/>
            <w:tcBorders>
              <w:top w:val="nil"/>
              <w:bottom w:val="single" w:sz="4" w:space="0" w:color="auto"/>
            </w:tcBorders>
            <w:vAlign w:val="center"/>
          </w:tcPr>
          <w:p w14:paraId="46AA6EE5"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53/99 (53.5)</w:t>
            </w:r>
          </w:p>
        </w:tc>
        <w:tc>
          <w:tcPr>
            <w:tcW w:w="2190" w:type="dxa"/>
            <w:tcBorders>
              <w:top w:val="nil"/>
              <w:bottom w:val="single" w:sz="4" w:space="0" w:color="auto"/>
            </w:tcBorders>
            <w:vAlign w:val="center"/>
          </w:tcPr>
          <w:p w14:paraId="136D17AB"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26/102 (25.7)</w:t>
            </w:r>
          </w:p>
        </w:tc>
        <w:tc>
          <w:tcPr>
            <w:tcW w:w="2218" w:type="dxa"/>
            <w:tcBorders>
              <w:top w:val="nil"/>
              <w:bottom w:val="single" w:sz="4" w:space="0" w:color="auto"/>
            </w:tcBorders>
            <w:vAlign w:val="center"/>
          </w:tcPr>
          <w:p w14:paraId="5B31B1BE" w14:textId="77777777" w:rsidR="00A61EFC" w:rsidRPr="00CB6EE4" w:rsidRDefault="00A61EFC" w:rsidP="00881C6D">
            <w:pPr>
              <w:jc w:val="center"/>
              <w:rPr>
                <w:rFonts w:ascii="Arial Narrow" w:hAnsi="Arial Narrow"/>
                <w:b/>
                <w:sz w:val="20"/>
                <w:szCs w:val="20"/>
              </w:rPr>
            </w:pPr>
            <w:r w:rsidRPr="00CB6EE4">
              <w:rPr>
                <w:rFonts w:ascii="Arial Narrow" w:hAnsi="Arial Narrow"/>
                <w:b/>
                <w:sz w:val="20"/>
                <w:szCs w:val="20"/>
              </w:rPr>
              <w:t xml:space="preserve">28 (15, </w:t>
            </w:r>
            <w:proofErr w:type="gramStart"/>
            <w:r w:rsidRPr="00CB6EE4">
              <w:rPr>
                <w:rFonts w:ascii="Arial Narrow" w:hAnsi="Arial Narrow"/>
                <w:b/>
                <w:sz w:val="20"/>
                <w:szCs w:val="20"/>
              </w:rPr>
              <w:t>41)</w:t>
            </w:r>
            <w:r w:rsidRPr="00CB6EE4">
              <w:rPr>
                <w:rFonts w:ascii="Arial Narrow" w:hAnsi="Arial Narrow"/>
                <w:b/>
                <w:sz w:val="20"/>
                <w:szCs w:val="20"/>
                <w:vertAlign w:val="superscript"/>
              </w:rPr>
              <w:t>f</w:t>
            </w:r>
            <w:proofErr w:type="gramEnd"/>
          </w:p>
        </w:tc>
      </w:tr>
      <w:tr w:rsidR="00A61EFC" w:rsidRPr="00CB6EE4" w14:paraId="0D2D551C" w14:textId="77777777" w:rsidTr="002A2760">
        <w:tc>
          <w:tcPr>
            <w:tcW w:w="9017" w:type="dxa"/>
            <w:gridSpan w:val="4"/>
            <w:tcBorders>
              <w:bottom w:val="nil"/>
            </w:tcBorders>
            <w:shd w:val="clear" w:color="auto" w:fill="D9D9D9" w:themeFill="background1" w:themeFillShade="D9"/>
            <w:vAlign w:val="center"/>
          </w:tcPr>
          <w:p w14:paraId="7671F768" w14:textId="77777777" w:rsidR="00A61EFC" w:rsidRPr="00CB6EE4" w:rsidRDefault="00A61EFC" w:rsidP="00E02F62">
            <w:pPr>
              <w:keepNext/>
              <w:keepLines/>
              <w:ind w:left="102"/>
              <w:jc w:val="left"/>
              <w:rPr>
                <w:rFonts w:ascii="Arial Narrow" w:hAnsi="Arial Narrow"/>
                <w:b/>
                <w:sz w:val="20"/>
                <w:szCs w:val="20"/>
              </w:rPr>
            </w:pPr>
            <w:r w:rsidRPr="00CB6EE4">
              <w:rPr>
                <w:rFonts w:ascii="Arial Narrow" w:hAnsi="Arial Narrow"/>
                <w:b/>
                <w:sz w:val="20"/>
                <w:szCs w:val="20"/>
              </w:rPr>
              <w:t>Reduction of baseline BILAG A and B scores and no new 1A/2B BILAG domain scores</w:t>
            </w:r>
          </w:p>
        </w:tc>
      </w:tr>
      <w:tr w:rsidR="00A61EFC" w:rsidRPr="00CB6EE4" w14:paraId="7A4B0CE4" w14:textId="77777777" w:rsidTr="00881C6D">
        <w:tc>
          <w:tcPr>
            <w:tcW w:w="2405" w:type="dxa"/>
            <w:tcBorders>
              <w:top w:val="nil"/>
              <w:bottom w:val="nil"/>
            </w:tcBorders>
          </w:tcPr>
          <w:p w14:paraId="1F26BE42" w14:textId="77777777" w:rsidR="00A61EFC" w:rsidRPr="00CB6EE4" w:rsidRDefault="00A61EFC" w:rsidP="00E02F62">
            <w:pPr>
              <w:keepNext/>
              <w:keepLines/>
              <w:ind w:left="102"/>
              <w:rPr>
                <w:rFonts w:ascii="Arial Narrow" w:hAnsi="Arial Narrow"/>
                <w:sz w:val="20"/>
                <w:szCs w:val="20"/>
              </w:rPr>
            </w:pPr>
            <w:r w:rsidRPr="00CB6EE4">
              <w:rPr>
                <w:rFonts w:ascii="Arial Narrow" w:hAnsi="Arial Narrow"/>
                <w:sz w:val="20"/>
                <w:szCs w:val="20"/>
              </w:rPr>
              <w:t>TULIP-1 (pre-specified)</w:t>
            </w:r>
            <w:r w:rsidRPr="00CB6EE4">
              <w:rPr>
                <w:rFonts w:ascii="Arial Narrow" w:hAnsi="Arial Narrow"/>
                <w:sz w:val="20"/>
                <w:szCs w:val="20"/>
                <w:vertAlign w:val="superscript"/>
              </w:rPr>
              <w:t xml:space="preserve"> a</w:t>
            </w:r>
          </w:p>
        </w:tc>
        <w:tc>
          <w:tcPr>
            <w:tcW w:w="2204" w:type="dxa"/>
            <w:tcBorders>
              <w:top w:val="nil"/>
              <w:bottom w:val="nil"/>
            </w:tcBorders>
            <w:vAlign w:val="center"/>
          </w:tcPr>
          <w:p w14:paraId="2C5DAE76" w14:textId="77777777" w:rsidR="00A61EFC" w:rsidRPr="00CB6EE4" w:rsidRDefault="00A61EFC" w:rsidP="00E02F62">
            <w:pPr>
              <w:keepNext/>
              <w:keepLines/>
              <w:ind w:left="102"/>
              <w:jc w:val="center"/>
              <w:rPr>
                <w:rFonts w:ascii="Arial Narrow" w:hAnsi="Arial Narrow"/>
                <w:sz w:val="20"/>
                <w:szCs w:val="20"/>
              </w:rPr>
            </w:pPr>
            <w:r w:rsidRPr="00CB6EE4">
              <w:rPr>
                <w:rFonts w:ascii="Arial Narrow" w:hAnsi="Arial Narrow"/>
                <w:sz w:val="20"/>
                <w:szCs w:val="20"/>
              </w:rPr>
              <w:t>67/180 (37.2)</w:t>
            </w:r>
          </w:p>
        </w:tc>
        <w:tc>
          <w:tcPr>
            <w:tcW w:w="2190" w:type="dxa"/>
            <w:tcBorders>
              <w:top w:val="nil"/>
              <w:bottom w:val="nil"/>
            </w:tcBorders>
            <w:vAlign w:val="center"/>
          </w:tcPr>
          <w:p w14:paraId="20FABF75" w14:textId="77777777" w:rsidR="00A61EFC" w:rsidRPr="00CB6EE4" w:rsidRDefault="00A61EFC" w:rsidP="00E02F62">
            <w:pPr>
              <w:keepNext/>
              <w:keepLines/>
              <w:ind w:left="102"/>
              <w:jc w:val="center"/>
              <w:rPr>
                <w:rFonts w:ascii="Arial Narrow" w:hAnsi="Arial Narrow"/>
                <w:sz w:val="20"/>
                <w:szCs w:val="20"/>
              </w:rPr>
            </w:pPr>
            <w:r w:rsidRPr="00CB6EE4">
              <w:rPr>
                <w:rFonts w:ascii="Arial Narrow" w:hAnsi="Arial Narrow"/>
                <w:sz w:val="20"/>
                <w:szCs w:val="20"/>
              </w:rPr>
              <w:t>51/184 (27.7)</w:t>
            </w:r>
          </w:p>
        </w:tc>
        <w:tc>
          <w:tcPr>
            <w:tcW w:w="2218" w:type="dxa"/>
            <w:tcBorders>
              <w:top w:val="nil"/>
              <w:bottom w:val="nil"/>
            </w:tcBorders>
            <w:vAlign w:val="center"/>
          </w:tcPr>
          <w:p w14:paraId="4E8FB622" w14:textId="77777777" w:rsidR="00A61EFC" w:rsidRPr="00CB6EE4" w:rsidRDefault="00A61EFC" w:rsidP="00E02F62">
            <w:pPr>
              <w:keepNext/>
              <w:keepLines/>
              <w:ind w:left="102"/>
              <w:jc w:val="center"/>
              <w:rPr>
                <w:rFonts w:ascii="Arial Narrow" w:hAnsi="Arial Narrow"/>
                <w:sz w:val="20"/>
                <w:szCs w:val="20"/>
              </w:rPr>
            </w:pPr>
            <w:r w:rsidRPr="00CB6EE4">
              <w:rPr>
                <w:rFonts w:ascii="Arial Narrow" w:hAnsi="Arial Narrow"/>
                <w:sz w:val="20"/>
                <w:szCs w:val="20"/>
              </w:rPr>
              <w:t>10 (-0, 19)</w:t>
            </w:r>
          </w:p>
        </w:tc>
      </w:tr>
      <w:tr w:rsidR="00A61EFC" w:rsidRPr="00CB6EE4" w14:paraId="3C110EF7" w14:textId="77777777" w:rsidTr="00881C6D">
        <w:tc>
          <w:tcPr>
            <w:tcW w:w="2405" w:type="dxa"/>
            <w:tcBorders>
              <w:top w:val="nil"/>
              <w:bottom w:val="nil"/>
            </w:tcBorders>
          </w:tcPr>
          <w:p w14:paraId="2C3A7F2A" w14:textId="77777777" w:rsidR="00A61EFC" w:rsidRPr="00CB6EE4" w:rsidRDefault="00A61EFC" w:rsidP="00E02F62">
            <w:pPr>
              <w:keepNext/>
              <w:keepLines/>
              <w:ind w:left="102"/>
              <w:rPr>
                <w:rFonts w:ascii="Arial Narrow" w:hAnsi="Arial Narrow"/>
                <w:sz w:val="20"/>
                <w:szCs w:val="20"/>
              </w:rPr>
            </w:pPr>
            <w:r w:rsidRPr="00CB6EE4">
              <w:rPr>
                <w:rFonts w:ascii="Arial Narrow" w:hAnsi="Arial Narrow"/>
                <w:sz w:val="20"/>
                <w:szCs w:val="20"/>
              </w:rPr>
              <w:t>TULIP-1 (post-hoc)</w:t>
            </w:r>
            <w:r w:rsidRPr="00CB6EE4">
              <w:rPr>
                <w:rFonts w:ascii="Arial Narrow" w:hAnsi="Arial Narrow"/>
                <w:sz w:val="20"/>
                <w:szCs w:val="20"/>
                <w:vertAlign w:val="superscript"/>
              </w:rPr>
              <w:t xml:space="preserve"> c</w:t>
            </w:r>
          </w:p>
        </w:tc>
        <w:tc>
          <w:tcPr>
            <w:tcW w:w="2204" w:type="dxa"/>
            <w:tcBorders>
              <w:top w:val="nil"/>
              <w:bottom w:val="nil"/>
            </w:tcBorders>
            <w:vAlign w:val="center"/>
          </w:tcPr>
          <w:p w14:paraId="5B2D3D4E" w14:textId="77777777" w:rsidR="00A61EFC" w:rsidRPr="00CB6EE4" w:rsidRDefault="00A61EFC" w:rsidP="00E02F62">
            <w:pPr>
              <w:keepNext/>
              <w:keepLines/>
              <w:ind w:left="102"/>
              <w:jc w:val="center"/>
              <w:rPr>
                <w:rFonts w:ascii="Arial Narrow" w:hAnsi="Arial Narrow"/>
                <w:sz w:val="20"/>
                <w:szCs w:val="20"/>
              </w:rPr>
            </w:pPr>
            <w:r w:rsidRPr="00CB6EE4">
              <w:rPr>
                <w:rFonts w:ascii="Arial Narrow" w:hAnsi="Arial Narrow"/>
                <w:sz w:val="20"/>
                <w:szCs w:val="20"/>
              </w:rPr>
              <w:t>83/180 (46.1)</w:t>
            </w:r>
          </w:p>
        </w:tc>
        <w:tc>
          <w:tcPr>
            <w:tcW w:w="2190" w:type="dxa"/>
            <w:tcBorders>
              <w:top w:val="nil"/>
              <w:bottom w:val="nil"/>
            </w:tcBorders>
            <w:vAlign w:val="center"/>
          </w:tcPr>
          <w:p w14:paraId="7195CB60" w14:textId="77777777" w:rsidR="00A61EFC" w:rsidRPr="00CB6EE4" w:rsidRDefault="00A61EFC" w:rsidP="00E02F62">
            <w:pPr>
              <w:keepNext/>
              <w:keepLines/>
              <w:ind w:left="102"/>
              <w:jc w:val="center"/>
              <w:rPr>
                <w:rFonts w:ascii="Arial Narrow" w:hAnsi="Arial Narrow"/>
                <w:sz w:val="20"/>
                <w:szCs w:val="20"/>
              </w:rPr>
            </w:pPr>
            <w:r w:rsidRPr="00CB6EE4">
              <w:rPr>
                <w:rFonts w:ascii="Arial Narrow" w:hAnsi="Arial Narrow"/>
                <w:sz w:val="20"/>
                <w:szCs w:val="20"/>
              </w:rPr>
              <w:t>57/184 (31.0)</w:t>
            </w:r>
          </w:p>
        </w:tc>
        <w:tc>
          <w:tcPr>
            <w:tcW w:w="2218" w:type="dxa"/>
            <w:tcBorders>
              <w:top w:val="nil"/>
              <w:bottom w:val="nil"/>
            </w:tcBorders>
            <w:vAlign w:val="center"/>
          </w:tcPr>
          <w:p w14:paraId="1AA80D40" w14:textId="77777777" w:rsidR="00A61EFC" w:rsidRPr="00CB6EE4" w:rsidRDefault="00A61EFC" w:rsidP="00E02F62">
            <w:pPr>
              <w:keepNext/>
              <w:keepLines/>
              <w:ind w:left="102"/>
              <w:jc w:val="center"/>
              <w:rPr>
                <w:rFonts w:ascii="Arial Narrow" w:hAnsi="Arial Narrow"/>
                <w:b/>
                <w:sz w:val="20"/>
                <w:szCs w:val="20"/>
              </w:rPr>
            </w:pPr>
            <w:r w:rsidRPr="00CB6EE4">
              <w:rPr>
                <w:rFonts w:ascii="Arial Narrow" w:hAnsi="Arial Narrow"/>
                <w:b/>
                <w:sz w:val="20"/>
                <w:szCs w:val="20"/>
              </w:rPr>
              <w:t>15 (5, 25)</w:t>
            </w:r>
          </w:p>
        </w:tc>
      </w:tr>
      <w:tr w:rsidR="00A61EFC" w:rsidRPr="00CB6EE4" w14:paraId="14769E0F" w14:textId="77777777" w:rsidTr="00881C6D">
        <w:tc>
          <w:tcPr>
            <w:tcW w:w="2405" w:type="dxa"/>
            <w:tcBorders>
              <w:top w:val="nil"/>
              <w:bottom w:val="nil"/>
            </w:tcBorders>
          </w:tcPr>
          <w:p w14:paraId="7577F4D7" w14:textId="77777777" w:rsidR="00A61EFC" w:rsidRPr="00CB6EE4" w:rsidRDefault="00A61EFC" w:rsidP="00E02F62">
            <w:pPr>
              <w:keepNext/>
              <w:keepLines/>
              <w:ind w:left="102"/>
              <w:rPr>
                <w:rFonts w:ascii="Arial Narrow" w:hAnsi="Arial Narrow"/>
                <w:sz w:val="20"/>
                <w:szCs w:val="20"/>
              </w:rPr>
            </w:pPr>
            <w:r w:rsidRPr="00CB6EE4">
              <w:rPr>
                <w:rFonts w:ascii="Arial Narrow" w:hAnsi="Arial Narrow"/>
                <w:sz w:val="20"/>
                <w:szCs w:val="20"/>
              </w:rPr>
              <w:t>TULIP-2</w:t>
            </w:r>
          </w:p>
        </w:tc>
        <w:tc>
          <w:tcPr>
            <w:tcW w:w="2204" w:type="dxa"/>
            <w:tcBorders>
              <w:top w:val="nil"/>
              <w:bottom w:val="nil"/>
            </w:tcBorders>
            <w:vAlign w:val="center"/>
          </w:tcPr>
          <w:p w14:paraId="15F8D784" w14:textId="77777777" w:rsidR="00A61EFC" w:rsidRPr="00CB6EE4" w:rsidRDefault="00A61EFC" w:rsidP="00E02F62">
            <w:pPr>
              <w:keepNext/>
              <w:keepLines/>
              <w:ind w:left="102"/>
              <w:jc w:val="center"/>
              <w:rPr>
                <w:rFonts w:ascii="Arial Narrow" w:hAnsi="Arial Narrow"/>
                <w:sz w:val="20"/>
                <w:szCs w:val="20"/>
              </w:rPr>
            </w:pPr>
            <w:r w:rsidRPr="00CB6EE4">
              <w:rPr>
                <w:rFonts w:ascii="Arial Narrow" w:hAnsi="Arial Narrow"/>
                <w:sz w:val="20"/>
                <w:szCs w:val="20"/>
              </w:rPr>
              <w:t>88/180 (48.9)</w:t>
            </w:r>
          </w:p>
        </w:tc>
        <w:tc>
          <w:tcPr>
            <w:tcW w:w="2190" w:type="dxa"/>
            <w:tcBorders>
              <w:top w:val="nil"/>
              <w:bottom w:val="nil"/>
            </w:tcBorders>
            <w:vAlign w:val="center"/>
          </w:tcPr>
          <w:p w14:paraId="06709CBA" w14:textId="77777777" w:rsidR="00A61EFC" w:rsidRPr="00CB6EE4" w:rsidRDefault="00A61EFC" w:rsidP="00E02F62">
            <w:pPr>
              <w:keepNext/>
              <w:keepLines/>
              <w:ind w:left="102"/>
              <w:jc w:val="center"/>
              <w:rPr>
                <w:rFonts w:ascii="Arial Narrow" w:hAnsi="Arial Narrow"/>
                <w:sz w:val="20"/>
                <w:szCs w:val="20"/>
              </w:rPr>
            </w:pPr>
            <w:r w:rsidRPr="00CB6EE4">
              <w:rPr>
                <w:rFonts w:ascii="Arial Narrow" w:hAnsi="Arial Narrow"/>
                <w:sz w:val="20"/>
                <w:szCs w:val="20"/>
              </w:rPr>
              <w:t>59/182 (32.4)</w:t>
            </w:r>
          </w:p>
        </w:tc>
        <w:tc>
          <w:tcPr>
            <w:tcW w:w="2218" w:type="dxa"/>
            <w:tcBorders>
              <w:top w:val="nil"/>
              <w:bottom w:val="nil"/>
            </w:tcBorders>
            <w:vAlign w:val="center"/>
          </w:tcPr>
          <w:p w14:paraId="293940C5" w14:textId="77777777" w:rsidR="00A61EFC" w:rsidRPr="00CB6EE4" w:rsidRDefault="00A61EFC" w:rsidP="00E02F62">
            <w:pPr>
              <w:keepNext/>
              <w:keepLines/>
              <w:ind w:left="102"/>
              <w:jc w:val="center"/>
              <w:rPr>
                <w:rFonts w:ascii="Arial Narrow" w:hAnsi="Arial Narrow"/>
                <w:b/>
                <w:sz w:val="20"/>
                <w:szCs w:val="20"/>
              </w:rPr>
            </w:pPr>
            <w:r w:rsidRPr="00CB6EE4">
              <w:rPr>
                <w:rFonts w:ascii="Arial Narrow" w:hAnsi="Arial Narrow"/>
                <w:b/>
                <w:sz w:val="20"/>
                <w:szCs w:val="20"/>
              </w:rPr>
              <w:t>16 (6, 26)</w:t>
            </w:r>
          </w:p>
        </w:tc>
      </w:tr>
      <w:tr w:rsidR="00A61EFC" w:rsidRPr="00CB6EE4" w14:paraId="15BD340C" w14:textId="77777777" w:rsidTr="00881C6D">
        <w:tc>
          <w:tcPr>
            <w:tcW w:w="2405" w:type="dxa"/>
            <w:tcBorders>
              <w:top w:val="nil"/>
              <w:bottom w:val="nil"/>
            </w:tcBorders>
          </w:tcPr>
          <w:p w14:paraId="259A6CC8" w14:textId="77777777" w:rsidR="00A61EFC" w:rsidRPr="00CB6EE4" w:rsidRDefault="00A61EFC" w:rsidP="00E02F62">
            <w:pPr>
              <w:keepNext/>
              <w:keepLines/>
              <w:ind w:left="102"/>
              <w:jc w:val="right"/>
              <w:rPr>
                <w:rFonts w:ascii="Arial Narrow" w:hAnsi="Arial Narrow"/>
                <w:sz w:val="20"/>
                <w:szCs w:val="20"/>
              </w:rPr>
            </w:pPr>
            <w:r w:rsidRPr="00CB6EE4">
              <w:rPr>
                <w:rFonts w:ascii="Arial Narrow" w:hAnsi="Arial Narrow"/>
                <w:sz w:val="20"/>
                <w:szCs w:val="20"/>
              </w:rPr>
              <w:t xml:space="preserve">TULIP 1 &amp; 2 </w:t>
            </w:r>
            <w:proofErr w:type="spellStart"/>
            <w:r w:rsidRPr="00CB6EE4">
              <w:rPr>
                <w:rFonts w:ascii="Arial Narrow" w:hAnsi="Arial Narrow"/>
                <w:sz w:val="20"/>
                <w:szCs w:val="20"/>
              </w:rPr>
              <w:t>pooled</w:t>
            </w:r>
            <w:r w:rsidRPr="00CB6EE4">
              <w:rPr>
                <w:rFonts w:ascii="Arial Narrow" w:hAnsi="Arial Narrow"/>
                <w:sz w:val="20"/>
                <w:szCs w:val="20"/>
                <w:vertAlign w:val="superscript"/>
              </w:rPr>
              <w:t>d</w:t>
            </w:r>
            <w:proofErr w:type="spellEnd"/>
          </w:p>
        </w:tc>
        <w:tc>
          <w:tcPr>
            <w:tcW w:w="2204" w:type="dxa"/>
            <w:tcBorders>
              <w:top w:val="nil"/>
              <w:bottom w:val="nil"/>
            </w:tcBorders>
            <w:vAlign w:val="center"/>
          </w:tcPr>
          <w:p w14:paraId="304C0B80" w14:textId="77777777" w:rsidR="00A61EFC" w:rsidRPr="00CB6EE4" w:rsidRDefault="00A61EFC" w:rsidP="00E02F62">
            <w:pPr>
              <w:keepNext/>
              <w:keepLines/>
              <w:ind w:left="102"/>
              <w:jc w:val="center"/>
              <w:rPr>
                <w:rFonts w:ascii="Arial Narrow" w:hAnsi="Arial Narrow"/>
                <w:sz w:val="20"/>
                <w:szCs w:val="20"/>
              </w:rPr>
            </w:pPr>
            <w:r w:rsidRPr="00CB6EE4">
              <w:rPr>
                <w:rFonts w:ascii="Arial Narrow" w:hAnsi="Arial Narrow"/>
                <w:sz w:val="20"/>
                <w:szCs w:val="20"/>
              </w:rPr>
              <w:t>171/360 (47.5)</w:t>
            </w:r>
          </w:p>
        </w:tc>
        <w:tc>
          <w:tcPr>
            <w:tcW w:w="2190" w:type="dxa"/>
            <w:tcBorders>
              <w:top w:val="nil"/>
              <w:bottom w:val="nil"/>
            </w:tcBorders>
            <w:vAlign w:val="center"/>
          </w:tcPr>
          <w:p w14:paraId="7061F4FB" w14:textId="77777777" w:rsidR="00A61EFC" w:rsidRPr="00CB6EE4" w:rsidRDefault="00A61EFC" w:rsidP="00E02F62">
            <w:pPr>
              <w:keepNext/>
              <w:keepLines/>
              <w:ind w:left="102"/>
              <w:jc w:val="center"/>
              <w:rPr>
                <w:rFonts w:ascii="Arial Narrow" w:hAnsi="Arial Narrow"/>
                <w:sz w:val="20"/>
                <w:szCs w:val="20"/>
              </w:rPr>
            </w:pPr>
            <w:r w:rsidRPr="00CB6EE4">
              <w:rPr>
                <w:rFonts w:ascii="Arial Narrow" w:hAnsi="Arial Narrow"/>
                <w:sz w:val="20"/>
                <w:szCs w:val="20"/>
              </w:rPr>
              <w:t>116/366 (31.7)</w:t>
            </w:r>
          </w:p>
        </w:tc>
        <w:tc>
          <w:tcPr>
            <w:tcW w:w="2218" w:type="dxa"/>
            <w:tcBorders>
              <w:top w:val="nil"/>
              <w:bottom w:val="nil"/>
            </w:tcBorders>
            <w:vAlign w:val="center"/>
          </w:tcPr>
          <w:p w14:paraId="790025F6" w14:textId="77777777" w:rsidR="00A61EFC" w:rsidRPr="00CB6EE4" w:rsidRDefault="00A61EFC" w:rsidP="00E02F62">
            <w:pPr>
              <w:keepNext/>
              <w:keepLines/>
              <w:ind w:left="102"/>
              <w:jc w:val="center"/>
              <w:rPr>
                <w:rFonts w:ascii="Arial Narrow" w:hAnsi="Arial Narrow"/>
                <w:b/>
                <w:sz w:val="20"/>
                <w:szCs w:val="20"/>
              </w:rPr>
            </w:pPr>
            <w:r w:rsidRPr="00CB6EE4">
              <w:rPr>
                <w:rFonts w:ascii="Arial Narrow" w:hAnsi="Arial Narrow"/>
                <w:b/>
                <w:sz w:val="20"/>
                <w:szCs w:val="20"/>
              </w:rPr>
              <w:t>16 (9, 23)</w:t>
            </w:r>
          </w:p>
        </w:tc>
      </w:tr>
      <w:tr w:rsidR="00A61EFC" w:rsidRPr="00CB6EE4" w14:paraId="65C53CA8" w14:textId="77777777" w:rsidTr="00881C6D">
        <w:tc>
          <w:tcPr>
            <w:tcW w:w="2405" w:type="dxa"/>
            <w:tcBorders>
              <w:top w:val="nil"/>
              <w:bottom w:val="single" w:sz="4" w:space="0" w:color="auto"/>
            </w:tcBorders>
          </w:tcPr>
          <w:p w14:paraId="16827692" w14:textId="77777777" w:rsidR="00A61EFC" w:rsidRPr="00CB6EE4" w:rsidRDefault="00A61EFC" w:rsidP="00E02F62">
            <w:pPr>
              <w:keepNext/>
              <w:keepLines/>
              <w:ind w:left="102"/>
              <w:rPr>
                <w:rFonts w:ascii="Arial Narrow" w:hAnsi="Arial Narrow"/>
                <w:sz w:val="20"/>
                <w:szCs w:val="20"/>
              </w:rPr>
            </w:pPr>
            <w:r w:rsidRPr="00CB6EE4">
              <w:rPr>
                <w:rFonts w:ascii="Arial Narrow" w:hAnsi="Arial Narrow"/>
                <w:sz w:val="20"/>
                <w:szCs w:val="20"/>
              </w:rPr>
              <w:t>MUSE</w:t>
            </w:r>
          </w:p>
        </w:tc>
        <w:tc>
          <w:tcPr>
            <w:tcW w:w="2204" w:type="dxa"/>
            <w:tcBorders>
              <w:top w:val="nil"/>
              <w:bottom w:val="single" w:sz="4" w:space="0" w:color="auto"/>
            </w:tcBorders>
            <w:vAlign w:val="center"/>
          </w:tcPr>
          <w:p w14:paraId="260B7A16" w14:textId="77777777" w:rsidR="00A61EFC" w:rsidRPr="00CB6EE4" w:rsidRDefault="00A61EFC" w:rsidP="00E02F62">
            <w:pPr>
              <w:keepNext/>
              <w:keepLines/>
              <w:ind w:left="102"/>
              <w:jc w:val="center"/>
              <w:rPr>
                <w:rFonts w:ascii="Arial Narrow" w:hAnsi="Arial Narrow"/>
                <w:sz w:val="20"/>
                <w:szCs w:val="20"/>
              </w:rPr>
            </w:pPr>
            <w:r w:rsidRPr="00CB6EE4">
              <w:rPr>
                <w:rFonts w:ascii="Arial Narrow" w:hAnsi="Arial Narrow"/>
                <w:sz w:val="20"/>
                <w:szCs w:val="20"/>
              </w:rPr>
              <w:t>NR</w:t>
            </w:r>
          </w:p>
        </w:tc>
        <w:tc>
          <w:tcPr>
            <w:tcW w:w="2190" w:type="dxa"/>
            <w:tcBorders>
              <w:top w:val="nil"/>
              <w:bottom w:val="single" w:sz="4" w:space="0" w:color="auto"/>
            </w:tcBorders>
            <w:vAlign w:val="center"/>
          </w:tcPr>
          <w:p w14:paraId="21575691" w14:textId="77777777" w:rsidR="00A61EFC" w:rsidRPr="00CB6EE4" w:rsidRDefault="00A61EFC" w:rsidP="00E02F62">
            <w:pPr>
              <w:keepNext/>
              <w:keepLines/>
              <w:ind w:left="102"/>
              <w:jc w:val="center"/>
              <w:rPr>
                <w:rFonts w:ascii="Arial Narrow" w:hAnsi="Arial Narrow"/>
                <w:sz w:val="20"/>
                <w:szCs w:val="20"/>
              </w:rPr>
            </w:pPr>
            <w:r w:rsidRPr="00CB6EE4">
              <w:rPr>
                <w:rFonts w:ascii="Arial Narrow" w:hAnsi="Arial Narrow"/>
                <w:sz w:val="20"/>
                <w:szCs w:val="20"/>
              </w:rPr>
              <w:t>NR</w:t>
            </w:r>
          </w:p>
        </w:tc>
        <w:tc>
          <w:tcPr>
            <w:tcW w:w="2218" w:type="dxa"/>
            <w:tcBorders>
              <w:top w:val="nil"/>
              <w:bottom w:val="single" w:sz="4" w:space="0" w:color="auto"/>
            </w:tcBorders>
            <w:vAlign w:val="center"/>
          </w:tcPr>
          <w:p w14:paraId="2EA0B179" w14:textId="77777777" w:rsidR="00A61EFC" w:rsidRPr="00CB6EE4" w:rsidRDefault="00A61EFC" w:rsidP="00E02F62">
            <w:pPr>
              <w:keepNext/>
              <w:keepLines/>
              <w:ind w:left="102"/>
              <w:jc w:val="center"/>
              <w:rPr>
                <w:rFonts w:ascii="Arial Narrow" w:hAnsi="Arial Narrow"/>
                <w:sz w:val="20"/>
                <w:szCs w:val="20"/>
              </w:rPr>
            </w:pPr>
            <w:r w:rsidRPr="00CB6EE4">
              <w:rPr>
                <w:rFonts w:ascii="Arial Narrow" w:hAnsi="Arial Narrow"/>
                <w:sz w:val="20"/>
                <w:szCs w:val="20"/>
              </w:rPr>
              <w:t>-</w:t>
            </w:r>
          </w:p>
        </w:tc>
      </w:tr>
      <w:tr w:rsidR="00A61EFC" w:rsidRPr="00CB6EE4" w14:paraId="681E4EC2" w14:textId="77777777" w:rsidTr="002A2760">
        <w:tc>
          <w:tcPr>
            <w:tcW w:w="9017" w:type="dxa"/>
            <w:gridSpan w:val="4"/>
            <w:tcBorders>
              <w:bottom w:val="nil"/>
            </w:tcBorders>
            <w:shd w:val="clear" w:color="auto" w:fill="D9D9D9" w:themeFill="background1" w:themeFillShade="D9"/>
            <w:vAlign w:val="center"/>
          </w:tcPr>
          <w:p w14:paraId="5AB4E0BB" w14:textId="77777777" w:rsidR="00A61EFC" w:rsidRPr="00CB6EE4" w:rsidRDefault="00A61EFC" w:rsidP="00881C6D">
            <w:pPr>
              <w:ind w:left="104"/>
              <w:jc w:val="left"/>
              <w:rPr>
                <w:rFonts w:ascii="Arial Narrow" w:hAnsi="Arial Narrow"/>
                <w:b/>
                <w:sz w:val="20"/>
                <w:szCs w:val="20"/>
              </w:rPr>
            </w:pPr>
            <w:r w:rsidRPr="00CB6EE4">
              <w:rPr>
                <w:rFonts w:ascii="Arial Narrow" w:hAnsi="Arial Narrow"/>
                <w:b/>
                <w:sz w:val="20"/>
                <w:szCs w:val="20"/>
              </w:rPr>
              <w:t>No worsening (increase &gt;0 points) from baseline in the SLEDAI-2K score</w:t>
            </w:r>
          </w:p>
        </w:tc>
      </w:tr>
      <w:tr w:rsidR="00A61EFC" w:rsidRPr="00CB6EE4" w14:paraId="14F1167E" w14:textId="77777777" w:rsidTr="00881C6D">
        <w:tc>
          <w:tcPr>
            <w:tcW w:w="2405" w:type="dxa"/>
            <w:tcBorders>
              <w:top w:val="nil"/>
              <w:bottom w:val="nil"/>
            </w:tcBorders>
          </w:tcPr>
          <w:p w14:paraId="6DC046BC" w14:textId="77777777" w:rsidR="00A61EFC" w:rsidRPr="00CB6EE4" w:rsidRDefault="00A61EFC" w:rsidP="00881C6D">
            <w:pPr>
              <w:ind w:left="104"/>
              <w:rPr>
                <w:rFonts w:ascii="Arial Narrow" w:hAnsi="Arial Narrow"/>
                <w:sz w:val="20"/>
                <w:szCs w:val="20"/>
              </w:rPr>
            </w:pPr>
            <w:r w:rsidRPr="00CB6EE4">
              <w:rPr>
                <w:rFonts w:ascii="Arial Narrow" w:hAnsi="Arial Narrow"/>
                <w:sz w:val="20"/>
                <w:szCs w:val="20"/>
              </w:rPr>
              <w:t>TULIP-1 (pre-specified)</w:t>
            </w:r>
            <w:r w:rsidRPr="00CB6EE4">
              <w:rPr>
                <w:rFonts w:ascii="Arial Narrow" w:hAnsi="Arial Narrow"/>
                <w:sz w:val="20"/>
                <w:szCs w:val="20"/>
                <w:vertAlign w:val="superscript"/>
              </w:rPr>
              <w:t xml:space="preserve"> a</w:t>
            </w:r>
          </w:p>
        </w:tc>
        <w:tc>
          <w:tcPr>
            <w:tcW w:w="2204" w:type="dxa"/>
            <w:tcBorders>
              <w:top w:val="nil"/>
              <w:bottom w:val="nil"/>
            </w:tcBorders>
            <w:vAlign w:val="center"/>
          </w:tcPr>
          <w:p w14:paraId="04668779"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98/180 (54.4)</w:t>
            </w:r>
          </w:p>
        </w:tc>
        <w:tc>
          <w:tcPr>
            <w:tcW w:w="2190" w:type="dxa"/>
            <w:tcBorders>
              <w:top w:val="nil"/>
              <w:bottom w:val="nil"/>
            </w:tcBorders>
            <w:vAlign w:val="center"/>
          </w:tcPr>
          <w:p w14:paraId="6C67D318"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96/184 (52.2)</w:t>
            </w:r>
          </w:p>
        </w:tc>
        <w:tc>
          <w:tcPr>
            <w:tcW w:w="2218" w:type="dxa"/>
            <w:tcBorders>
              <w:top w:val="nil"/>
              <w:bottom w:val="nil"/>
            </w:tcBorders>
            <w:vAlign w:val="center"/>
          </w:tcPr>
          <w:p w14:paraId="661A2B04"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2 (-8, 13)</w:t>
            </w:r>
          </w:p>
        </w:tc>
      </w:tr>
      <w:tr w:rsidR="00A61EFC" w:rsidRPr="00CB6EE4" w14:paraId="089AE4F7" w14:textId="77777777" w:rsidTr="00881C6D">
        <w:tc>
          <w:tcPr>
            <w:tcW w:w="2405" w:type="dxa"/>
            <w:tcBorders>
              <w:top w:val="nil"/>
              <w:bottom w:val="nil"/>
            </w:tcBorders>
          </w:tcPr>
          <w:p w14:paraId="7FF891AC" w14:textId="77777777" w:rsidR="00A61EFC" w:rsidRPr="00CB6EE4" w:rsidRDefault="00A61EFC" w:rsidP="00881C6D">
            <w:pPr>
              <w:ind w:left="104"/>
              <w:rPr>
                <w:rFonts w:ascii="Arial Narrow" w:hAnsi="Arial Narrow"/>
                <w:sz w:val="20"/>
                <w:szCs w:val="20"/>
              </w:rPr>
            </w:pPr>
            <w:r w:rsidRPr="00CB6EE4">
              <w:rPr>
                <w:rFonts w:ascii="Arial Narrow" w:hAnsi="Arial Narrow"/>
                <w:sz w:val="20"/>
                <w:szCs w:val="20"/>
              </w:rPr>
              <w:t>TULIP-1 (post-hoc)</w:t>
            </w:r>
            <w:r w:rsidRPr="00CB6EE4">
              <w:rPr>
                <w:rFonts w:ascii="Arial Narrow" w:hAnsi="Arial Narrow"/>
                <w:sz w:val="20"/>
                <w:szCs w:val="20"/>
                <w:vertAlign w:val="superscript"/>
              </w:rPr>
              <w:t xml:space="preserve"> c</w:t>
            </w:r>
          </w:p>
        </w:tc>
        <w:tc>
          <w:tcPr>
            <w:tcW w:w="2204" w:type="dxa"/>
            <w:tcBorders>
              <w:top w:val="nil"/>
              <w:bottom w:val="nil"/>
            </w:tcBorders>
            <w:vAlign w:val="center"/>
          </w:tcPr>
          <w:p w14:paraId="7DF972A2"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118/180 (65.6)</w:t>
            </w:r>
          </w:p>
        </w:tc>
        <w:tc>
          <w:tcPr>
            <w:tcW w:w="2190" w:type="dxa"/>
            <w:tcBorders>
              <w:top w:val="nil"/>
              <w:bottom w:val="nil"/>
            </w:tcBorders>
            <w:vAlign w:val="center"/>
          </w:tcPr>
          <w:p w14:paraId="65AFBA7E"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103/184 (56.0)</w:t>
            </w:r>
          </w:p>
        </w:tc>
        <w:tc>
          <w:tcPr>
            <w:tcW w:w="2218" w:type="dxa"/>
            <w:tcBorders>
              <w:top w:val="nil"/>
              <w:bottom w:val="nil"/>
            </w:tcBorders>
            <w:vAlign w:val="center"/>
          </w:tcPr>
          <w:p w14:paraId="2192678A"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10 (-0, 20)</w:t>
            </w:r>
          </w:p>
        </w:tc>
      </w:tr>
      <w:tr w:rsidR="00A61EFC" w:rsidRPr="00CB6EE4" w14:paraId="1AC8E206" w14:textId="77777777" w:rsidTr="00881C6D">
        <w:tc>
          <w:tcPr>
            <w:tcW w:w="2405" w:type="dxa"/>
            <w:tcBorders>
              <w:top w:val="nil"/>
              <w:bottom w:val="nil"/>
            </w:tcBorders>
          </w:tcPr>
          <w:p w14:paraId="394E8450" w14:textId="77777777" w:rsidR="00A61EFC" w:rsidRPr="00CB6EE4" w:rsidRDefault="00A61EFC" w:rsidP="00881C6D">
            <w:pPr>
              <w:ind w:left="104"/>
              <w:rPr>
                <w:rFonts w:ascii="Arial Narrow" w:hAnsi="Arial Narrow"/>
                <w:sz w:val="20"/>
                <w:szCs w:val="20"/>
              </w:rPr>
            </w:pPr>
            <w:r w:rsidRPr="00CB6EE4">
              <w:rPr>
                <w:rFonts w:ascii="Arial Narrow" w:hAnsi="Arial Narrow"/>
                <w:sz w:val="20"/>
                <w:szCs w:val="20"/>
              </w:rPr>
              <w:t>TULIP-2</w:t>
            </w:r>
          </w:p>
        </w:tc>
        <w:tc>
          <w:tcPr>
            <w:tcW w:w="2204" w:type="dxa"/>
            <w:tcBorders>
              <w:top w:val="nil"/>
              <w:bottom w:val="nil"/>
            </w:tcBorders>
            <w:vAlign w:val="center"/>
          </w:tcPr>
          <w:p w14:paraId="1436CDD4"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122/180 (67.8)</w:t>
            </w:r>
          </w:p>
        </w:tc>
        <w:tc>
          <w:tcPr>
            <w:tcW w:w="2190" w:type="dxa"/>
            <w:tcBorders>
              <w:top w:val="nil"/>
              <w:bottom w:val="nil"/>
            </w:tcBorders>
            <w:vAlign w:val="center"/>
          </w:tcPr>
          <w:p w14:paraId="1582EC8D"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94/182 (51.6)</w:t>
            </w:r>
          </w:p>
        </w:tc>
        <w:tc>
          <w:tcPr>
            <w:tcW w:w="2218" w:type="dxa"/>
            <w:tcBorders>
              <w:top w:val="nil"/>
              <w:bottom w:val="nil"/>
            </w:tcBorders>
            <w:vAlign w:val="center"/>
          </w:tcPr>
          <w:p w14:paraId="5AB988FB" w14:textId="77777777" w:rsidR="00A61EFC" w:rsidRPr="00CB6EE4" w:rsidRDefault="00A61EFC" w:rsidP="00881C6D">
            <w:pPr>
              <w:ind w:left="104"/>
              <w:jc w:val="center"/>
              <w:rPr>
                <w:rFonts w:ascii="Arial Narrow" w:hAnsi="Arial Narrow"/>
                <w:b/>
                <w:sz w:val="20"/>
                <w:szCs w:val="20"/>
              </w:rPr>
            </w:pPr>
            <w:r w:rsidRPr="00CB6EE4">
              <w:rPr>
                <w:rFonts w:ascii="Arial Narrow" w:hAnsi="Arial Narrow"/>
                <w:b/>
                <w:sz w:val="20"/>
                <w:szCs w:val="20"/>
              </w:rPr>
              <w:t>16 (6, 26)</w:t>
            </w:r>
          </w:p>
        </w:tc>
      </w:tr>
      <w:tr w:rsidR="00A61EFC" w:rsidRPr="00CB6EE4" w14:paraId="192949D2" w14:textId="77777777" w:rsidTr="00881C6D">
        <w:tc>
          <w:tcPr>
            <w:tcW w:w="2405" w:type="dxa"/>
            <w:tcBorders>
              <w:top w:val="nil"/>
              <w:bottom w:val="nil"/>
            </w:tcBorders>
          </w:tcPr>
          <w:p w14:paraId="2793B5AE" w14:textId="77777777" w:rsidR="00A61EFC" w:rsidRPr="00CB6EE4" w:rsidRDefault="00A61EFC" w:rsidP="00881C6D">
            <w:pPr>
              <w:ind w:left="104"/>
              <w:jc w:val="right"/>
              <w:rPr>
                <w:rFonts w:ascii="Arial Narrow" w:hAnsi="Arial Narrow"/>
                <w:sz w:val="20"/>
                <w:szCs w:val="20"/>
              </w:rPr>
            </w:pPr>
            <w:r w:rsidRPr="00CB6EE4">
              <w:rPr>
                <w:rFonts w:ascii="Arial Narrow" w:hAnsi="Arial Narrow"/>
                <w:sz w:val="20"/>
                <w:szCs w:val="20"/>
              </w:rPr>
              <w:t xml:space="preserve">TULIP 1 &amp; 2 </w:t>
            </w:r>
            <w:proofErr w:type="spellStart"/>
            <w:r w:rsidRPr="00CB6EE4">
              <w:rPr>
                <w:rFonts w:ascii="Arial Narrow" w:hAnsi="Arial Narrow"/>
                <w:sz w:val="20"/>
                <w:szCs w:val="20"/>
              </w:rPr>
              <w:t>pooled</w:t>
            </w:r>
            <w:r w:rsidRPr="00CB6EE4">
              <w:rPr>
                <w:rFonts w:ascii="Arial Narrow" w:hAnsi="Arial Narrow"/>
                <w:sz w:val="20"/>
                <w:szCs w:val="20"/>
                <w:vertAlign w:val="superscript"/>
              </w:rPr>
              <w:t>d</w:t>
            </w:r>
            <w:proofErr w:type="spellEnd"/>
          </w:p>
        </w:tc>
        <w:tc>
          <w:tcPr>
            <w:tcW w:w="2204" w:type="dxa"/>
            <w:tcBorders>
              <w:top w:val="nil"/>
              <w:bottom w:val="nil"/>
            </w:tcBorders>
            <w:vAlign w:val="center"/>
          </w:tcPr>
          <w:p w14:paraId="68ADA236"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240/360 (66.7)</w:t>
            </w:r>
          </w:p>
        </w:tc>
        <w:tc>
          <w:tcPr>
            <w:tcW w:w="2190" w:type="dxa"/>
            <w:tcBorders>
              <w:top w:val="nil"/>
              <w:bottom w:val="nil"/>
            </w:tcBorders>
            <w:vAlign w:val="center"/>
          </w:tcPr>
          <w:p w14:paraId="6834CED3"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197/366 (53.8)</w:t>
            </w:r>
          </w:p>
        </w:tc>
        <w:tc>
          <w:tcPr>
            <w:tcW w:w="2218" w:type="dxa"/>
            <w:tcBorders>
              <w:top w:val="nil"/>
              <w:bottom w:val="nil"/>
            </w:tcBorders>
            <w:vAlign w:val="center"/>
          </w:tcPr>
          <w:p w14:paraId="4CEF735B" w14:textId="77777777" w:rsidR="00A61EFC" w:rsidRPr="00CB6EE4" w:rsidRDefault="00A61EFC" w:rsidP="00881C6D">
            <w:pPr>
              <w:ind w:left="104"/>
              <w:jc w:val="center"/>
              <w:rPr>
                <w:rFonts w:ascii="Arial Narrow" w:hAnsi="Arial Narrow"/>
                <w:b/>
                <w:sz w:val="20"/>
                <w:szCs w:val="20"/>
              </w:rPr>
            </w:pPr>
            <w:r w:rsidRPr="00CB6EE4">
              <w:rPr>
                <w:rFonts w:ascii="Arial Narrow" w:hAnsi="Arial Narrow"/>
                <w:b/>
                <w:sz w:val="20"/>
                <w:szCs w:val="20"/>
              </w:rPr>
              <w:t>13 (6, 20)</w:t>
            </w:r>
          </w:p>
        </w:tc>
      </w:tr>
      <w:tr w:rsidR="00A61EFC" w:rsidRPr="00CB6EE4" w14:paraId="5A4F5E8B" w14:textId="77777777" w:rsidTr="00881C6D">
        <w:tc>
          <w:tcPr>
            <w:tcW w:w="2405" w:type="dxa"/>
            <w:tcBorders>
              <w:top w:val="nil"/>
              <w:bottom w:val="single" w:sz="4" w:space="0" w:color="auto"/>
            </w:tcBorders>
          </w:tcPr>
          <w:p w14:paraId="6001B602" w14:textId="77777777" w:rsidR="00A61EFC" w:rsidRPr="00CB6EE4" w:rsidRDefault="00A61EFC" w:rsidP="00881C6D">
            <w:pPr>
              <w:ind w:left="104"/>
              <w:rPr>
                <w:rFonts w:ascii="Arial Narrow" w:hAnsi="Arial Narrow"/>
                <w:sz w:val="20"/>
                <w:szCs w:val="20"/>
              </w:rPr>
            </w:pPr>
            <w:r w:rsidRPr="00CB6EE4">
              <w:rPr>
                <w:rFonts w:ascii="Arial Narrow" w:hAnsi="Arial Narrow"/>
                <w:sz w:val="20"/>
                <w:szCs w:val="20"/>
              </w:rPr>
              <w:t>MUSE</w:t>
            </w:r>
          </w:p>
        </w:tc>
        <w:tc>
          <w:tcPr>
            <w:tcW w:w="2204" w:type="dxa"/>
            <w:tcBorders>
              <w:top w:val="nil"/>
              <w:bottom w:val="single" w:sz="4" w:space="0" w:color="auto"/>
            </w:tcBorders>
            <w:vAlign w:val="center"/>
          </w:tcPr>
          <w:p w14:paraId="3CB057D3"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NR</w:t>
            </w:r>
          </w:p>
        </w:tc>
        <w:tc>
          <w:tcPr>
            <w:tcW w:w="2190" w:type="dxa"/>
            <w:tcBorders>
              <w:top w:val="nil"/>
              <w:bottom w:val="single" w:sz="4" w:space="0" w:color="auto"/>
            </w:tcBorders>
            <w:vAlign w:val="center"/>
          </w:tcPr>
          <w:p w14:paraId="5425FF1C"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NR</w:t>
            </w:r>
          </w:p>
        </w:tc>
        <w:tc>
          <w:tcPr>
            <w:tcW w:w="2218" w:type="dxa"/>
            <w:tcBorders>
              <w:top w:val="nil"/>
              <w:bottom w:val="single" w:sz="4" w:space="0" w:color="auto"/>
            </w:tcBorders>
            <w:vAlign w:val="center"/>
          </w:tcPr>
          <w:p w14:paraId="50B8BD9F" w14:textId="77777777" w:rsidR="00A61EFC" w:rsidRPr="00CB6EE4" w:rsidRDefault="00A61EFC" w:rsidP="00881C6D">
            <w:pPr>
              <w:ind w:left="104"/>
              <w:jc w:val="center"/>
              <w:rPr>
                <w:rFonts w:ascii="Arial Narrow" w:hAnsi="Arial Narrow"/>
                <w:sz w:val="20"/>
                <w:szCs w:val="20"/>
              </w:rPr>
            </w:pPr>
            <w:r w:rsidRPr="00CB6EE4">
              <w:rPr>
                <w:rFonts w:ascii="Arial Narrow" w:hAnsi="Arial Narrow"/>
                <w:sz w:val="20"/>
                <w:szCs w:val="20"/>
              </w:rPr>
              <w:t>-</w:t>
            </w:r>
          </w:p>
        </w:tc>
      </w:tr>
      <w:tr w:rsidR="00A61EFC" w:rsidRPr="00CB6EE4" w14:paraId="191D1633" w14:textId="77777777" w:rsidTr="002A2760">
        <w:tc>
          <w:tcPr>
            <w:tcW w:w="9017" w:type="dxa"/>
            <w:gridSpan w:val="4"/>
            <w:tcBorders>
              <w:bottom w:val="nil"/>
            </w:tcBorders>
            <w:shd w:val="clear" w:color="auto" w:fill="D9D9D9" w:themeFill="background1" w:themeFillShade="D9"/>
            <w:vAlign w:val="center"/>
          </w:tcPr>
          <w:p w14:paraId="31EAD5E9" w14:textId="77777777" w:rsidR="00A61EFC" w:rsidRPr="00CB6EE4" w:rsidRDefault="00A61EFC" w:rsidP="00881C6D">
            <w:pPr>
              <w:jc w:val="left"/>
              <w:rPr>
                <w:rFonts w:ascii="Arial Narrow" w:hAnsi="Arial Narrow"/>
                <w:b/>
                <w:sz w:val="20"/>
                <w:szCs w:val="20"/>
              </w:rPr>
            </w:pPr>
            <w:r w:rsidRPr="00CB6EE4">
              <w:rPr>
                <w:rFonts w:ascii="Arial Narrow" w:hAnsi="Arial Narrow"/>
                <w:b/>
                <w:sz w:val="20"/>
                <w:szCs w:val="20"/>
              </w:rPr>
              <w:t>No discontinuation of study drugs</w:t>
            </w:r>
          </w:p>
        </w:tc>
      </w:tr>
      <w:tr w:rsidR="00A61EFC" w:rsidRPr="00CB6EE4" w14:paraId="49A967E3" w14:textId="77777777" w:rsidTr="00881C6D">
        <w:tc>
          <w:tcPr>
            <w:tcW w:w="2405" w:type="dxa"/>
            <w:tcBorders>
              <w:top w:val="nil"/>
              <w:bottom w:val="nil"/>
            </w:tcBorders>
          </w:tcPr>
          <w:p w14:paraId="0BE9721B" w14:textId="77777777" w:rsidR="00A61EFC" w:rsidRPr="00CB6EE4" w:rsidRDefault="00A61EFC" w:rsidP="00881C6D">
            <w:pPr>
              <w:rPr>
                <w:rFonts w:ascii="Arial Narrow" w:hAnsi="Arial Narrow"/>
                <w:sz w:val="20"/>
                <w:szCs w:val="20"/>
              </w:rPr>
            </w:pPr>
            <w:r w:rsidRPr="00CB6EE4">
              <w:rPr>
                <w:rFonts w:ascii="Arial Narrow" w:hAnsi="Arial Narrow"/>
                <w:sz w:val="20"/>
                <w:szCs w:val="20"/>
              </w:rPr>
              <w:t>TULIP-1 (pre-specified)</w:t>
            </w:r>
            <w:r w:rsidRPr="00CB6EE4">
              <w:rPr>
                <w:rFonts w:ascii="Arial Narrow" w:hAnsi="Arial Narrow"/>
                <w:sz w:val="20"/>
                <w:szCs w:val="20"/>
                <w:vertAlign w:val="superscript"/>
              </w:rPr>
              <w:t xml:space="preserve"> a</w:t>
            </w:r>
          </w:p>
        </w:tc>
        <w:tc>
          <w:tcPr>
            <w:tcW w:w="2204" w:type="dxa"/>
            <w:tcBorders>
              <w:top w:val="nil"/>
              <w:bottom w:val="nil"/>
            </w:tcBorders>
            <w:vAlign w:val="center"/>
          </w:tcPr>
          <w:p w14:paraId="15CB258A"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144/180 (80.0)</w:t>
            </w:r>
          </w:p>
        </w:tc>
        <w:tc>
          <w:tcPr>
            <w:tcW w:w="2190" w:type="dxa"/>
            <w:tcBorders>
              <w:top w:val="nil"/>
              <w:bottom w:val="nil"/>
            </w:tcBorders>
            <w:vAlign w:val="center"/>
          </w:tcPr>
          <w:p w14:paraId="2D6BEDA9"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146/184 (79.3)</w:t>
            </w:r>
          </w:p>
        </w:tc>
        <w:tc>
          <w:tcPr>
            <w:tcW w:w="2218" w:type="dxa"/>
            <w:tcBorders>
              <w:top w:val="nil"/>
              <w:bottom w:val="nil"/>
            </w:tcBorders>
            <w:vAlign w:val="center"/>
          </w:tcPr>
          <w:p w14:paraId="20892DA9"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 (-8, 9)</w:t>
            </w:r>
          </w:p>
        </w:tc>
      </w:tr>
      <w:tr w:rsidR="00A61EFC" w:rsidRPr="00CB6EE4" w14:paraId="0053E9D2" w14:textId="77777777" w:rsidTr="00881C6D">
        <w:tc>
          <w:tcPr>
            <w:tcW w:w="2405" w:type="dxa"/>
            <w:tcBorders>
              <w:top w:val="nil"/>
              <w:bottom w:val="nil"/>
            </w:tcBorders>
          </w:tcPr>
          <w:p w14:paraId="030351DA" w14:textId="77777777" w:rsidR="00A61EFC" w:rsidRPr="00CB6EE4" w:rsidRDefault="00A61EFC" w:rsidP="00881C6D">
            <w:pPr>
              <w:rPr>
                <w:rFonts w:ascii="Arial Narrow" w:hAnsi="Arial Narrow"/>
                <w:sz w:val="20"/>
                <w:szCs w:val="20"/>
              </w:rPr>
            </w:pPr>
            <w:r w:rsidRPr="00CB6EE4">
              <w:rPr>
                <w:rFonts w:ascii="Arial Narrow" w:hAnsi="Arial Narrow"/>
                <w:sz w:val="20"/>
                <w:szCs w:val="20"/>
              </w:rPr>
              <w:lastRenderedPageBreak/>
              <w:t>TULIP-1 (post-hoc)</w:t>
            </w:r>
            <w:r w:rsidRPr="00CB6EE4">
              <w:rPr>
                <w:rFonts w:ascii="Arial Narrow" w:hAnsi="Arial Narrow"/>
                <w:sz w:val="20"/>
                <w:szCs w:val="20"/>
                <w:vertAlign w:val="superscript"/>
              </w:rPr>
              <w:t xml:space="preserve"> c</w:t>
            </w:r>
          </w:p>
        </w:tc>
        <w:tc>
          <w:tcPr>
            <w:tcW w:w="2204" w:type="dxa"/>
            <w:tcBorders>
              <w:top w:val="nil"/>
              <w:bottom w:val="nil"/>
            </w:tcBorders>
            <w:vAlign w:val="center"/>
          </w:tcPr>
          <w:p w14:paraId="3167B844"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144/180 (80.0)</w:t>
            </w:r>
          </w:p>
        </w:tc>
        <w:tc>
          <w:tcPr>
            <w:tcW w:w="2190" w:type="dxa"/>
            <w:tcBorders>
              <w:top w:val="nil"/>
              <w:bottom w:val="nil"/>
            </w:tcBorders>
            <w:vAlign w:val="center"/>
          </w:tcPr>
          <w:p w14:paraId="7314D8A7"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146/184 (79.3)</w:t>
            </w:r>
          </w:p>
        </w:tc>
        <w:tc>
          <w:tcPr>
            <w:tcW w:w="2218" w:type="dxa"/>
            <w:tcBorders>
              <w:top w:val="nil"/>
              <w:bottom w:val="nil"/>
            </w:tcBorders>
            <w:vAlign w:val="center"/>
          </w:tcPr>
          <w:p w14:paraId="01C8683F"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 (-8, 9)</w:t>
            </w:r>
          </w:p>
        </w:tc>
      </w:tr>
      <w:tr w:rsidR="00A61EFC" w:rsidRPr="00CB6EE4" w14:paraId="6143D43D" w14:textId="77777777" w:rsidTr="00881C6D">
        <w:tc>
          <w:tcPr>
            <w:tcW w:w="2405" w:type="dxa"/>
            <w:tcBorders>
              <w:top w:val="nil"/>
              <w:bottom w:val="nil"/>
            </w:tcBorders>
          </w:tcPr>
          <w:p w14:paraId="2E3DC1DC" w14:textId="77777777" w:rsidR="00A61EFC" w:rsidRPr="00CB6EE4" w:rsidRDefault="00A61EFC" w:rsidP="00881C6D">
            <w:pPr>
              <w:rPr>
                <w:rFonts w:ascii="Arial Narrow" w:hAnsi="Arial Narrow"/>
                <w:sz w:val="20"/>
                <w:szCs w:val="20"/>
              </w:rPr>
            </w:pPr>
            <w:r w:rsidRPr="00CB6EE4">
              <w:rPr>
                <w:rFonts w:ascii="Arial Narrow" w:hAnsi="Arial Narrow"/>
                <w:sz w:val="20"/>
                <w:szCs w:val="20"/>
              </w:rPr>
              <w:t>TULIP-2</w:t>
            </w:r>
          </w:p>
        </w:tc>
        <w:tc>
          <w:tcPr>
            <w:tcW w:w="2204" w:type="dxa"/>
            <w:tcBorders>
              <w:top w:val="nil"/>
              <w:bottom w:val="nil"/>
            </w:tcBorders>
            <w:vAlign w:val="center"/>
          </w:tcPr>
          <w:p w14:paraId="1242D19D"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153/180 (85.0)</w:t>
            </w:r>
          </w:p>
        </w:tc>
        <w:tc>
          <w:tcPr>
            <w:tcW w:w="2190" w:type="dxa"/>
            <w:tcBorders>
              <w:top w:val="nil"/>
              <w:bottom w:val="nil"/>
            </w:tcBorders>
            <w:vAlign w:val="center"/>
          </w:tcPr>
          <w:p w14:paraId="28701C33"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130/182 (71.4)</w:t>
            </w:r>
          </w:p>
        </w:tc>
        <w:tc>
          <w:tcPr>
            <w:tcW w:w="2218" w:type="dxa"/>
            <w:tcBorders>
              <w:top w:val="nil"/>
              <w:bottom w:val="nil"/>
            </w:tcBorders>
            <w:vAlign w:val="center"/>
          </w:tcPr>
          <w:p w14:paraId="6FF691CA" w14:textId="77777777" w:rsidR="00A61EFC" w:rsidRPr="00CB6EE4" w:rsidRDefault="00A61EFC" w:rsidP="00881C6D">
            <w:pPr>
              <w:jc w:val="center"/>
              <w:rPr>
                <w:rFonts w:ascii="Arial Narrow" w:hAnsi="Arial Narrow"/>
                <w:b/>
                <w:sz w:val="20"/>
                <w:szCs w:val="20"/>
              </w:rPr>
            </w:pPr>
            <w:r w:rsidRPr="00CB6EE4">
              <w:rPr>
                <w:rFonts w:ascii="Arial Narrow" w:hAnsi="Arial Narrow"/>
                <w:b/>
                <w:sz w:val="20"/>
                <w:szCs w:val="20"/>
              </w:rPr>
              <w:t>14 (5, 22)</w:t>
            </w:r>
          </w:p>
        </w:tc>
      </w:tr>
      <w:tr w:rsidR="00A61EFC" w:rsidRPr="00CB6EE4" w14:paraId="4E49FFDF" w14:textId="77777777" w:rsidTr="00881C6D">
        <w:tc>
          <w:tcPr>
            <w:tcW w:w="2405" w:type="dxa"/>
            <w:tcBorders>
              <w:top w:val="nil"/>
              <w:bottom w:val="nil"/>
            </w:tcBorders>
          </w:tcPr>
          <w:p w14:paraId="02320AB2" w14:textId="77777777" w:rsidR="00A61EFC" w:rsidRPr="00CB6EE4" w:rsidRDefault="00A61EFC" w:rsidP="00881C6D">
            <w:pPr>
              <w:jc w:val="right"/>
              <w:rPr>
                <w:rFonts w:ascii="Arial Narrow" w:hAnsi="Arial Narrow"/>
                <w:sz w:val="20"/>
                <w:szCs w:val="20"/>
              </w:rPr>
            </w:pPr>
            <w:r w:rsidRPr="00CB6EE4">
              <w:rPr>
                <w:rFonts w:ascii="Arial Narrow" w:hAnsi="Arial Narrow"/>
                <w:sz w:val="20"/>
                <w:szCs w:val="20"/>
              </w:rPr>
              <w:t xml:space="preserve">TULIP 1 &amp; 2 </w:t>
            </w:r>
            <w:proofErr w:type="spellStart"/>
            <w:r w:rsidRPr="00CB6EE4">
              <w:rPr>
                <w:rFonts w:ascii="Arial Narrow" w:hAnsi="Arial Narrow"/>
                <w:sz w:val="20"/>
                <w:szCs w:val="20"/>
              </w:rPr>
              <w:t>pooled</w:t>
            </w:r>
            <w:r w:rsidRPr="00CB6EE4">
              <w:rPr>
                <w:rFonts w:ascii="Arial Narrow" w:hAnsi="Arial Narrow"/>
                <w:sz w:val="20"/>
                <w:szCs w:val="20"/>
                <w:vertAlign w:val="superscript"/>
              </w:rPr>
              <w:t>d</w:t>
            </w:r>
            <w:proofErr w:type="spellEnd"/>
          </w:p>
        </w:tc>
        <w:tc>
          <w:tcPr>
            <w:tcW w:w="2204" w:type="dxa"/>
            <w:tcBorders>
              <w:top w:val="nil"/>
              <w:bottom w:val="nil"/>
            </w:tcBorders>
            <w:vAlign w:val="center"/>
          </w:tcPr>
          <w:p w14:paraId="54D0FCAB"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297/360 (82.5)</w:t>
            </w:r>
          </w:p>
        </w:tc>
        <w:tc>
          <w:tcPr>
            <w:tcW w:w="2190" w:type="dxa"/>
            <w:tcBorders>
              <w:top w:val="nil"/>
              <w:bottom w:val="nil"/>
            </w:tcBorders>
            <w:vAlign w:val="center"/>
          </w:tcPr>
          <w:p w14:paraId="707A1A31"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276/366 (75.4)</w:t>
            </w:r>
          </w:p>
        </w:tc>
        <w:tc>
          <w:tcPr>
            <w:tcW w:w="2218" w:type="dxa"/>
            <w:tcBorders>
              <w:top w:val="nil"/>
              <w:bottom w:val="nil"/>
            </w:tcBorders>
            <w:vAlign w:val="center"/>
          </w:tcPr>
          <w:p w14:paraId="174BB420" w14:textId="77777777" w:rsidR="00A61EFC" w:rsidRPr="00CB6EE4" w:rsidRDefault="00A61EFC" w:rsidP="00881C6D">
            <w:pPr>
              <w:jc w:val="center"/>
              <w:rPr>
                <w:rFonts w:ascii="Arial Narrow" w:hAnsi="Arial Narrow"/>
                <w:b/>
                <w:sz w:val="20"/>
                <w:szCs w:val="20"/>
              </w:rPr>
            </w:pPr>
            <w:r w:rsidRPr="00CB6EE4">
              <w:rPr>
                <w:rFonts w:ascii="Arial Narrow" w:hAnsi="Arial Narrow"/>
                <w:b/>
                <w:sz w:val="20"/>
                <w:szCs w:val="20"/>
              </w:rPr>
              <w:t>7 (1, 13)</w:t>
            </w:r>
          </w:p>
        </w:tc>
      </w:tr>
      <w:tr w:rsidR="00A61EFC" w:rsidRPr="00CB6EE4" w14:paraId="299AA83A" w14:textId="77777777" w:rsidTr="00881C6D">
        <w:tc>
          <w:tcPr>
            <w:tcW w:w="2405" w:type="dxa"/>
            <w:tcBorders>
              <w:top w:val="nil"/>
              <w:bottom w:val="single" w:sz="4" w:space="0" w:color="auto"/>
            </w:tcBorders>
          </w:tcPr>
          <w:p w14:paraId="07E9FC76" w14:textId="77777777" w:rsidR="00A61EFC" w:rsidRPr="00CB6EE4" w:rsidRDefault="00A61EFC" w:rsidP="00881C6D">
            <w:pPr>
              <w:rPr>
                <w:rFonts w:ascii="Arial Narrow" w:hAnsi="Arial Narrow"/>
                <w:sz w:val="20"/>
                <w:szCs w:val="20"/>
              </w:rPr>
            </w:pPr>
            <w:r w:rsidRPr="00CB6EE4">
              <w:rPr>
                <w:rFonts w:ascii="Arial Narrow" w:hAnsi="Arial Narrow"/>
                <w:sz w:val="20"/>
                <w:szCs w:val="20"/>
              </w:rPr>
              <w:t>MUSE</w:t>
            </w:r>
          </w:p>
        </w:tc>
        <w:tc>
          <w:tcPr>
            <w:tcW w:w="2204" w:type="dxa"/>
            <w:tcBorders>
              <w:top w:val="nil"/>
              <w:bottom w:val="single" w:sz="4" w:space="0" w:color="auto"/>
            </w:tcBorders>
            <w:vAlign w:val="center"/>
          </w:tcPr>
          <w:p w14:paraId="3686E44E"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NR</w:t>
            </w:r>
          </w:p>
        </w:tc>
        <w:tc>
          <w:tcPr>
            <w:tcW w:w="2190" w:type="dxa"/>
            <w:tcBorders>
              <w:top w:val="nil"/>
              <w:bottom w:val="single" w:sz="4" w:space="0" w:color="auto"/>
            </w:tcBorders>
            <w:vAlign w:val="center"/>
          </w:tcPr>
          <w:p w14:paraId="6FF148F8"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NR</w:t>
            </w:r>
          </w:p>
        </w:tc>
        <w:tc>
          <w:tcPr>
            <w:tcW w:w="2218" w:type="dxa"/>
            <w:tcBorders>
              <w:top w:val="nil"/>
              <w:bottom w:val="single" w:sz="4" w:space="0" w:color="auto"/>
            </w:tcBorders>
            <w:vAlign w:val="center"/>
          </w:tcPr>
          <w:p w14:paraId="16893A9F"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w:t>
            </w:r>
          </w:p>
        </w:tc>
      </w:tr>
      <w:tr w:rsidR="00A61EFC" w:rsidRPr="00CB6EE4" w14:paraId="4FDEA0E6" w14:textId="77777777" w:rsidTr="002A2760">
        <w:tc>
          <w:tcPr>
            <w:tcW w:w="9017" w:type="dxa"/>
            <w:gridSpan w:val="4"/>
            <w:tcBorders>
              <w:bottom w:val="nil"/>
            </w:tcBorders>
            <w:shd w:val="clear" w:color="auto" w:fill="D9D9D9" w:themeFill="background1" w:themeFillShade="D9"/>
            <w:vAlign w:val="center"/>
          </w:tcPr>
          <w:p w14:paraId="2D3470F8" w14:textId="77777777" w:rsidR="00A61EFC" w:rsidRPr="00CB6EE4" w:rsidRDefault="00A61EFC" w:rsidP="00881C6D">
            <w:pPr>
              <w:jc w:val="left"/>
              <w:rPr>
                <w:rFonts w:ascii="Arial Narrow" w:hAnsi="Arial Narrow"/>
                <w:b/>
                <w:sz w:val="20"/>
                <w:szCs w:val="20"/>
              </w:rPr>
            </w:pPr>
            <w:r w:rsidRPr="00CB6EE4">
              <w:rPr>
                <w:rFonts w:ascii="Arial Narrow" w:hAnsi="Arial Narrow"/>
                <w:b/>
                <w:sz w:val="20"/>
                <w:szCs w:val="20"/>
              </w:rPr>
              <w:t>No use of medication beyond protocol allowed thresholds</w:t>
            </w:r>
          </w:p>
        </w:tc>
      </w:tr>
      <w:tr w:rsidR="00A61EFC" w:rsidRPr="00CB6EE4" w14:paraId="00AD6AC7" w14:textId="77777777" w:rsidTr="00881C6D">
        <w:tc>
          <w:tcPr>
            <w:tcW w:w="2405" w:type="dxa"/>
            <w:tcBorders>
              <w:top w:val="nil"/>
              <w:bottom w:val="nil"/>
            </w:tcBorders>
          </w:tcPr>
          <w:p w14:paraId="2ACF8A59" w14:textId="77777777" w:rsidR="00A61EFC" w:rsidRPr="00CB6EE4" w:rsidRDefault="00A61EFC" w:rsidP="00881C6D">
            <w:pPr>
              <w:rPr>
                <w:rFonts w:ascii="Arial Narrow" w:hAnsi="Arial Narrow"/>
                <w:sz w:val="20"/>
                <w:szCs w:val="20"/>
              </w:rPr>
            </w:pPr>
            <w:r w:rsidRPr="00CB6EE4">
              <w:rPr>
                <w:rFonts w:ascii="Arial Narrow" w:hAnsi="Arial Narrow"/>
                <w:sz w:val="20"/>
                <w:szCs w:val="20"/>
              </w:rPr>
              <w:t>TULIP-1 (pre-specified)</w:t>
            </w:r>
            <w:r w:rsidRPr="00CB6EE4">
              <w:rPr>
                <w:rFonts w:ascii="Arial Narrow" w:hAnsi="Arial Narrow"/>
                <w:sz w:val="20"/>
                <w:szCs w:val="20"/>
                <w:vertAlign w:val="superscript"/>
              </w:rPr>
              <w:t xml:space="preserve"> a</w:t>
            </w:r>
          </w:p>
        </w:tc>
        <w:tc>
          <w:tcPr>
            <w:tcW w:w="2204" w:type="dxa"/>
            <w:tcBorders>
              <w:top w:val="nil"/>
              <w:bottom w:val="nil"/>
            </w:tcBorders>
            <w:vAlign w:val="center"/>
          </w:tcPr>
          <w:p w14:paraId="76FB364B"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114/180 (63.3)</w:t>
            </w:r>
          </w:p>
        </w:tc>
        <w:tc>
          <w:tcPr>
            <w:tcW w:w="2190" w:type="dxa"/>
            <w:tcBorders>
              <w:top w:val="nil"/>
              <w:bottom w:val="nil"/>
            </w:tcBorders>
            <w:vAlign w:val="center"/>
          </w:tcPr>
          <w:p w14:paraId="1E5EE3C5"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113/184 (61.4)</w:t>
            </w:r>
          </w:p>
        </w:tc>
        <w:tc>
          <w:tcPr>
            <w:tcW w:w="2218" w:type="dxa"/>
            <w:tcBorders>
              <w:top w:val="nil"/>
              <w:bottom w:val="nil"/>
            </w:tcBorders>
            <w:vAlign w:val="center"/>
          </w:tcPr>
          <w:p w14:paraId="3954AE3F"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2 (-8, 12)</w:t>
            </w:r>
          </w:p>
        </w:tc>
      </w:tr>
      <w:tr w:rsidR="00A61EFC" w:rsidRPr="00CB6EE4" w14:paraId="6322F3B5" w14:textId="77777777" w:rsidTr="00881C6D">
        <w:tc>
          <w:tcPr>
            <w:tcW w:w="2405" w:type="dxa"/>
            <w:tcBorders>
              <w:top w:val="nil"/>
              <w:bottom w:val="nil"/>
            </w:tcBorders>
          </w:tcPr>
          <w:p w14:paraId="17E5F723" w14:textId="77777777" w:rsidR="00A61EFC" w:rsidRPr="00CB6EE4" w:rsidRDefault="00A61EFC" w:rsidP="00881C6D">
            <w:pPr>
              <w:rPr>
                <w:rFonts w:ascii="Arial Narrow" w:hAnsi="Arial Narrow"/>
                <w:sz w:val="20"/>
                <w:szCs w:val="20"/>
              </w:rPr>
            </w:pPr>
            <w:r w:rsidRPr="00CB6EE4">
              <w:rPr>
                <w:rFonts w:ascii="Arial Narrow" w:hAnsi="Arial Narrow"/>
                <w:sz w:val="20"/>
                <w:szCs w:val="20"/>
              </w:rPr>
              <w:t>TULIP-1 (post-hoc)</w:t>
            </w:r>
            <w:r w:rsidRPr="00CB6EE4">
              <w:rPr>
                <w:rFonts w:ascii="Arial Narrow" w:hAnsi="Arial Narrow"/>
                <w:sz w:val="20"/>
                <w:szCs w:val="20"/>
                <w:vertAlign w:val="superscript"/>
              </w:rPr>
              <w:t xml:space="preserve"> c</w:t>
            </w:r>
          </w:p>
        </w:tc>
        <w:tc>
          <w:tcPr>
            <w:tcW w:w="2204" w:type="dxa"/>
            <w:tcBorders>
              <w:top w:val="nil"/>
              <w:bottom w:val="nil"/>
            </w:tcBorders>
            <w:vAlign w:val="center"/>
          </w:tcPr>
          <w:p w14:paraId="6C46BEF3"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138/180 (76.7)</w:t>
            </w:r>
          </w:p>
        </w:tc>
        <w:tc>
          <w:tcPr>
            <w:tcW w:w="2190" w:type="dxa"/>
            <w:tcBorders>
              <w:top w:val="nil"/>
              <w:bottom w:val="nil"/>
            </w:tcBorders>
            <w:vAlign w:val="center"/>
          </w:tcPr>
          <w:p w14:paraId="71184F52"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127/184 (69.0)</w:t>
            </w:r>
          </w:p>
        </w:tc>
        <w:tc>
          <w:tcPr>
            <w:tcW w:w="2218" w:type="dxa"/>
            <w:tcBorders>
              <w:top w:val="nil"/>
              <w:bottom w:val="nil"/>
            </w:tcBorders>
            <w:vAlign w:val="center"/>
          </w:tcPr>
          <w:p w14:paraId="4CA7F9B2"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8 (-1, 17)</w:t>
            </w:r>
          </w:p>
        </w:tc>
      </w:tr>
      <w:tr w:rsidR="00A61EFC" w:rsidRPr="00CB6EE4" w14:paraId="1E94592A" w14:textId="77777777" w:rsidTr="00881C6D">
        <w:tc>
          <w:tcPr>
            <w:tcW w:w="2405" w:type="dxa"/>
            <w:tcBorders>
              <w:top w:val="nil"/>
              <w:bottom w:val="nil"/>
            </w:tcBorders>
          </w:tcPr>
          <w:p w14:paraId="4EEC62FC" w14:textId="77777777" w:rsidR="00A61EFC" w:rsidRPr="00CB6EE4" w:rsidRDefault="00A61EFC" w:rsidP="00881C6D">
            <w:pPr>
              <w:rPr>
                <w:rFonts w:ascii="Arial Narrow" w:hAnsi="Arial Narrow"/>
                <w:sz w:val="20"/>
                <w:szCs w:val="20"/>
              </w:rPr>
            </w:pPr>
            <w:r w:rsidRPr="00CB6EE4">
              <w:rPr>
                <w:rFonts w:ascii="Arial Narrow" w:hAnsi="Arial Narrow"/>
                <w:sz w:val="20"/>
                <w:szCs w:val="20"/>
              </w:rPr>
              <w:t>TULIP-2</w:t>
            </w:r>
          </w:p>
        </w:tc>
        <w:tc>
          <w:tcPr>
            <w:tcW w:w="2204" w:type="dxa"/>
            <w:tcBorders>
              <w:top w:val="nil"/>
              <w:bottom w:val="nil"/>
            </w:tcBorders>
            <w:vAlign w:val="center"/>
          </w:tcPr>
          <w:p w14:paraId="5D9E3D87"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144/180 (80.0)</w:t>
            </w:r>
          </w:p>
        </w:tc>
        <w:tc>
          <w:tcPr>
            <w:tcW w:w="2190" w:type="dxa"/>
            <w:tcBorders>
              <w:top w:val="nil"/>
              <w:bottom w:val="nil"/>
            </w:tcBorders>
            <w:vAlign w:val="center"/>
          </w:tcPr>
          <w:p w14:paraId="1AAB5809"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123/182 (67.6)</w:t>
            </w:r>
          </w:p>
        </w:tc>
        <w:tc>
          <w:tcPr>
            <w:tcW w:w="2218" w:type="dxa"/>
            <w:tcBorders>
              <w:top w:val="nil"/>
              <w:bottom w:val="nil"/>
            </w:tcBorders>
            <w:vAlign w:val="center"/>
          </w:tcPr>
          <w:p w14:paraId="3A5D0BA4" w14:textId="77777777" w:rsidR="00A61EFC" w:rsidRPr="00CB6EE4" w:rsidRDefault="00A61EFC" w:rsidP="00881C6D">
            <w:pPr>
              <w:jc w:val="center"/>
              <w:rPr>
                <w:rFonts w:ascii="Arial Narrow" w:hAnsi="Arial Narrow"/>
                <w:b/>
                <w:sz w:val="20"/>
                <w:szCs w:val="20"/>
              </w:rPr>
            </w:pPr>
            <w:r w:rsidRPr="00CB6EE4">
              <w:rPr>
                <w:rFonts w:ascii="Arial Narrow" w:hAnsi="Arial Narrow"/>
                <w:b/>
                <w:sz w:val="20"/>
                <w:szCs w:val="20"/>
              </w:rPr>
              <w:t>12 (3, 21)</w:t>
            </w:r>
          </w:p>
        </w:tc>
      </w:tr>
      <w:tr w:rsidR="00A61EFC" w:rsidRPr="00CB6EE4" w14:paraId="5973BD42" w14:textId="77777777" w:rsidTr="00881C6D">
        <w:tc>
          <w:tcPr>
            <w:tcW w:w="2405" w:type="dxa"/>
            <w:tcBorders>
              <w:top w:val="nil"/>
              <w:bottom w:val="nil"/>
            </w:tcBorders>
          </w:tcPr>
          <w:p w14:paraId="3C2D57C8" w14:textId="77777777" w:rsidR="00A61EFC" w:rsidRPr="00CB6EE4" w:rsidRDefault="00A61EFC" w:rsidP="00881C6D">
            <w:pPr>
              <w:jc w:val="right"/>
              <w:rPr>
                <w:rFonts w:ascii="Arial Narrow" w:hAnsi="Arial Narrow"/>
                <w:sz w:val="20"/>
                <w:szCs w:val="20"/>
              </w:rPr>
            </w:pPr>
            <w:r w:rsidRPr="00CB6EE4">
              <w:rPr>
                <w:rFonts w:ascii="Arial Narrow" w:hAnsi="Arial Narrow"/>
                <w:sz w:val="20"/>
                <w:szCs w:val="20"/>
              </w:rPr>
              <w:t xml:space="preserve">TULIP 1 &amp; 2 </w:t>
            </w:r>
            <w:proofErr w:type="spellStart"/>
            <w:r w:rsidRPr="00CB6EE4">
              <w:rPr>
                <w:rFonts w:ascii="Arial Narrow" w:hAnsi="Arial Narrow"/>
                <w:sz w:val="20"/>
                <w:szCs w:val="20"/>
              </w:rPr>
              <w:t>pooled</w:t>
            </w:r>
            <w:r w:rsidRPr="00CB6EE4">
              <w:rPr>
                <w:rFonts w:ascii="Arial Narrow" w:hAnsi="Arial Narrow"/>
                <w:sz w:val="20"/>
                <w:szCs w:val="20"/>
                <w:vertAlign w:val="superscript"/>
              </w:rPr>
              <w:t>d</w:t>
            </w:r>
            <w:proofErr w:type="spellEnd"/>
          </w:p>
        </w:tc>
        <w:tc>
          <w:tcPr>
            <w:tcW w:w="2204" w:type="dxa"/>
            <w:tcBorders>
              <w:top w:val="nil"/>
              <w:bottom w:val="nil"/>
            </w:tcBorders>
            <w:vAlign w:val="center"/>
          </w:tcPr>
          <w:p w14:paraId="328D5DFC"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282/360 (78.3)</w:t>
            </w:r>
          </w:p>
        </w:tc>
        <w:tc>
          <w:tcPr>
            <w:tcW w:w="2190" w:type="dxa"/>
            <w:tcBorders>
              <w:top w:val="nil"/>
              <w:bottom w:val="nil"/>
            </w:tcBorders>
            <w:vAlign w:val="center"/>
          </w:tcPr>
          <w:p w14:paraId="745B6D93"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250/366 (68.3)</w:t>
            </w:r>
          </w:p>
        </w:tc>
        <w:tc>
          <w:tcPr>
            <w:tcW w:w="2218" w:type="dxa"/>
            <w:tcBorders>
              <w:top w:val="nil"/>
              <w:bottom w:val="nil"/>
            </w:tcBorders>
            <w:vAlign w:val="center"/>
          </w:tcPr>
          <w:p w14:paraId="7287A938" w14:textId="77777777" w:rsidR="00A61EFC" w:rsidRPr="00CB6EE4" w:rsidRDefault="00A61EFC" w:rsidP="00881C6D">
            <w:pPr>
              <w:jc w:val="center"/>
              <w:rPr>
                <w:rFonts w:ascii="Arial Narrow" w:hAnsi="Arial Narrow"/>
                <w:b/>
                <w:sz w:val="20"/>
                <w:szCs w:val="20"/>
              </w:rPr>
            </w:pPr>
            <w:r w:rsidRPr="00CB6EE4">
              <w:rPr>
                <w:rFonts w:ascii="Arial Narrow" w:hAnsi="Arial Narrow"/>
                <w:b/>
                <w:sz w:val="20"/>
                <w:szCs w:val="20"/>
              </w:rPr>
              <w:t>10 (4, 16)</w:t>
            </w:r>
          </w:p>
        </w:tc>
      </w:tr>
      <w:tr w:rsidR="00A61EFC" w:rsidRPr="00CB6EE4" w14:paraId="63D65653" w14:textId="77777777" w:rsidTr="00881C6D">
        <w:tc>
          <w:tcPr>
            <w:tcW w:w="2405" w:type="dxa"/>
            <w:tcBorders>
              <w:top w:val="nil"/>
            </w:tcBorders>
          </w:tcPr>
          <w:p w14:paraId="483066D1" w14:textId="77777777" w:rsidR="00A61EFC" w:rsidRPr="00CB6EE4" w:rsidRDefault="00A61EFC" w:rsidP="00881C6D">
            <w:pPr>
              <w:rPr>
                <w:rFonts w:ascii="Arial Narrow" w:hAnsi="Arial Narrow"/>
                <w:sz w:val="20"/>
                <w:szCs w:val="20"/>
              </w:rPr>
            </w:pPr>
            <w:r w:rsidRPr="00CB6EE4">
              <w:rPr>
                <w:rFonts w:ascii="Arial Narrow" w:hAnsi="Arial Narrow"/>
                <w:sz w:val="20"/>
                <w:szCs w:val="20"/>
              </w:rPr>
              <w:t>MUSE</w:t>
            </w:r>
          </w:p>
        </w:tc>
        <w:tc>
          <w:tcPr>
            <w:tcW w:w="2204" w:type="dxa"/>
            <w:tcBorders>
              <w:top w:val="nil"/>
            </w:tcBorders>
            <w:vAlign w:val="center"/>
          </w:tcPr>
          <w:p w14:paraId="03E5319A"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NR</w:t>
            </w:r>
          </w:p>
        </w:tc>
        <w:tc>
          <w:tcPr>
            <w:tcW w:w="2190" w:type="dxa"/>
            <w:tcBorders>
              <w:top w:val="nil"/>
            </w:tcBorders>
            <w:vAlign w:val="center"/>
          </w:tcPr>
          <w:p w14:paraId="0AAC93FA"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NR</w:t>
            </w:r>
          </w:p>
        </w:tc>
        <w:tc>
          <w:tcPr>
            <w:tcW w:w="2218" w:type="dxa"/>
            <w:tcBorders>
              <w:top w:val="nil"/>
            </w:tcBorders>
            <w:vAlign w:val="center"/>
          </w:tcPr>
          <w:p w14:paraId="19B585AF" w14:textId="77777777" w:rsidR="00A61EFC" w:rsidRPr="00CB6EE4" w:rsidRDefault="00A61EFC" w:rsidP="00881C6D">
            <w:pPr>
              <w:jc w:val="center"/>
              <w:rPr>
                <w:rFonts w:ascii="Arial Narrow" w:hAnsi="Arial Narrow"/>
                <w:sz w:val="20"/>
                <w:szCs w:val="20"/>
              </w:rPr>
            </w:pPr>
            <w:r w:rsidRPr="00CB6EE4">
              <w:rPr>
                <w:rFonts w:ascii="Arial Narrow" w:hAnsi="Arial Narrow"/>
                <w:sz w:val="20"/>
                <w:szCs w:val="20"/>
              </w:rPr>
              <w:t>-</w:t>
            </w:r>
          </w:p>
        </w:tc>
      </w:tr>
    </w:tbl>
    <w:p w14:paraId="610B6390" w14:textId="0F99E8DA" w:rsidR="00F56B85" w:rsidRPr="00CB6EE4" w:rsidRDefault="00F56B85" w:rsidP="00F56B85">
      <w:pPr>
        <w:pStyle w:val="TableFigureFooter"/>
        <w:spacing w:after="0"/>
      </w:pPr>
      <w:r w:rsidRPr="0046558E">
        <w:t>D</w:t>
      </w:r>
      <w:r w:rsidRPr="0046558E">
        <w:rPr>
          <w:szCs w:val="18"/>
        </w:rPr>
        <w:t>ifference</w:t>
      </w:r>
      <w:r w:rsidRPr="00CB6EE4">
        <w:rPr>
          <w:szCs w:val="18"/>
        </w:rPr>
        <w:t xml:space="preserve"> in response rate was calculated using Review Manager (version 5.4.1).</w:t>
      </w:r>
      <w:r w:rsidR="001D61EB" w:rsidRPr="00CB6EE4">
        <w:t xml:space="preserve"> </w:t>
      </w:r>
      <w:r w:rsidR="001D61EB" w:rsidRPr="00CB6EE4">
        <w:rPr>
          <w:b/>
          <w:bCs/>
        </w:rPr>
        <w:t>Bold</w:t>
      </w:r>
      <w:r w:rsidR="001D61EB" w:rsidRPr="00CB6EE4">
        <w:t xml:space="preserve"> text designates statistical significance.</w:t>
      </w:r>
    </w:p>
    <w:p w14:paraId="30BAA07F" w14:textId="77777777" w:rsidR="00A61EFC" w:rsidRPr="00CB6EE4" w:rsidRDefault="00A61EFC" w:rsidP="00A61EFC">
      <w:pPr>
        <w:rPr>
          <w:rFonts w:ascii="Arial Narrow" w:hAnsi="Arial Narrow"/>
          <w:sz w:val="18"/>
          <w:szCs w:val="18"/>
        </w:rPr>
      </w:pPr>
      <w:r w:rsidRPr="00CB6EE4">
        <w:rPr>
          <w:rFonts w:ascii="Arial Narrow" w:hAnsi="Arial Narrow"/>
          <w:sz w:val="18"/>
          <w:szCs w:val="18"/>
        </w:rPr>
        <w:t>Source: Table 2.5-1, p81, Table 2.5-2, pp83-84 of the submission, Table 11.2.3.2.2 and 11.2.3.2.2a, pp315-322, Tables 11.2.3.2.3 and 11.2.3.2.4, pp327-328 of TULIP-1 CSR Section 11 Tables, Table 11.2.1.1, pp199-201, Table 11.2.1.3, p203 and Table 11.2.3.1.2, pp291-292, Table 11.2.3.1.4, p294 of TULIP-2 CSR Section 11 Tables, Table 14.2.2.3.4, pp283-285, Table 14.2.2.4.17, pp374-376, Table 14.2.2.5.5, pp395-397 of MUSE CSR Errata List</w:t>
      </w:r>
    </w:p>
    <w:p w14:paraId="17231B8E" w14:textId="5BBA8871" w:rsidR="00A61EFC" w:rsidRPr="00CB6EE4" w:rsidRDefault="00A61EFC" w:rsidP="00A61EFC">
      <w:pPr>
        <w:rPr>
          <w:rFonts w:ascii="Arial Narrow" w:hAnsi="Arial Narrow"/>
          <w:sz w:val="18"/>
          <w:szCs w:val="18"/>
        </w:rPr>
      </w:pPr>
      <w:r w:rsidRPr="00CB6EE4">
        <w:rPr>
          <w:rFonts w:ascii="Arial Narrow" w:hAnsi="Arial Narrow"/>
          <w:sz w:val="18"/>
          <w:szCs w:val="18"/>
        </w:rPr>
        <w:t xml:space="preserve">BICLA=BILAG-Based Composite Lupus Assessment; BILAG=British Isles Lupus Assessment Group; </w:t>
      </w:r>
      <w:r w:rsidR="0008323D" w:rsidRPr="00CB6EE4">
        <w:rPr>
          <w:rFonts w:ascii="Arial Narrow" w:hAnsi="Arial Narrow"/>
          <w:sz w:val="18"/>
          <w:szCs w:val="18"/>
        </w:rPr>
        <w:t xml:space="preserve">CI=confidence interval; </w:t>
      </w:r>
      <w:r w:rsidRPr="00CB6EE4">
        <w:rPr>
          <w:rFonts w:ascii="Arial Narrow" w:hAnsi="Arial Narrow"/>
          <w:sz w:val="18"/>
          <w:szCs w:val="18"/>
        </w:rPr>
        <w:t xml:space="preserve">CMH=Cochran-Mantel-Haenszel; FAS=full analysis set; </w:t>
      </w:r>
      <w:r w:rsidR="0008323D" w:rsidRPr="00CB6EE4">
        <w:rPr>
          <w:rFonts w:ascii="Arial Narrow" w:hAnsi="Arial Narrow"/>
          <w:sz w:val="18"/>
          <w:szCs w:val="18"/>
        </w:rPr>
        <w:t xml:space="preserve">NR=not reported; </w:t>
      </w:r>
      <w:r w:rsidRPr="00CB6EE4">
        <w:rPr>
          <w:rFonts w:ascii="Arial Narrow" w:hAnsi="Arial Narrow"/>
          <w:sz w:val="18"/>
          <w:szCs w:val="18"/>
        </w:rPr>
        <w:t xml:space="preserve">OCS=oral corticosteroids; PGA=physician’s global assessment; </w:t>
      </w:r>
      <w:r w:rsidR="0008323D" w:rsidRPr="00CB6EE4">
        <w:rPr>
          <w:rFonts w:ascii="Arial Narrow" w:hAnsi="Arial Narrow"/>
          <w:sz w:val="18"/>
          <w:szCs w:val="18"/>
        </w:rPr>
        <w:t xml:space="preserve">RD=risk difference; </w:t>
      </w:r>
      <w:r w:rsidRPr="00CB6EE4">
        <w:rPr>
          <w:rFonts w:ascii="Arial Narrow" w:hAnsi="Arial Narrow"/>
          <w:sz w:val="18"/>
          <w:szCs w:val="18"/>
        </w:rPr>
        <w:t>SLE=Systemic Lupus Erythematosus; SLEDA</w:t>
      </w:r>
      <w:r w:rsidR="0008323D" w:rsidRPr="00CB6EE4">
        <w:rPr>
          <w:rFonts w:ascii="Arial Narrow" w:hAnsi="Arial Narrow"/>
          <w:sz w:val="18"/>
          <w:szCs w:val="18"/>
        </w:rPr>
        <w:t>I</w:t>
      </w:r>
      <w:r w:rsidRPr="00CB6EE4">
        <w:rPr>
          <w:rFonts w:ascii="Arial Narrow" w:hAnsi="Arial Narrow"/>
          <w:sz w:val="18"/>
          <w:szCs w:val="18"/>
        </w:rPr>
        <w:t xml:space="preserve">-2K=Systemic Lupus Erythematosus Disease Activity Index 2000; SOC=standard of care; </w:t>
      </w:r>
      <w:proofErr w:type="gramStart"/>
      <w:r w:rsidRPr="00CB6EE4">
        <w:rPr>
          <w:rFonts w:ascii="Arial Narrow" w:hAnsi="Arial Narrow"/>
          <w:sz w:val="18"/>
          <w:szCs w:val="18"/>
        </w:rPr>
        <w:t>SRI(</w:t>
      </w:r>
      <w:proofErr w:type="gramEnd"/>
      <w:r w:rsidRPr="00CB6EE4">
        <w:rPr>
          <w:rFonts w:ascii="Arial Narrow" w:hAnsi="Arial Narrow"/>
          <w:sz w:val="18"/>
          <w:szCs w:val="18"/>
        </w:rPr>
        <w:t>4)=</w:t>
      </w:r>
      <w:r w:rsidR="0025495C" w:rsidRPr="00CB6EE4">
        <w:rPr>
          <w:rFonts w:ascii="Arial Narrow" w:hAnsi="Arial Narrow"/>
          <w:sz w:val="18"/>
          <w:szCs w:val="18"/>
        </w:rPr>
        <w:t xml:space="preserve">4-point reduction in </w:t>
      </w:r>
      <w:r w:rsidRPr="00CB6EE4">
        <w:rPr>
          <w:rFonts w:ascii="Arial Narrow" w:hAnsi="Arial Narrow"/>
          <w:sz w:val="18"/>
          <w:szCs w:val="18"/>
        </w:rPr>
        <w:t>S</w:t>
      </w:r>
      <w:r w:rsidR="0025495C" w:rsidRPr="00CB6EE4">
        <w:rPr>
          <w:rFonts w:ascii="Arial Narrow" w:hAnsi="Arial Narrow"/>
          <w:sz w:val="18"/>
          <w:szCs w:val="18"/>
        </w:rPr>
        <w:t xml:space="preserve">LE </w:t>
      </w:r>
      <w:r w:rsidRPr="00CB6EE4">
        <w:rPr>
          <w:rFonts w:ascii="Arial Narrow" w:hAnsi="Arial Narrow"/>
          <w:sz w:val="18"/>
          <w:szCs w:val="18"/>
        </w:rPr>
        <w:t>Responder Index.</w:t>
      </w:r>
    </w:p>
    <w:p w14:paraId="3B87B7BB" w14:textId="4680659C" w:rsidR="00A61EFC" w:rsidRPr="00CB6EE4" w:rsidRDefault="00A61EFC" w:rsidP="002F58B9">
      <w:pPr>
        <w:ind w:left="170" w:hanging="170"/>
        <w:rPr>
          <w:rFonts w:ascii="Arial Narrow" w:hAnsi="Arial Narrow"/>
          <w:sz w:val="18"/>
          <w:szCs w:val="18"/>
        </w:rPr>
      </w:pPr>
      <w:proofErr w:type="spellStart"/>
      <w:proofErr w:type="gramStart"/>
      <w:r w:rsidRPr="00CB6EE4">
        <w:rPr>
          <w:rFonts w:ascii="Arial Narrow" w:hAnsi="Arial Narrow"/>
          <w:sz w:val="18"/>
          <w:szCs w:val="18"/>
        </w:rPr>
        <w:t>a</w:t>
      </w:r>
      <w:proofErr w:type="spellEnd"/>
      <w:proofErr w:type="gramEnd"/>
      <w:r w:rsidRPr="00CB6EE4">
        <w:rPr>
          <w:rFonts w:ascii="Arial Narrow" w:hAnsi="Arial Narrow"/>
          <w:sz w:val="18"/>
          <w:szCs w:val="18"/>
        </w:rPr>
        <w:tab/>
        <w:t>Original pre</w:t>
      </w:r>
      <w:r w:rsidR="00562E02">
        <w:rPr>
          <w:rFonts w:ascii="Arial Narrow" w:hAnsi="Arial Narrow"/>
          <w:sz w:val="18"/>
          <w:szCs w:val="18"/>
        </w:rPr>
        <w:t>-</w:t>
      </w:r>
      <w:r w:rsidRPr="00CB6EE4">
        <w:rPr>
          <w:rFonts w:ascii="Arial Narrow" w:hAnsi="Arial Narrow"/>
          <w:sz w:val="18"/>
          <w:szCs w:val="18"/>
        </w:rPr>
        <w:t>specified restricted medication rules.</w:t>
      </w:r>
    </w:p>
    <w:p w14:paraId="60A051DB" w14:textId="77777777" w:rsidR="00A61EFC" w:rsidRPr="00CB6EE4" w:rsidRDefault="00A61EFC" w:rsidP="00A61EFC">
      <w:pPr>
        <w:rPr>
          <w:rFonts w:ascii="Arial Narrow" w:hAnsi="Arial Narrow"/>
          <w:sz w:val="18"/>
          <w:szCs w:val="18"/>
        </w:rPr>
      </w:pPr>
      <w:r w:rsidRPr="00CB6EE4">
        <w:rPr>
          <w:rFonts w:ascii="Arial Narrow" w:hAnsi="Arial Narrow"/>
          <w:sz w:val="18"/>
          <w:szCs w:val="18"/>
        </w:rPr>
        <w:t>b</w:t>
      </w:r>
      <w:r w:rsidRPr="00CB6EE4">
        <w:rPr>
          <w:rFonts w:ascii="Arial Narrow" w:hAnsi="Arial Narrow"/>
          <w:sz w:val="18"/>
          <w:szCs w:val="18"/>
        </w:rPr>
        <w:tab/>
        <w:t>Unadjusted p-value.</w:t>
      </w:r>
    </w:p>
    <w:p w14:paraId="01711EFF" w14:textId="77777777" w:rsidR="00A61EFC" w:rsidRPr="00CB6EE4" w:rsidRDefault="00A61EFC" w:rsidP="00A61EFC">
      <w:pPr>
        <w:rPr>
          <w:rFonts w:ascii="Arial Narrow" w:hAnsi="Arial Narrow"/>
          <w:sz w:val="18"/>
          <w:szCs w:val="18"/>
        </w:rPr>
      </w:pPr>
      <w:r w:rsidRPr="00CB6EE4">
        <w:rPr>
          <w:rFonts w:ascii="Arial Narrow" w:hAnsi="Arial Narrow"/>
          <w:sz w:val="18"/>
          <w:szCs w:val="18"/>
        </w:rPr>
        <w:t>c</w:t>
      </w:r>
      <w:r w:rsidRPr="00CB6EE4">
        <w:rPr>
          <w:rFonts w:ascii="Arial Narrow" w:hAnsi="Arial Narrow"/>
          <w:sz w:val="18"/>
          <w:szCs w:val="18"/>
        </w:rPr>
        <w:tab/>
      </w:r>
      <w:proofErr w:type="gramStart"/>
      <w:r w:rsidRPr="00CB6EE4">
        <w:rPr>
          <w:rFonts w:ascii="Arial Narrow" w:hAnsi="Arial Narrow"/>
          <w:sz w:val="18"/>
          <w:szCs w:val="18"/>
        </w:rPr>
        <w:t>Post-hoc</w:t>
      </w:r>
      <w:proofErr w:type="gramEnd"/>
      <w:r w:rsidRPr="00CB6EE4">
        <w:rPr>
          <w:rFonts w:ascii="Arial Narrow" w:hAnsi="Arial Narrow"/>
          <w:sz w:val="18"/>
          <w:szCs w:val="18"/>
        </w:rPr>
        <w:t xml:space="preserve"> revised restricted medication rules.</w:t>
      </w:r>
    </w:p>
    <w:p w14:paraId="6BBEC758" w14:textId="77777777" w:rsidR="00A61EFC" w:rsidRPr="00CB6EE4" w:rsidRDefault="00A61EFC" w:rsidP="00A61EFC">
      <w:pPr>
        <w:rPr>
          <w:rFonts w:ascii="Arial Narrow" w:hAnsi="Arial Narrow"/>
          <w:sz w:val="18"/>
          <w:szCs w:val="18"/>
        </w:rPr>
      </w:pPr>
      <w:r w:rsidRPr="00CB6EE4">
        <w:rPr>
          <w:rFonts w:ascii="Arial Narrow" w:hAnsi="Arial Narrow"/>
          <w:sz w:val="18"/>
          <w:szCs w:val="18"/>
        </w:rPr>
        <w:t>d</w:t>
      </w:r>
      <w:r w:rsidRPr="00CB6EE4">
        <w:rPr>
          <w:rFonts w:ascii="Arial Narrow" w:hAnsi="Arial Narrow"/>
          <w:sz w:val="18"/>
          <w:szCs w:val="18"/>
        </w:rPr>
        <w:tab/>
        <w:t>Pooled analysis excluded the 150 mg group from TULIP-1. Results are based on the revised restricted medication rules.</w:t>
      </w:r>
    </w:p>
    <w:p w14:paraId="10F26958" w14:textId="482E417C" w:rsidR="00A61EFC" w:rsidRPr="00CB6EE4" w:rsidRDefault="00A61EFC" w:rsidP="00A61EFC">
      <w:pPr>
        <w:ind w:left="170" w:hanging="170"/>
        <w:rPr>
          <w:rFonts w:ascii="Arial Narrow" w:hAnsi="Arial Narrow"/>
          <w:sz w:val="18"/>
          <w:szCs w:val="18"/>
        </w:rPr>
      </w:pPr>
      <w:r w:rsidRPr="00CB6EE4">
        <w:rPr>
          <w:rFonts w:ascii="Arial Narrow" w:hAnsi="Arial Narrow"/>
          <w:sz w:val="18"/>
          <w:szCs w:val="18"/>
        </w:rPr>
        <w:t>e</w:t>
      </w:r>
      <w:r w:rsidRPr="00CB6EE4">
        <w:rPr>
          <w:rFonts w:ascii="Arial Narrow" w:hAnsi="Arial Narrow"/>
          <w:sz w:val="18"/>
          <w:szCs w:val="18"/>
        </w:rPr>
        <w:tab/>
        <w:t xml:space="preserve">The submission reported pooled TULIP-1 and TULIP-2 result based on </w:t>
      </w:r>
      <w:proofErr w:type="gramStart"/>
      <w:r w:rsidRPr="00CB6EE4">
        <w:rPr>
          <w:rFonts w:ascii="Arial Narrow" w:hAnsi="Arial Narrow"/>
          <w:sz w:val="18"/>
          <w:szCs w:val="18"/>
        </w:rPr>
        <w:t>SRI(</w:t>
      </w:r>
      <w:proofErr w:type="gramEnd"/>
      <w:r w:rsidRPr="00CB6EE4">
        <w:rPr>
          <w:rFonts w:ascii="Arial Narrow" w:hAnsi="Arial Narrow"/>
          <w:sz w:val="18"/>
          <w:szCs w:val="18"/>
        </w:rPr>
        <w:t xml:space="preserve">4) response of 188/360 (52.2%) on </w:t>
      </w:r>
      <w:proofErr w:type="spellStart"/>
      <w:r w:rsidRPr="00CB6EE4">
        <w:rPr>
          <w:rFonts w:ascii="Arial Narrow" w:hAnsi="Arial Narrow"/>
          <w:sz w:val="18"/>
          <w:szCs w:val="18"/>
        </w:rPr>
        <w:t>anifrolumab</w:t>
      </w:r>
      <w:proofErr w:type="spellEnd"/>
      <w:r w:rsidRPr="00CB6EE4">
        <w:rPr>
          <w:rFonts w:ascii="Arial Narrow" w:hAnsi="Arial Narrow"/>
          <w:sz w:val="18"/>
          <w:szCs w:val="18"/>
        </w:rPr>
        <w:t xml:space="preserve">, which could not be verified. Correcting for the pooled response on </w:t>
      </w:r>
      <w:proofErr w:type="spellStart"/>
      <w:r w:rsidRPr="00CB6EE4">
        <w:rPr>
          <w:rFonts w:ascii="Arial Narrow" w:hAnsi="Arial Narrow"/>
          <w:sz w:val="18"/>
          <w:szCs w:val="18"/>
        </w:rPr>
        <w:t>anifrolumab</w:t>
      </w:r>
      <w:proofErr w:type="spellEnd"/>
      <w:r w:rsidRPr="00CB6EE4">
        <w:rPr>
          <w:rFonts w:ascii="Arial Narrow" w:hAnsi="Arial Narrow"/>
          <w:sz w:val="18"/>
          <w:szCs w:val="18"/>
        </w:rPr>
        <w:t xml:space="preserve"> group, the analysis conducted during the evaluation resulted in pooled response difference of 11 (4, 18). </w:t>
      </w:r>
    </w:p>
    <w:p w14:paraId="3EC0030D" w14:textId="77777777" w:rsidR="00A61EFC" w:rsidRPr="00CB6EE4" w:rsidRDefault="00A61EFC" w:rsidP="00A61EFC">
      <w:pPr>
        <w:ind w:left="170" w:hanging="170"/>
        <w:rPr>
          <w:rFonts w:ascii="Arial Narrow" w:hAnsi="Arial Narrow"/>
          <w:sz w:val="18"/>
          <w:szCs w:val="18"/>
        </w:rPr>
      </w:pPr>
      <w:r w:rsidRPr="00CB6EE4">
        <w:rPr>
          <w:rFonts w:ascii="Arial Narrow" w:hAnsi="Arial Narrow"/>
          <w:sz w:val="18"/>
          <w:szCs w:val="18"/>
        </w:rPr>
        <w:t>f</w:t>
      </w:r>
      <w:r w:rsidRPr="00CB6EE4">
        <w:rPr>
          <w:rFonts w:ascii="Arial Narrow" w:hAnsi="Arial Narrow"/>
          <w:sz w:val="18"/>
          <w:szCs w:val="18"/>
        </w:rPr>
        <w:tab/>
        <w:t xml:space="preserve">MUSE presented odds ratio (90% CI) and p-values based on a logistic regression model for comparisons of each </w:t>
      </w:r>
      <w:proofErr w:type="spellStart"/>
      <w:r w:rsidRPr="00CB6EE4">
        <w:rPr>
          <w:rFonts w:ascii="Arial Narrow" w:hAnsi="Arial Narrow"/>
          <w:sz w:val="18"/>
          <w:szCs w:val="18"/>
        </w:rPr>
        <w:t>anifrolumab</w:t>
      </w:r>
      <w:proofErr w:type="spellEnd"/>
      <w:r w:rsidRPr="00CB6EE4">
        <w:rPr>
          <w:rFonts w:ascii="Arial Narrow" w:hAnsi="Arial Narrow"/>
          <w:sz w:val="18"/>
          <w:szCs w:val="18"/>
        </w:rPr>
        <w:t xml:space="preserve"> group versus placebo adjusted for randomization stratification factors. </w:t>
      </w:r>
    </w:p>
    <w:p w14:paraId="6741D865" w14:textId="36E1427B" w:rsidR="00A61EFC" w:rsidRDefault="00A61EFC" w:rsidP="00A61EFC">
      <w:pPr>
        <w:ind w:left="170" w:hanging="170"/>
        <w:rPr>
          <w:rFonts w:ascii="Arial Narrow" w:hAnsi="Arial Narrow"/>
          <w:sz w:val="18"/>
          <w:szCs w:val="18"/>
        </w:rPr>
      </w:pPr>
      <w:r w:rsidRPr="00CB6EE4">
        <w:rPr>
          <w:rFonts w:ascii="Arial Narrow" w:hAnsi="Arial Narrow"/>
          <w:sz w:val="18"/>
          <w:szCs w:val="18"/>
        </w:rPr>
        <w:t>h</w:t>
      </w:r>
      <w:r w:rsidRPr="00CB6EE4">
        <w:rPr>
          <w:rFonts w:ascii="Arial Narrow" w:hAnsi="Arial Narrow"/>
          <w:sz w:val="18"/>
          <w:szCs w:val="18"/>
        </w:rPr>
        <w:tab/>
      </w:r>
      <w:proofErr w:type="gramStart"/>
      <w:r w:rsidRPr="00CB6EE4">
        <w:rPr>
          <w:rFonts w:ascii="Arial Narrow" w:hAnsi="Arial Narrow"/>
          <w:sz w:val="18"/>
          <w:szCs w:val="18"/>
        </w:rPr>
        <w:t>The</w:t>
      </w:r>
      <w:proofErr w:type="gramEnd"/>
      <w:r w:rsidRPr="00CB6EE4">
        <w:rPr>
          <w:rFonts w:ascii="Arial Narrow" w:hAnsi="Arial Narrow"/>
          <w:sz w:val="18"/>
          <w:szCs w:val="18"/>
        </w:rPr>
        <w:t xml:space="preserve"> submission reported pooled TULIP-1 and TULIP-2 result based on BICLA response of 171/360 (47.5%) on </w:t>
      </w:r>
      <w:proofErr w:type="spellStart"/>
      <w:r w:rsidRPr="00CB6EE4">
        <w:rPr>
          <w:rFonts w:ascii="Arial Narrow" w:hAnsi="Arial Narrow"/>
          <w:sz w:val="18"/>
          <w:szCs w:val="18"/>
        </w:rPr>
        <w:t>anifrolumab</w:t>
      </w:r>
      <w:proofErr w:type="spellEnd"/>
      <w:r w:rsidRPr="00CB6EE4">
        <w:rPr>
          <w:rFonts w:ascii="Arial Narrow" w:hAnsi="Arial Narrow"/>
          <w:sz w:val="18"/>
          <w:szCs w:val="18"/>
        </w:rPr>
        <w:t xml:space="preserve"> vs 112/366 (30.6%) on placebo, which could not be verified. Correcting for the pooled response on </w:t>
      </w:r>
      <w:proofErr w:type="spellStart"/>
      <w:r w:rsidRPr="00CB6EE4">
        <w:rPr>
          <w:rFonts w:ascii="Arial Narrow" w:hAnsi="Arial Narrow"/>
          <w:sz w:val="18"/>
          <w:szCs w:val="18"/>
        </w:rPr>
        <w:t>anifrolumab</w:t>
      </w:r>
      <w:proofErr w:type="spellEnd"/>
      <w:r w:rsidRPr="00CB6EE4">
        <w:rPr>
          <w:rFonts w:ascii="Arial Narrow" w:hAnsi="Arial Narrow"/>
          <w:sz w:val="18"/>
          <w:szCs w:val="18"/>
        </w:rPr>
        <w:t xml:space="preserve"> and placebo group, the analysis conducted during the evaluation showed minimal change in the pooled response difference of 17 (10, 24).</w:t>
      </w:r>
    </w:p>
    <w:p w14:paraId="7AC0491D" w14:textId="2B867176" w:rsidR="0046558E" w:rsidRPr="00CB6EE4" w:rsidRDefault="0046558E" w:rsidP="00A61EFC">
      <w:pPr>
        <w:ind w:left="170" w:hanging="170"/>
        <w:rPr>
          <w:rFonts w:ascii="Arial Narrow" w:hAnsi="Arial Narrow"/>
          <w:sz w:val="18"/>
          <w:szCs w:val="18"/>
        </w:rPr>
      </w:pPr>
      <w:proofErr w:type="spellStart"/>
      <w:r>
        <w:rPr>
          <w:rFonts w:ascii="Arial Narrow" w:hAnsi="Arial Narrow"/>
          <w:sz w:val="18"/>
          <w:szCs w:val="18"/>
        </w:rPr>
        <w:t>i</w:t>
      </w:r>
      <w:proofErr w:type="spellEnd"/>
      <w:r>
        <w:rPr>
          <w:rFonts w:ascii="Arial Narrow" w:hAnsi="Arial Narrow"/>
          <w:sz w:val="18"/>
          <w:szCs w:val="18"/>
        </w:rPr>
        <w:tab/>
      </w:r>
      <w:proofErr w:type="gramStart"/>
      <w:r w:rsidRPr="00CB6EE4">
        <w:rPr>
          <w:rFonts w:ascii="Arial Narrow" w:hAnsi="Arial Narrow"/>
          <w:sz w:val="18"/>
          <w:szCs w:val="18"/>
        </w:rPr>
        <w:t>The</w:t>
      </w:r>
      <w:proofErr w:type="gramEnd"/>
      <w:r w:rsidRPr="00CB6EE4">
        <w:rPr>
          <w:rFonts w:ascii="Arial Narrow" w:hAnsi="Arial Narrow"/>
          <w:sz w:val="18"/>
          <w:szCs w:val="18"/>
        </w:rPr>
        <w:t xml:space="preserve"> responder/non-responder rates (percentages), the difference in estimates and associated 95% CI are weighted and calculated using a stratified CMH approach, with stratification factors (SLEDAI-2K score at screening [&lt;10 vs ≥10 points], Week 0 OCS dose [&lt;10 vs ≥10 mg/day prednisone or equivalent] and type I IFN gene signature test result at screening [high vs low]).</w:t>
      </w:r>
    </w:p>
    <w:p w14:paraId="1FBF8253" w14:textId="77777777" w:rsidR="00CF07C6" w:rsidRDefault="00CF07C6" w:rsidP="00A61EFC">
      <w:pPr>
        <w:ind w:left="170" w:hanging="170"/>
      </w:pPr>
    </w:p>
    <w:p w14:paraId="7B06FCB7" w14:textId="74763241" w:rsidR="008D085E" w:rsidRDefault="00107054" w:rsidP="008D085E">
      <w:pPr>
        <w:pStyle w:val="3-BodyText"/>
      </w:pPr>
      <w:r w:rsidRPr="00F11EB3">
        <w:t xml:space="preserve">The results shown in </w:t>
      </w:r>
      <w:r w:rsidRPr="00F11EB3">
        <w:rPr>
          <w:rFonts w:cstheme="minorHAnsi"/>
        </w:rPr>
        <w:fldChar w:fldCharType="begin"/>
      </w:r>
      <w:r w:rsidRPr="00F11EB3">
        <w:rPr>
          <w:rFonts w:cstheme="minorHAnsi"/>
        </w:rPr>
        <w:instrText xml:space="preserve"> REF _Ref102983167 \h  \* MERGEFORMAT </w:instrText>
      </w:r>
      <w:r w:rsidRPr="00F11EB3">
        <w:rPr>
          <w:rFonts w:cstheme="minorHAnsi"/>
        </w:rPr>
      </w:r>
      <w:r w:rsidRPr="00F11EB3">
        <w:rPr>
          <w:rFonts w:cstheme="minorHAnsi"/>
        </w:rPr>
        <w:fldChar w:fldCharType="separate"/>
      </w:r>
      <w:r w:rsidR="00942C22" w:rsidRPr="00942C22">
        <w:rPr>
          <w:rStyle w:val="CommentReference"/>
          <w:rFonts w:asciiTheme="minorHAnsi" w:hAnsiTheme="minorHAnsi" w:cstheme="minorHAnsi"/>
          <w:b w:val="0"/>
          <w:sz w:val="24"/>
          <w:szCs w:val="24"/>
        </w:rPr>
        <w:t xml:space="preserve">Table </w:t>
      </w:r>
      <w:r w:rsidR="00942C22" w:rsidRPr="00942C22">
        <w:rPr>
          <w:rStyle w:val="CommentReference"/>
          <w:rFonts w:asciiTheme="minorHAnsi" w:hAnsiTheme="minorHAnsi" w:cstheme="minorHAnsi"/>
          <w:b w:val="0"/>
          <w:noProof/>
          <w:sz w:val="24"/>
          <w:szCs w:val="24"/>
        </w:rPr>
        <w:t>4</w:t>
      </w:r>
      <w:r w:rsidRPr="00F11EB3">
        <w:rPr>
          <w:rFonts w:cstheme="minorHAnsi"/>
        </w:rPr>
        <w:fldChar w:fldCharType="end"/>
      </w:r>
      <w:r w:rsidRPr="00F11EB3">
        <w:t xml:space="preserve"> are for responses at Week 52; data are not shown for Week 24, however the results at this timepoint are discussed below.</w:t>
      </w:r>
      <w:r>
        <w:t xml:space="preserve"> </w:t>
      </w:r>
      <w:r w:rsidR="008D085E">
        <w:t>The results demonstrated:</w:t>
      </w:r>
    </w:p>
    <w:p w14:paraId="4A8C9D4B" w14:textId="4226B224" w:rsidR="00144D66" w:rsidRPr="00CB6EE4" w:rsidRDefault="00144D66" w:rsidP="00DC2530">
      <w:pPr>
        <w:pStyle w:val="3-BodyText"/>
        <w:numPr>
          <w:ilvl w:val="0"/>
          <w:numId w:val="8"/>
        </w:numPr>
        <w:ind w:left="1037" w:hanging="357"/>
      </w:pPr>
      <w:r>
        <w:t xml:space="preserve">In </w:t>
      </w:r>
      <w:r w:rsidR="00B505EB">
        <w:t xml:space="preserve">the </w:t>
      </w:r>
      <w:r>
        <w:t>TULIP-1</w:t>
      </w:r>
      <w:r w:rsidR="00B505EB">
        <w:t xml:space="preserve"> trial,</w:t>
      </w:r>
      <w:r>
        <w:t xml:space="preserve"> there were no significant differences between </w:t>
      </w:r>
      <w:proofErr w:type="spellStart"/>
      <w:r>
        <w:t>anifrolumab</w:t>
      </w:r>
      <w:proofErr w:type="spellEnd"/>
      <w:r>
        <w:t xml:space="preserve"> and placebo for </w:t>
      </w:r>
      <w:proofErr w:type="gramStart"/>
      <w:r>
        <w:t>SRI(</w:t>
      </w:r>
      <w:proofErr w:type="gramEnd"/>
      <w:r>
        <w:t>4) at either Week 24 or Week 52, with results favouring placebo in the pre</w:t>
      </w:r>
      <w:r w:rsidR="00562E02">
        <w:t>-</w:t>
      </w:r>
      <w:r>
        <w:t xml:space="preserve">specified analysis. In contrast, numerically more patients achieved a BICLA response at Week 52 in the </w:t>
      </w:r>
      <w:proofErr w:type="spellStart"/>
      <w:r>
        <w:t>anifrolumab</w:t>
      </w:r>
      <w:proofErr w:type="spellEnd"/>
      <w:r>
        <w:t xml:space="preserve"> arm, reaching nominal significance. </w:t>
      </w:r>
      <w:r w:rsidRPr="00CB6EE4">
        <w:t>However, as BICLA response at Week 52 in TULIP-1 and MUSE were not included in the testing strategy for multiplicity, they should be considered exploratory and cannot be interpreted in terms of statistical significance.</w:t>
      </w:r>
      <w:r>
        <w:t xml:space="preserve"> On the other hand, in</w:t>
      </w:r>
      <w:r w:rsidR="00B505EB">
        <w:t xml:space="preserve"> the</w:t>
      </w:r>
      <w:r>
        <w:t xml:space="preserve"> TULIP-2 and MUSE</w:t>
      </w:r>
      <w:r w:rsidR="00B505EB">
        <w:t xml:space="preserve"> trials</w:t>
      </w:r>
      <w:r>
        <w:t xml:space="preserve">, </w:t>
      </w:r>
      <w:r w:rsidR="00F7378B">
        <w:t>both</w:t>
      </w:r>
      <w:r>
        <w:t xml:space="preserve"> </w:t>
      </w:r>
      <w:proofErr w:type="gramStart"/>
      <w:r>
        <w:t>SRI(</w:t>
      </w:r>
      <w:proofErr w:type="gramEnd"/>
      <w:r>
        <w:t xml:space="preserve">4) and BICLA responses at Week 24 and Week 52 were significantly higher in the </w:t>
      </w:r>
      <w:proofErr w:type="spellStart"/>
      <w:r>
        <w:t>anifrolumab</w:t>
      </w:r>
      <w:proofErr w:type="spellEnd"/>
      <w:r>
        <w:t xml:space="preserve"> 300 mg group compared to placebo. </w:t>
      </w:r>
    </w:p>
    <w:p w14:paraId="6FDDB92B" w14:textId="3AC220D5" w:rsidR="00A61EFC" w:rsidRPr="00CB6EE4" w:rsidRDefault="008D085E" w:rsidP="00DC2530">
      <w:pPr>
        <w:pStyle w:val="3-BodyText"/>
        <w:numPr>
          <w:ilvl w:val="0"/>
          <w:numId w:val="8"/>
        </w:numPr>
        <w:rPr>
          <w:iCs/>
        </w:rPr>
      </w:pPr>
      <w:r>
        <w:t>Placebo response was high (approximate</w:t>
      </w:r>
      <w:r w:rsidR="00342FA2">
        <w:t>ly</w:t>
      </w:r>
      <w:r>
        <w:t xml:space="preserve"> 40%) in all trials.</w:t>
      </w:r>
      <w:r w:rsidRPr="008D085E">
        <w:rPr>
          <w:i/>
        </w:rPr>
        <w:t xml:space="preserve"> </w:t>
      </w:r>
      <w:r w:rsidRPr="00CB6EE4">
        <w:rPr>
          <w:iCs/>
        </w:rPr>
        <w:t xml:space="preserve">In the consideration of belimumab for SLE, the PBAC considered the high placebo response was likely due </w:t>
      </w:r>
      <w:r w:rsidRPr="00CB6EE4">
        <w:rPr>
          <w:iCs/>
        </w:rPr>
        <w:lastRenderedPageBreak/>
        <w:t xml:space="preserve">to reasons </w:t>
      </w:r>
      <w:r w:rsidR="002F58B9">
        <w:rPr>
          <w:iCs/>
        </w:rPr>
        <w:t xml:space="preserve">such as </w:t>
      </w:r>
      <w:r w:rsidRPr="00CB6EE4">
        <w:rPr>
          <w:iCs/>
        </w:rPr>
        <w:t>the optimisation and adherence to SOC in the clinical trial setting, as well as regression to the mean as some patients may have commenced therapy during a disease flare (paragraphs 6.14 and 7.7, belimumab PSD November 2019 PBAC meeting).</w:t>
      </w:r>
    </w:p>
    <w:p w14:paraId="5C97C228" w14:textId="3B192B18" w:rsidR="008D085E" w:rsidRPr="00CB6EE4" w:rsidRDefault="008D085E" w:rsidP="00DC2530">
      <w:pPr>
        <w:pStyle w:val="3-BodyText"/>
        <w:numPr>
          <w:ilvl w:val="0"/>
          <w:numId w:val="8"/>
        </w:numPr>
      </w:pPr>
      <w:r w:rsidRPr="00CB6EE4">
        <w:t xml:space="preserve">Differences in </w:t>
      </w:r>
      <w:r w:rsidR="003C11D3" w:rsidRPr="00CB6EE4">
        <w:t xml:space="preserve">the </w:t>
      </w:r>
      <w:r w:rsidRPr="00CB6EE4">
        <w:t xml:space="preserve">proportion of SRI(4) and BICLA responders between the </w:t>
      </w:r>
      <w:proofErr w:type="spellStart"/>
      <w:r w:rsidRPr="00CB6EE4">
        <w:t>anifrolumab</w:t>
      </w:r>
      <w:proofErr w:type="spellEnd"/>
      <w:r w:rsidRPr="00CB6EE4">
        <w:t xml:space="preserve"> and placebo arms also appeared to fluctuate over time</w:t>
      </w:r>
      <w:r w:rsidR="00C27376" w:rsidRPr="00CB6EE4">
        <w:t>;</w:t>
      </w:r>
      <w:r w:rsidRPr="00CB6EE4">
        <w:t xml:space="preserve"> even </w:t>
      </w:r>
      <w:r w:rsidR="003C11D3" w:rsidRPr="00CB6EE4">
        <w:t xml:space="preserve">when </w:t>
      </w:r>
      <w:r w:rsidRPr="00CB6EE4">
        <w:t>the differences reached statistical significance at Weeks 24 and 52, the differences were not statistically significant</w:t>
      </w:r>
      <w:r w:rsidR="00C27376" w:rsidRPr="00CB6EE4">
        <w:t xml:space="preserve"> just peripheral to these time points</w:t>
      </w:r>
      <w:r w:rsidRPr="00CB6EE4">
        <w:t xml:space="preserve"> (</w:t>
      </w:r>
      <w:r w:rsidR="002F68ED" w:rsidRPr="00CB6EE4">
        <w:t>e.g.</w:t>
      </w:r>
      <w:r w:rsidRPr="00CB6EE4">
        <w:t xml:space="preserve"> TULIP-2 SRI(4) response at Week 48 and TULIP-2 BICLA response at Weeks 44, 48, </w:t>
      </w:r>
      <w:r w:rsidR="00F56B85" w:rsidRPr="00CB6EE4">
        <w:t>as indicated by</w:t>
      </w:r>
      <w:r w:rsidRPr="00CB6EE4">
        <w:t xml:space="preserve"> overlapping 95% CI bars</w:t>
      </w:r>
      <w:r w:rsidR="00C27376" w:rsidRPr="00CB6EE4">
        <w:t>;</w:t>
      </w:r>
      <w:r w:rsidRPr="00CB6EE4">
        <w:t xml:space="preserve"> error bars were not reported for MUSE).</w:t>
      </w:r>
    </w:p>
    <w:p w14:paraId="6CD15517" w14:textId="14A3A04E" w:rsidR="008D085E" w:rsidRPr="00CB6EE4" w:rsidRDefault="008D085E" w:rsidP="00DC2530">
      <w:pPr>
        <w:pStyle w:val="ListParagraph"/>
        <w:numPr>
          <w:ilvl w:val="0"/>
          <w:numId w:val="8"/>
        </w:numPr>
      </w:pPr>
      <w:r w:rsidRPr="00CB6EE4">
        <w:t xml:space="preserve">In TULIP-1, the post-hoc analyses based on the revised restricted medication rules resulted in numerically greater differences for </w:t>
      </w:r>
      <w:proofErr w:type="gramStart"/>
      <w:r w:rsidRPr="00CB6EE4">
        <w:t>SRI(</w:t>
      </w:r>
      <w:proofErr w:type="gramEnd"/>
      <w:r w:rsidRPr="00CB6EE4">
        <w:t xml:space="preserve">4) and BICLA responses compared to the pre-specified analyses, favouring </w:t>
      </w:r>
      <w:proofErr w:type="spellStart"/>
      <w:r w:rsidRPr="00CB6EE4">
        <w:t>anifrolumab</w:t>
      </w:r>
      <w:proofErr w:type="spellEnd"/>
      <w:r w:rsidRPr="00CB6EE4">
        <w:t xml:space="preserve"> (</w:t>
      </w:r>
      <w:r w:rsidR="00CB35FC" w:rsidRPr="00CB6EE4">
        <w:t>i.e.</w:t>
      </w:r>
      <w:r w:rsidRPr="00CB6EE4">
        <w:t xml:space="preserve"> resulted in disproportiona</w:t>
      </w:r>
      <w:r w:rsidR="00C94815">
        <w:t>te</w:t>
      </w:r>
      <w:r w:rsidRPr="00CB6EE4">
        <w:t xml:space="preserve">ly more responders in the </w:t>
      </w:r>
      <w:proofErr w:type="spellStart"/>
      <w:r w:rsidRPr="00CB6EE4">
        <w:t>anifrolumab</w:t>
      </w:r>
      <w:proofErr w:type="spellEnd"/>
      <w:r w:rsidRPr="00CB6EE4">
        <w:t xml:space="preserve"> arm). Results using the original medication rules were not reported for TULIP-2</w:t>
      </w:r>
      <w:r w:rsidR="00E23620">
        <w:t>.</w:t>
      </w:r>
      <w:r w:rsidRPr="00CB6EE4">
        <w:t xml:space="preserve"> Trial </w:t>
      </w:r>
      <w:r w:rsidR="004800AB" w:rsidRPr="00CB6EE4">
        <w:t xml:space="preserve">investigators </w:t>
      </w:r>
      <w:r w:rsidRPr="00CB6EE4">
        <w:t>(</w:t>
      </w:r>
      <w:proofErr w:type="spellStart"/>
      <w:r w:rsidRPr="00CB6EE4">
        <w:t>Furie</w:t>
      </w:r>
      <w:proofErr w:type="spellEnd"/>
      <w:r w:rsidRPr="00CB6EE4">
        <w:t xml:space="preserve"> et al</w:t>
      </w:r>
      <w:r w:rsidR="00DF6485" w:rsidRPr="00CB6EE4">
        <w:t>.,</w:t>
      </w:r>
      <w:r w:rsidRPr="00CB6EE4">
        <w:t xml:space="preserve"> 2019) </w:t>
      </w:r>
      <w:r w:rsidR="00C27376" w:rsidRPr="00CB6EE4">
        <w:t>for the</w:t>
      </w:r>
      <w:r w:rsidRPr="00CB6EE4">
        <w:t xml:space="preserve"> TULIP-1</w:t>
      </w:r>
      <w:r w:rsidR="00C27376" w:rsidRPr="00CB6EE4">
        <w:t xml:space="preserve"> trial</w:t>
      </w:r>
      <w:r w:rsidRPr="00CB6EE4">
        <w:t xml:space="preserve"> considered that the change in the restricted medication rules was clinically appropriate, arguing that use of NSAIDs in </w:t>
      </w:r>
      <w:r w:rsidR="003C11D3" w:rsidRPr="00CB6EE4">
        <w:t xml:space="preserve">the </w:t>
      </w:r>
      <w:r w:rsidRPr="00CB6EE4">
        <w:t xml:space="preserve">trial were not as important as changes to the use of immunosuppressants, antimalarials or corticosteroids. However, the change in NSAID use could potentially affect the arthritis scores of SLEDAI and BILAG, which were components of </w:t>
      </w:r>
      <w:proofErr w:type="gramStart"/>
      <w:r w:rsidRPr="00CB6EE4">
        <w:t>SRI(</w:t>
      </w:r>
      <w:proofErr w:type="gramEnd"/>
      <w:r w:rsidRPr="00CB6EE4">
        <w:t>4) and BICLA, and attributable to the higher number of responders observed in TULIP-1 for both measures with the revised medication rules (Koh et al</w:t>
      </w:r>
      <w:r w:rsidR="00DF6485" w:rsidRPr="00CB6EE4">
        <w:t>,.</w:t>
      </w:r>
      <w:r w:rsidRPr="00CB6EE4">
        <w:t xml:space="preserve"> 2020).</w:t>
      </w:r>
    </w:p>
    <w:p w14:paraId="7E1D2C28" w14:textId="0343D6DF" w:rsidR="00CF07C6" w:rsidRPr="00CB6EE4" w:rsidRDefault="002F58B9" w:rsidP="00EC5836">
      <w:pPr>
        <w:pStyle w:val="3-BodyText"/>
        <w:rPr>
          <w:iCs/>
        </w:rPr>
      </w:pPr>
      <w:bookmarkStart w:id="28" w:name="_Ref105770649"/>
      <w:bookmarkStart w:id="29" w:name="_Ref110338424"/>
      <w:r>
        <w:rPr>
          <w:iCs/>
        </w:rPr>
        <w:t>T</w:t>
      </w:r>
      <w:r w:rsidR="008D085E" w:rsidRPr="00CB6EE4">
        <w:rPr>
          <w:iCs/>
        </w:rPr>
        <w:t>he results of the trials differed despite seemingly similar trial designs (particularly</w:t>
      </w:r>
      <w:r w:rsidR="00C27376" w:rsidRPr="00CB6EE4">
        <w:rPr>
          <w:iCs/>
        </w:rPr>
        <w:t xml:space="preserve"> the</w:t>
      </w:r>
      <w:r w:rsidR="008D085E" w:rsidRPr="00CB6EE4">
        <w:rPr>
          <w:iCs/>
        </w:rPr>
        <w:t xml:space="preserve"> TULIP trials which had almost identical designs) and broadly similar reported patient disease characteristics. Because concordance between the SLEDAI (driver of </w:t>
      </w:r>
      <w:proofErr w:type="gramStart"/>
      <w:r w:rsidR="008D085E" w:rsidRPr="00CB6EE4">
        <w:rPr>
          <w:iCs/>
        </w:rPr>
        <w:t>SRI(</w:t>
      </w:r>
      <w:proofErr w:type="gramEnd"/>
      <w:r w:rsidR="008D085E" w:rsidRPr="00CB6EE4">
        <w:rPr>
          <w:iCs/>
        </w:rPr>
        <w:t>4) results) and the BILAG index (driver of BICLA results) has been demonstrated</w:t>
      </w:r>
      <w:r w:rsidR="008D085E" w:rsidRPr="00CB6EE4">
        <w:rPr>
          <w:rStyle w:val="FootnoteReference"/>
          <w:iCs/>
        </w:rPr>
        <w:footnoteReference w:id="5"/>
      </w:r>
      <w:r w:rsidR="00CF61A1">
        <w:rPr>
          <w:iCs/>
        </w:rPr>
        <w:t>,</w:t>
      </w:r>
      <w:r w:rsidR="008D085E" w:rsidRPr="00CB6EE4">
        <w:rPr>
          <w:iCs/>
        </w:rPr>
        <w:t xml:space="preserve"> it would be expected that the SRI(4) and the BICLA should provide similar results. The submission </w:t>
      </w:r>
      <w:r w:rsidR="00E23620" w:rsidRPr="00197E67">
        <w:rPr>
          <w:iCs/>
        </w:rPr>
        <w:t>and PSCR</w:t>
      </w:r>
      <w:r w:rsidR="00E23620">
        <w:rPr>
          <w:iCs/>
        </w:rPr>
        <w:t xml:space="preserve"> </w:t>
      </w:r>
      <w:r w:rsidR="008D085E" w:rsidRPr="00CB6EE4">
        <w:rPr>
          <w:iCs/>
        </w:rPr>
        <w:t xml:space="preserve">stated that retrospective review of patient data showed there were more patients with arthritis in the placebo group of TULIP-1 that resolved with standard steroid use, which meets the criteria for improvement </w:t>
      </w:r>
      <w:r w:rsidR="001039D9">
        <w:rPr>
          <w:iCs/>
        </w:rPr>
        <w:t>i</w:t>
      </w:r>
      <w:r w:rsidR="001039D9" w:rsidRPr="00CB6EE4">
        <w:rPr>
          <w:iCs/>
        </w:rPr>
        <w:t xml:space="preserve">n </w:t>
      </w:r>
      <w:r w:rsidR="008D085E" w:rsidRPr="00CB6EE4">
        <w:rPr>
          <w:iCs/>
        </w:rPr>
        <w:t xml:space="preserve">SLEDAI-2K ≥4 points (i.e. </w:t>
      </w:r>
      <w:proofErr w:type="gramStart"/>
      <w:r w:rsidR="008D085E" w:rsidRPr="00CB6EE4">
        <w:rPr>
          <w:iCs/>
        </w:rPr>
        <w:t>SRI(</w:t>
      </w:r>
      <w:proofErr w:type="gramEnd"/>
      <w:r w:rsidR="008D085E" w:rsidRPr="00CB6EE4">
        <w:rPr>
          <w:iCs/>
        </w:rPr>
        <w:t xml:space="preserve">4) responder). These patients were classified as complete responders even if there was no response in other affected organs. </w:t>
      </w:r>
      <w:r w:rsidR="00441F67" w:rsidRPr="00F11EB3">
        <w:rPr>
          <w:iCs/>
        </w:rPr>
        <w:t>This argument was further re-iterated in</w:t>
      </w:r>
      <w:r w:rsidR="00453FC9" w:rsidRPr="00F11EB3">
        <w:rPr>
          <w:iCs/>
        </w:rPr>
        <w:t xml:space="preserve"> </w:t>
      </w:r>
      <w:r w:rsidR="00441F67" w:rsidRPr="00F11EB3">
        <w:rPr>
          <w:iCs/>
        </w:rPr>
        <w:t xml:space="preserve">the PSCR, which referred to </w:t>
      </w:r>
      <w:r w:rsidR="00453FC9" w:rsidRPr="00F11EB3">
        <w:rPr>
          <w:iCs/>
        </w:rPr>
        <w:t xml:space="preserve">a publication by Bruce et al (2022) </w:t>
      </w:r>
      <w:r w:rsidR="00441F67" w:rsidRPr="00F11EB3">
        <w:rPr>
          <w:iCs/>
        </w:rPr>
        <w:t xml:space="preserve">that </w:t>
      </w:r>
      <w:r w:rsidR="00453FC9" w:rsidRPr="00F11EB3">
        <w:rPr>
          <w:iCs/>
        </w:rPr>
        <w:t>suggest</w:t>
      </w:r>
      <w:r w:rsidR="00441F67" w:rsidRPr="00F11EB3">
        <w:rPr>
          <w:iCs/>
        </w:rPr>
        <w:t>ed the</w:t>
      </w:r>
      <w:r w:rsidR="00453FC9" w:rsidRPr="00F11EB3">
        <w:rPr>
          <w:iCs/>
        </w:rPr>
        <w:t xml:space="preserve"> discordance was primarily driven by the sensitivity of </w:t>
      </w:r>
      <w:proofErr w:type="gramStart"/>
      <w:r w:rsidR="00453FC9" w:rsidRPr="00F11EB3">
        <w:rPr>
          <w:iCs/>
        </w:rPr>
        <w:t>SRI(</w:t>
      </w:r>
      <w:proofErr w:type="gramEnd"/>
      <w:r w:rsidR="00453FC9" w:rsidRPr="00F11EB3">
        <w:rPr>
          <w:iCs/>
        </w:rPr>
        <w:t>4) to single organ (arthritis) improvement, as the discordant placebo group in TULIP-1 was enriched for patients with lower baseline joint counts</w:t>
      </w:r>
      <w:r w:rsidR="00441F67" w:rsidRPr="00F11EB3">
        <w:rPr>
          <w:iCs/>
        </w:rPr>
        <w:t>.</w:t>
      </w:r>
      <w:r w:rsidR="00441F67">
        <w:rPr>
          <w:iCs/>
        </w:rPr>
        <w:t xml:space="preserve"> </w:t>
      </w:r>
      <w:r w:rsidR="008D085E" w:rsidRPr="00CB6EE4">
        <w:rPr>
          <w:iCs/>
        </w:rPr>
        <w:t xml:space="preserve">However, </w:t>
      </w:r>
      <w:r w:rsidR="00441F67">
        <w:rPr>
          <w:iCs/>
        </w:rPr>
        <w:t xml:space="preserve">the evaluation considered </w:t>
      </w:r>
      <w:r w:rsidR="008D085E" w:rsidRPr="00CB6EE4">
        <w:rPr>
          <w:iCs/>
        </w:rPr>
        <w:t xml:space="preserve">such explanation is unlikely to fully account for the differences in trial results given there were similar proportions of patients achieving an SLEDAI-2K ≥4 response in the </w:t>
      </w:r>
      <w:r w:rsidR="008D085E" w:rsidRPr="00CB6EE4">
        <w:rPr>
          <w:iCs/>
        </w:rPr>
        <w:lastRenderedPageBreak/>
        <w:t>placebo arms of TULIP-1 and TULIP-2 (43.5% in TULIP-1 and 39.0% in TULIP-2).</w:t>
      </w:r>
      <w:bookmarkEnd w:id="28"/>
      <w:r w:rsidR="00040A6D">
        <w:rPr>
          <w:iCs/>
        </w:rPr>
        <w:t xml:space="preserve"> </w:t>
      </w:r>
      <w:r w:rsidR="0073499A" w:rsidRPr="00F11EB3">
        <w:rPr>
          <w:iCs/>
        </w:rPr>
        <w:t>While the reason for the discrepancy is unclear, the ESC acknowledged it is likely to be impacted by patient heterogeneity, including unobserved and yet unknown characteristics that drive the disease, and further considered that it may be an issue with the response indexes</w:t>
      </w:r>
      <w:r w:rsidR="00040A6D" w:rsidRPr="00F11EB3">
        <w:rPr>
          <w:iCs/>
        </w:rPr>
        <w:t>.</w:t>
      </w:r>
      <w:bookmarkEnd w:id="29"/>
    </w:p>
    <w:p w14:paraId="076E1B64" w14:textId="11182102" w:rsidR="00700D9A" w:rsidRDefault="00700D9A" w:rsidP="00700D9A">
      <w:pPr>
        <w:pStyle w:val="3-BodyText"/>
      </w:pPr>
      <w:r>
        <w:t>The submission presented results of other outcomes</w:t>
      </w:r>
      <w:r w:rsidR="00F860AC">
        <w:t xml:space="preserve"> such as OCS dose and annualised flare rate</w:t>
      </w:r>
      <w:r>
        <w:t xml:space="preserve">, which showed reductions from baseline to Week 52 in all treatment groups. A larger proportion of patients with baseline OCS ≥10 mg/day were able to taper OCS dose to ≤7.5 mg/day at Week 52 in the </w:t>
      </w:r>
      <w:proofErr w:type="spellStart"/>
      <w:r>
        <w:t>anifrolumab</w:t>
      </w:r>
      <w:proofErr w:type="spellEnd"/>
      <w:r>
        <w:t xml:space="preserve"> arm compared to placebo, and the differences were statistically significant in</w:t>
      </w:r>
      <w:r w:rsidR="00F860AC">
        <w:t xml:space="preserve"> the</w:t>
      </w:r>
      <w:r>
        <w:t xml:space="preserve"> TULIP-2 and MUSE</w:t>
      </w:r>
      <w:r w:rsidR="00F860AC">
        <w:t xml:space="preserve"> trials</w:t>
      </w:r>
      <w:r>
        <w:t>. In TULIP</w:t>
      </w:r>
      <w:r w:rsidR="00CF61A1">
        <w:noBreakHyphen/>
      </w:r>
      <w:r>
        <w:t xml:space="preserve">2, the reduction in the annualised flare rate at Week 52 was also statistically significantly greater in the </w:t>
      </w:r>
      <w:proofErr w:type="spellStart"/>
      <w:r>
        <w:t>anifrolumab</w:t>
      </w:r>
      <w:proofErr w:type="spellEnd"/>
      <w:r>
        <w:t xml:space="preserve"> group than placebo.</w:t>
      </w:r>
    </w:p>
    <w:p w14:paraId="2A334AFC" w14:textId="4C7CA330" w:rsidR="001262EF" w:rsidRPr="001262EF" w:rsidRDefault="00700D9A" w:rsidP="00535097">
      <w:pPr>
        <w:pStyle w:val="3-BodyText"/>
        <w:rPr>
          <w:i/>
        </w:rPr>
      </w:pPr>
      <w:r>
        <w:t xml:space="preserve">However, there were no significant differences between </w:t>
      </w:r>
      <w:proofErr w:type="spellStart"/>
      <w:r>
        <w:t>anifrolumab</w:t>
      </w:r>
      <w:proofErr w:type="spellEnd"/>
      <w:r>
        <w:t xml:space="preserve"> and placebo groups in terms of improvement in fatigue (FAC</w:t>
      </w:r>
      <w:r w:rsidR="00070AA9">
        <w:t>I</w:t>
      </w:r>
      <w:r>
        <w:t>T-F) or quality of life (EQ-5D) at Week</w:t>
      </w:r>
      <w:r w:rsidR="002A1A6E">
        <w:t> </w:t>
      </w:r>
      <w:r>
        <w:t xml:space="preserve">52. </w:t>
      </w:r>
    </w:p>
    <w:p w14:paraId="6B6BB33D" w14:textId="1794B4BA" w:rsidR="002A1A6E" w:rsidRPr="00CB6EE4" w:rsidRDefault="00700D9A" w:rsidP="00EC5836">
      <w:pPr>
        <w:pStyle w:val="3-BodyText"/>
        <w:rPr>
          <w:iCs/>
        </w:rPr>
      </w:pPr>
      <w:r w:rsidRPr="00CB6EE4">
        <w:rPr>
          <w:iCs/>
        </w:rPr>
        <w:t xml:space="preserve">The clinical trial reports also reported no difference between </w:t>
      </w:r>
      <w:proofErr w:type="spellStart"/>
      <w:r w:rsidRPr="00CB6EE4">
        <w:rPr>
          <w:iCs/>
        </w:rPr>
        <w:t>anifrolumab</w:t>
      </w:r>
      <w:proofErr w:type="spellEnd"/>
      <w:r w:rsidRPr="00CB6EE4">
        <w:rPr>
          <w:iCs/>
        </w:rPr>
        <w:t xml:space="preserve"> and placebo in the mean change from baseline in</w:t>
      </w:r>
      <w:r w:rsidR="00040A6D">
        <w:rPr>
          <w:iCs/>
        </w:rPr>
        <w:t xml:space="preserve"> the SLE damage index</w:t>
      </w:r>
      <w:r w:rsidRPr="00CB6EE4">
        <w:rPr>
          <w:iCs/>
        </w:rPr>
        <w:t xml:space="preserve"> </w:t>
      </w:r>
      <w:r w:rsidR="00040A6D">
        <w:rPr>
          <w:iCs/>
        </w:rPr>
        <w:t>(</w:t>
      </w:r>
      <w:r w:rsidRPr="00CB6EE4">
        <w:rPr>
          <w:iCs/>
        </w:rPr>
        <w:t>SDI</w:t>
      </w:r>
      <w:r w:rsidR="00040A6D">
        <w:rPr>
          <w:iCs/>
        </w:rPr>
        <w:t>) – a measure of non</w:t>
      </w:r>
      <w:r w:rsidR="00040A6D">
        <w:rPr>
          <w:iCs/>
        </w:rPr>
        <w:noBreakHyphen/>
        <w:t xml:space="preserve">reversible chronic organ damage </w:t>
      </w:r>
      <w:r w:rsidR="001018F0">
        <w:rPr>
          <w:iCs/>
        </w:rPr>
        <w:t>–</w:t>
      </w:r>
      <w:r w:rsidRPr="00CB6EE4">
        <w:rPr>
          <w:iCs/>
        </w:rPr>
        <w:t xml:space="preserve"> at Weeks 24 or 52 in any of the included trials.</w:t>
      </w:r>
      <w:r w:rsidR="001262EF" w:rsidRPr="00CB6EE4">
        <w:rPr>
          <w:iCs/>
        </w:rPr>
        <w:t xml:space="preserve"> </w:t>
      </w:r>
      <w:r w:rsidR="00833EE4" w:rsidRPr="00CB6EE4">
        <w:rPr>
          <w:iCs/>
        </w:rPr>
        <w:t>O</w:t>
      </w:r>
      <w:r w:rsidR="001262EF" w:rsidRPr="00CB6EE4">
        <w:rPr>
          <w:iCs/>
        </w:rPr>
        <w:t xml:space="preserve">rgan damage </w:t>
      </w:r>
      <w:r w:rsidR="00293959" w:rsidRPr="00CB6EE4">
        <w:rPr>
          <w:iCs/>
        </w:rPr>
        <w:t>in the model w</w:t>
      </w:r>
      <w:r w:rsidR="002A1A6E" w:rsidRPr="00CB6EE4">
        <w:rPr>
          <w:iCs/>
        </w:rPr>
        <w:t>as</w:t>
      </w:r>
      <w:r w:rsidR="001262EF" w:rsidRPr="00CB6EE4">
        <w:rPr>
          <w:iCs/>
        </w:rPr>
        <w:t xml:space="preserve"> based on</w:t>
      </w:r>
      <w:r w:rsidR="00E37B2C">
        <w:rPr>
          <w:iCs/>
        </w:rPr>
        <w:t xml:space="preserve"> a</w:t>
      </w:r>
      <w:r w:rsidR="001262EF" w:rsidRPr="00CB6EE4">
        <w:rPr>
          <w:iCs/>
        </w:rPr>
        <w:t xml:space="preserve"> </w:t>
      </w:r>
      <w:r w:rsidR="00C36B70" w:rsidRPr="00CB6EE4">
        <w:rPr>
          <w:iCs/>
        </w:rPr>
        <w:t xml:space="preserve">separate </w:t>
      </w:r>
      <w:r w:rsidR="001262EF" w:rsidRPr="00CB6EE4">
        <w:rPr>
          <w:iCs/>
        </w:rPr>
        <w:t>parametric survival distribution</w:t>
      </w:r>
      <w:r w:rsidR="00304C9C" w:rsidRPr="00CB6EE4">
        <w:rPr>
          <w:iCs/>
        </w:rPr>
        <w:t xml:space="preserve"> developed</w:t>
      </w:r>
      <w:r w:rsidR="001262EF" w:rsidRPr="00CB6EE4">
        <w:rPr>
          <w:iCs/>
        </w:rPr>
        <w:t xml:space="preserve"> </w:t>
      </w:r>
      <w:r w:rsidR="00293959" w:rsidRPr="00CB6EE4">
        <w:rPr>
          <w:iCs/>
        </w:rPr>
        <w:t xml:space="preserve">using </w:t>
      </w:r>
      <w:r w:rsidR="001262EF" w:rsidRPr="00CB6EE4">
        <w:rPr>
          <w:iCs/>
        </w:rPr>
        <w:t>data from the John Hopkins Lupus Cohort (JHLC)</w:t>
      </w:r>
      <w:r w:rsidR="00833EE4" w:rsidRPr="00CB6EE4">
        <w:rPr>
          <w:iCs/>
        </w:rPr>
        <w:t xml:space="preserve"> with patient characteristics</w:t>
      </w:r>
      <w:r w:rsidR="00304C9C" w:rsidRPr="00CB6EE4">
        <w:rPr>
          <w:iCs/>
        </w:rPr>
        <w:t xml:space="preserve"> (e</w:t>
      </w:r>
      <w:r w:rsidR="00702DCC">
        <w:rPr>
          <w:iCs/>
        </w:rPr>
        <w:t>.</w:t>
      </w:r>
      <w:r w:rsidR="00304C9C" w:rsidRPr="00CB6EE4">
        <w:rPr>
          <w:iCs/>
        </w:rPr>
        <w:t>g</w:t>
      </w:r>
      <w:r w:rsidR="00702DCC">
        <w:rPr>
          <w:iCs/>
        </w:rPr>
        <w:t>.</w:t>
      </w:r>
      <w:r w:rsidR="00304C9C" w:rsidRPr="00CB6EE4">
        <w:rPr>
          <w:iCs/>
        </w:rPr>
        <w:t xml:space="preserve">, age) </w:t>
      </w:r>
      <w:r w:rsidR="00833EE4" w:rsidRPr="00CB6EE4">
        <w:rPr>
          <w:iCs/>
        </w:rPr>
        <w:t xml:space="preserve">and disease history </w:t>
      </w:r>
      <w:r w:rsidR="00304C9C" w:rsidRPr="00CB6EE4">
        <w:rPr>
          <w:iCs/>
        </w:rPr>
        <w:t>(e</w:t>
      </w:r>
      <w:r w:rsidR="00702DCC">
        <w:rPr>
          <w:iCs/>
        </w:rPr>
        <w:t>.</w:t>
      </w:r>
      <w:r w:rsidR="00304C9C" w:rsidRPr="00CB6EE4">
        <w:rPr>
          <w:iCs/>
        </w:rPr>
        <w:t>g</w:t>
      </w:r>
      <w:r w:rsidR="00702DCC">
        <w:rPr>
          <w:iCs/>
        </w:rPr>
        <w:t>.</w:t>
      </w:r>
      <w:r w:rsidR="00304C9C" w:rsidRPr="00CB6EE4">
        <w:rPr>
          <w:iCs/>
        </w:rPr>
        <w:t>, SLEDAI-2K score and SDI) as predictors</w:t>
      </w:r>
      <w:r w:rsidR="00833EE4" w:rsidRPr="00CB6EE4">
        <w:rPr>
          <w:iCs/>
        </w:rPr>
        <w:t>.</w:t>
      </w:r>
      <w:r w:rsidR="00F908DD" w:rsidRPr="00CB6EE4">
        <w:rPr>
          <w:iCs/>
        </w:rPr>
        <w:t xml:space="preserve"> </w:t>
      </w:r>
    </w:p>
    <w:p w14:paraId="3AC3C986" w14:textId="56DADB22" w:rsidR="008D085E" w:rsidRPr="00CB6EE4" w:rsidRDefault="00700D9A" w:rsidP="00EC5836">
      <w:pPr>
        <w:pStyle w:val="3-BodyText"/>
        <w:rPr>
          <w:iCs/>
        </w:rPr>
      </w:pPr>
      <w:r w:rsidRPr="00E1541A">
        <w:t>The result</w:t>
      </w:r>
      <w:r>
        <w:t>s</w:t>
      </w:r>
      <w:r w:rsidRPr="00E1541A">
        <w:t xml:space="preserve"> </w:t>
      </w:r>
      <w:r>
        <w:t xml:space="preserve">from open-label extension study MUSE LTE </w:t>
      </w:r>
      <w:r w:rsidRPr="00E1541A">
        <w:t>showed that improvement in disease activity as assessed on the SLEDAI-2K was maintained</w:t>
      </w:r>
      <w:r w:rsidR="00F860AC">
        <w:t xml:space="preserve"> for</w:t>
      </w:r>
      <w:r w:rsidRPr="00E1541A">
        <w:t xml:space="preserve"> up to three years. </w:t>
      </w:r>
      <w:r>
        <w:t>Health related quality of life (</w:t>
      </w:r>
      <w:proofErr w:type="spellStart"/>
      <w:r w:rsidRPr="0066146E">
        <w:t>HRQoL</w:t>
      </w:r>
      <w:proofErr w:type="spellEnd"/>
      <w:r>
        <w:t>)</w:t>
      </w:r>
      <w:r w:rsidRPr="0066146E">
        <w:t xml:space="preserve"> and organ damage (SDI</w:t>
      </w:r>
      <w:r>
        <w:t xml:space="preserve"> score</w:t>
      </w:r>
      <w:r w:rsidRPr="0066146E">
        <w:t>) were generally stable.</w:t>
      </w:r>
      <w:r>
        <w:t xml:space="preserve"> </w:t>
      </w:r>
    </w:p>
    <w:p w14:paraId="7D24C288" w14:textId="5F85E777" w:rsidR="008D085E" w:rsidRPr="00700D9A" w:rsidRDefault="00700D9A" w:rsidP="00700D9A">
      <w:pPr>
        <w:pStyle w:val="3-BodyText"/>
        <w:numPr>
          <w:ilvl w:val="0"/>
          <w:numId w:val="0"/>
        </w:numPr>
        <w:rPr>
          <w:b/>
        </w:rPr>
      </w:pPr>
      <w:r w:rsidRPr="00700D9A">
        <w:rPr>
          <w:b/>
        </w:rPr>
        <w:t>Subgroup analyses</w:t>
      </w:r>
    </w:p>
    <w:p w14:paraId="0D002A03" w14:textId="74E541F3" w:rsidR="008D085E" w:rsidRDefault="00700D9A" w:rsidP="00EC5836">
      <w:pPr>
        <w:pStyle w:val="3-BodyText"/>
      </w:pPr>
      <w:r>
        <w:t xml:space="preserve">The submission presented </w:t>
      </w:r>
      <w:r w:rsidRPr="00F11EB3">
        <w:rPr>
          <w:iCs/>
        </w:rPr>
        <w:t>post-hoc</w:t>
      </w:r>
      <w:r>
        <w:t xml:space="preserve"> subgroup analyses to estimate response in the requested PBS population. However, the submission claimed that</w:t>
      </w:r>
      <w:r w:rsidR="00040A6D">
        <w:t>, in the trials,</w:t>
      </w:r>
      <w:r>
        <w:t xml:space="preserve"> the numbers of patients meeting all three PBS eligibility criteria </w:t>
      </w:r>
      <w:r w:rsidR="00040A6D">
        <w:t xml:space="preserve">(i.e. </w:t>
      </w:r>
      <w:r w:rsidR="00040A6D" w:rsidRPr="00035381">
        <w:t>SLEDAI-2K ≥10</w:t>
      </w:r>
      <w:r w:rsidR="00040A6D">
        <w:t xml:space="preserve"> and </w:t>
      </w:r>
      <w:r w:rsidR="00040A6D" w:rsidRPr="00035381">
        <w:t>receiving triple therapy</w:t>
      </w:r>
      <w:r w:rsidR="00040A6D">
        <w:t>,</w:t>
      </w:r>
      <w:r w:rsidR="00040A6D" w:rsidRPr="00035381">
        <w:t xml:space="preserve"> consisting </w:t>
      </w:r>
      <w:r w:rsidR="00040A6D">
        <w:t>of HCQ</w:t>
      </w:r>
      <w:r w:rsidR="00040A6D" w:rsidRPr="00035381">
        <w:t xml:space="preserve">, </w:t>
      </w:r>
      <w:r w:rsidR="00040A6D">
        <w:t xml:space="preserve">an </w:t>
      </w:r>
      <w:r w:rsidR="00040A6D" w:rsidRPr="00035381">
        <w:t>immunosuppressant and OCS ≥7.5 mg/day</w:t>
      </w:r>
      <w:r w:rsidR="00040A6D">
        <w:t>)</w:t>
      </w:r>
      <w:r>
        <w:t xml:space="preserve"> were too small for any meaningful and robust analyses. Instead, it argued that patients with SLEDAI-2K </w:t>
      </w:r>
      <w:r>
        <w:rPr>
          <w:rFonts w:cs="Calibri"/>
        </w:rPr>
        <w:t xml:space="preserve">≥10 would be a </w:t>
      </w:r>
      <w:r w:rsidR="000F379E">
        <w:rPr>
          <w:rFonts w:cs="Calibri"/>
        </w:rPr>
        <w:t xml:space="preserve">reasonable </w:t>
      </w:r>
      <w:r w:rsidR="0033340F">
        <w:rPr>
          <w:rFonts w:cs="Calibri"/>
        </w:rPr>
        <w:t>proxy</w:t>
      </w:r>
      <w:r>
        <w:rPr>
          <w:rFonts w:cs="Calibri"/>
        </w:rPr>
        <w:t xml:space="preserve"> given these patients have high disease activity</w:t>
      </w:r>
      <w:r w:rsidR="00226637">
        <w:rPr>
          <w:rFonts w:cs="Calibri"/>
        </w:rPr>
        <w:t xml:space="preserve"> </w:t>
      </w:r>
      <w:r w:rsidR="00226637" w:rsidRPr="00226637">
        <w:rPr>
          <w:rFonts w:cstheme="minorHAnsi"/>
        </w:rPr>
        <w:t>(</w:t>
      </w:r>
      <w:r w:rsidR="00226637" w:rsidRPr="00226637">
        <w:rPr>
          <w:rFonts w:cstheme="minorHAnsi"/>
        </w:rPr>
        <w:fldChar w:fldCharType="begin"/>
      </w:r>
      <w:r w:rsidR="00226637" w:rsidRPr="00226637">
        <w:rPr>
          <w:rFonts w:cstheme="minorHAnsi"/>
        </w:rPr>
        <w:instrText xml:space="preserve"> REF _Ref103176634 \h  \* MERGEFORMAT </w:instrText>
      </w:r>
      <w:r w:rsidR="00226637" w:rsidRPr="00226637">
        <w:rPr>
          <w:rFonts w:cstheme="minorHAnsi"/>
        </w:rPr>
      </w:r>
      <w:r w:rsidR="00226637" w:rsidRPr="00226637">
        <w:rPr>
          <w:rFonts w:cstheme="minorHAnsi"/>
        </w:rPr>
        <w:fldChar w:fldCharType="separate"/>
      </w:r>
      <w:r w:rsidR="00942C22" w:rsidRPr="00942C22">
        <w:rPr>
          <w:rStyle w:val="CommentReference"/>
          <w:rFonts w:asciiTheme="minorHAnsi" w:hAnsiTheme="minorHAnsi" w:cstheme="minorHAnsi"/>
          <w:b w:val="0"/>
          <w:sz w:val="24"/>
          <w:szCs w:val="24"/>
        </w:rPr>
        <w:t xml:space="preserve">Table </w:t>
      </w:r>
      <w:r w:rsidR="00942C22" w:rsidRPr="00942C22">
        <w:rPr>
          <w:rStyle w:val="CommentReference"/>
          <w:rFonts w:asciiTheme="minorHAnsi" w:hAnsiTheme="minorHAnsi" w:cstheme="minorHAnsi"/>
          <w:b w:val="0"/>
          <w:noProof/>
          <w:sz w:val="24"/>
          <w:szCs w:val="24"/>
        </w:rPr>
        <w:t>5</w:t>
      </w:r>
      <w:r w:rsidR="00226637" w:rsidRPr="00226637">
        <w:rPr>
          <w:rFonts w:cstheme="minorHAnsi"/>
        </w:rPr>
        <w:fldChar w:fldCharType="end"/>
      </w:r>
      <w:r w:rsidR="00226637" w:rsidRPr="00226637">
        <w:rPr>
          <w:rFonts w:cstheme="minorHAnsi"/>
        </w:rPr>
        <w:t>)</w:t>
      </w:r>
      <w:r w:rsidRPr="00226637">
        <w:rPr>
          <w:rFonts w:cstheme="minorHAnsi"/>
        </w:rPr>
        <w:t>.</w:t>
      </w:r>
      <w:r>
        <w:rPr>
          <w:rFonts w:cs="Calibri"/>
        </w:rPr>
        <w:t xml:space="preserve"> Results were also presented for patients taking triple therapy</w:t>
      </w:r>
      <w:r w:rsidR="00C25068">
        <w:rPr>
          <w:rFonts w:cs="Calibri"/>
        </w:rPr>
        <w:t xml:space="preserve"> with</w:t>
      </w:r>
      <w:r>
        <w:rPr>
          <w:rFonts w:cs="Calibri"/>
        </w:rPr>
        <w:t xml:space="preserve"> OCS</w:t>
      </w:r>
      <w:r w:rsidR="00070AA9">
        <w:rPr>
          <w:rFonts w:cs="Calibri"/>
        </w:rPr>
        <w:t xml:space="preserve"> </w:t>
      </w:r>
      <w:r>
        <w:rPr>
          <w:rFonts w:cs="Calibri"/>
        </w:rPr>
        <w:t>≥10</w:t>
      </w:r>
      <w:r w:rsidR="00845F13">
        <w:rPr>
          <w:rFonts w:cs="Calibri"/>
        </w:rPr>
        <w:t xml:space="preserve"> </w:t>
      </w:r>
      <w:r>
        <w:rPr>
          <w:rFonts w:cs="Calibri"/>
        </w:rPr>
        <w:t>mg/day</w:t>
      </w:r>
      <w:r w:rsidR="00C25068">
        <w:rPr>
          <w:rFonts w:cs="Calibri"/>
        </w:rPr>
        <w:t>,</w:t>
      </w:r>
      <w:r>
        <w:rPr>
          <w:rFonts w:cs="Calibri"/>
        </w:rPr>
        <w:t xml:space="preserve"> and the combined </w:t>
      </w:r>
      <w:r w:rsidRPr="00C25068">
        <w:rPr>
          <w:rFonts w:cs="Calibri"/>
        </w:rPr>
        <w:t>SLEDAI-2K ≥8</w:t>
      </w:r>
      <w:r>
        <w:rPr>
          <w:rFonts w:cs="Calibri"/>
        </w:rPr>
        <w:t xml:space="preserve"> plus </w:t>
      </w:r>
      <w:r w:rsidRPr="009F3754">
        <w:rPr>
          <w:rFonts w:cs="Calibri"/>
        </w:rPr>
        <w:t xml:space="preserve">triple therapy </w:t>
      </w:r>
      <w:r>
        <w:rPr>
          <w:rFonts w:cs="Calibri"/>
        </w:rPr>
        <w:t>(in</w:t>
      </w:r>
      <w:r w:rsidRPr="009F3754">
        <w:rPr>
          <w:rFonts w:cs="Calibri"/>
        </w:rPr>
        <w:t>cluding prednisone ≥7.5 mg/</w:t>
      </w:r>
      <w:r w:rsidRPr="00226637">
        <w:rPr>
          <w:rFonts w:cstheme="minorHAnsi"/>
        </w:rPr>
        <w:t>day)</w:t>
      </w:r>
      <w:r w:rsidR="00226637" w:rsidRPr="00226637">
        <w:rPr>
          <w:rFonts w:cstheme="minorHAnsi"/>
        </w:rPr>
        <w:t xml:space="preserve"> (</w:t>
      </w:r>
      <w:r w:rsidR="00226637" w:rsidRPr="00226637">
        <w:rPr>
          <w:rFonts w:cstheme="minorHAnsi"/>
        </w:rPr>
        <w:fldChar w:fldCharType="begin"/>
      </w:r>
      <w:r w:rsidR="00226637" w:rsidRPr="00226637">
        <w:rPr>
          <w:rFonts w:cstheme="minorHAnsi"/>
        </w:rPr>
        <w:instrText xml:space="preserve"> REF _Ref103176634 \h  \* MERGEFORMAT </w:instrText>
      </w:r>
      <w:r w:rsidR="00226637" w:rsidRPr="00226637">
        <w:rPr>
          <w:rFonts w:cstheme="minorHAnsi"/>
        </w:rPr>
      </w:r>
      <w:r w:rsidR="00226637" w:rsidRPr="00226637">
        <w:rPr>
          <w:rFonts w:cstheme="minorHAnsi"/>
        </w:rPr>
        <w:fldChar w:fldCharType="separate"/>
      </w:r>
      <w:r w:rsidR="00942C22" w:rsidRPr="00942C22">
        <w:rPr>
          <w:rStyle w:val="CommentReference"/>
          <w:rFonts w:asciiTheme="minorHAnsi" w:hAnsiTheme="minorHAnsi" w:cstheme="minorHAnsi"/>
          <w:b w:val="0"/>
          <w:sz w:val="24"/>
          <w:szCs w:val="24"/>
        </w:rPr>
        <w:t xml:space="preserve">Table </w:t>
      </w:r>
      <w:r w:rsidR="00942C22" w:rsidRPr="00942C22">
        <w:rPr>
          <w:rStyle w:val="CommentReference"/>
          <w:rFonts w:asciiTheme="minorHAnsi" w:hAnsiTheme="minorHAnsi" w:cstheme="minorHAnsi"/>
          <w:b w:val="0"/>
          <w:noProof/>
          <w:sz w:val="24"/>
          <w:szCs w:val="24"/>
        </w:rPr>
        <w:t>5</w:t>
      </w:r>
      <w:r w:rsidR="00226637" w:rsidRPr="00226637">
        <w:rPr>
          <w:rFonts w:cstheme="minorHAnsi"/>
        </w:rPr>
        <w:fldChar w:fldCharType="end"/>
      </w:r>
      <w:r w:rsidR="00226637" w:rsidRPr="00226637">
        <w:rPr>
          <w:rFonts w:cstheme="minorHAnsi"/>
        </w:rPr>
        <w:t>)</w:t>
      </w:r>
      <w:r w:rsidRPr="00226637">
        <w:rPr>
          <w:rFonts w:cstheme="minorHAnsi"/>
        </w:rPr>
        <w:t xml:space="preserve">. </w:t>
      </w:r>
    </w:p>
    <w:p w14:paraId="2699C026" w14:textId="69AB3DEC" w:rsidR="00A74AF9" w:rsidRPr="00C523D4" w:rsidRDefault="00C523D4" w:rsidP="000F379E">
      <w:pPr>
        <w:pStyle w:val="TableFigureHeading"/>
        <w:keepLines/>
        <w:rPr>
          <w:rStyle w:val="CommentReference"/>
          <w:b/>
          <w:szCs w:val="24"/>
        </w:rPr>
      </w:pPr>
      <w:bookmarkStart w:id="30" w:name="_Ref103176634"/>
      <w:r w:rsidRPr="00C523D4">
        <w:rPr>
          <w:rStyle w:val="CommentReference"/>
          <w:b/>
          <w:szCs w:val="24"/>
        </w:rPr>
        <w:lastRenderedPageBreak/>
        <w:t xml:space="preserve">Table </w:t>
      </w:r>
      <w:r w:rsidRPr="00C523D4">
        <w:rPr>
          <w:rStyle w:val="CommentReference"/>
          <w:b/>
          <w:szCs w:val="24"/>
        </w:rPr>
        <w:fldChar w:fldCharType="begin"/>
      </w:r>
      <w:r w:rsidRPr="00C523D4">
        <w:rPr>
          <w:rStyle w:val="CommentReference"/>
          <w:b/>
          <w:szCs w:val="24"/>
        </w:rPr>
        <w:instrText xml:space="preserve"> SEQ Table \* ARABIC </w:instrText>
      </w:r>
      <w:r w:rsidRPr="00C523D4">
        <w:rPr>
          <w:rStyle w:val="CommentReference"/>
          <w:b/>
          <w:szCs w:val="24"/>
        </w:rPr>
        <w:fldChar w:fldCharType="separate"/>
      </w:r>
      <w:r w:rsidR="00942C22">
        <w:rPr>
          <w:rStyle w:val="CommentReference"/>
          <w:b/>
          <w:noProof/>
          <w:szCs w:val="24"/>
        </w:rPr>
        <w:t>5</w:t>
      </w:r>
      <w:r w:rsidRPr="00C523D4">
        <w:rPr>
          <w:rStyle w:val="CommentReference"/>
          <w:b/>
          <w:szCs w:val="24"/>
        </w:rPr>
        <w:fldChar w:fldCharType="end"/>
      </w:r>
      <w:bookmarkEnd w:id="30"/>
      <w:r w:rsidR="0080543D" w:rsidRPr="00C523D4">
        <w:rPr>
          <w:rStyle w:val="CommentReference"/>
          <w:b/>
          <w:szCs w:val="24"/>
        </w:rPr>
        <w:t>:</w:t>
      </w:r>
      <w:r w:rsidR="00A74AF9" w:rsidRPr="00C523D4">
        <w:rPr>
          <w:rStyle w:val="CommentReference"/>
          <w:b/>
          <w:szCs w:val="24"/>
        </w:rPr>
        <w:t xml:space="preserve"> </w:t>
      </w:r>
      <w:proofErr w:type="gramStart"/>
      <w:r w:rsidR="00A74AF9" w:rsidRPr="00C523D4">
        <w:rPr>
          <w:rStyle w:val="CommentReference"/>
          <w:b/>
          <w:szCs w:val="24"/>
        </w:rPr>
        <w:t>SRI(</w:t>
      </w:r>
      <w:proofErr w:type="gramEnd"/>
      <w:r w:rsidR="00A74AF9" w:rsidRPr="00C523D4">
        <w:rPr>
          <w:rStyle w:val="CommentReference"/>
          <w:b/>
          <w:szCs w:val="24"/>
        </w:rPr>
        <w:t xml:space="preserve">4) and BICLA response by </w:t>
      </w:r>
      <w:proofErr w:type="spellStart"/>
      <w:r w:rsidR="00A74AF9" w:rsidRPr="00C523D4">
        <w:rPr>
          <w:rStyle w:val="CommentReference"/>
          <w:b/>
          <w:szCs w:val="24"/>
        </w:rPr>
        <w:t>subgroups</w:t>
      </w:r>
      <w:r w:rsidR="00452170" w:rsidRPr="00452170">
        <w:rPr>
          <w:rStyle w:val="CommentReference"/>
          <w:b/>
          <w:szCs w:val="24"/>
          <w:vertAlign w:val="superscript"/>
        </w:rPr>
        <w:t>g</w:t>
      </w:r>
      <w:proofErr w:type="spellEnd"/>
      <w:r w:rsidR="00A74AF9" w:rsidRPr="00C523D4">
        <w:rPr>
          <w:rStyle w:val="CommentReference"/>
          <w:b/>
          <w:szCs w:val="24"/>
        </w:rPr>
        <w:t xml:space="preserve"> in TULIP-1 and TULIP-2 (post-hoc)</w:t>
      </w:r>
    </w:p>
    <w:tbl>
      <w:tblPr>
        <w:tblStyle w:val="TableGrid"/>
        <w:tblW w:w="5000" w:type="pct"/>
        <w:tblCellMar>
          <w:left w:w="28" w:type="dxa"/>
          <w:right w:w="28" w:type="dxa"/>
        </w:tblCellMar>
        <w:tblLook w:val="04A0" w:firstRow="1" w:lastRow="0" w:firstColumn="1" w:lastColumn="0" w:noHBand="0" w:noVBand="1"/>
      </w:tblPr>
      <w:tblGrid>
        <w:gridCol w:w="2406"/>
        <w:gridCol w:w="2267"/>
        <w:gridCol w:w="2090"/>
        <w:gridCol w:w="2254"/>
      </w:tblGrid>
      <w:tr w:rsidR="00A74AF9" w:rsidRPr="00CB6EE4" w14:paraId="34275803" w14:textId="77777777" w:rsidTr="00535097">
        <w:trPr>
          <w:tblHeader/>
        </w:trPr>
        <w:tc>
          <w:tcPr>
            <w:tcW w:w="1334" w:type="pct"/>
            <w:vAlign w:val="center"/>
          </w:tcPr>
          <w:p w14:paraId="736D3B02" w14:textId="77777777" w:rsidR="00A74AF9" w:rsidRPr="00CB6EE4" w:rsidRDefault="00A74AF9" w:rsidP="000F379E">
            <w:pPr>
              <w:keepNext/>
              <w:keepLines/>
              <w:jc w:val="left"/>
              <w:rPr>
                <w:rFonts w:ascii="Arial Narrow" w:hAnsi="Arial Narrow"/>
                <w:sz w:val="20"/>
                <w:szCs w:val="20"/>
              </w:rPr>
            </w:pPr>
          </w:p>
        </w:tc>
        <w:tc>
          <w:tcPr>
            <w:tcW w:w="1257" w:type="pct"/>
            <w:vAlign w:val="center"/>
          </w:tcPr>
          <w:p w14:paraId="407DA753" w14:textId="77777777" w:rsidR="00A74AF9" w:rsidRPr="00CB6EE4" w:rsidRDefault="00A74AF9" w:rsidP="000F379E">
            <w:pPr>
              <w:keepNext/>
              <w:keepLines/>
              <w:jc w:val="center"/>
              <w:rPr>
                <w:rFonts w:ascii="Arial Narrow" w:hAnsi="Arial Narrow"/>
                <w:b/>
                <w:sz w:val="20"/>
                <w:szCs w:val="20"/>
              </w:rPr>
            </w:pPr>
            <w:proofErr w:type="spellStart"/>
            <w:r w:rsidRPr="00CB6EE4">
              <w:rPr>
                <w:rFonts w:ascii="Arial Narrow" w:hAnsi="Arial Narrow"/>
                <w:b/>
                <w:sz w:val="20"/>
                <w:szCs w:val="20"/>
              </w:rPr>
              <w:t>Anifrolumab</w:t>
            </w:r>
            <w:proofErr w:type="spellEnd"/>
            <w:r w:rsidRPr="00CB6EE4">
              <w:rPr>
                <w:rFonts w:ascii="Arial Narrow" w:hAnsi="Arial Narrow"/>
                <w:b/>
                <w:sz w:val="20"/>
                <w:szCs w:val="20"/>
              </w:rPr>
              <w:t xml:space="preserve"> 300 mg IV</w:t>
            </w:r>
          </w:p>
          <w:p w14:paraId="2F88EEB3" w14:textId="77777777" w:rsidR="00A74AF9" w:rsidRPr="00CB6EE4" w:rsidRDefault="00A74AF9" w:rsidP="000F379E">
            <w:pPr>
              <w:keepNext/>
              <w:keepLines/>
              <w:jc w:val="center"/>
              <w:rPr>
                <w:rFonts w:ascii="Arial Narrow" w:hAnsi="Arial Narrow"/>
                <w:sz w:val="20"/>
                <w:szCs w:val="20"/>
              </w:rPr>
            </w:pPr>
            <w:r w:rsidRPr="00CB6EE4">
              <w:rPr>
                <w:rFonts w:ascii="Arial Narrow" w:hAnsi="Arial Narrow"/>
                <w:b/>
                <w:sz w:val="20"/>
                <w:szCs w:val="20"/>
              </w:rPr>
              <w:t>n/N (%)</w:t>
            </w:r>
          </w:p>
        </w:tc>
        <w:tc>
          <w:tcPr>
            <w:tcW w:w="1159" w:type="pct"/>
            <w:vAlign w:val="center"/>
          </w:tcPr>
          <w:p w14:paraId="333A10CF" w14:textId="77777777" w:rsidR="00A74AF9" w:rsidRPr="00CB6EE4" w:rsidRDefault="00A74AF9" w:rsidP="000F379E">
            <w:pPr>
              <w:keepNext/>
              <w:keepLines/>
              <w:jc w:val="center"/>
              <w:rPr>
                <w:rFonts w:ascii="Arial Narrow" w:hAnsi="Arial Narrow"/>
                <w:b/>
                <w:sz w:val="20"/>
                <w:szCs w:val="20"/>
              </w:rPr>
            </w:pPr>
            <w:r w:rsidRPr="00CB6EE4">
              <w:rPr>
                <w:rFonts w:ascii="Arial Narrow" w:hAnsi="Arial Narrow"/>
                <w:b/>
                <w:sz w:val="20"/>
                <w:szCs w:val="20"/>
              </w:rPr>
              <w:t>Placebo (SOC)</w:t>
            </w:r>
          </w:p>
          <w:p w14:paraId="55A3AF7D" w14:textId="77777777" w:rsidR="00A74AF9" w:rsidRPr="00CB6EE4" w:rsidRDefault="00A74AF9" w:rsidP="000F379E">
            <w:pPr>
              <w:keepNext/>
              <w:keepLines/>
              <w:jc w:val="center"/>
              <w:rPr>
                <w:rFonts w:ascii="Arial Narrow" w:hAnsi="Arial Narrow"/>
                <w:sz w:val="20"/>
                <w:szCs w:val="20"/>
              </w:rPr>
            </w:pPr>
            <w:r w:rsidRPr="00CB6EE4">
              <w:rPr>
                <w:rFonts w:ascii="Arial Narrow" w:hAnsi="Arial Narrow"/>
                <w:b/>
                <w:sz w:val="20"/>
                <w:szCs w:val="20"/>
              </w:rPr>
              <w:t>n/N (%)</w:t>
            </w:r>
          </w:p>
        </w:tc>
        <w:tc>
          <w:tcPr>
            <w:tcW w:w="1250" w:type="pct"/>
            <w:vAlign w:val="center"/>
          </w:tcPr>
          <w:p w14:paraId="03902388" w14:textId="77777777" w:rsidR="00A74AF9" w:rsidRPr="00CB6EE4" w:rsidRDefault="00A74AF9" w:rsidP="000F379E">
            <w:pPr>
              <w:keepNext/>
              <w:keepLines/>
              <w:jc w:val="center"/>
              <w:rPr>
                <w:rFonts w:ascii="Arial Narrow" w:hAnsi="Arial Narrow"/>
                <w:b/>
                <w:sz w:val="20"/>
                <w:szCs w:val="20"/>
              </w:rPr>
            </w:pPr>
            <w:r w:rsidRPr="00CB6EE4">
              <w:rPr>
                <w:rFonts w:ascii="Arial Narrow" w:hAnsi="Arial Narrow"/>
                <w:b/>
                <w:sz w:val="20"/>
                <w:szCs w:val="20"/>
              </w:rPr>
              <w:t>Risk Difference</w:t>
            </w:r>
          </w:p>
          <w:p w14:paraId="4BAFD912" w14:textId="3EC221C0" w:rsidR="00A74AF9" w:rsidRPr="00CB6EE4" w:rsidRDefault="00A74AF9" w:rsidP="000F379E">
            <w:pPr>
              <w:keepNext/>
              <w:keepLines/>
              <w:jc w:val="center"/>
              <w:rPr>
                <w:rFonts w:ascii="Arial Narrow" w:hAnsi="Arial Narrow"/>
                <w:sz w:val="20"/>
                <w:szCs w:val="20"/>
              </w:rPr>
            </w:pPr>
            <w:r w:rsidRPr="00CB6EE4">
              <w:rPr>
                <w:rFonts w:ascii="Arial Narrow" w:hAnsi="Arial Narrow"/>
                <w:b/>
                <w:sz w:val="20"/>
                <w:szCs w:val="20"/>
              </w:rPr>
              <w:t>(95%</w:t>
            </w:r>
            <w:r w:rsidR="00B505EB">
              <w:rPr>
                <w:rFonts w:ascii="Arial Narrow" w:hAnsi="Arial Narrow"/>
                <w:b/>
                <w:sz w:val="20"/>
                <w:szCs w:val="20"/>
              </w:rPr>
              <w:t xml:space="preserve"> </w:t>
            </w:r>
            <w:r w:rsidRPr="00CB6EE4">
              <w:rPr>
                <w:rFonts w:ascii="Arial Narrow" w:hAnsi="Arial Narrow"/>
                <w:b/>
                <w:sz w:val="20"/>
                <w:szCs w:val="20"/>
              </w:rPr>
              <w:t>CI)</w:t>
            </w:r>
          </w:p>
        </w:tc>
      </w:tr>
      <w:tr w:rsidR="00A74AF9" w:rsidRPr="00CB6EE4" w14:paraId="0FA1EAB4" w14:textId="77777777" w:rsidTr="00535097">
        <w:tc>
          <w:tcPr>
            <w:tcW w:w="5000" w:type="pct"/>
            <w:gridSpan w:val="4"/>
            <w:shd w:val="clear" w:color="auto" w:fill="D9D9D9" w:themeFill="background1" w:themeFillShade="D9"/>
          </w:tcPr>
          <w:p w14:paraId="64684813" w14:textId="1D4EE00A" w:rsidR="00A74AF9" w:rsidRPr="00CB6EE4" w:rsidRDefault="001F741A" w:rsidP="000F379E">
            <w:pPr>
              <w:keepNext/>
              <w:keepLines/>
              <w:rPr>
                <w:rFonts w:ascii="Arial Narrow" w:hAnsi="Arial Narrow"/>
                <w:b/>
                <w:sz w:val="20"/>
                <w:szCs w:val="20"/>
              </w:rPr>
            </w:pPr>
            <w:proofErr w:type="gramStart"/>
            <w:r w:rsidRPr="00CB6EE4">
              <w:rPr>
                <w:rFonts w:ascii="Arial Narrow" w:hAnsi="Arial Narrow"/>
                <w:b/>
                <w:sz w:val="20"/>
                <w:szCs w:val="20"/>
              </w:rPr>
              <w:t>SRI(</w:t>
            </w:r>
            <w:proofErr w:type="gramEnd"/>
            <w:r w:rsidRPr="00CB6EE4">
              <w:rPr>
                <w:rFonts w:ascii="Arial Narrow" w:hAnsi="Arial Narrow"/>
                <w:b/>
                <w:sz w:val="20"/>
                <w:szCs w:val="20"/>
              </w:rPr>
              <w:t>4) response at Week 24</w:t>
            </w:r>
          </w:p>
        </w:tc>
      </w:tr>
      <w:tr w:rsidR="00A74AF9" w:rsidRPr="00CB6EE4" w14:paraId="220661AD" w14:textId="77777777" w:rsidTr="00535097">
        <w:tc>
          <w:tcPr>
            <w:tcW w:w="5000" w:type="pct"/>
            <w:gridSpan w:val="4"/>
            <w:vAlign w:val="center"/>
          </w:tcPr>
          <w:p w14:paraId="2F3BBE75" w14:textId="4B709817" w:rsidR="00A74AF9" w:rsidRPr="00CB6EE4" w:rsidRDefault="001F741A" w:rsidP="000F379E">
            <w:pPr>
              <w:keepNext/>
              <w:keepLines/>
              <w:jc w:val="left"/>
              <w:rPr>
                <w:rFonts w:ascii="Arial Narrow" w:hAnsi="Arial Narrow"/>
                <w:b/>
                <w:sz w:val="20"/>
                <w:szCs w:val="20"/>
              </w:rPr>
            </w:pPr>
            <w:r w:rsidRPr="00CB6EE4">
              <w:rPr>
                <w:rFonts w:ascii="Arial Narrow" w:hAnsi="Arial Narrow"/>
                <w:b/>
                <w:sz w:val="20"/>
                <w:szCs w:val="20"/>
              </w:rPr>
              <w:t>SLEDAI-2K ≥10</w:t>
            </w:r>
          </w:p>
        </w:tc>
      </w:tr>
      <w:tr w:rsidR="001F741A" w:rsidRPr="00CB6EE4" w14:paraId="5EC9705D" w14:textId="77777777" w:rsidTr="009D47E0">
        <w:tc>
          <w:tcPr>
            <w:tcW w:w="1334" w:type="pct"/>
            <w:vAlign w:val="center"/>
          </w:tcPr>
          <w:p w14:paraId="794970E2" w14:textId="24A8F9BB" w:rsidR="001F741A" w:rsidRPr="00CB6EE4" w:rsidRDefault="001F741A" w:rsidP="000F379E">
            <w:pPr>
              <w:keepNext/>
              <w:keepLines/>
              <w:rPr>
                <w:rFonts w:ascii="Arial Narrow" w:hAnsi="Arial Narrow"/>
                <w:sz w:val="20"/>
                <w:szCs w:val="20"/>
              </w:rPr>
            </w:pPr>
            <w:r w:rsidRPr="00CB6EE4">
              <w:rPr>
                <w:rFonts w:ascii="Arial Narrow" w:hAnsi="Arial Narrow"/>
                <w:sz w:val="20"/>
                <w:szCs w:val="20"/>
              </w:rPr>
              <w:t>TULIP-1 (pre-</w:t>
            </w:r>
            <w:proofErr w:type="gramStart"/>
            <w:r w:rsidRPr="00CB6EE4">
              <w:rPr>
                <w:rFonts w:ascii="Arial Narrow" w:hAnsi="Arial Narrow"/>
                <w:sz w:val="20"/>
                <w:szCs w:val="20"/>
              </w:rPr>
              <w:t>specified)</w:t>
            </w:r>
            <w:r w:rsidRPr="00CB6EE4">
              <w:rPr>
                <w:rFonts w:ascii="Arial Narrow" w:hAnsi="Arial Narrow"/>
                <w:sz w:val="20"/>
                <w:szCs w:val="20"/>
                <w:vertAlign w:val="superscript"/>
              </w:rPr>
              <w:t>a</w:t>
            </w:r>
            <w:proofErr w:type="gramEnd"/>
          </w:p>
        </w:tc>
        <w:tc>
          <w:tcPr>
            <w:tcW w:w="1257" w:type="pct"/>
            <w:vAlign w:val="center"/>
          </w:tcPr>
          <w:p w14:paraId="117C8BD6" w14:textId="01812F63" w:rsidR="001F741A" w:rsidRPr="00CB6EE4" w:rsidRDefault="001F741A" w:rsidP="000F379E">
            <w:pPr>
              <w:keepNext/>
              <w:keepLines/>
              <w:jc w:val="center"/>
              <w:rPr>
                <w:rFonts w:ascii="Arial Narrow" w:hAnsi="Arial Narrow"/>
                <w:sz w:val="20"/>
                <w:szCs w:val="20"/>
              </w:rPr>
            </w:pPr>
            <w:r w:rsidRPr="00CB6EE4">
              <w:rPr>
                <w:rFonts w:ascii="Arial Narrow" w:hAnsi="Arial Narrow"/>
                <w:sz w:val="20"/>
                <w:szCs w:val="20"/>
              </w:rPr>
              <w:t>55/125 (44.1)</w:t>
            </w:r>
          </w:p>
        </w:tc>
        <w:tc>
          <w:tcPr>
            <w:tcW w:w="1159" w:type="pct"/>
            <w:vAlign w:val="center"/>
          </w:tcPr>
          <w:p w14:paraId="720D3C6C" w14:textId="5403A222" w:rsidR="001F741A" w:rsidRPr="00CB6EE4" w:rsidRDefault="001F741A" w:rsidP="000F379E">
            <w:pPr>
              <w:keepNext/>
              <w:keepLines/>
              <w:jc w:val="center"/>
              <w:rPr>
                <w:rFonts w:ascii="Arial Narrow" w:hAnsi="Arial Narrow"/>
                <w:sz w:val="20"/>
                <w:szCs w:val="20"/>
              </w:rPr>
            </w:pPr>
            <w:r w:rsidRPr="00CB6EE4">
              <w:rPr>
                <w:rFonts w:ascii="Arial Narrow" w:hAnsi="Arial Narrow"/>
                <w:sz w:val="20"/>
                <w:szCs w:val="20"/>
              </w:rPr>
              <w:t>57/130 (43.9)</w:t>
            </w:r>
          </w:p>
        </w:tc>
        <w:tc>
          <w:tcPr>
            <w:tcW w:w="1250" w:type="pct"/>
            <w:vAlign w:val="center"/>
          </w:tcPr>
          <w:p w14:paraId="00D3F778" w14:textId="2A6FE2E6" w:rsidR="001F741A" w:rsidRPr="00CB6EE4" w:rsidRDefault="001F741A" w:rsidP="000F379E">
            <w:pPr>
              <w:keepNext/>
              <w:keepLines/>
              <w:jc w:val="center"/>
              <w:rPr>
                <w:rFonts w:ascii="Arial Narrow" w:hAnsi="Arial Narrow"/>
                <w:sz w:val="20"/>
                <w:szCs w:val="20"/>
              </w:rPr>
            </w:pPr>
            <w:r w:rsidRPr="00CB6EE4">
              <w:rPr>
                <w:rFonts w:ascii="Arial Narrow" w:hAnsi="Arial Narrow"/>
                <w:sz w:val="20"/>
                <w:szCs w:val="20"/>
              </w:rPr>
              <w:t>0.2 (-12.0, 12.3)</w:t>
            </w:r>
          </w:p>
        </w:tc>
      </w:tr>
      <w:tr w:rsidR="001F741A" w:rsidRPr="00CB6EE4" w14:paraId="18EEBB72" w14:textId="77777777" w:rsidTr="009D47E0">
        <w:tc>
          <w:tcPr>
            <w:tcW w:w="1334" w:type="pct"/>
            <w:vAlign w:val="center"/>
          </w:tcPr>
          <w:p w14:paraId="12ADD083" w14:textId="216049C1" w:rsidR="001F741A" w:rsidRPr="00CB6EE4" w:rsidRDefault="001F741A" w:rsidP="000F379E">
            <w:pPr>
              <w:keepNext/>
              <w:keepLines/>
              <w:rPr>
                <w:rFonts w:ascii="Arial Narrow" w:hAnsi="Arial Narrow"/>
                <w:sz w:val="20"/>
                <w:szCs w:val="20"/>
              </w:rPr>
            </w:pPr>
            <w:r w:rsidRPr="00CB6EE4">
              <w:rPr>
                <w:rFonts w:ascii="Arial Narrow" w:hAnsi="Arial Narrow"/>
                <w:sz w:val="20"/>
                <w:szCs w:val="20"/>
              </w:rPr>
              <w:t>TULIP-2</w:t>
            </w:r>
          </w:p>
        </w:tc>
        <w:tc>
          <w:tcPr>
            <w:tcW w:w="1257" w:type="pct"/>
            <w:vAlign w:val="center"/>
          </w:tcPr>
          <w:p w14:paraId="3124DE8C" w14:textId="3E3D0F75" w:rsidR="001F741A" w:rsidRPr="00CB6EE4" w:rsidRDefault="003066F4" w:rsidP="000F379E">
            <w:pPr>
              <w:keepNext/>
              <w:keepLines/>
              <w:jc w:val="center"/>
              <w:rPr>
                <w:rFonts w:ascii="Arial Narrow" w:hAnsi="Arial Narrow"/>
                <w:sz w:val="20"/>
                <w:szCs w:val="20"/>
              </w:rPr>
            </w:pPr>
            <w:r w:rsidRPr="00CB6EE4">
              <w:rPr>
                <w:rFonts w:ascii="Arial Narrow" w:hAnsi="Arial Narrow"/>
                <w:sz w:val="20"/>
                <w:szCs w:val="20"/>
              </w:rPr>
              <w:t>74/129 (57.4)</w:t>
            </w:r>
          </w:p>
        </w:tc>
        <w:tc>
          <w:tcPr>
            <w:tcW w:w="1159" w:type="pct"/>
            <w:vAlign w:val="center"/>
          </w:tcPr>
          <w:p w14:paraId="6E7A7A19" w14:textId="0963EE6A" w:rsidR="001F741A" w:rsidRPr="00CB6EE4" w:rsidRDefault="003066F4" w:rsidP="000F379E">
            <w:pPr>
              <w:keepNext/>
              <w:keepLines/>
              <w:jc w:val="center"/>
              <w:rPr>
                <w:rFonts w:ascii="Arial Narrow" w:hAnsi="Arial Narrow"/>
                <w:sz w:val="20"/>
                <w:szCs w:val="20"/>
              </w:rPr>
            </w:pPr>
            <w:r w:rsidRPr="00CB6EE4">
              <w:rPr>
                <w:rFonts w:ascii="Arial Narrow" w:hAnsi="Arial Narrow"/>
                <w:sz w:val="20"/>
                <w:szCs w:val="20"/>
              </w:rPr>
              <w:t>-60/131 (45.8)</w:t>
            </w:r>
          </w:p>
        </w:tc>
        <w:tc>
          <w:tcPr>
            <w:tcW w:w="1250" w:type="pct"/>
            <w:vAlign w:val="center"/>
          </w:tcPr>
          <w:p w14:paraId="6BAAF7BB" w14:textId="3FBFCEFD" w:rsidR="001F741A" w:rsidRPr="00CB6EE4" w:rsidRDefault="003066F4" w:rsidP="000F379E">
            <w:pPr>
              <w:keepNext/>
              <w:keepLines/>
              <w:jc w:val="center"/>
              <w:rPr>
                <w:rFonts w:ascii="Arial Narrow" w:hAnsi="Arial Narrow"/>
                <w:sz w:val="20"/>
                <w:szCs w:val="20"/>
              </w:rPr>
            </w:pPr>
            <w:r w:rsidRPr="00CB6EE4">
              <w:rPr>
                <w:rFonts w:ascii="Arial Narrow" w:hAnsi="Arial Narrow"/>
                <w:sz w:val="20"/>
                <w:szCs w:val="20"/>
              </w:rPr>
              <w:t>12 (-1, 24)</w:t>
            </w:r>
            <w:r w:rsidRPr="00CB6EE4">
              <w:rPr>
                <w:rFonts w:ascii="Arial Narrow" w:hAnsi="Arial Narrow"/>
                <w:b/>
                <w:sz w:val="20"/>
                <w:szCs w:val="20"/>
              </w:rPr>
              <w:t xml:space="preserve"> </w:t>
            </w:r>
          </w:p>
        </w:tc>
      </w:tr>
      <w:tr w:rsidR="00C85F84" w:rsidRPr="00CB6EE4" w14:paraId="509442B8" w14:textId="77777777" w:rsidTr="009D47E0">
        <w:tc>
          <w:tcPr>
            <w:tcW w:w="1334" w:type="pct"/>
          </w:tcPr>
          <w:p w14:paraId="7F3187D2" w14:textId="5B3B95E0" w:rsidR="00C85F84" w:rsidRPr="00CB6EE4" w:rsidRDefault="00C85F84" w:rsidP="000F379E">
            <w:pPr>
              <w:keepNext/>
              <w:keepLines/>
              <w:jc w:val="right"/>
              <w:rPr>
                <w:rFonts w:ascii="Arial Narrow" w:hAnsi="Arial Narrow"/>
                <w:sz w:val="20"/>
                <w:szCs w:val="20"/>
              </w:rPr>
            </w:pPr>
            <w:r w:rsidRPr="00CB6EE4">
              <w:rPr>
                <w:rFonts w:ascii="Arial Narrow" w:hAnsi="Arial Narrow"/>
                <w:sz w:val="20"/>
                <w:szCs w:val="20"/>
              </w:rPr>
              <w:t>TULIP 1 &amp; 2 pooled</w:t>
            </w:r>
          </w:p>
        </w:tc>
        <w:tc>
          <w:tcPr>
            <w:tcW w:w="1257" w:type="pct"/>
            <w:vAlign w:val="center"/>
          </w:tcPr>
          <w:p w14:paraId="2A347FAC" w14:textId="17F1A6E4"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NE</w:t>
            </w:r>
          </w:p>
        </w:tc>
        <w:tc>
          <w:tcPr>
            <w:tcW w:w="1159" w:type="pct"/>
            <w:vAlign w:val="center"/>
          </w:tcPr>
          <w:p w14:paraId="3B12B10B" w14:textId="2C9C3D9D"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NE</w:t>
            </w:r>
          </w:p>
        </w:tc>
        <w:tc>
          <w:tcPr>
            <w:tcW w:w="1250" w:type="pct"/>
            <w:vAlign w:val="center"/>
          </w:tcPr>
          <w:p w14:paraId="571EB861" w14:textId="00F48023" w:rsidR="00C85F84" w:rsidRPr="00CB6EE4" w:rsidRDefault="00C85F84" w:rsidP="000F379E">
            <w:pPr>
              <w:keepNext/>
              <w:keepLines/>
              <w:jc w:val="center"/>
              <w:rPr>
                <w:rFonts w:ascii="Arial Narrow" w:hAnsi="Arial Narrow"/>
                <w:b/>
                <w:sz w:val="20"/>
                <w:szCs w:val="20"/>
              </w:rPr>
            </w:pPr>
            <w:proofErr w:type="spellStart"/>
            <w:r w:rsidRPr="00CB6EE4">
              <w:rPr>
                <w:rFonts w:ascii="Arial Narrow" w:hAnsi="Arial Narrow"/>
                <w:sz w:val="20"/>
                <w:szCs w:val="20"/>
              </w:rPr>
              <w:t>NE</w:t>
            </w:r>
            <w:r w:rsidRPr="00CB6EE4">
              <w:rPr>
                <w:rFonts w:ascii="Arial Narrow" w:hAnsi="Arial Narrow"/>
                <w:sz w:val="20"/>
                <w:szCs w:val="20"/>
                <w:vertAlign w:val="superscript"/>
              </w:rPr>
              <w:t>b</w:t>
            </w:r>
            <w:proofErr w:type="spellEnd"/>
          </w:p>
        </w:tc>
      </w:tr>
      <w:tr w:rsidR="00C85F84" w:rsidRPr="00CB6EE4" w14:paraId="35FAC01E" w14:textId="77777777" w:rsidTr="001F741A">
        <w:tc>
          <w:tcPr>
            <w:tcW w:w="5000" w:type="pct"/>
            <w:gridSpan w:val="4"/>
            <w:shd w:val="clear" w:color="auto" w:fill="D9D9D9" w:themeFill="background1" w:themeFillShade="D9"/>
            <w:vAlign w:val="center"/>
          </w:tcPr>
          <w:p w14:paraId="18D17178" w14:textId="67589B1F" w:rsidR="00C85F84" w:rsidRPr="00CB6EE4" w:rsidRDefault="00C85F84" w:rsidP="000F379E">
            <w:pPr>
              <w:keepNext/>
              <w:keepLines/>
              <w:jc w:val="left"/>
              <w:rPr>
                <w:rFonts w:ascii="Arial Narrow" w:hAnsi="Arial Narrow"/>
                <w:sz w:val="20"/>
                <w:szCs w:val="20"/>
              </w:rPr>
            </w:pPr>
            <w:proofErr w:type="gramStart"/>
            <w:r w:rsidRPr="00CB6EE4">
              <w:rPr>
                <w:rFonts w:ascii="Arial Narrow" w:hAnsi="Arial Narrow"/>
                <w:b/>
                <w:sz w:val="20"/>
                <w:szCs w:val="20"/>
              </w:rPr>
              <w:t>SRI(</w:t>
            </w:r>
            <w:proofErr w:type="gramEnd"/>
            <w:r w:rsidRPr="00CB6EE4">
              <w:rPr>
                <w:rFonts w:ascii="Arial Narrow" w:hAnsi="Arial Narrow"/>
                <w:b/>
                <w:sz w:val="20"/>
                <w:szCs w:val="20"/>
              </w:rPr>
              <w:t>4) response at Week 52</w:t>
            </w:r>
          </w:p>
        </w:tc>
      </w:tr>
      <w:tr w:rsidR="00C85F84" w:rsidRPr="00CB6EE4" w14:paraId="2BE7AA72" w14:textId="77777777" w:rsidTr="001F741A">
        <w:tc>
          <w:tcPr>
            <w:tcW w:w="5000" w:type="pct"/>
            <w:gridSpan w:val="4"/>
            <w:vAlign w:val="center"/>
          </w:tcPr>
          <w:p w14:paraId="755729B3" w14:textId="42C42DE1" w:rsidR="00C85F84" w:rsidRPr="00CB6EE4" w:rsidRDefault="00C85F84" w:rsidP="000F379E">
            <w:pPr>
              <w:keepNext/>
              <w:keepLines/>
              <w:jc w:val="left"/>
              <w:rPr>
                <w:rFonts w:ascii="Arial Narrow" w:hAnsi="Arial Narrow"/>
                <w:sz w:val="20"/>
                <w:szCs w:val="20"/>
              </w:rPr>
            </w:pPr>
            <w:r w:rsidRPr="00CB6EE4">
              <w:rPr>
                <w:rFonts w:ascii="Arial Narrow" w:hAnsi="Arial Narrow"/>
                <w:b/>
                <w:sz w:val="20"/>
                <w:szCs w:val="20"/>
              </w:rPr>
              <w:t>SLEDAI-2K ≥10</w:t>
            </w:r>
          </w:p>
        </w:tc>
      </w:tr>
      <w:tr w:rsidR="00C85F84" w:rsidRPr="00CB6EE4" w14:paraId="2A2E02E1" w14:textId="77777777" w:rsidTr="00535097">
        <w:tc>
          <w:tcPr>
            <w:tcW w:w="1334" w:type="pct"/>
          </w:tcPr>
          <w:p w14:paraId="69DDF526" w14:textId="77777777" w:rsidR="00C85F84" w:rsidRPr="00CB6EE4" w:rsidRDefault="00C85F84" w:rsidP="000F379E">
            <w:pPr>
              <w:keepNext/>
              <w:keepLines/>
              <w:rPr>
                <w:rFonts w:ascii="Arial Narrow" w:hAnsi="Arial Narrow"/>
                <w:sz w:val="20"/>
                <w:szCs w:val="20"/>
              </w:rPr>
            </w:pPr>
            <w:r w:rsidRPr="00CB6EE4">
              <w:rPr>
                <w:rFonts w:ascii="Arial Narrow" w:hAnsi="Arial Narrow"/>
                <w:sz w:val="20"/>
                <w:szCs w:val="20"/>
              </w:rPr>
              <w:t>TULIP-1</w:t>
            </w:r>
          </w:p>
        </w:tc>
        <w:tc>
          <w:tcPr>
            <w:tcW w:w="1257" w:type="pct"/>
            <w:vAlign w:val="center"/>
          </w:tcPr>
          <w:p w14:paraId="0312A1B4"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62/129 (48.1)</w:t>
            </w:r>
          </w:p>
        </w:tc>
        <w:tc>
          <w:tcPr>
            <w:tcW w:w="1159" w:type="pct"/>
            <w:vAlign w:val="center"/>
          </w:tcPr>
          <w:p w14:paraId="7CD22345"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58/135 (43.0)</w:t>
            </w:r>
          </w:p>
        </w:tc>
        <w:tc>
          <w:tcPr>
            <w:tcW w:w="1250" w:type="pct"/>
            <w:vAlign w:val="center"/>
          </w:tcPr>
          <w:p w14:paraId="24A006B5"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5.2 (-6.8, 17.2)</w:t>
            </w:r>
          </w:p>
        </w:tc>
      </w:tr>
      <w:tr w:rsidR="00C85F84" w:rsidRPr="00CB6EE4" w14:paraId="3CC3EC4F" w14:textId="77777777" w:rsidTr="00535097">
        <w:tc>
          <w:tcPr>
            <w:tcW w:w="1334" w:type="pct"/>
          </w:tcPr>
          <w:p w14:paraId="42314343" w14:textId="77777777" w:rsidR="00C85F84" w:rsidRPr="00CB6EE4" w:rsidRDefault="00C85F84" w:rsidP="000F379E">
            <w:pPr>
              <w:keepNext/>
              <w:keepLines/>
              <w:rPr>
                <w:rFonts w:ascii="Arial Narrow" w:hAnsi="Arial Narrow"/>
                <w:sz w:val="20"/>
                <w:szCs w:val="20"/>
              </w:rPr>
            </w:pPr>
            <w:r w:rsidRPr="00CB6EE4">
              <w:rPr>
                <w:rFonts w:ascii="Arial Narrow" w:hAnsi="Arial Narrow"/>
                <w:sz w:val="20"/>
                <w:szCs w:val="20"/>
              </w:rPr>
              <w:t>TULIP-2</w:t>
            </w:r>
          </w:p>
        </w:tc>
        <w:tc>
          <w:tcPr>
            <w:tcW w:w="1257" w:type="pct"/>
            <w:vAlign w:val="center"/>
          </w:tcPr>
          <w:p w14:paraId="76EE2CCA"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76/129 (58.9)</w:t>
            </w:r>
          </w:p>
        </w:tc>
        <w:tc>
          <w:tcPr>
            <w:tcW w:w="1159" w:type="pct"/>
            <w:vAlign w:val="center"/>
          </w:tcPr>
          <w:p w14:paraId="2A393E37"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52/131 (39.7)</w:t>
            </w:r>
          </w:p>
        </w:tc>
        <w:tc>
          <w:tcPr>
            <w:tcW w:w="1250" w:type="pct"/>
            <w:vAlign w:val="center"/>
          </w:tcPr>
          <w:p w14:paraId="71148F22" w14:textId="77777777" w:rsidR="00C85F84" w:rsidRPr="00CB6EE4" w:rsidRDefault="00C85F84" w:rsidP="000F379E">
            <w:pPr>
              <w:keepNext/>
              <w:keepLines/>
              <w:jc w:val="center"/>
              <w:rPr>
                <w:rFonts w:ascii="Arial Narrow" w:hAnsi="Arial Narrow"/>
                <w:b/>
                <w:sz w:val="20"/>
                <w:szCs w:val="20"/>
              </w:rPr>
            </w:pPr>
            <w:r w:rsidRPr="00CB6EE4">
              <w:rPr>
                <w:rFonts w:ascii="Arial Narrow" w:hAnsi="Arial Narrow"/>
                <w:b/>
                <w:sz w:val="20"/>
                <w:szCs w:val="20"/>
              </w:rPr>
              <w:t>19.2 (7.3, 31.1)</w:t>
            </w:r>
          </w:p>
        </w:tc>
      </w:tr>
      <w:tr w:rsidR="00C85F84" w:rsidRPr="00CB6EE4" w14:paraId="1E89A238" w14:textId="77777777" w:rsidTr="00535097">
        <w:tc>
          <w:tcPr>
            <w:tcW w:w="1334" w:type="pct"/>
            <w:vAlign w:val="center"/>
          </w:tcPr>
          <w:p w14:paraId="434D6E56" w14:textId="77777777" w:rsidR="00C85F84" w:rsidRPr="00CB6EE4" w:rsidRDefault="00C85F84" w:rsidP="000F379E">
            <w:pPr>
              <w:keepNext/>
              <w:keepLines/>
              <w:jc w:val="right"/>
              <w:rPr>
                <w:rFonts w:ascii="Arial Narrow" w:hAnsi="Arial Narrow"/>
                <w:sz w:val="20"/>
                <w:szCs w:val="20"/>
              </w:rPr>
            </w:pPr>
            <w:r w:rsidRPr="00CB6EE4">
              <w:rPr>
                <w:rFonts w:ascii="Arial Narrow" w:hAnsi="Arial Narrow"/>
                <w:sz w:val="20"/>
                <w:szCs w:val="20"/>
              </w:rPr>
              <w:t>TULIP-1 &amp; 2 pooled</w:t>
            </w:r>
          </w:p>
        </w:tc>
        <w:tc>
          <w:tcPr>
            <w:tcW w:w="1257" w:type="pct"/>
            <w:vAlign w:val="center"/>
          </w:tcPr>
          <w:p w14:paraId="0C8EB8B4"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138/258 (53.5)</w:t>
            </w:r>
          </w:p>
        </w:tc>
        <w:tc>
          <w:tcPr>
            <w:tcW w:w="1159" w:type="pct"/>
            <w:vAlign w:val="center"/>
          </w:tcPr>
          <w:p w14:paraId="5A50949A"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110/266 (41.4)</w:t>
            </w:r>
          </w:p>
        </w:tc>
        <w:tc>
          <w:tcPr>
            <w:tcW w:w="1250" w:type="pct"/>
            <w:vAlign w:val="center"/>
          </w:tcPr>
          <w:p w14:paraId="6061AF29" w14:textId="77777777" w:rsidR="00C85F84" w:rsidRPr="00CB6EE4" w:rsidRDefault="00C85F84" w:rsidP="000F379E">
            <w:pPr>
              <w:keepNext/>
              <w:keepLines/>
              <w:jc w:val="center"/>
              <w:rPr>
                <w:rFonts w:ascii="Arial Narrow" w:hAnsi="Arial Narrow"/>
                <w:b/>
                <w:sz w:val="20"/>
                <w:szCs w:val="20"/>
              </w:rPr>
            </w:pPr>
            <w:r w:rsidRPr="00CB6EE4">
              <w:rPr>
                <w:rFonts w:ascii="Arial Narrow" w:hAnsi="Arial Narrow"/>
                <w:b/>
                <w:sz w:val="20"/>
                <w:szCs w:val="20"/>
              </w:rPr>
              <w:t>12.1 (3.6, 20.6)</w:t>
            </w:r>
          </w:p>
        </w:tc>
      </w:tr>
      <w:tr w:rsidR="00C85F84" w:rsidRPr="00CB6EE4" w14:paraId="6066D867" w14:textId="77777777" w:rsidTr="00535097">
        <w:tc>
          <w:tcPr>
            <w:tcW w:w="5000" w:type="pct"/>
            <w:gridSpan w:val="4"/>
            <w:vAlign w:val="center"/>
          </w:tcPr>
          <w:p w14:paraId="01B03827" w14:textId="5422D88D" w:rsidR="00C85F84" w:rsidRPr="00CB6EE4" w:rsidRDefault="00C85F84" w:rsidP="000F379E">
            <w:pPr>
              <w:keepNext/>
              <w:keepLines/>
              <w:jc w:val="left"/>
              <w:rPr>
                <w:rFonts w:ascii="Arial Narrow" w:hAnsi="Arial Narrow"/>
                <w:b/>
                <w:sz w:val="20"/>
                <w:szCs w:val="20"/>
              </w:rPr>
            </w:pPr>
            <w:r w:rsidRPr="00CB6EE4">
              <w:rPr>
                <w:rFonts w:ascii="Arial Narrow" w:hAnsi="Arial Narrow"/>
                <w:b/>
                <w:sz w:val="20"/>
                <w:szCs w:val="20"/>
              </w:rPr>
              <w:t xml:space="preserve">SLEDAI-2K ≥8, triple </w:t>
            </w:r>
            <w:proofErr w:type="spellStart"/>
            <w:r w:rsidRPr="00CB6EE4">
              <w:rPr>
                <w:rFonts w:ascii="Arial Narrow" w:hAnsi="Arial Narrow"/>
                <w:b/>
                <w:sz w:val="20"/>
                <w:szCs w:val="20"/>
              </w:rPr>
              <w:t>therapy</w:t>
            </w:r>
            <w:r w:rsidR="001C2958" w:rsidRPr="001C2958">
              <w:rPr>
                <w:rFonts w:ascii="Arial Narrow" w:hAnsi="Arial Narrow"/>
                <w:b/>
                <w:sz w:val="20"/>
                <w:szCs w:val="20"/>
                <w:vertAlign w:val="superscript"/>
              </w:rPr>
              <w:t>h</w:t>
            </w:r>
            <w:proofErr w:type="spellEnd"/>
            <w:r w:rsidRPr="00CB6EE4">
              <w:rPr>
                <w:rFonts w:ascii="Arial Narrow" w:hAnsi="Arial Narrow"/>
                <w:b/>
                <w:sz w:val="20"/>
                <w:szCs w:val="20"/>
              </w:rPr>
              <w:t xml:space="preserve"> including prednisone ≥7.5 mg/day</w:t>
            </w:r>
          </w:p>
        </w:tc>
      </w:tr>
      <w:tr w:rsidR="00C85F84" w:rsidRPr="00CB6EE4" w14:paraId="538BBAE9" w14:textId="77777777" w:rsidTr="00535097">
        <w:tc>
          <w:tcPr>
            <w:tcW w:w="1334" w:type="pct"/>
          </w:tcPr>
          <w:p w14:paraId="6488D603" w14:textId="77777777" w:rsidR="00C85F84" w:rsidRPr="00CB6EE4" w:rsidRDefault="00C85F84" w:rsidP="000F379E">
            <w:pPr>
              <w:keepNext/>
              <w:keepLines/>
              <w:rPr>
                <w:rFonts w:ascii="Arial Narrow" w:hAnsi="Arial Narrow"/>
                <w:sz w:val="20"/>
                <w:szCs w:val="20"/>
              </w:rPr>
            </w:pPr>
            <w:r w:rsidRPr="00CB6EE4">
              <w:rPr>
                <w:rFonts w:ascii="Arial Narrow" w:hAnsi="Arial Narrow"/>
                <w:sz w:val="20"/>
                <w:szCs w:val="20"/>
              </w:rPr>
              <w:t>TULIP-1</w:t>
            </w:r>
          </w:p>
        </w:tc>
        <w:tc>
          <w:tcPr>
            <w:tcW w:w="1257" w:type="pct"/>
            <w:vAlign w:val="center"/>
          </w:tcPr>
          <w:p w14:paraId="708725D3"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13/26 (50.0)</w:t>
            </w:r>
          </w:p>
        </w:tc>
        <w:tc>
          <w:tcPr>
            <w:tcW w:w="1159" w:type="pct"/>
            <w:vAlign w:val="center"/>
          </w:tcPr>
          <w:p w14:paraId="0BC30FB5"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10/35 (28.6)</w:t>
            </w:r>
          </w:p>
        </w:tc>
        <w:tc>
          <w:tcPr>
            <w:tcW w:w="1250" w:type="pct"/>
            <w:vAlign w:val="center"/>
          </w:tcPr>
          <w:p w14:paraId="553E5690" w14:textId="77777777" w:rsidR="00C85F84" w:rsidRPr="00CB6EE4" w:rsidRDefault="00C85F84" w:rsidP="000F379E">
            <w:pPr>
              <w:keepNext/>
              <w:keepLines/>
              <w:jc w:val="center"/>
              <w:rPr>
                <w:rFonts w:ascii="Arial Narrow" w:hAnsi="Arial Narrow"/>
                <w:b/>
                <w:sz w:val="20"/>
                <w:szCs w:val="20"/>
              </w:rPr>
            </w:pPr>
            <w:r w:rsidRPr="00CB6EE4">
              <w:rPr>
                <w:rFonts w:ascii="Arial Narrow" w:hAnsi="Arial Narrow"/>
                <w:b/>
                <w:sz w:val="20"/>
                <w:szCs w:val="20"/>
              </w:rPr>
              <w:t xml:space="preserve">27.6 (0.4, </w:t>
            </w:r>
            <w:proofErr w:type="gramStart"/>
            <w:r w:rsidRPr="00CB6EE4">
              <w:rPr>
                <w:rFonts w:ascii="Arial Narrow" w:hAnsi="Arial Narrow"/>
                <w:b/>
                <w:sz w:val="20"/>
                <w:szCs w:val="20"/>
              </w:rPr>
              <w:t>54.8)</w:t>
            </w:r>
            <w:r w:rsidRPr="00CB6EE4">
              <w:rPr>
                <w:rFonts w:ascii="Arial Narrow" w:hAnsi="Arial Narrow"/>
                <w:b/>
                <w:sz w:val="20"/>
                <w:szCs w:val="20"/>
                <w:vertAlign w:val="superscript"/>
              </w:rPr>
              <w:t>c</w:t>
            </w:r>
            <w:proofErr w:type="gramEnd"/>
          </w:p>
        </w:tc>
      </w:tr>
      <w:tr w:rsidR="00C85F84" w:rsidRPr="00CB6EE4" w14:paraId="684A75AD" w14:textId="77777777" w:rsidTr="00535097">
        <w:trPr>
          <w:trHeight w:val="70"/>
        </w:trPr>
        <w:tc>
          <w:tcPr>
            <w:tcW w:w="1334" w:type="pct"/>
          </w:tcPr>
          <w:p w14:paraId="328E6C5D" w14:textId="77777777" w:rsidR="00C85F84" w:rsidRPr="00CB6EE4" w:rsidRDefault="00C85F84" w:rsidP="000F379E">
            <w:pPr>
              <w:keepNext/>
              <w:keepLines/>
              <w:rPr>
                <w:rFonts w:ascii="Arial Narrow" w:hAnsi="Arial Narrow"/>
                <w:sz w:val="20"/>
                <w:szCs w:val="20"/>
              </w:rPr>
            </w:pPr>
            <w:r w:rsidRPr="00CB6EE4">
              <w:rPr>
                <w:rFonts w:ascii="Arial Narrow" w:hAnsi="Arial Narrow"/>
                <w:sz w:val="20"/>
                <w:szCs w:val="20"/>
              </w:rPr>
              <w:t>TULIP-2</w:t>
            </w:r>
          </w:p>
        </w:tc>
        <w:tc>
          <w:tcPr>
            <w:tcW w:w="1257" w:type="pct"/>
            <w:vAlign w:val="center"/>
          </w:tcPr>
          <w:p w14:paraId="1CDFFEF5"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19/30 (63.3)</w:t>
            </w:r>
          </w:p>
        </w:tc>
        <w:tc>
          <w:tcPr>
            <w:tcW w:w="1159" w:type="pct"/>
            <w:vAlign w:val="center"/>
          </w:tcPr>
          <w:p w14:paraId="5844C84E"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12/27 (44.4)</w:t>
            </w:r>
          </w:p>
        </w:tc>
        <w:tc>
          <w:tcPr>
            <w:tcW w:w="1250" w:type="pct"/>
            <w:vAlign w:val="center"/>
          </w:tcPr>
          <w:p w14:paraId="61C5473A" w14:textId="77777777" w:rsidR="00C85F84" w:rsidRPr="00CB6EE4" w:rsidRDefault="00C85F84" w:rsidP="000F379E">
            <w:pPr>
              <w:keepNext/>
              <w:keepLines/>
              <w:jc w:val="center"/>
              <w:rPr>
                <w:rFonts w:ascii="Arial Narrow" w:hAnsi="Arial Narrow"/>
                <w:b/>
                <w:sz w:val="20"/>
                <w:szCs w:val="20"/>
              </w:rPr>
            </w:pPr>
            <w:r w:rsidRPr="00CB6EE4">
              <w:rPr>
                <w:rFonts w:ascii="Arial Narrow" w:hAnsi="Arial Narrow"/>
                <w:b/>
                <w:sz w:val="20"/>
                <w:szCs w:val="20"/>
              </w:rPr>
              <w:t xml:space="preserve">24.3 (0.0, </w:t>
            </w:r>
            <w:proofErr w:type="gramStart"/>
            <w:r w:rsidRPr="00CB6EE4">
              <w:rPr>
                <w:rFonts w:ascii="Arial Narrow" w:hAnsi="Arial Narrow"/>
                <w:b/>
                <w:sz w:val="20"/>
                <w:szCs w:val="20"/>
              </w:rPr>
              <w:t>48.6)</w:t>
            </w:r>
            <w:r w:rsidRPr="00CB6EE4">
              <w:rPr>
                <w:rFonts w:ascii="Arial Narrow" w:hAnsi="Arial Narrow"/>
                <w:b/>
                <w:sz w:val="20"/>
                <w:szCs w:val="20"/>
                <w:vertAlign w:val="superscript"/>
              </w:rPr>
              <w:t>c</w:t>
            </w:r>
            <w:proofErr w:type="gramEnd"/>
          </w:p>
        </w:tc>
      </w:tr>
      <w:tr w:rsidR="00C85F84" w:rsidRPr="00CB6EE4" w14:paraId="78016A0A" w14:textId="77777777" w:rsidTr="00535097">
        <w:tc>
          <w:tcPr>
            <w:tcW w:w="1334" w:type="pct"/>
            <w:vAlign w:val="center"/>
          </w:tcPr>
          <w:p w14:paraId="0B91667C" w14:textId="77777777" w:rsidR="00C85F84" w:rsidRPr="00CB6EE4" w:rsidRDefault="00C85F84" w:rsidP="000F379E">
            <w:pPr>
              <w:keepNext/>
              <w:keepLines/>
              <w:jc w:val="right"/>
              <w:rPr>
                <w:rFonts w:ascii="Arial Narrow" w:hAnsi="Arial Narrow"/>
                <w:sz w:val="20"/>
                <w:szCs w:val="20"/>
              </w:rPr>
            </w:pPr>
            <w:r w:rsidRPr="00CB6EE4">
              <w:rPr>
                <w:rFonts w:ascii="Arial Narrow" w:hAnsi="Arial Narrow"/>
                <w:sz w:val="20"/>
                <w:szCs w:val="20"/>
              </w:rPr>
              <w:t>TULIP-1 &amp; 2 pooled</w:t>
            </w:r>
          </w:p>
        </w:tc>
        <w:tc>
          <w:tcPr>
            <w:tcW w:w="1257" w:type="pct"/>
            <w:vAlign w:val="center"/>
          </w:tcPr>
          <w:p w14:paraId="64156774"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32/56 (57.1)</w:t>
            </w:r>
          </w:p>
        </w:tc>
        <w:tc>
          <w:tcPr>
            <w:tcW w:w="1159" w:type="pct"/>
            <w:vAlign w:val="center"/>
          </w:tcPr>
          <w:p w14:paraId="242EC720"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22/62 (35.5)</w:t>
            </w:r>
          </w:p>
        </w:tc>
        <w:tc>
          <w:tcPr>
            <w:tcW w:w="1250" w:type="pct"/>
            <w:vAlign w:val="center"/>
          </w:tcPr>
          <w:p w14:paraId="3199E560" w14:textId="77777777" w:rsidR="00C85F84" w:rsidRPr="00CB6EE4" w:rsidRDefault="00C85F84" w:rsidP="000F379E">
            <w:pPr>
              <w:keepNext/>
              <w:keepLines/>
              <w:jc w:val="center"/>
              <w:rPr>
                <w:rFonts w:ascii="Arial Narrow" w:hAnsi="Arial Narrow"/>
                <w:b/>
                <w:sz w:val="20"/>
                <w:szCs w:val="20"/>
              </w:rPr>
            </w:pPr>
            <w:r w:rsidRPr="00CB6EE4">
              <w:rPr>
                <w:rFonts w:ascii="Arial Narrow" w:hAnsi="Arial Narrow"/>
                <w:b/>
                <w:sz w:val="20"/>
                <w:szCs w:val="20"/>
              </w:rPr>
              <w:t xml:space="preserve">22.8 (5.2, </w:t>
            </w:r>
            <w:proofErr w:type="gramStart"/>
            <w:r w:rsidRPr="00CB6EE4">
              <w:rPr>
                <w:rFonts w:ascii="Arial Narrow" w:hAnsi="Arial Narrow"/>
                <w:b/>
                <w:sz w:val="20"/>
                <w:szCs w:val="20"/>
              </w:rPr>
              <w:t>40.4)</w:t>
            </w:r>
            <w:r w:rsidRPr="00CB6EE4">
              <w:rPr>
                <w:rFonts w:ascii="Arial Narrow" w:hAnsi="Arial Narrow"/>
                <w:b/>
                <w:sz w:val="20"/>
                <w:szCs w:val="20"/>
                <w:vertAlign w:val="superscript"/>
              </w:rPr>
              <w:t>c</w:t>
            </w:r>
            <w:proofErr w:type="gramEnd"/>
          </w:p>
        </w:tc>
      </w:tr>
      <w:tr w:rsidR="00C85F84" w:rsidRPr="00CB6EE4" w14:paraId="700287FD" w14:textId="77777777" w:rsidTr="00535097">
        <w:tc>
          <w:tcPr>
            <w:tcW w:w="5000" w:type="pct"/>
            <w:gridSpan w:val="4"/>
            <w:shd w:val="clear" w:color="auto" w:fill="D9D9D9" w:themeFill="background1" w:themeFillShade="D9"/>
            <w:vAlign w:val="center"/>
          </w:tcPr>
          <w:p w14:paraId="694DFD7D" w14:textId="54B801DC" w:rsidR="00C85F84" w:rsidRPr="00CB6EE4" w:rsidRDefault="00C85F84" w:rsidP="000F379E">
            <w:pPr>
              <w:keepNext/>
              <w:keepLines/>
              <w:jc w:val="left"/>
              <w:rPr>
                <w:rFonts w:ascii="Arial Narrow" w:hAnsi="Arial Narrow"/>
                <w:b/>
                <w:sz w:val="20"/>
                <w:szCs w:val="20"/>
              </w:rPr>
            </w:pPr>
            <w:r w:rsidRPr="00CB6EE4">
              <w:rPr>
                <w:rFonts w:ascii="Arial Narrow" w:hAnsi="Arial Narrow"/>
                <w:b/>
                <w:sz w:val="20"/>
                <w:szCs w:val="20"/>
              </w:rPr>
              <w:t>BICLA response at Week 52</w:t>
            </w:r>
          </w:p>
        </w:tc>
      </w:tr>
      <w:tr w:rsidR="00C85F84" w:rsidRPr="00CB6EE4" w14:paraId="302BD65E" w14:textId="77777777" w:rsidTr="00535097">
        <w:tc>
          <w:tcPr>
            <w:tcW w:w="5000" w:type="pct"/>
            <w:gridSpan w:val="4"/>
            <w:vAlign w:val="center"/>
          </w:tcPr>
          <w:p w14:paraId="3F7CC203" w14:textId="64A8D966" w:rsidR="00C85F84" w:rsidRPr="00CB6EE4" w:rsidRDefault="00C85F84" w:rsidP="000F379E">
            <w:pPr>
              <w:keepNext/>
              <w:keepLines/>
              <w:jc w:val="left"/>
              <w:rPr>
                <w:rFonts w:ascii="Arial Narrow" w:hAnsi="Arial Narrow"/>
                <w:sz w:val="20"/>
                <w:szCs w:val="20"/>
              </w:rPr>
            </w:pPr>
            <w:r w:rsidRPr="00CB6EE4">
              <w:rPr>
                <w:rFonts w:ascii="Arial Narrow" w:hAnsi="Arial Narrow"/>
                <w:b/>
                <w:sz w:val="20"/>
                <w:szCs w:val="20"/>
              </w:rPr>
              <w:t>SLEDAI-2K ≥10</w:t>
            </w:r>
          </w:p>
        </w:tc>
      </w:tr>
      <w:tr w:rsidR="00C85F84" w:rsidRPr="00CB6EE4" w14:paraId="0207BE12" w14:textId="77777777" w:rsidTr="00535097">
        <w:tc>
          <w:tcPr>
            <w:tcW w:w="1334" w:type="pct"/>
          </w:tcPr>
          <w:p w14:paraId="1CCB8F7E" w14:textId="77777777" w:rsidR="00C85F84" w:rsidRPr="00CB6EE4" w:rsidRDefault="00C85F84" w:rsidP="000F379E">
            <w:pPr>
              <w:keepNext/>
              <w:keepLines/>
              <w:rPr>
                <w:rFonts w:ascii="Arial Narrow" w:hAnsi="Arial Narrow"/>
                <w:sz w:val="20"/>
                <w:szCs w:val="20"/>
              </w:rPr>
            </w:pPr>
            <w:r w:rsidRPr="00CB6EE4">
              <w:rPr>
                <w:rFonts w:ascii="Arial Narrow" w:hAnsi="Arial Narrow"/>
                <w:sz w:val="20"/>
                <w:szCs w:val="20"/>
              </w:rPr>
              <w:t>TULIP-1</w:t>
            </w:r>
          </w:p>
        </w:tc>
        <w:tc>
          <w:tcPr>
            <w:tcW w:w="1257" w:type="pct"/>
            <w:vAlign w:val="center"/>
          </w:tcPr>
          <w:p w14:paraId="484CA938"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57/129 (44.2)</w:t>
            </w:r>
          </w:p>
        </w:tc>
        <w:tc>
          <w:tcPr>
            <w:tcW w:w="1159" w:type="pct"/>
            <w:vAlign w:val="center"/>
          </w:tcPr>
          <w:p w14:paraId="40049805"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35/135 (25.9)</w:t>
            </w:r>
          </w:p>
        </w:tc>
        <w:tc>
          <w:tcPr>
            <w:tcW w:w="1250" w:type="pct"/>
            <w:vAlign w:val="center"/>
          </w:tcPr>
          <w:p w14:paraId="0B48C705" w14:textId="77777777" w:rsidR="00C85F84" w:rsidRPr="00CB6EE4" w:rsidRDefault="00C85F84" w:rsidP="000F379E">
            <w:pPr>
              <w:keepNext/>
              <w:keepLines/>
              <w:jc w:val="center"/>
              <w:rPr>
                <w:rFonts w:ascii="Arial Narrow" w:hAnsi="Arial Narrow"/>
                <w:b/>
                <w:sz w:val="20"/>
                <w:szCs w:val="20"/>
              </w:rPr>
            </w:pPr>
            <w:r w:rsidRPr="00CB6EE4">
              <w:rPr>
                <w:rFonts w:ascii="Arial Narrow" w:hAnsi="Arial Narrow"/>
                <w:b/>
                <w:sz w:val="20"/>
                <w:szCs w:val="20"/>
              </w:rPr>
              <w:t>18.6 (7.4, 29.8)</w:t>
            </w:r>
          </w:p>
        </w:tc>
      </w:tr>
      <w:tr w:rsidR="00C85F84" w:rsidRPr="00CB6EE4" w14:paraId="23C4D20C" w14:textId="77777777" w:rsidTr="00535097">
        <w:tc>
          <w:tcPr>
            <w:tcW w:w="1334" w:type="pct"/>
          </w:tcPr>
          <w:p w14:paraId="7E13754D" w14:textId="77777777" w:rsidR="00C85F84" w:rsidRPr="00CB6EE4" w:rsidRDefault="00C85F84" w:rsidP="000F379E">
            <w:pPr>
              <w:keepNext/>
              <w:keepLines/>
              <w:rPr>
                <w:rFonts w:ascii="Arial Narrow" w:hAnsi="Arial Narrow"/>
                <w:sz w:val="20"/>
                <w:szCs w:val="20"/>
              </w:rPr>
            </w:pPr>
            <w:r w:rsidRPr="00CB6EE4">
              <w:rPr>
                <w:rFonts w:ascii="Arial Narrow" w:hAnsi="Arial Narrow"/>
                <w:sz w:val="20"/>
                <w:szCs w:val="20"/>
              </w:rPr>
              <w:t>TULIP-2</w:t>
            </w:r>
          </w:p>
        </w:tc>
        <w:tc>
          <w:tcPr>
            <w:tcW w:w="1257" w:type="pct"/>
            <w:vAlign w:val="center"/>
          </w:tcPr>
          <w:p w14:paraId="4B881717"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60/129 (46.5)</w:t>
            </w:r>
          </w:p>
        </w:tc>
        <w:tc>
          <w:tcPr>
            <w:tcW w:w="1159" w:type="pct"/>
            <w:vAlign w:val="center"/>
          </w:tcPr>
          <w:p w14:paraId="3EEAB189"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36/131 (27.5)</w:t>
            </w:r>
          </w:p>
        </w:tc>
        <w:tc>
          <w:tcPr>
            <w:tcW w:w="1250" w:type="pct"/>
            <w:vAlign w:val="center"/>
          </w:tcPr>
          <w:p w14:paraId="4CA9A8FD" w14:textId="77777777" w:rsidR="00C85F84" w:rsidRPr="00CB6EE4" w:rsidRDefault="00C85F84" w:rsidP="000F379E">
            <w:pPr>
              <w:keepNext/>
              <w:keepLines/>
              <w:jc w:val="center"/>
              <w:rPr>
                <w:rFonts w:ascii="Arial Narrow" w:hAnsi="Arial Narrow"/>
                <w:b/>
                <w:sz w:val="20"/>
                <w:szCs w:val="20"/>
              </w:rPr>
            </w:pPr>
            <w:r w:rsidRPr="00CB6EE4">
              <w:rPr>
                <w:rFonts w:ascii="Arial Narrow" w:hAnsi="Arial Narrow"/>
                <w:b/>
                <w:sz w:val="20"/>
                <w:szCs w:val="20"/>
              </w:rPr>
              <w:t>19.0 (7.5, 30.5)</w:t>
            </w:r>
          </w:p>
        </w:tc>
      </w:tr>
      <w:tr w:rsidR="00C85F84" w:rsidRPr="00CB6EE4" w14:paraId="7E3B89E4" w14:textId="77777777" w:rsidTr="00535097">
        <w:tc>
          <w:tcPr>
            <w:tcW w:w="1334" w:type="pct"/>
            <w:vAlign w:val="center"/>
          </w:tcPr>
          <w:p w14:paraId="50BACB8F" w14:textId="77777777" w:rsidR="00C85F84" w:rsidRPr="00CB6EE4" w:rsidRDefault="00C85F84" w:rsidP="000F379E">
            <w:pPr>
              <w:keepNext/>
              <w:keepLines/>
              <w:rPr>
                <w:rFonts w:ascii="Arial Narrow" w:hAnsi="Arial Narrow"/>
                <w:sz w:val="20"/>
                <w:szCs w:val="20"/>
              </w:rPr>
            </w:pPr>
            <w:r w:rsidRPr="00CB6EE4">
              <w:rPr>
                <w:rFonts w:ascii="Arial Narrow" w:hAnsi="Arial Narrow"/>
                <w:sz w:val="20"/>
                <w:szCs w:val="20"/>
              </w:rPr>
              <w:t>TULIP-1 &amp; 2 pooled</w:t>
            </w:r>
          </w:p>
        </w:tc>
        <w:tc>
          <w:tcPr>
            <w:tcW w:w="1257" w:type="pct"/>
            <w:vAlign w:val="center"/>
          </w:tcPr>
          <w:p w14:paraId="29200571"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117/258 (45.3)</w:t>
            </w:r>
          </w:p>
        </w:tc>
        <w:tc>
          <w:tcPr>
            <w:tcW w:w="1159" w:type="pct"/>
            <w:vAlign w:val="center"/>
          </w:tcPr>
          <w:p w14:paraId="4C7D8762"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71/266 (26.7)</w:t>
            </w:r>
          </w:p>
        </w:tc>
        <w:tc>
          <w:tcPr>
            <w:tcW w:w="1250" w:type="pct"/>
            <w:vAlign w:val="center"/>
          </w:tcPr>
          <w:p w14:paraId="06BF9173" w14:textId="77777777" w:rsidR="00C85F84" w:rsidRPr="00CB6EE4" w:rsidRDefault="00C85F84" w:rsidP="000F379E">
            <w:pPr>
              <w:keepNext/>
              <w:keepLines/>
              <w:jc w:val="center"/>
              <w:rPr>
                <w:rFonts w:ascii="Arial Narrow" w:hAnsi="Arial Narrow"/>
                <w:b/>
                <w:sz w:val="20"/>
                <w:szCs w:val="20"/>
              </w:rPr>
            </w:pPr>
            <w:r w:rsidRPr="00CB6EE4">
              <w:rPr>
                <w:rFonts w:ascii="Arial Narrow" w:hAnsi="Arial Narrow"/>
                <w:b/>
                <w:sz w:val="20"/>
                <w:szCs w:val="20"/>
              </w:rPr>
              <w:t>18.7 (10.7, 26.8)</w:t>
            </w:r>
          </w:p>
        </w:tc>
      </w:tr>
      <w:tr w:rsidR="00C85F84" w:rsidRPr="00CB6EE4" w14:paraId="26CB66DC" w14:textId="77777777" w:rsidTr="00535097">
        <w:tc>
          <w:tcPr>
            <w:tcW w:w="5000" w:type="pct"/>
            <w:gridSpan w:val="4"/>
            <w:vAlign w:val="center"/>
          </w:tcPr>
          <w:p w14:paraId="51D656C3" w14:textId="57DA7515" w:rsidR="00C85F84" w:rsidRPr="00CB6EE4" w:rsidRDefault="00C85F84" w:rsidP="000F379E">
            <w:pPr>
              <w:keepNext/>
              <w:keepLines/>
              <w:jc w:val="left"/>
              <w:rPr>
                <w:rFonts w:ascii="Arial Narrow" w:hAnsi="Arial Narrow"/>
                <w:sz w:val="20"/>
                <w:szCs w:val="20"/>
              </w:rPr>
            </w:pPr>
            <w:r w:rsidRPr="00CB6EE4">
              <w:rPr>
                <w:rFonts w:ascii="Arial Narrow" w:hAnsi="Arial Narrow"/>
                <w:b/>
                <w:sz w:val="20"/>
                <w:szCs w:val="20"/>
              </w:rPr>
              <w:t xml:space="preserve">SLEDAI-2K ≥8, triple </w:t>
            </w:r>
            <w:proofErr w:type="spellStart"/>
            <w:r w:rsidRPr="00CB6EE4">
              <w:rPr>
                <w:rFonts w:ascii="Arial Narrow" w:hAnsi="Arial Narrow"/>
                <w:b/>
                <w:sz w:val="20"/>
                <w:szCs w:val="20"/>
              </w:rPr>
              <w:t>therapy</w:t>
            </w:r>
            <w:r w:rsidR="001C2958" w:rsidRPr="001C2958">
              <w:rPr>
                <w:rFonts w:ascii="Arial Narrow" w:hAnsi="Arial Narrow"/>
                <w:b/>
                <w:sz w:val="20"/>
                <w:szCs w:val="20"/>
                <w:vertAlign w:val="superscript"/>
              </w:rPr>
              <w:t>h</w:t>
            </w:r>
            <w:proofErr w:type="spellEnd"/>
            <w:r w:rsidRPr="00CB6EE4">
              <w:rPr>
                <w:rFonts w:ascii="Arial Narrow" w:hAnsi="Arial Narrow"/>
                <w:b/>
                <w:sz w:val="20"/>
                <w:szCs w:val="20"/>
              </w:rPr>
              <w:t xml:space="preserve"> including prednisone ≥7.5 mg/day</w:t>
            </w:r>
          </w:p>
        </w:tc>
      </w:tr>
      <w:tr w:rsidR="00C85F84" w:rsidRPr="00CB6EE4" w14:paraId="5156CA65" w14:textId="77777777" w:rsidTr="00535097">
        <w:tc>
          <w:tcPr>
            <w:tcW w:w="1334" w:type="pct"/>
          </w:tcPr>
          <w:p w14:paraId="6435CE9A" w14:textId="77777777" w:rsidR="00C85F84" w:rsidRPr="00CB6EE4" w:rsidRDefault="00C85F84" w:rsidP="000F379E">
            <w:pPr>
              <w:keepNext/>
              <w:keepLines/>
              <w:rPr>
                <w:rFonts w:ascii="Arial Narrow" w:hAnsi="Arial Narrow"/>
                <w:sz w:val="20"/>
                <w:szCs w:val="20"/>
              </w:rPr>
            </w:pPr>
            <w:r w:rsidRPr="00CB6EE4">
              <w:rPr>
                <w:rFonts w:ascii="Arial Narrow" w:hAnsi="Arial Narrow"/>
                <w:sz w:val="20"/>
                <w:szCs w:val="20"/>
              </w:rPr>
              <w:t>TULIP-1</w:t>
            </w:r>
          </w:p>
        </w:tc>
        <w:tc>
          <w:tcPr>
            <w:tcW w:w="1257" w:type="pct"/>
          </w:tcPr>
          <w:p w14:paraId="7F43CB20"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13/26 (50.0)</w:t>
            </w:r>
          </w:p>
        </w:tc>
        <w:tc>
          <w:tcPr>
            <w:tcW w:w="1159" w:type="pct"/>
          </w:tcPr>
          <w:p w14:paraId="66D47B04"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8/35 (22.9)</w:t>
            </w:r>
          </w:p>
        </w:tc>
        <w:tc>
          <w:tcPr>
            <w:tcW w:w="1250" w:type="pct"/>
            <w:vAlign w:val="center"/>
          </w:tcPr>
          <w:p w14:paraId="008033FB" w14:textId="77777777" w:rsidR="00C85F84" w:rsidRPr="00CB6EE4" w:rsidRDefault="00C85F84" w:rsidP="000F379E">
            <w:pPr>
              <w:keepNext/>
              <w:keepLines/>
              <w:jc w:val="center"/>
              <w:rPr>
                <w:rFonts w:ascii="Arial Narrow" w:hAnsi="Arial Narrow"/>
                <w:b/>
                <w:sz w:val="20"/>
                <w:szCs w:val="20"/>
              </w:rPr>
            </w:pPr>
            <w:r w:rsidRPr="00CB6EE4">
              <w:rPr>
                <w:rFonts w:ascii="Arial Narrow" w:hAnsi="Arial Narrow"/>
                <w:b/>
                <w:sz w:val="20"/>
                <w:szCs w:val="20"/>
              </w:rPr>
              <w:t xml:space="preserve">30.5 (7.2, </w:t>
            </w:r>
            <w:proofErr w:type="gramStart"/>
            <w:r w:rsidRPr="00CB6EE4">
              <w:rPr>
                <w:rFonts w:ascii="Arial Narrow" w:hAnsi="Arial Narrow"/>
                <w:b/>
                <w:sz w:val="20"/>
                <w:szCs w:val="20"/>
              </w:rPr>
              <w:t>53.8)</w:t>
            </w:r>
            <w:r w:rsidRPr="00CB6EE4">
              <w:rPr>
                <w:rFonts w:ascii="Arial Narrow" w:hAnsi="Arial Narrow"/>
                <w:b/>
                <w:sz w:val="20"/>
                <w:szCs w:val="20"/>
                <w:vertAlign w:val="superscript"/>
              </w:rPr>
              <w:t>f</w:t>
            </w:r>
            <w:proofErr w:type="gramEnd"/>
          </w:p>
        </w:tc>
      </w:tr>
      <w:tr w:rsidR="00C85F84" w:rsidRPr="00CB6EE4" w14:paraId="58E7650B" w14:textId="77777777" w:rsidTr="00535097">
        <w:tc>
          <w:tcPr>
            <w:tcW w:w="1334" w:type="pct"/>
          </w:tcPr>
          <w:p w14:paraId="099F76F6" w14:textId="77777777" w:rsidR="00C85F84" w:rsidRPr="00CB6EE4" w:rsidRDefault="00C85F84" w:rsidP="000F379E">
            <w:pPr>
              <w:keepNext/>
              <w:keepLines/>
              <w:rPr>
                <w:rFonts w:ascii="Arial Narrow" w:hAnsi="Arial Narrow"/>
                <w:sz w:val="20"/>
                <w:szCs w:val="20"/>
              </w:rPr>
            </w:pPr>
            <w:r w:rsidRPr="00CB6EE4">
              <w:rPr>
                <w:rFonts w:ascii="Arial Narrow" w:hAnsi="Arial Narrow"/>
                <w:sz w:val="20"/>
                <w:szCs w:val="20"/>
              </w:rPr>
              <w:t>TULIP-2</w:t>
            </w:r>
          </w:p>
        </w:tc>
        <w:tc>
          <w:tcPr>
            <w:tcW w:w="1257" w:type="pct"/>
          </w:tcPr>
          <w:p w14:paraId="45A37A62"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17/30 (56.7)</w:t>
            </w:r>
          </w:p>
        </w:tc>
        <w:tc>
          <w:tcPr>
            <w:tcW w:w="1159" w:type="pct"/>
          </w:tcPr>
          <w:p w14:paraId="2B9AD23A"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11/27 (40.7)</w:t>
            </w:r>
          </w:p>
        </w:tc>
        <w:tc>
          <w:tcPr>
            <w:tcW w:w="1250" w:type="pct"/>
            <w:vAlign w:val="center"/>
          </w:tcPr>
          <w:p w14:paraId="6D7FBFA1"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 xml:space="preserve">Not </w:t>
            </w:r>
            <w:proofErr w:type="spellStart"/>
            <w:r w:rsidRPr="00CB6EE4">
              <w:rPr>
                <w:rFonts w:ascii="Arial Narrow" w:hAnsi="Arial Narrow"/>
                <w:sz w:val="20"/>
                <w:szCs w:val="20"/>
              </w:rPr>
              <w:t>calculated</w:t>
            </w:r>
            <w:r w:rsidRPr="00CB6EE4">
              <w:rPr>
                <w:rFonts w:ascii="Arial Narrow" w:hAnsi="Arial Narrow"/>
                <w:sz w:val="20"/>
                <w:szCs w:val="20"/>
                <w:vertAlign w:val="superscript"/>
              </w:rPr>
              <w:t>f</w:t>
            </w:r>
            <w:proofErr w:type="spellEnd"/>
          </w:p>
        </w:tc>
      </w:tr>
      <w:tr w:rsidR="00C85F84" w:rsidRPr="00CB6EE4" w14:paraId="0595A5E0" w14:textId="77777777" w:rsidTr="00535097">
        <w:tc>
          <w:tcPr>
            <w:tcW w:w="1334" w:type="pct"/>
            <w:vAlign w:val="center"/>
          </w:tcPr>
          <w:p w14:paraId="401C4404" w14:textId="77777777" w:rsidR="00C85F84" w:rsidRPr="00CB6EE4" w:rsidRDefault="00C85F84" w:rsidP="000F379E">
            <w:pPr>
              <w:keepNext/>
              <w:keepLines/>
              <w:rPr>
                <w:rFonts w:ascii="Arial Narrow" w:hAnsi="Arial Narrow"/>
                <w:sz w:val="20"/>
                <w:szCs w:val="20"/>
              </w:rPr>
            </w:pPr>
            <w:r w:rsidRPr="00CB6EE4">
              <w:rPr>
                <w:rFonts w:ascii="Arial Narrow" w:hAnsi="Arial Narrow"/>
                <w:sz w:val="20"/>
                <w:szCs w:val="20"/>
              </w:rPr>
              <w:t>TULIP-1 &amp; 2 pooled</w:t>
            </w:r>
          </w:p>
        </w:tc>
        <w:tc>
          <w:tcPr>
            <w:tcW w:w="1257" w:type="pct"/>
          </w:tcPr>
          <w:p w14:paraId="176A324F"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30/56 (53.6)</w:t>
            </w:r>
          </w:p>
        </w:tc>
        <w:tc>
          <w:tcPr>
            <w:tcW w:w="1159" w:type="pct"/>
          </w:tcPr>
          <w:p w14:paraId="6018C6E8" w14:textId="77777777" w:rsidR="00C85F84" w:rsidRPr="00CB6EE4" w:rsidRDefault="00C85F84" w:rsidP="000F379E">
            <w:pPr>
              <w:keepNext/>
              <w:keepLines/>
              <w:jc w:val="center"/>
              <w:rPr>
                <w:rFonts w:ascii="Arial Narrow" w:hAnsi="Arial Narrow"/>
                <w:sz w:val="20"/>
                <w:szCs w:val="20"/>
              </w:rPr>
            </w:pPr>
            <w:r w:rsidRPr="00CB6EE4">
              <w:rPr>
                <w:rFonts w:ascii="Arial Narrow" w:hAnsi="Arial Narrow"/>
                <w:sz w:val="20"/>
                <w:szCs w:val="20"/>
              </w:rPr>
              <w:t>19/62 (30.6)</w:t>
            </w:r>
          </w:p>
        </w:tc>
        <w:tc>
          <w:tcPr>
            <w:tcW w:w="1250" w:type="pct"/>
            <w:vAlign w:val="center"/>
          </w:tcPr>
          <w:p w14:paraId="319393B0" w14:textId="77777777" w:rsidR="00C85F84" w:rsidRPr="00CB6EE4" w:rsidRDefault="00C85F84" w:rsidP="000F379E">
            <w:pPr>
              <w:keepNext/>
              <w:keepLines/>
              <w:jc w:val="center"/>
              <w:rPr>
                <w:rFonts w:ascii="Arial Narrow" w:hAnsi="Arial Narrow"/>
                <w:b/>
                <w:sz w:val="20"/>
                <w:szCs w:val="20"/>
              </w:rPr>
            </w:pPr>
            <w:r w:rsidRPr="00CB6EE4">
              <w:rPr>
                <w:rFonts w:ascii="Arial Narrow" w:hAnsi="Arial Narrow"/>
                <w:b/>
                <w:sz w:val="20"/>
                <w:szCs w:val="20"/>
              </w:rPr>
              <w:t xml:space="preserve">25.6 (9.0, </w:t>
            </w:r>
            <w:proofErr w:type="gramStart"/>
            <w:r w:rsidRPr="00CB6EE4">
              <w:rPr>
                <w:rFonts w:ascii="Arial Narrow" w:hAnsi="Arial Narrow"/>
                <w:b/>
                <w:sz w:val="20"/>
                <w:szCs w:val="20"/>
              </w:rPr>
              <w:t>42.3)</w:t>
            </w:r>
            <w:r w:rsidRPr="00CB6EE4">
              <w:rPr>
                <w:rFonts w:ascii="Arial Narrow" w:hAnsi="Arial Narrow"/>
                <w:b/>
                <w:sz w:val="20"/>
                <w:szCs w:val="20"/>
                <w:vertAlign w:val="superscript"/>
              </w:rPr>
              <w:t>f</w:t>
            </w:r>
            <w:proofErr w:type="gramEnd"/>
          </w:p>
        </w:tc>
      </w:tr>
    </w:tbl>
    <w:p w14:paraId="44F4B027" w14:textId="77777777" w:rsidR="00293959" w:rsidRDefault="00293959" w:rsidP="00293959">
      <w:pPr>
        <w:rPr>
          <w:rFonts w:ascii="Arial Narrow" w:hAnsi="Arial Narrow"/>
          <w:sz w:val="18"/>
          <w:szCs w:val="20"/>
        </w:rPr>
      </w:pPr>
      <w:r w:rsidRPr="00293959">
        <w:rPr>
          <w:rFonts w:ascii="Arial Narrow" w:hAnsi="Arial Narrow"/>
          <w:b/>
          <w:bCs/>
          <w:sz w:val="18"/>
          <w:szCs w:val="20"/>
        </w:rPr>
        <w:t>Bold</w:t>
      </w:r>
      <w:r w:rsidRPr="00293959">
        <w:rPr>
          <w:rFonts w:ascii="Arial Narrow" w:hAnsi="Arial Narrow"/>
          <w:sz w:val="18"/>
          <w:szCs w:val="20"/>
        </w:rPr>
        <w:t xml:space="preserve"> text designates statistical significance</w:t>
      </w:r>
    </w:p>
    <w:p w14:paraId="0E4AA33E" w14:textId="58FF7475" w:rsidR="00A74AF9" w:rsidRPr="0067708F" w:rsidRDefault="00A74AF9" w:rsidP="00A74AF9">
      <w:pPr>
        <w:rPr>
          <w:rFonts w:ascii="Arial Narrow" w:hAnsi="Arial Narrow"/>
          <w:sz w:val="18"/>
          <w:szCs w:val="20"/>
        </w:rPr>
      </w:pPr>
      <w:r w:rsidRPr="00F529D7">
        <w:rPr>
          <w:rFonts w:ascii="Arial Narrow" w:hAnsi="Arial Narrow"/>
          <w:sz w:val="18"/>
          <w:szCs w:val="20"/>
        </w:rPr>
        <w:t>Source: Tables 2.6-3 and 2.6-4, pp95-97 of the submission</w:t>
      </w:r>
      <w:r>
        <w:rPr>
          <w:rFonts w:ascii="Arial Narrow" w:hAnsi="Arial Narrow"/>
          <w:sz w:val="18"/>
          <w:szCs w:val="20"/>
        </w:rPr>
        <w:t xml:space="preserve"> and </w:t>
      </w:r>
      <w:proofErr w:type="spellStart"/>
      <w:r>
        <w:rPr>
          <w:rFonts w:ascii="Arial Narrow" w:hAnsi="Arial Narrow"/>
          <w:sz w:val="18"/>
          <w:szCs w:val="20"/>
        </w:rPr>
        <w:t>Anifrolumab</w:t>
      </w:r>
      <w:proofErr w:type="spellEnd"/>
      <w:r>
        <w:rPr>
          <w:rFonts w:ascii="Arial Narrow" w:hAnsi="Arial Narrow"/>
          <w:sz w:val="18"/>
          <w:szCs w:val="20"/>
        </w:rPr>
        <w:t xml:space="preserve"> versus </w:t>
      </w:r>
      <w:r w:rsidRPr="0067708F">
        <w:rPr>
          <w:rFonts w:ascii="Arial Narrow" w:hAnsi="Arial Narrow"/>
          <w:sz w:val="18"/>
          <w:szCs w:val="20"/>
        </w:rPr>
        <w:t>Placebo for SLE.rm5 (</w:t>
      </w:r>
      <w:r w:rsidR="0067708F" w:rsidRPr="0067708F">
        <w:rPr>
          <w:rFonts w:ascii="Arial Narrow" w:hAnsi="Arial Narrow"/>
          <w:i/>
          <w:iCs/>
          <w:sz w:val="18"/>
          <w:szCs w:val="20"/>
        </w:rPr>
        <w:t>submission</w:t>
      </w:r>
      <w:r w:rsidR="0067708F" w:rsidRPr="0067708F">
        <w:rPr>
          <w:rFonts w:ascii="Arial Narrow" w:hAnsi="Arial Narrow"/>
          <w:sz w:val="18"/>
          <w:szCs w:val="20"/>
        </w:rPr>
        <w:t xml:space="preserve"> </w:t>
      </w:r>
      <w:r w:rsidRPr="0067708F">
        <w:rPr>
          <w:rFonts w:ascii="Arial Narrow" w:hAnsi="Arial Narrow"/>
          <w:sz w:val="18"/>
          <w:szCs w:val="20"/>
        </w:rPr>
        <w:t>Attachment 2_5).</w:t>
      </w:r>
      <w:r w:rsidR="00293959" w:rsidRPr="0067708F">
        <w:rPr>
          <w:rFonts w:ascii="Arial Narrow" w:hAnsi="Arial Narrow"/>
          <w:sz w:val="18"/>
          <w:szCs w:val="20"/>
        </w:rPr>
        <w:t xml:space="preserve"> </w:t>
      </w:r>
    </w:p>
    <w:p w14:paraId="60652DCE" w14:textId="2CD3114B" w:rsidR="00A74AF9" w:rsidRPr="0067708F" w:rsidRDefault="00A74AF9" w:rsidP="00A74AF9">
      <w:pPr>
        <w:rPr>
          <w:rFonts w:ascii="Arial Narrow" w:hAnsi="Arial Narrow"/>
          <w:sz w:val="18"/>
          <w:szCs w:val="20"/>
        </w:rPr>
      </w:pPr>
      <w:r w:rsidRPr="0067708F">
        <w:rPr>
          <w:rFonts w:ascii="Arial Narrow" w:hAnsi="Arial Narrow"/>
          <w:sz w:val="18"/>
          <w:szCs w:val="20"/>
        </w:rPr>
        <w:t xml:space="preserve">BICLA=BILAG–Based Composite Lupus Assessment; </w:t>
      </w:r>
      <w:r w:rsidR="0008323D" w:rsidRPr="0067708F">
        <w:rPr>
          <w:rFonts w:ascii="Arial Narrow" w:hAnsi="Arial Narrow"/>
          <w:sz w:val="18"/>
          <w:szCs w:val="20"/>
        </w:rPr>
        <w:t xml:space="preserve">CI=confidence interval; NE=not estimable; RD=risk difference; </w:t>
      </w:r>
      <w:r w:rsidRPr="0067708F">
        <w:rPr>
          <w:rFonts w:ascii="Arial Narrow" w:hAnsi="Arial Narrow"/>
          <w:sz w:val="18"/>
          <w:szCs w:val="20"/>
        </w:rPr>
        <w:t xml:space="preserve">SLEDIA-2K=Systemic Lupus Erythematosus Disease Activity Index 2000; SOC=standard of care; </w:t>
      </w:r>
      <w:proofErr w:type="gramStart"/>
      <w:r w:rsidRPr="0067708F">
        <w:rPr>
          <w:rFonts w:ascii="Arial Narrow" w:hAnsi="Arial Narrow"/>
          <w:sz w:val="18"/>
          <w:szCs w:val="20"/>
        </w:rPr>
        <w:t>SRI(</w:t>
      </w:r>
      <w:proofErr w:type="gramEnd"/>
      <w:r w:rsidRPr="0067708F">
        <w:rPr>
          <w:rFonts w:ascii="Arial Narrow" w:hAnsi="Arial Narrow"/>
          <w:sz w:val="18"/>
          <w:szCs w:val="20"/>
        </w:rPr>
        <w:t>4)=4-point reduction on SLE Responder Index.</w:t>
      </w:r>
    </w:p>
    <w:p w14:paraId="249B1F17" w14:textId="77777777" w:rsidR="00A74AF9" w:rsidRPr="0067708F" w:rsidRDefault="00A74AF9" w:rsidP="00A74AF9">
      <w:pPr>
        <w:rPr>
          <w:rFonts w:ascii="Arial Narrow" w:hAnsi="Arial Narrow"/>
          <w:sz w:val="18"/>
          <w:szCs w:val="20"/>
        </w:rPr>
      </w:pPr>
      <w:r w:rsidRPr="0067708F">
        <w:rPr>
          <w:rFonts w:ascii="Arial Narrow" w:hAnsi="Arial Narrow"/>
          <w:sz w:val="18"/>
          <w:szCs w:val="20"/>
        </w:rPr>
        <w:t xml:space="preserve">Analysis was based on the TULIP-2 rules for restricted medications. The responder rate, difference estimate and associated 95% CIs are calculated using a binomial model with an identify link, with covariates for SLEDAI-2K score at screening, Day 1 OCS dose, type I IFN gene signature test result at screening, treatment, </w:t>
      </w:r>
      <w:proofErr w:type="gramStart"/>
      <w:r w:rsidRPr="0067708F">
        <w:rPr>
          <w:rFonts w:ascii="Arial Narrow" w:hAnsi="Arial Narrow"/>
          <w:sz w:val="18"/>
          <w:szCs w:val="20"/>
        </w:rPr>
        <w:t>subgroup</w:t>
      </w:r>
      <w:proofErr w:type="gramEnd"/>
      <w:r w:rsidRPr="0067708F">
        <w:rPr>
          <w:rFonts w:ascii="Arial Narrow" w:hAnsi="Arial Narrow"/>
          <w:sz w:val="18"/>
          <w:szCs w:val="20"/>
        </w:rPr>
        <w:t xml:space="preserve"> and treatment by subgroup interaction. In the pooled analysis, an additional covariate is added for study (TULIP-1 vs TULIP-2). The p-values presented was based on this binomial model</w:t>
      </w:r>
    </w:p>
    <w:p w14:paraId="1C797BB9" w14:textId="08C687A6" w:rsidR="001F741A" w:rsidRPr="00CB6EE4" w:rsidRDefault="001F741A" w:rsidP="001C2958">
      <w:pPr>
        <w:ind w:left="165" w:hanging="165"/>
        <w:rPr>
          <w:rFonts w:ascii="Arial Narrow" w:hAnsi="Arial Narrow"/>
          <w:iCs/>
          <w:sz w:val="18"/>
          <w:szCs w:val="18"/>
        </w:rPr>
      </w:pPr>
      <w:proofErr w:type="spellStart"/>
      <w:proofErr w:type="gramStart"/>
      <w:r w:rsidRPr="00CB6EE4">
        <w:rPr>
          <w:rFonts w:ascii="Arial Narrow" w:hAnsi="Arial Narrow"/>
          <w:iCs/>
          <w:sz w:val="18"/>
          <w:szCs w:val="18"/>
        </w:rPr>
        <w:t>a</w:t>
      </w:r>
      <w:proofErr w:type="spellEnd"/>
      <w:proofErr w:type="gramEnd"/>
      <w:r w:rsidRPr="00CB6EE4">
        <w:rPr>
          <w:rFonts w:ascii="Arial Narrow" w:hAnsi="Arial Narrow"/>
          <w:iCs/>
          <w:sz w:val="18"/>
          <w:szCs w:val="18"/>
        </w:rPr>
        <w:tab/>
        <w:t>Original pre</w:t>
      </w:r>
      <w:r w:rsidR="00562E02">
        <w:rPr>
          <w:rFonts w:ascii="Arial Narrow" w:hAnsi="Arial Narrow"/>
          <w:iCs/>
          <w:sz w:val="18"/>
          <w:szCs w:val="18"/>
        </w:rPr>
        <w:t>-</w:t>
      </w:r>
      <w:r w:rsidRPr="00CB6EE4">
        <w:rPr>
          <w:rFonts w:ascii="Arial Narrow" w:hAnsi="Arial Narrow"/>
          <w:iCs/>
          <w:sz w:val="18"/>
          <w:szCs w:val="18"/>
        </w:rPr>
        <w:t>specified restricted medication rules.</w:t>
      </w:r>
    </w:p>
    <w:p w14:paraId="7B8C1B88" w14:textId="429B13AA" w:rsidR="001F741A" w:rsidRPr="00CB6EE4" w:rsidRDefault="001F741A" w:rsidP="001F741A">
      <w:pPr>
        <w:ind w:left="165" w:hanging="165"/>
        <w:rPr>
          <w:rFonts w:ascii="Arial Narrow" w:hAnsi="Arial Narrow"/>
          <w:iCs/>
          <w:sz w:val="18"/>
          <w:szCs w:val="18"/>
        </w:rPr>
      </w:pPr>
      <w:r w:rsidRPr="00CB6EE4">
        <w:rPr>
          <w:rFonts w:ascii="Arial Narrow" w:hAnsi="Arial Narrow"/>
          <w:iCs/>
          <w:sz w:val="18"/>
          <w:szCs w:val="18"/>
        </w:rPr>
        <w:t>b</w:t>
      </w:r>
      <w:r w:rsidRPr="00CB6EE4">
        <w:rPr>
          <w:rFonts w:ascii="Arial Narrow" w:hAnsi="Arial Narrow"/>
          <w:iCs/>
          <w:sz w:val="18"/>
          <w:szCs w:val="18"/>
        </w:rPr>
        <w:tab/>
        <w:t xml:space="preserve">Pooled TULIP-1 and TULIP-2 response was not evaluated due to outcomes reported using inconsistent restricted medication rules. </w:t>
      </w:r>
      <w:proofErr w:type="gramStart"/>
      <w:r w:rsidRPr="00CB6EE4">
        <w:rPr>
          <w:rFonts w:ascii="Arial Narrow" w:hAnsi="Arial Narrow"/>
          <w:iCs/>
          <w:sz w:val="18"/>
          <w:szCs w:val="18"/>
        </w:rPr>
        <w:t>SRI(</w:t>
      </w:r>
      <w:proofErr w:type="gramEnd"/>
      <w:r w:rsidRPr="00CB6EE4">
        <w:rPr>
          <w:rFonts w:ascii="Arial Narrow" w:hAnsi="Arial Narrow"/>
          <w:iCs/>
          <w:sz w:val="18"/>
          <w:szCs w:val="18"/>
        </w:rPr>
        <w:t>4) response by subgroup in TULIP-1 was a pre</w:t>
      </w:r>
      <w:r w:rsidR="00562E02">
        <w:rPr>
          <w:rFonts w:ascii="Arial Narrow" w:hAnsi="Arial Narrow"/>
          <w:iCs/>
          <w:sz w:val="18"/>
          <w:szCs w:val="18"/>
        </w:rPr>
        <w:t>-</w:t>
      </w:r>
      <w:r w:rsidRPr="00CB6EE4">
        <w:rPr>
          <w:rFonts w:ascii="Arial Narrow" w:hAnsi="Arial Narrow"/>
          <w:iCs/>
          <w:sz w:val="18"/>
          <w:szCs w:val="18"/>
        </w:rPr>
        <w:t>specified analyses based on original medication rules and in TULIP-2 was based on the revised medication rules.</w:t>
      </w:r>
    </w:p>
    <w:p w14:paraId="31FD266B" w14:textId="77777777" w:rsidR="00A74AF9" w:rsidRPr="00CB6EE4" w:rsidRDefault="00A74AF9" w:rsidP="00A74AF9">
      <w:pPr>
        <w:ind w:left="165" w:hanging="165"/>
        <w:rPr>
          <w:rFonts w:ascii="Arial Narrow" w:hAnsi="Arial Narrow"/>
          <w:iCs/>
          <w:sz w:val="18"/>
          <w:szCs w:val="18"/>
        </w:rPr>
      </w:pPr>
      <w:r w:rsidRPr="00CB6EE4">
        <w:rPr>
          <w:rFonts w:ascii="Arial Narrow" w:hAnsi="Arial Narrow"/>
          <w:iCs/>
          <w:sz w:val="18"/>
          <w:szCs w:val="18"/>
        </w:rPr>
        <w:t>c</w:t>
      </w:r>
      <w:r w:rsidRPr="00CB6EE4">
        <w:rPr>
          <w:rFonts w:ascii="Arial Narrow" w:hAnsi="Arial Narrow"/>
          <w:iCs/>
          <w:sz w:val="18"/>
          <w:szCs w:val="18"/>
        </w:rPr>
        <w:tab/>
      </w:r>
      <w:proofErr w:type="gramStart"/>
      <w:r w:rsidRPr="00CB6EE4">
        <w:rPr>
          <w:rFonts w:ascii="Arial Narrow" w:hAnsi="Arial Narrow"/>
          <w:iCs/>
          <w:sz w:val="18"/>
          <w:szCs w:val="18"/>
        </w:rPr>
        <w:t>The</w:t>
      </w:r>
      <w:proofErr w:type="gramEnd"/>
      <w:r w:rsidRPr="00CB6EE4">
        <w:rPr>
          <w:rFonts w:ascii="Arial Narrow" w:hAnsi="Arial Narrow"/>
          <w:iCs/>
          <w:sz w:val="18"/>
          <w:szCs w:val="18"/>
        </w:rPr>
        <w:t xml:space="preserve"> response difference in TULIP-1, TULIP-2 and pooled TULIP-1 and TULIP-2 could not be verified. Analysis conducted during the evaluation showed non-significant response difference of 21 (-3, 46) for TULIP-1, 19 (-7, 44) for TULIP-2 and a pooled response difference of 20 (3, 38).</w:t>
      </w:r>
    </w:p>
    <w:p w14:paraId="6B948809" w14:textId="49EB5F41" w:rsidR="00A74AF9" w:rsidRDefault="00A74AF9" w:rsidP="00A74AF9">
      <w:pPr>
        <w:ind w:left="165" w:hanging="165"/>
        <w:rPr>
          <w:rFonts w:ascii="Arial Narrow" w:hAnsi="Arial Narrow"/>
          <w:iCs/>
          <w:sz w:val="18"/>
          <w:szCs w:val="18"/>
        </w:rPr>
      </w:pPr>
      <w:proofErr w:type="spellStart"/>
      <w:r w:rsidRPr="00CB6EE4">
        <w:rPr>
          <w:rFonts w:ascii="Arial Narrow" w:hAnsi="Arial Narrow"/>
          <w:iCs/>
          <w:sz w:val="18"/>
          <w:szCs w:val="18"/>
        </w:rPr>
        <w:t>f</w:t>
      </w:r>
      <w:proofErr w:type="spellEnd"/>
      <w:r w:rsidRPr="00CB6EE4">
        <w:rPr>
          <w:rFonts w:ascii="Arial Narrow" w:hAnsi="Arial Narrow"/>
          <w:iCs/>
          <w:sz w:val="18"/>
          <w:szCs w:val="18"/>
        </w:rPr>
        <w:tab/>
      </w:r>
      <w:proofErr w:type="gramStart"/>
      <w:r w:rsidRPr="00CB6EE4">
        <w:rPr>
          <w:rFonts w:ascii="Arial Narrow" w:hAnsi="Arial Narrow"/>
          <w:iCs/>
          <w:sz w:val="18"/>
          <w:szCs w:val="18"/>
        </w:rPr>
        <w:t>The</w:t>
      </w:r>
      <w:proofErr w:type="gramEnd"/>
      <w:r w:rsidRPr="00CB6EE4">
        <w:rPr>
          <w:rFonts w:ascii="Arial Narrow" w:hAnsi="Arial Narrow"/>
          <w:iCs/>
          <w:sz w:val="18"/>
          <w:szCs w:val="18"/>
        </w:rPr>
        <w:t xml:space="preserve"> response difference in TULIP-1, TULIP-2 and pooled TULIP-1 and TULIP-2 could not be verified. Analysis conducted during the evaluation showed response difference of 27 (3, 51) for TULIP-1, 16 (-10, 42) for TULIP-2 and a pooled response difference of 22 (4, 39).</w:t>
      </w:r>
    </w:p>
    <w:p w14:paraId="65B210DC" w14:textId="5166FE58" w:rsidR="00452170" w:rsidRDefault="00452170" w:rsidP="00A74AF9">
      <w:pPr>
        <w:ind w:left="165" w:hanging="165"/>
        <w:rPr>
          <w:rFonts w:ascii="Arial Narrow" w:hAnsi="Arial Narrow"/>
          <w:iCs/>
          <w:sz w:val="18"/>
          <w:szCs w:val="18"/>
        </w:rPr>
      </w:pPr>
      <w:r>
        <w:rPr>
          <w:rFonts w:ascii="Arial Narrow" w:hAnsi="Arial Narrow"/>
          <w:iCs/>
          <w:sz w:val="18"/>
          <w:szCs w:val="18"/>
        </w:rPr>
        <w:t>g</w:t>
      </w:r>
      <w:r>
        <w:rPr>
          <w:rFonts w:ascii="Arial Narrow" w:hAnsi="Arial Narrow"/>
          <w:iCs/>
          <w:sz w:val="18"/>
          <w:szCs w:val="18"/>
        </w:rPr>
        <w:tab/>
      </w:r>
      <w:r w:rsidR="001C2958" w:rsidRPr="0067708F">
        <w:rPr>
          <w:rFonts w:ascii="Arial Narrow" w:hAnsi="Arial Narrow"/>
          <w:sz w:val="18"/>
          <w:szCs w:val="18"/>
        </w:rPr>
        <w:t xml:space="preserve">The N of the subgroups was based on characteristic at baseline, not screening as presented in the CSR figures. </w:t>
      </w:r>
      <w:r w:rsidR="001C2958" w:rsidRPr="0067708F">
        <w:rPr>
          <w:rFonts w:ascii="Arial Narrow" w:hAnsi="Arial Narrow"/>
          <w:iCs/>
          <w:sz w:val="18"/>
          <w:szCs w:val="18"/>
        </w:rPr>
        <w:t>The submission reported that in TULIP-1, patients with SLEDAI-2K ≥10 at baseline and screening was n=125, however the subgroup analysis was based on n=129, which could not be verified. Analysis conducted during the evaluation showed that this difference</w:t>
      </w:r>
      <w:r w:rsidR="001C2958" w:rsidRPr="00CB6EE4">
        <w:rPr>
          <w:rFonts w:ascii="Arial Narrow" w:hAnsi="Arial Narrow"/>
          <w:iCs/>
          <w:sz w:val="18"/>
          <w:szCs w:val="18"/>
        </w:rPr>
        <w:t xml:space="preserve"> had minor impact on the treatment effect.</w:t>
      </w:r>
    </w:p>
    <w:p w14:paraId="77384F94" w14:textId="0563078F" w:rsidR="001C2958" w:rsidRDefault="001C2958" w:rsidP="00A74AF9">
      <w:pPr>
        <w:ind w:left="165" w:hanging="165"/>
        <w:rPr>
          <w:rFonts w:ascii="Arial Narrow" w:hAnsi="Arial Narrow"/>
          <w:iCs/>
          <w:sz w:val="18"/>
          <w:szCs w:val="18"/>
        </w:rPr>
      </w:pPr>
      <w:r>
        <w:rPr>
          <w:rFonts w:ascii="Arial Narrow" w:hAnsi="Arial Narrow"/>
          <w:iCs/>
          <w:sz w:val="18"/>
          <w:szCs w:val="18"/>
        </w:rPr>
        <w:t>h</w:t>
      </w:r>
      <w:r>
        <w:rPr>
          <w:rFonts w:ascii="Arial Narrow" w:hAnsi="Arial Narrow"/>
          <w:iCs/>
          <w:sz w:val="18"/>
          <w:szCs w:val="18"/>
        </w:rPr>
        <w:tab/>
      </w:r>
      <w:r w:rsidRPr="00CB6EE4">
        <w:rPr>
          <w:rFonts w:ascii="Arial Narrow" w:hAnsi="Arial Narrow"/>
          <w:iCs/>
          <w:sz w:val="18"/>
          <w:szCs w:val="18"/>
        </w:rPr>
        <w:t>Triple therapy defined as antimalarials, immunosuppressant and OCS at baseline.</w:t>
      </w:r>
    </w:p>
    <w:p w14:paraId="43259B91" w14:textId="77777777" w:rsidR="001C2958" w:rsidRPr="00CB6EE4" w:rsidRDefault="001C2958" w:rsidP="00A74AF9">
      <w:pPr>
        <w:ind w:left="165" w:hanging="165"/>
        <w:rPr>
          <w:rFonts w:ascii="Arial Narrow" w:hAnsi="Arial Narrow"/>
          <w:iCs/>
          <w:sz w:val="18"/>
          <w:szCs w:val="18"/>
        </w:rPr>
      </w:pPr>
    </w:p>
    <w:p w14:paraId="0DC16811" w14:textId="40433E0A" w:rsidR="008D085E" w:rsidRPr="0033340F" w:rsidRDefault="00700D9A" w:rsidP="00452170">
      <w:pPr>
        <w:pStyle w:val="3-BodyText"/>
        <w:spacing w:before="120"/>
      </w:pPr>
      <w:r w:rsidRPr="00CB6EE4">
        <w:t xml:space="preserve">The results of the subgroup analyses from TULIP-1 and TULIP-2 showed a higher proportion of additional </w:t>
      </w:r>
      <w:r w:rsidRPr="00F11EB3">
        <w:t>responders</w:t>
      </w:r>
      <w:r w:rsidRPr="00CB6EE4">
        <w:t xml:space="preserve"> for </w:t>
      </w:r>
      <w:proofErr w:type="spellStart"/>
      <w:r w:rsidRPr="00CB6EE4">
        <w:t>anifrolumab</w:t>
      </w:r>
      <w:proofErr w:type="spellEnd"/>
      <w:r w:rsidRPr="00CB6EE4">
        <w:t xml:space="preserve"> versus placebo for </w:t>
      </w:r>
      <w:proofErr w:type="gramStart"/>
      <w:r w:rsidRPr="00CB6EE4">
        <w:t>SRI(</w:t>
      </w:r>
      <w:proofErr w:type="gramEnd"/>
      <w:r w:rsidRPr="00CB6EE4">
        <w:t xml:space="preserve">4) and BICLA compared to the ITT trial </w:t>
      </w:r>
      <w:r w:rsidRPr="00CB6EE4">
        <w:rPr>
          <w:rFonts w:cs="Calibri"/>
        </w:rPr>
        <w:t xml:space="preserve">populations. The differences were mostly driven by poorer response rates from the placebo arms in the subgroups. Given these were not </w:t>
      </w:r>
      <w:r w:rsidRPr="00CB6EE4">
        <w:rPr>
          <w:rFonts w:cs="Calibri"/>
        </w:rPr>
        <w:lastRenderedPageBreak/>
        <w:t>a priori defined subgroups, all statistically significant differences are considered exploratory and should be interpreted with caution</w:t>
      </w:r>
      <w:r w:rsidR="00A74AF9" w:rsidRPr="00CB6EE4">
        <w:rPr>
          <w:rFonts w:cs="Calibri"/>
        </w:rPr>
        <w:t>.</w:t>
      </w:r>
    </w:p>
    <w:p w14:paraId="5190CA12" w14:textId="6F3BE35C" w:rsidR="0033340F" w:rsidRPr="00F11EB3" w:rsidRDefault="0033340F" w:rsidP="0033340F">
      <w:pPr>
        <w:pStyle w:val="3-BodyText"/>
        <w:spacing w:after="240"/>
      </w:pPr>
      <w:bookmarkStart w:id="31" w:name="_Ref105768549"/>
      <w:r w:rsidRPr="00F11EB3">
        <w:t xml:space="preserve">The PSCR provided additional subgroup analyses which it stated were in the target PBS population of patients with SLEDAI-2K ≥ 10 and triple therapy including prednisone ≥7.5 mg/day. However, as outlined in Paragraph </w:t>
      </w:r>
      <w:r w:rsidRPr="00F11EB3">
        <w:fldChar w:fldCharType="begin"/>
      </w:r>
      <w:r w:rsidRPr="00F11EB3">
        <w:instrText xml:space="preserve"> REF _Ref106114928 \r \h </w:instrText>
      </w:r>
      <w:r w:rsidR="00F11EB3">
        <w:instrText xml:space="preserve"> \* MERGEFORMAT </w:instrText>
      </w:r>
      <w:r w:rsidRPr="00F11EB3">
        <w:fldChar w:fldCharType="separate"/>
      </w:r>
      <w:r w:rsidR="00942C22">
        <w:t>6.11</w:t>
      </w:r>
      <w:r w:rsidRPr="00F11EB3">
        <w:fldChar w:fldCharType="end"/>
      </w:r>
      <w:r w:rsidRPr="00F11EB3">
        <w:t xml:space="preserve">, it was unclear whether the additional data accounted for baseline OCS dose of ≥7.5 mg/day given discrepancies between the patient numbers in the PSCR and Section 2.6 of the submission. </w:t>
      </w:r>
      <w:bookmarkEnd w:id="31"/>
    </w:p>
    <w:p w14:paraId="6890F290" w14:textId="3DE5C17D" w:rsidR="00700D9A" w:rsidRPr="00700D9A" w:rsidRDefault="00700D9A" w:rsidP="00700D9A">
      <w:pPr>
        <w:pStyle w:val="3-BodyText"/>
        <w:numPr>
          <w:ilvl w:val="0"/>
          <w:numId w:val="0"/>
        </w:numPr>
        <w:rPr>
          <w:b/>
        </w:rPr>
      </w:pPr>
      <w:r w:rsidRPr="00700D9A">
        <w:rPr>
          <w:b/>
        </w:rPr>
        <w:t>Meta-analysis</w:t>
      </w:r>
    </w:p>
    <w:p w14:paraId="02EC0BF6" w14:textId="0FC21CB5" w:rsidR="00700D9A" w:rsidRPr="00E37B2C" w:rsidRDefault="00120B20" w:rsidP="000B220B">
      <w:pPr>
        <w:pStyle w:val="3-BodyText"/>
        <w:rPr>
          <w:iCs/>
        </w:rPr>
      </w:pPr>
      <w:r w:rsidRPr="00120B20">
        <w:t xml:space="preserve">The submission performed a meta-analysis on the three </w:t>
      </w:r>
      <w:proofErr w:type="spellStart"/>
      <w:r w:rsidRPr="00120B20">
        <w:t>anifrolumab</w:t>
      </w:r>
      <w:proofErr w:type="spellEnd"/>
      <w:r w:rsidRPr="00120B20">
        <w:t xml:space="preserve"> trials (TULIP-1, TULIP-</w:t>
      </w:r>
      <w:proofErr w:type="gramStart"/>
      <w:r w:rsidRPr="00120B20">
        <w:t>2</w:t>
      </w:r>
      <w:proofErr w:type="gramEnd"/>
      <w:r w:rsidRPr="00120B20">
        <w:t xml:space="preserve"> and MUSE)</w:t>
      </w:r>
      <w:r w:rsidR="00E37B2C">
        <w:t>.</w:t>
      </w:r>
      <w:bookmarkStart w:id="32" w:name="_Ref104558517"/>
      <w:r w:rsidR="0073499A">
        <w:t xml:space="preserve"> </w:t>
      </w:r>
      <w:r w:rsidRPr="00E37B2C">
        <w:rPr>
          <w:iCs/>
        </w:rPr>
        <w:t xml:space="preserve">The results showed that </w:t>
      </w:r>
      <w:proofErr w:type="spellStart"/>
      <w:r w:rsidRPr="00E37B2C">
        <w:rPr>
          <w:iCs/>
        </w:rPr>
        <w:t>anifrolumab</w:t>
      </w:r>
      <w:proofErr w:type="spellEnd"/>
      <w:r w:rsidRPr="00E37B2C">
        <w:rPr>
          <w:iCs/>
        </w:rPr>
        <w:t xml:space="preserve"> improved disease activity in terms of </w:t>
      </w:r>
      <w:proofErr w:type="gramStart"/>
      <w:r w:rsidRPr="00E37B2C">
        <w:rPr>
          <w:iCs/>
        </w:rPr>
        <w:t>SRI(</w:t>
      </w:r>
      <w:proofErr w:type="gramEnd"/>
      <w:r w:rsidRPr="00E37B2C">
        <w:rPr>
          <w:iCs/>
        </w:rPr>
        <w:t>4) and BICLA response at Weeks 24 and 52. It was also associated with significant reductions in OCS dose and CLASI at Week 52. These results were generally consistent with the results of the published meta-analysis by Koh et al</w:t>
      </w:r>
      <w:r w:rsidR="00DF6485" w:rsidRPr="00E37B2C">
        <w:rPr>
          <w:iCs/>
        </w:rPr>
        <w:t>.,</w:t>
      </w:r>
      <w:r w:rsidRPr="00E37B2C">
        <w:rPr>
          <w:iCs/>
        </w:rPr>
        <w:t xml:space="preserve"> 2020</w:t>
      </w:r>
      <w:r w:rsidR="008B57EE">
        <w:rPr>
          <w:i/>
        </w:rPr>
        <w:t xml:space="preserve">, </w:t>
      </w:r>
      <w:r w:rsidR="008B57EE" w:rsidRPr="00F11EB3">
        <w:rPr>
          <w:iCs/>
        </w:rPr>
        <w:t>which was referred to in the PSCR</w:t>
      </w:r>
      <w:r w:rsidRPr="00F11EB3">
        <w:rPr>
          <w:iCs/>
        </w:rPr>
        <w:t>.</w:t>
      </w:r>
      <w:r w:rsidR="008B57EE" w:rsidRPr="00F11EB3">
        <w:rPr>
          <w:iCs/>
        </w:rPr>
        <w:t xml:space="preserve"> </w:t>
      </w:r>
      <w:r w:rsidR="000521AF" w:rsidRPr="00F11EB3">
        <w:rPr>
          <w:iCs/>
        </w:rPr>
        <w:t>The evaluation noted that</w:t>
      </w:r>
      <w:r w:rsidRPr="00E37B2C">
        <w:rPr>
          <w:iCs/>
        </w:rPr>
        <w:t xml:space="preserve"> </w:t>
      </w:r>
      <w:r w:rsidR="000521AF" w:rsidRPr="00E37B2C">
        <w:rPr>
          <w:iCs/>
        </w:rPr>
        <w:t>w</w:t>
      </w:r>
      <w:r w:rsidRPr="00E37B2C">
        <w:rPr>
          <w:iCs/>
        </w:rPr>
        <w:t>hile the results were statistically significant, they should be interpreted with caution noting they were post-hoc analyses.</w:t>
      </w:r>
      <w:bookmarkEnd w:id="32"/>
    </w:p>
    <w:p w14:paraId="1452C351" w14:textId="0D19F1B0" w:rsidR="00B60939" w:rsidRPr="00C9624D" w:rsidRDefault="00B60939" w:rsidP="00D86231">
      <w:pPr>
        <w:pStyle w:val="4-SubsectionHeading"/>
      </w:pPr>
      <w:bookmarkStart w:id="33" w:name="_Toc22897642"/>
      <w:bookmarkStart w:id="34" w:name="_Toc103015535"/>
      <w:r w:rsidRPr="00C9624D">
        <w:t>Comparative harms</w:t>
      </w:r>
      <w:bookmarkEnd w:id="33"/>
      <w:bookmarkEnd w:id="34"/>
    </w:p>
    <w:p w14:paraId="682E1510" w14:textId="18660C7D" w:rsidR="007663FA" w:rsidRDefault="00C523D4" w:rsidP="00D86231">
      <w:pPr>
        <w:pStyle w:val="3-BodyText"/>
      </w:pPr>
      <w:r w:rsidRPr="0060437A">
        <w:rPr>
          <w:rFonts w:cstheme="minorHAnsi"/>
        </w:rPr>
        <w:fldChar w:fldCharType="begin"/>
      </w:r>
      <w:r w:rsidRPr="0060437A">
        <w:rPr>
          <w:rFonts w:cstheme="minorHAnsi"/>
        </w:rPr>
        <w:instrText xml:space="preserve"> REF _Ref102983259 \h </w:instrText>
      </w:r>
      <w:r w:rsidR="0060437A" w:rsidRPr="0060437A">
        <w:rPr>
          <w:rFonts w:cstheme="minorHAnsi"/>
        </w:rPr>
        <w:instrText xml:space="preserve"> \* MERGEFORMAT </w:instrText>
      </w:r>
      <w:r w:rsidRPr="0060437A">
        <w:rPr>
          <w:rFonts w:cstheme="minorHAnsi"/>
        </w:rPr>
      </w:r>
      <w:r w:rsidRPr="0060437A">
        <w:rPr>
          <w:rFonts w:cstheme="minorHAnsi"/>
        </w:rPr>
        <w:fldChar w:fldCharType="separate"/>
      </w:r>
      <w:r w:rsidR="00942C22" w:rsidRPr="00942C22">
        <w:rPr>
          <w:rStyle w:val="CommentReference"/>
          <w:rFonts w:asciiTheme="minorHAnsi" w:hAnsiTheme="minorHAnsi" w:cstheme="minorHAnsi"/>
          <w:b w:val="0"/>
          <w:bCs/>
          <w:sz w:val="24"/>
          <w:szCs w:val="24"/>
        </w:rPr>
        <w:t>Table</w:t>
      </w:r>
      <w:r w:rsidR="00942C22" w:rsidRPr="00942C22">
        <w:rPr>
          <w:rStyle w:val="CommentReference"/>
          <w:rFonts w:asciiTheme="minorHAnsi" w:hAnsiTheme="minorHAnsi" w:cstheme="minorHAnsi"/>
          <w:sz w:val="24"/>
          <w:szCs w:val="24"/>
        </w:rPr>
        <w:t xml:space="preserve"> </w:t>
      </w:r>
      <w:r w:rsidR="00942C22" w:rsidRPr="00942C22">
        <w:rPr>
          <w:rStyle w:val="CommentReference"/>
          <w:rFonts w:asciiTheme="minorHAnsi" w:hAnsiTheme="minorHAnsi" w:cstheme="minorHAnsi"/>
          <w:b w:val="0"/>
          <w:noProof/>
          <w:sz w:val="24"/>
          <w:szCs w:val="24"/>
        </w:rPr>
        <w:t>6</w:t>
      </w:r>
      <w:r w:rsidRPr="0060437A">
        <w:rPr>
          <w:rFonts w:cstheme="minorHAnsi"/>
        </w:rPr>
        <w:fldChar w:fldCharType="end"/>
      </w:r>
      <w:r w:rsidR="00535097" w:rsidRPr="0060437A">
        <w:rPr>
          <w:rFonts w:cstheme="minorHAnsi"/>
        </w:rPr>
        <w:t xml:space="preserve"> </w:t>
      </w:r>
      <w:r w:rsidR="007663FA">
        <w:t>summarises the key</w:t>
      </w:r>
      <w:r w:rsidR="00120B20">
        <w:t xml:space="preserve"> adverse events (</w:t>
      </w:r>
      <w:r w:rsidR="007663FA">
        <w:t>AEs</w:t>
      </w:r>
      <w:r w:rsidR="00120B20">
        <w:t>)</w:t>
      </w:r>
      <w:r w:rsidR="007663FA">
        <w:t xml:space="preserve"> across the included trials.</w:t>
      </w:r>
    </w:p>
    <w:p w14:paraId="224921D3" w14:textId="549A08C4" w:rsidR="007663FA" w:rsidRPr="00C523D4" w:rsidRDefault="00C523D4" w:rsidP="00820AB9">
      <w:pPr>
        <w:pStyle w:val="TableFigureHeading"/>
        <w:keepLines/>
        <w:rPr>
          <w:rStyle w:val="CommentReference"/>
          <w:b/>
          <w:szCs w:val="24"/>
        </w:rPr>
      </w:pPr>
      <w:bookmarkStart w:id="35" w:name="_Ref102983259"/>
      <w:r w:rsidRPr="00C523D4">
        <w:rPr>
          <w:rStyle w:val="CommentReference"/>
          <w:b/>
          <w:szCs w:val="24"/>
        </w:rPr>
        <w:lastRenderedPageBreak/>
        <w:t xml:space="preserve">Table </w:t>
      </w:r>
      <w:r w:rsidRPr="00C523D4">
        <w:rPr>
          <w:rStyle w:val="CommentReference"/>
          <w:b/>
          <w:szCs w:val="24"/>
        </w:rPr>
        <w:fldChar w:fldCharType="begin"/>
      </w:r>
      <w:r w:rsidRPr="00C523D4">
        <w:rPr>
          <w:rStyle w:val="CommentReference"/>
          <w:b/>
          <w:szCs w:val="24"/>
        </w:rPr>
        <w:instrText xml:space="preserve"> SEQ Table \* ARABIC </w:instrText>
      </w:r>
      <w:r w:rsidRPr="00C523D4">
        <w:rPr>
          <w:rStyle w:val="CommentReference"/>
          <w:b/>
          <w:szCs w:val="24"/>
        </w:rPr>
        <w:fldChar w:fldCharType="separate"/>
      </w:r>
      <w:r w:rsidR="00942C22">
        <w:rPr>
          <w:rStyle w:val="CommentReference"/>
          <w:b/>
          <w:noProof/>
          <w:szCs w:val="24"/>
        </w:rPr>
        <w:t>6</w:t>
      </w:r>
      <w:r w:rsidRPr="00C523D4">
        <w:rPr>
          <w:rStyle w:val="CommentReference"/>
          <w:b/>
          <w:szCs w:val="24"/>
        </w:rPr>
        <w:fldChar w:fldCharType="end"/>
      </w:r>
      <w:bookmarkEnd w:id="35"/>
      <w:r w:rsidR="007663FA" w:rsidRPr="00C523D4">
        <w:rPr>
          <w:rStyle w:val="CommentReference"/>
          <w:b/>
          <w:szCs w:val="24"/>
        </w:rPr>
        <w:t>: Summary of key adverse events (AEs) across the included trials</w:t>
      </w:r>
    </w:p>
    <w:tbl>
      <w:tblPr>
        <w:tblStyle w:val="TableGrid"/>
        <w:tblW w:w="5000" w:type="pct"/>
        <w:tblCellMar>
          <w:left w:w="28" w:type="dxa"/>
          <w:right w:w="28" w:type="dxa"/>
        </w:tblCellMar>
        <w:tblLook w:val="04A0" w:firstRow="1" w:lastRow="0" w:firstColumn="1" w:lastColumn="0" w:noHBand="0" w:noVBand="1"/>
      </w:tblPr>
      <w:tblGrid>
        <w:gridCol w:w="3255"/>
        <w:gridCol w:w="1479"/>
        <w:gridCol w:w="1255"/>
        <w:gridCol w:w="1533"/>
        <w:gridCol w:w="1495"/>
      </w:tblGrid>
      <w:tr w:rsidR="007663FA" w:rsidRPr="00CB6EE4" w14:paraId="012FEEA3" w14:textId="77777777" w:rsidTr="00820AB9">
        <w:tc>
          <w:tcPr>
            <w:tcW w:w="1805" w:type="pct"/>
            <w:vAlign w:val="center"/>
          </w:tcPr>
          <w:p w14:paraId="6AA3696D" w14:textId="77777777" w:rsidR="007663FA" w:rsidRPr="00CB6EE4" w:rsidRDefault="007663FA" w:rsidP="00820AB9">
            <w:pPr>
              <w:keepNext/>
              <w:keepLines/>
              <w:jc w:val="left"/>
              <w:rPr>
                <w:rFonts w:ascii="Arial Narrow" w:hAnsi="Arial Narrow"/>
                <w:sz w:val="20"/>
                <w:szCs w:val="20"/>
              </w:rPr>
            </w:pPr>
          </w:p>
        </w:tc>
        <w:tc>
          <w:tcPr>
            <w:tcW w:w="820" w:type="pct"/>
            <w:vAlign w:val="center"/>
          </w:tcPr>
          <w:p w14:paraId="1A106945" w14:textId="54C4B0FC" w:rsidR="007663FA" w:rsidRPr="00CB6EE4" w:rsidRDefault="007663FA" w:rsidP="00820AB9">
            <w:pPr>
              <w:keepNext/>
              <w:keepLines/>
              <w:jc w:val="center"/>
              <w:rPr>
                <w:rFonts w:ascii="Arial Narrow" w:hAnsi="Arial Narrow"/>
                <w:b/>
                <w:sz w:val="20"/>
                <w:szCs w:val="20"/>
              </w:rPr>
            </w:pPr>
            <w:proofErr w:type="spellStart"/>
            <w:r w:rsidRPr="00CB6EE4">
              <w:rPr>
                <w:rFonts w:ascii="Arial Narrow" w:hAnsi="Arial Narrow"/>
                <w:b/>
                <w:sz w:val="20"/>
                <w:szCs w:val="20"/>
              </w:rPr>
              <w:t>Anifrolumab</w:t>
            </w:r>
            <w:proofErr w:type="spellEnd"/>
            <w:r w:rsidRPr="00CB6EE4">
              <w:rPr>
                <w:rFonts w:ascii="Arial Narrow" w:hAnsi="Arial Narrow"/>
                <w:b/>
                <w:sz w:val="20"/>
                <w:szCs w:val="20"/>
              </w:rPr>
              <w:t xml:space="preserve"> </w:t>
            </w:r>
          </w:p>
          <w:p w14:paraId="02A33A69" w14:textId="77777777" w:rsidR="007663FA" w:rsidRPr="00CB6EE4" w:rsidRDefault="007663FA" w:rsidP="00820AB9">
            <w:pPr>
              <w:keepNext/>
              <w:keepLines/>
              <w:jc w:val="center"/>
              <w:rPr>
                <w:rFonts w:ascii="Arial Narrow" w:hAnsi="Arial Narrow"/>
                <w:b/>
                <w:sz w:val="20"/>
                <w:szCs w:val="20"/>
              </w:rPr>
            </w:pPr>
            <w:r w:rsidRPr="00CB6EE4">
              <w:rPr>
                <w:rFonts w:ascii="Arial Narrow" w:hAnsi="Arial Narrow"/>
                <w:b/>
                <w:sz w:val="20"/>
                <w:szCs w:val="20"/>
              </w:rPr>
              <w:t>n/N (%)</w:t>
            </w:r>
          </w:p>
        </w:tc>
        <w:tc>
          <w:tcPr>
            <w:tcW w:w="696" w:type="pct"/>
          </w:tcPr>
          <w:p w14:paraId="4B04866A" w14:textId="77777777" w:rsidR="007663FA" w:rsidRPr="00CB6EE4" w:rsidRDefault="007663FA" w:rsidP="00820AB9">
            <w:pPr>
              <w:keepNext/>
              <w:keepLines/>
              <w:jc w:val="center"/>
              <w:rPr>
                <w:rFonts w:ascii="Arial Narrow" w:hAnsi="Arial Narrow"/>
                <w:b/>
                <w:sz w:val="20"/>
                <w:szCs w:val="20"/>
              </w:rPr>
            </w:pPr>
            <w:r w:rsidRPr="00CB6EE4">
              <w:rPr>
                <w:rFonts w:ascii="Arial Narrow" w:hAnsi="Arial Narrow"/>
                <w:b/>
                <w:sz w:val="20"/>
                <w:szCs w:val="20"/>
              </w:rPr>
              <w:t>Placebo</w:t>
            </w:r>
          </w:p>
          <w:p w14:paraId="07A57A2A" w14:textId="77777777" w:rsidR="007663FA" w:rsidRPr="00CB6EE4" w:rsidRDefault="007663FA" w:rsidP="00820AB9">
            <w:pPr>
              <w:keepNext/>
              <w:keepLines/>
              <w:jc w:val="center"/>
              <w:rPr>
                <w:rFonts w:ascii="Arial Narrow" w:hAnsi="Arial Narrow"/>
                <w:b/>
                <w:sz w:val="20"/>
                <w:szCs w:val="20"/>
              </w:rPr>
            </w:pPr>
            <w:r w:rsidRPr="00CB6EE4">
              <w:rPr>
                <w:rFonts w:ascii="Arial Narrow" w:hAnsi="Arial Narrow"/>
                <w:b/>
                <w:sz w:val="20"/>
                <w:szCs w:val="20"/>
              </w:rPr>
              <w:t>n/N (%)</w:t>
            </w:r>
          </w:p>
        </w:tc>
        <w:tc>
          <w:tcPr>
            <w:tcW w:w="850" w:type="pct"/>
            <w:vAlign w:val="center"/>
          </w:tcPr>
          <w:p w14:paraId="724C45B7" w14:textId="31F0650F" w:rsidR="007663FA" w:rsidRPr="00CB6EE4" w:rsidRDefault="007663FA" w:rsidP="00820AB9">
            <w:pPr>
              <w:keepNext/>
              <w:keepLines/>
              <w:jc w:val="center"/>
              <w:rPr>
                <w:rFonts w:ascii="Arial Narrow" w:hAnsi="Arial Narrow"/>
                <w:b/>
                <w:sz w:val="20"/>
                <w:szCs w:val="20"/>
              </w:rPr>
            </w:pPr>
            <w:r w:rsidRPr="00CB6EE4">
              <w:rPr>
                <w:rFonts w:ascii="Arial Narrow" w:hAnsi="Arial Narrow"/>
                <w:b/>
                <w:sz w:val="20"/>
                <w:szCs w:val="20"/>
              </w:rPr>
              <w:t>RR (95%</w:t>
            </w:r>
            <w:r w:rsidR="00B505EB">
              <w:rPr>
                <w:rFonts w:ascii="Arial Narrow" w:hAnsi="Arial Narrow"/>
                <w:b/>
                <w:sz w:val="20"/>
                <w:szCs w:val="20"/>
              </w:rPr>
              <w:t xml:space="preserve"> </w:t>
            </w:r>
            <w:r w:rsidRPr="00CB6EE4">
              <w:rPr>
                <w:rFonts w:ascii="Arial Narrow" w:hAnsi="Arial Narrow"/>
                <w:b/>
                <w:sz w:val="20"/>
                <w:szCs w:val="20"/>
              </w:rPr>
              <w:t>CI)</w:t>
            </w:r>
          </w:p>
        </w:tc>
        <w:tc>
          <w:tcPr>
            <w:tcW w:w="829" w:type="pct"/>
            <w:vAlign w:val="center"/>
          </w:tcPr>
          <w:p w14:paraId="731B80FA" w14:textId="6BF25F41" w:rsidR="007663FA" w:rsidRPr="00CB6EE4" w:rsidRDefault="007663FA" w:rsidP="00820AB9">
            <w:pPr>
              <w:keepNext/>
              <w:keepLines/>
              <w:jc w:val="center"/>
              <w:rPr>
                <w:rFonts w:ascii="Arial Narrow" w:hAnsi="Arial Narrow"/>
                <w:b/>
                <w:sz w:val="20"/>
                <w:szCs w:val="20"/>
              </w:rPr>
            </w:pPr>
            <w:r w:rsidRPr="00CB6EE4">
              <w:rPr>
                <w:rFonts w:ascii="Arial Narrow" w:hAnsi="Arial Narrow"/>
                <w:b/>
                <w:sz w:val="20"/>
                <w:szCs w:val="20"/>
              </w:rPr>
              <w:t>RD (95%</w:t>
            </w:r>
            <w:r w:rsidR="00B505EB">
              <w:rPr>
                <w:rFonts w:ascii="Arial Narrow" w:hAnsi="Arial Narrow"/>
                <w:b/>
                <w:sz w:val="20"/>
                <w:szCs w:val="20"/>
              </w:rPr>
              <w:t xml:space="preserve"> </w:t>
            </w:r>
            <w:r w:rsidRPr="00CB6EE4">
              <w:rPr>
                <w:rFonts w:ascii="Arial Narrow" w:hAnsi="Arial Narrow"/>
                <w:b/>
                <w:sz w:val="20"/>
                <w:szCs w:val="20"/>
              </w:rPr>
              <w:t>CI)</w:t>
            </w:r>
          </w:p>
        </w:tc>
      </w:tr>
      <w:tr w:rsidR="007663FA" w:rsidRPr="00CB6EE4" w14:paraId="5A8B7AB3" w14:textId="77777777" w:rsidTr="00820AB9">
        <w:tc>
          <w:tcPr>
            <w:tcW w:w="5000" w:type="pct"/>
            <w:gridSpan w:val="5"/>
            <w:vAlign w:val="center"/>
          </w:tcPr>
          <w:p w14:paraId="26E2816A" w14:textId="77777777" w:rsidR="007663FA" w:rsidRPr="00CB6EE4" w:rsidRDefault="007663FA" w:rsidP="00820AB9">
            <w:pPr>
              <w:keepNext/>
              <w:keepLines/>
              <w:jc w:val="left"/>
              <w:rPr>
                <w:rFonts w:ascii="Arial Narrow" w:hAnsi="Arial Narrow"/>
                <w:b/>
                <w:sz w:val="20"/>
                <w:szCs w:val="20"/>
              </w:rPr>
            </w:pPr>
            <w:r w:rsidRPr="00CB6EE4">
              <w:rPr>
                <w:rFonts w:ascii="Arial Narrow" w:hAnsi="Arial Narrow"/>
                <w:b/>
                <w:sz w:val="20"/>
                <w:szCs w:val="20"/>
              </w:rPr>
              <w:t>TULIP-1</w:t>
            </w:r>
          </w:p>
        </w:tc>
      </w:tr>
      <w:tr w:rsidR="007663FA" w:rsidRPr="00CB6EE4" w14:paraId="3E0B467A" w14:textId="77777777" w:rsidTr="00820AB9">
        <w:tc>
          <w:tcPr>
            <w:tcW w:w="1805" w:type="pct"/>
            <w:vAlign w:val="center"/>
          </w:tcPr>
          <w:p w14:paraId="33EF1D67"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Any AEs</w:t>
            </w:r>
          </w:p>
        </w:tc>
        <w:tc>
          <w:tcPr>
            <w:tcW w:w="820" w:type="pct"/>
            <w:vAlign w:val="center"/>
          </w:tcPr>
          <w:p w14:paraId="7747B7A8"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161/180 (89.4)</w:t>
            </w:r>
          </w:p>
        </w:tc>
        <w:tc>
          <w:tcPr>
            <w:tcW w:w="696" w:type="pct"/>
          </w:tcPr>
          <w:p w14:paraId="155D8D90"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144/184 (78.3)</w:t>
            </w:r>
          </w:p>
        </w:tc>
        <w:tc>
          <w:tcPr>
            <w:tcW w:w="850" w:type="pct"/>
            <w:vAlign w:val="center"/>
          </w:tcPr>
          <w:p w14:paraId="410C8595" w14:textId="77777777" w:rsidR="007663FA" w:rsidRPr="00CB6EE4" w:rsidRDefault="007663FA" w:rsidP="00820AB9">
            <w:pPr>
              <w:keepNext/>
              <w:keepLines/>
              <w:jc w:val="center"/>
              <w:rPr>
                <w:rFonts w:ascii="Arial Narrow" w:hAnsi="Arial Narrow"/>
                <w:b/>
                <w:sz w:val="20"/>
                <w:szCs w:val="20"/>
              </w:rPr>
            </w:pPr>
            <w:r w:rsidRPr="00CB6EE4">
              <w:rPr>
                <w:rFonts w:ascii="Arial Narrow" w:hAnsi="Arial Narrow"/>
                <w:b/>
                <w:sz w:val="20"/>
                <w:szCs w:val="20"/>
              </w:rPr>
              <w:t>1.14 (1.04, 1.25)</w:t>
            </w:r>
          </w:p>
        </w:tc>
        <w:tc>
          <w:tcPr>
            <w:tcW w:w="829" w:type="pct"/>
            <w:vAlign w:val="center"/>
          </w:tcPr>
          <w:p w14:paraId="186D8EC8" w14:textId="77777777" w:rsidR="007663FA" w:rsidRPr="00CB6EE4" w:rsidRDefault="007663FA" w:rsidP="00820AB9">
            <w:pPr>
              <w:keepNext/>
              <w:keepLines/>
              <w:jc w:val="center"/>
              <w:rPr>
                <w:rFonts w:ascii="Arial Narrow" w:hAnsi="Arial Narrow"/>
                <w:b/>
                <w:sz w:val="20"/>
                <w:szCs w:val="20"/>
              </w:rPr>
            </w:pPr>
            <w:r w:rsidRPr="00CB6EE4">
              <w:rPr>
                <w:rFonts w:ascii="Arial Narrow" w:hAnsi="Arial Narrow"/>
                <w:b/>
                <w:sz w:val="20"/>
                <w:szCs w:val="20"/>
              </w:rPr>
              <w:t>0.11 (0.04, 0.19)</w:t>
            </w:r>
          </w:p>
        </w:tc>
      </w:tr>
      <w:tr w:rsidR="007663FA" w:rsidRPr="00CB6EE4" w14:paraId="3705A686" w14:textId="77777777" w:rsidTr="00820AB9">
        <w:tc>
          <w:tcPr>
            <w:tcW w:w="1805" w:type="pct"/>
            <w:vAlign w:val="center"/>
          </w:tcPr>
          <w:p w14:paraId="519B9C86"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SAE</w:t>
            </w:r>
          </w:p>
        </w:tc>
        <w:tc>
          <w:tcPr>
            <w:tcW w:w="820" w:type="pct"/>
            <w:vAlign w:val="center"/>
          </w:tcPr>
          <w:p w14:paraId="59D0913A"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25/180 (13.9)</w:t>
            </w:r>
          </w:p>
        </w:tc>
        <w:tc>
          <w:tcPr>
            <w:tcW w:w="696" w:type="pct"/>
          </w:tcPr>
          <w:p w14:paraId="31604207"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30/184 (16.3)</w:t>
            </w:r>
          </w:p>
        </w:tc>
        <w:tc>
          <w:tcPr>
            <w:tcW w:w="850" w:type="pct"/>
            <w:vAlign w:val="center"/>
          </w:tcPr>
          <w:p w14:paraId="54D1C5DB"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0.85 (0.52, 1.39)</w:t>
            </w:r>
          </w:p>
        </w:tc>
        <w:tc>
          <w:tcPr>
            <w:tcW w:w="829" w:type="pct"/>
            <w:vAlign w:val="center"/>
          </w:tcPr>
          <w:p w14:paraId="0EA04F0F"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-0.02 (-0.10, 0.05)</w:t>
            </w:r>
          </w:p>
        </w:tc>
      </w:tr>
      <w:tr w:rsidR="007663FA" w:rsidRPr="00CB6EE4" w14:paraId="0E441DE8" w14:textId="77777777" w:rsidTr="00820AB9">
        <w:tc>
          <w:tcPr>
            <w:tcW w:w="1805" w:type="pct"/>
            <w:vAlign w:val="center"/>
          </w:tcPr>
          <w:p w14:paraId="6ED245BB"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Death due to AEs</w:t>
            </w:r>
          </w:p>
        </w:tc>
        <w:tc>
          <w:tcPr>
            <w:tcW w:w="820" w:type="pct"/>
            <w:vAlign w:val="center"/>
          </w:tcPr>
          <w:p w14:paraId="13CA1C16"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1/180 (</w:t>
            </w:r>
            <w:proofErr w:type="gramStart"/>
            <w:r w:rsidRPr="00CB6EE4">
              <w:rPr>
                <w:rFonts w:ascii="Arial Narrow" w:hAnsi="Arial Narrow"/>
                <w:sz w:val="20"/>
                <w:szCs w:val="20"/>
              </w:rPr>
              <w:t>0.6)</w:t>
            </w:r>
            <w:r w:rsidRPr="00CB6EE4">
              <w:rPr>
                <w:rFonts w:ascii="Arial Narrow" w:hAnsi="Arial Narrow"/>
                <w:sz w:val="20"/>
                <w:szCs w:val="20"/>
                <w:vertAlign w:val="superscript"/>
              </w:rPr>
              <w:t>a</w:t>
            </w:r>
            <w:proofErr w:type="gramEnd"/>
          </w:p>
        </w:tc>
        <w:tc>
          <w:tcPr>
            <w:tcW w:w="696" w:type="pct"/>
          </w:tcPr>
          <w:p w14:paraId="4BA422ED"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w:t>
            </w:r>
          </w:p>
        </w:tc>
        <w:tc>
          <w:tcPr>
            <w:tcW w:w="850" w:type="pct"/>
            <w:vAlign w:val="center"/>
          </w:tcPr>
          <w:p w14:paraId="72DCBB02"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3.07 (0.13, 74.78)</w:t>
            </w:r>
          </w:p>
        </w:tc>
        <w:tc>
          <w:tcPr>
            <w:tcW w:w="829" w:type="pct"/>
            <w:vAlign w:val="center"/>
          </w:tcPr>
          <w:p w14:paraId="18FF1E8F"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0.01 (-0.01, 0.02)</w:t>
            </w:r>
          </w:p>
        </w:tc>
      </w:tr>
      <w:tr w:rsidR="007663FA" w:rsidRPr="00CB6EE4" w14:paraId="4A72803A" w14:textId="77777777" w:rsidTr="00820AB9">
        <w:tc>
          <w:tcPr>
            <w:tcW w:w="1805" w:type="pct"/>
            <w:vAlign w:val="center"/>
          </w:tcPr>
          <w:p w14:paraId="663C0B78"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Discontinuation of study drugs due to AEs</w:t>
            </w:r>
          </w:p>
        </w:tc>
        <w:tc>
          <w:tcPr>
            <w:tcW w:w="820" w:type="pct"/>
            <w:vAlign w:val="center"/>
          </w:tcPr>
          <w:p w14:paraId="2890F1A8"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11/180 (6.1)</w:t>
            </w:r>
          </w:p>
        </w:tc>
        <w:tc>
          <w:tcPr>
            <w:tcW w:w="696" w:type="pct"/>
          </w:tcPr>
          <w:p w14:paraId="5B93858F"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5/184 (2.7)</w:t>
            </w:r>
          </w:p>
        </w:tc>
        <w:tc>
          <w:tcPr>
            <w:tcW w:w="850" w:type="pct"/>
            <w:vAlign w:val="center"/>
          </w:tcPr>
          <w:p w14:paraId="45779C63"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2.25 (0.80, 6.34)</w:t>
            </w:r>
          </w:p>
        </w:tc>
        <w:tc>
          <w:tcPr>
            <w:tcW w:w="829" w:type="pct"/>
            <w:vAlign w:val="center"/>
          </w:tcPr>
          <w:p w14:paraId="18B748DA"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0.03 (-0.01, 0.08)</w:t>
            </w:r>
          </w:p>
        </w:tc>
      </w:tr>
      <w:tr w:rsidR="007663FA" w:rsidRPr="00CB6EE4" w14:paraId="2CD161C3" w14:textId="77777777" w:rsidTr="00820AB9">
        <w:tc>
          <w:tcPr>
            <w:tcW w:w="1805" w:type="pct"/>
            <w:vAlign w:val="center"/>
          </w:tcPr>
          <w:p w14:paraId="25AE1148"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AEs of interest</w:t>
            </w:r>
          </w:p>
        </w:tc>
        <w:tc>
          <w:tcPr>
            <w:tcW w:w="820" w:type="pct"/>
            <w:vAlign w:val="center"/>
          </w:tcPr>
          <w:p w14:paraId="21D9B353"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22/180 (12.2)</w:t>
            </w:r>
          </w:p>
        </w:tc>
        <w:tc>
          <w:tcPr>
            <w:tcW w:w="696" w:type="pct"/>
          </w:tcPr>
          <w:p w14:paraId="37C14B86"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15/184 (8.2)</w:t>
            </w:r>
          </w:p>
        </w:tc>
        <w:tc>
          <w:tcPr>
            <w:tcW w:w="850" w:type="pct"/>
            <w:vAlign w:val="center"/>
          </w:tcPr>
          <w:p w14:paraId="0D7B1B64"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1.50 (0.80, 2.80)</w:t>
            </w:r>
          </w:p>
        </w:tc>
        <w:tc>
          <w:tcPr>
            <w:tcW w:w="829" w:type="pct"/>
            <w:vAlign w:val="center"/>
          </w:tcPr>
          <w:p w14:paraId="46D67849"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0.04 (-0.02, 0.10)</w:t>
            </w:r>
          </w:p>
        </w:tc>
      </w:tr>
      <w:tr w:rsidR="007663FA" w:rsidRPr="00CB6EE4" w14:paraId="40A2B233" w14:textId="77777777" w:rsidTr="00820AB9">
        <w:tc>
          <w:tcPr>
            <w:tcW w:w="1805" w:type="pct"/>
            <w:vAlign w:val="center"/>
          </w:tcPr>
          <w:p w14:paraId="77A03620" w14:textId="77777777" w:rsidR="007663FA" w:rsidRPr="00CB6EE4" w:rsidRDefault="007663FA" w:rsidP="00820AB9">
            <w:pPr>
              <w:keepNext/>
              <w:keepLines/>
              <w:ind w:left="106"/>
              <w:jc w:val="left"/>
              <w:rPr>
                <w:rFonts w:ascii="Arial Narrow" w:hAnsi="Arial Narrow"/>
                <w:sz w:val="20"/>
                <w:szCs w:val="20"/>
              </w:rPr>
            </w:pPr>
            <w:r w:rsidRPr="00CB6EE4">
              <w:rPr>
                <w:rFonts w:ascii="Arial Narrow" w:hAnsi="Arial Narrow"/>
                <w:sz w:val="20"/>
                <w:szCs w:val="20"/>
              </w:rPr>
              <w:t>Non-opportunistic serious infections</w:t>
            </w:r>
          </w:p>
        </w:tc>
        <w:tc>
          <w:tcPr>
            <w:tcW w:w="820" w:type="pct"/>
            <w:vAlign w:val="center"/>
          </w:tcPr>
          <w:p w14:paraId="584963FB"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9/180 (5.0)</w:t>
            </w:r>
          </w:p>
        </w:tc>
        <w:tc>
          <w:tcPr>
            <w:tcW w:w="696" w:type="pct"/>
          </w:tcPr>
          <w:p w14:paraId="128D85DA"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8/184 (4.3)</w:t>
            </w:r>
          </w:p>
        </w:tc>
        <w:tc>
          <w:tcPr>
            <w:tcW w:w="850" w:type="pct"/>
            <w:vAlign w:val="center"/>
          </w:tcPr>
          <w:p w14:paraId="5A54C4BA"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1.15 (0.45, 2.91)</w:t>
            </w:r>
          </w:p>
        </w:tc>
        <w:tc>
          <w:tcPr>
            <w:tcW w:w="829" w:type="pct"/>
            <w:vAlign w:val="center"/>
          </w:tcPr>
          <w:p w14:paraId="010BE6D2"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0.01 (-0.04, 0.05)</w:t>
            </w:r>
          </w:p>
        </w:tc>
      </w:tr>
      <w:tr w:rsidR="007663FA" w:rsidRPr="00CB6EE4" w14:paraId="4C6B543E" w14:textId="77777777" w:rsidTr="00820AB9">
        <w:tc>
          <w:tcPr>
            <w:tcW w:w="1805" w:type="pct"/>
            <w:vAlign w:val="center"/>
          </w:tcPr>
          <w:p w14:paraId="3C9B12F0" w14:textId="77777777" w:rsidR="007663FA" w:rsidRPr="00CB6EE4" w:rsidRDefault="007663FA" w:rsidP="00820AB9">
            <w:pPr>
              <w:keepNext/>
              <w:keepLines/>
              <w:ind w:left="106"/>
              <w:jc w:val="left"/>
              <w:rPr>
                <w:rFonts w:ascii="Arial Narrow" w:hAnsi="Arial Narrow"/>
                <w:sz w:val="20"/>
                <w:szCs w:val="20"/>
              </w:rPr>
            </w:pPr>
            <w:r w:rsidRPr="00CB6EE4">
              <w:rPr>
                <w:rFonts w:ascii="Arial Narrow" w:hAnsi="Arial Narrow"/>
                <w:sz w:val="20"/>
                <w:szCs w:val="20"/>
              </w:rPr>
              <w:t>Herpes Zoster</w:t>
            </w:r>
          </w:p>
        </w:tc>
        <w:tc>
          <w:tcPr>
            <w:tcW w:w="820" w:type="pct"/>
            <w:vAlign w:val="center"/>
          </w:tcPr>
          <w:p w14:paraId="24326046"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10/180 (5.6)</w:t>
            </w:r>
          </w:p>
        </w:tc>
        <w:tc>
          <w:tcPr>
            <w:tcW w:w="696" w:type="pct"/>
          </w:tcPr>
          <w:p w14:paraId="3BA4242A"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3/184 (1.6)</w:t>
            </w:r>
          </w:p>
        </w:tc>
        <w:tc>
          <w:tcPr>
            <w:tcW w:w="850" w:type="pct"/>
            <w:vAlign w:val="center"/>
          </w:tcPr>
          <w:p w14:paraId="230C24B8"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3.41 (0.95, 12.18)</w:t>
            </w:r>
          </w:p>
        </w:tc>
        <w:tc>
          <w:tcPr>
            <w:tcW w:w="829" w:type="pct"/>
            <w:vAlign w:val="center"/>
          </w:tcPr>
          <w:p w14:paraId="23E968EF" w14:textId="77777777" w:rsidR="007663FA" w:rsidRPr="00CB6EE4" w:rsidRDefault="007663FA" w:rsidP="00820AB9">
            <w:pPr>
              <w:keepNext/>
              <w:keepLines/>
              <w:jc w:val="center"/>
              <w:rPr>
                <w:rFonts w:ascii="Arial Narrow" w:hAnsi="Arial Narrow"/>
                <w:b/>
                <w:sz w:val="20"/>
                <w:szCs w:val="20"/>
              </w:rPr>
            </w:pPr>
            <w:r w:rsidRPr="00CB6EE4">
              <w:rPr>
                <w:rFonts w:ascii="Arial Narrow" w:hAnsi="Arial Narrow"/>
                <w:b/>
                <w:sz w:val="20"/>
                <w:szCs w:val="20"/>
              </w:rPr>
              <w:t>0.04 (0.00, 0.08)</w:t>
            </w:r>
          </w:p>
        </w:tc>
      </w:tr>
      <w:tr w:rsidR="007663FA" w:rsidRPr="00CB6EE4" w14:paraId="46E49C23" w14:textId="77777777" w:rsidTr="00820AB9">
        <w:tc>
          <w:tcPr>
            <w:tcW w:w="1805" w:type="pct"/>
            <w:vAlign w:val="center"/>
          </w:tcPr>
          <w:p w14:paraId="4C8BA9EF"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Infusion-related reaction</w:t>
            </w:r>
          </w:p>
        </w:tc>
        <w:tc>
          <w:tcPr>
            <w:tcW w:w="820" w:type="pct"/>
            <w:vAlign w:val="center"/>
          </w:tcPr>
          <w:p w14:paraId="250326BE"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16/180 (8.9)</w:t>
            </w:r>
          </w:p>
        </w:tc>
        <w:tc>
          <w:tcPr>
            <w:tcW w:w="696" w:type="pct"/>
          </w:tcPr>
          <w:p w14:paraId="04F2169A"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13/184 (7.1)</w:t>
            </w:r>
          </w:p>
        </w:tc>
        <w:tc>
          <w:tcPr>
            <w:tcW w:w="850" w:type="pct"/>
            <w:vAlign w:val="center"/>
          </w:tcPr>
          <w:p w14:paraId="5659C1AC"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1.26 (0.62, 2.54)</w:t>
            </w:r>
          </w:p>
        </w:tc>
        <w:tc>
          <w:tcPr>
            <w:tcW w:w="829" w:type="pct"/>
            <w:vAlign w:val="center"/>
          </w:tcPr>
          <w:p w14:paraId="4C67D85F"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0.02 (-0.04, 0.07)</w:t>
            </w:r>
          </w:p>
        </w:tc>
      </w:tr>
      <w:tr w:rsidR="007663FA" w:rsidRPr="00CB6EE4" w14:paraId="7622DF6B" w14:textId="77777777" w:rsidTr="00820AB9">
        <w:tc>
          <w:tcPr>
            <w:tcW w:w="5000" w:type="pct"/>
            <w:gridSpan w:val="5"/>
            <w:vAlign w:val="center"/>
          </w:tcPr>
          <w:p w14:paraId="4B46CC92" w14:textId="77777777" w:rsidR="007663FA" w:rsidRPr="00CB6EE4" w:rsidRDefault="007663FA" w:rsidP="00820AB9">
            <w:pPr>
              <w:keepNext/>
              <w:keepLines/>
              <w:jc w:val="left"/>
              <w:rPr>
                <w:rFonts w:ascii="Arial Narrow" w:hAnsi="Arial Narrow"/>
                <w:b/>
                <w:sz w:val="20"/>
                <w:szCs w:val="20"/>
              </w:rPr>
            </w:pPr>
            <w:r w:rsidRPr="00CB6EE4">
              <w:rPr>
                <w:rFonts w:ascii="Arial Narrow" w:hAnsi="Arial Narrow"/>
                <w:b/>
                <w:sz w:val="20"/>
                <w:szCs w:val="20"/>
              </w:rPr>
              <w:t>TULIP-2</w:t>
            </w:r>
          </w:p>
        </w:tc>
      </w:tr>
      <w:tr w:rsidR="007663FA" w:rsidRPr="00CB6EE4" w14:paraId="41F645C6" w14:textId="77777777" w:rsidTr="00820AB9">
        <w:tc>
          <w:tcPr>
            <w:tcW w:w="1805" w:type="pct"/>
            <w:vAlign w:val="center"/>
          </w:tcPr>
          <w:p w14:paraId="32E1F8AB"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Any AEs</w:t>
            </w:r>
          </w:p>
        </w:tc>
        <w:tc>
          <w:tcPr>
            <w:tcW w:w="820" w:type="pct"/>
            <w:vAlign w:val="center"/>
          </w:tcPr>
          <w:p w14:paraId="220D8812"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159/180 (88.3)</w:t>
            </w:r>
          </w:p>
        </w:tc>
        <w:tc>
          <w:tcPr>
            <w:tcW w:w="696" w:type="pct"/>
          </w:tcPr>
          <w:p w14:paraId="7C29ED1B"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153/182 (84.1)</w:t>
            </w:r>
          </w:p>
        </w:tc>
        <w:tc>
          <w:tcPr>
            <w:tcW w:w="850" w:type="pct"/>
            <w:vAlign w:val="center"/>
          </w:tcPr>
          <w:p w14:paraId="6F7A2B74"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1.06 (0.98, 1.16)</w:t>
            </w:r>
          </w:p>
        </w:tc>
        <w:tc>
          <w:tcPr>
            <w:tcW w:w="829" w:type="pct"/>
            <w:vAlign w:val="center"/>
          </w:tcPr>
          <w:p w14:paraId="3CE1EAB7"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0.05 (-0.02, 0.12)</w:t>
            </w:r>
          </w:p>
        </w:tc>
      </w:tr>
      <w:tr w:rsidR="007663FA" w:rsidRPr="00CB6EE4" w14:paraId="497B3300" w14:textId="77777777" w:rsidTr="00820AB9">
        <w:tc>
          <w:tcPr>
            <w:tcW w:w="1805" w:type="pct"/>
            <w:vAlign w:val="center"/>
          </w:tcPr>
          <w:p w14:paraId="1FDF87DC"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SAE</w:t>
            </w:r>
          </w:p>
        </w:tc>
        <w:tc>
          <w:tcPr>
            <w:tcW w:w="820" w:type="pct"/>
            <w:vAlign w:val="center"/>
          </w:tcPr>
          <w:p w14:paraId="5D6BCEF9"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15/180 (8.3)</w:t>
            </w:r>
          </w:p>
        </w:tc>
        <w:tc>
          <w:tcPr>
            <w:tcW w:w="696" w:type="pct"/>
          </w:tcPr>
          <w:p w14:paraId="0BF00E50"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31/182 (17.0)</w:t>
            </w:r>
          </w:p>
        </w:tc>
        <w:tc>
          <w:tcPr>
            <w:tcW w:w="850" w:type="pct"/>
            <w:vAlign w:val="center"/>
          </w:tcPr>
          <w:p w14:paraId="1361BD1A" w14:textId="77777777" w:rsidR="007663FA" w:rsidRPr="00CB6EE4" w:rsidRDefault="007663FA" w:rsidP="00820AB9">
            <w:pPr>
              <w:keepNext/>
              <w:keepLines/>
              <w:jc w:val="center"/>
              <w:rPr>
                <w:rFonts w:ascii="Arial Narrow" w:hAnsi="Arial Narrow"/>
                <w:b/>
                <w:sz w:val="20"/>
                <w:szCs w:val="20"/>
              </w:rPr>
            </w:pPr>
            <w:r w:rsidRPr="00CB6EE4">
              <w:rPr>
                <w:rFonts w:ascii="Arial Narrow" w:hAnsi="Arial Narrow"/>
                <w:b/>
                <w:sz w:val="20"/>
                <w:szCs w:val="20"/>
              </w:rPr>
              <w:t>0.49 (0.28, 0.88)</w:t>
            </w:r>
          </w:p>
        </w:tc>
        <w:tc>
          <w:tcPr>
            <w:tcW w:w="829" w:type="pct"/>
            <w:vAlign w:val="center"/>
          </w:tcPr>
          <w:p w14:paraId="27A03E1A" w14:textId="77777777" w:rsidR="007663FA" w:rsidRPr="00CB6EE4" w:rsidRDefault="007663FA" w:rsidP="00820AB9">
            <w:pPr>
              <w:keepNext/>
              <w:keepLines/>
              <w:jc w:val="center"/>
              <w:rPr>
                <w:rFonts w:ascii="Arial Narrow" w:hAnsi="Arial Narrow"/>
                <w:b/>
                <w:sz w:val="20"/>
                <w:szCs w:val="20"/>
              </w:rPr>
            </w:pPr>
            <w:r w:rsidRPr="00CB6EE4">
              <w:rPr>
                <w:rFonts w:ascii="Arial Narrow" w:hAnsi="Arial Narrow"/>
                <w:b/>
                <w:sz w:val="20"/>
                <w:szCs w:val="20"/>
              </w:rPr>
              <w:t>-0.09 (-0.15, -0.02)</w:t>
            </w:r>
          </w:p>
        </w:tc>
      </w:tr>
      <w:tr w:rsidR="007663FA" w:rsidRPr="00CB6EE4" w14:paraId="5C50D68E" w14:textId="77777777" w:rsidTr="00820AB9">
        <w:tc>
          <w:tcPr>
            <w:tcW w:w="1805" w:type="pct"/>
            <w:vAlign w:val="center"/>
          </w:tcPr>
          <w:p w14:paraId="166072C0"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Death due to AEs</w:t>
            </w:r>
          </w:p>
        </w:tc>
        <w:tc>
          <w:tcPr>
            <w:tcW w:w="820" w:type="pct"/>
            <w:vAlign w:val="center"/>
          </w:tcPr>
          <w:p w14:paraId="0D1EEADF"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1/180 (</w:t>
            </w:r>
            <w:proofErr w:type="gramStart"/>
            <w:r w:rsidRPr="00CB6EE4">
              <w:rPr>
                <w:rFonts w:ascii="Arial Narrow" w:hAnsi="Arial Narrow"/>
                <w:sz w:val="20"/>
                <w:szCs w:val="20"/>
              </w:rPr>
              <w:t>0.6)</w:t>
            </w:r>
            <w:r w:rsidRPr="00CB6EE4">
              <w:rPr>
                <w:rFonts w:ascii="Arial Narrow" w:hAnsi="Arial Narrow"/>
                <w:sz w:val="20"/>
                <w:szCs w:val="20"/>
                <w:vertAlign w:val="superscript"/>
              </w:rPr>
              <w:t>b</w:t>
            </w:r>
            <w:proofErr w:type="gramEnd"/>
          </w:p>
        </w:tc>
        <w:tc>
          <w:tcPr>
            <w:tcW w:w="696" w:type="pct"/>
          </w:tcPr>
          <w:p w14:paraId="76252C8C"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w:t>
            </w:r>
          </w:p>
        </w:tc>
        <w:tc>
          <w:tcPr>
            <w:tcW w:w="850" w:type="pct"/>
            <w:vAlign w:val="center"/>
          </w:tcPr>
          <w:p w14:paraId="0B2AF844"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3.07 (0.13, 74.78)</w:t>
            </w:r>
          </w:p>
        </w:tc>
        <w:tc>
          <w:tcPr>
            <w:tcW w:w="829" w:type="pct"/>
            <w:vAlign w:val="center"/>
          </w:tcPr>
          <w:p w14:paraId="0A82F07E"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0.01 (-0.01, 0.02)</w:t>
            </w:r>
          </w:p>
        </w:tc>
      </w:tr>
      <w:tr w:rsidR="007663FA" w:rsidRPr="00CB6EE4" w14:paraId="59F3AF2D" w14:textId="77777777" w:rsidTr="00820AB9">
        <w:tc>
          <w:tcPr>
            <w:tcW w:w="1805" w:type="pct"/>
            <w:vAlign w:val="center"/>
          </w:tcPr>
          <w:p w14:paraId="2443FC0D"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Discontinuation of study drugs due to AEs</w:t>
            </w:r>
          </w:p>
        </w:tc>
        <w:tc>
          <w:tcPr>
            <w:tcW w:w="820" w:type="pct"/>
            <w:vAlign w:val="center"/>
          </w:tcPr>
          <w:p w14:paraId="5F2938DE"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5/180 (2.8)</w:t>
            </w:r>
          </w:p>
        </w:tc>
        <w:tc>
          <w:tcPr>
            <w:tcW w:w="696" w:type="pct"/>
          </w:tcPr>
          <w:p w14:paraId="4B7774B0"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13/182 (7.1)</w:t>
            </w:r>
          </w:p>
        </w:tc>
        <w:tc>
          <w:tcPr>
            <w:tcW w:w="850" w:type="pct"/>
            <w:vAlign w:val="center"/>
          </w:tcPr>
          <w:p w14:paraId="40C46E30"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0.39 (0.14, 1.08)</w:t>
            </w:r>
          </w:p>
        </w:tc>
        <w:tc>
          <w:tcPr>
            <w:tcW w:w="829" w:type="pct"/>
            <w:vAlign w:val="center"/>
          </w:tcPr>
          <w:p w14:paraId="4AC3F0A4"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-0.04 (-0.09, 0.00)</w:t>
            </w:r>
          </w:p>
        </w:tc>
      </w:tr>
      <w:tr w:rsidR="007663FA" w:rsidRPr="00CB6EE4" w14:paraId="58304699" w14:textId="77777777" w:rsidTr="00820AB9">
        <w:tc>
          <w:tcPr>
            <w:tcW w:w="1805" w:type="pct"/>
            <w:vAlign w:val="center"/>
          </w:tcPr>
          <w:p w14:paraId="749424E4"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AEs of interest</w:t>
            </w:r>
          </w:p>
        </w:tc>
        <w:tc>
          <w:tcPr>
            <w:tcW w:w="820" w:type="pct"/>
            <w:vAlign w:val="center"/>
          </w:tcPr>
          <w:p w14:paraId="72582CF8"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25/180 (13.9)</w:t>
            </w:r>
          </w:p>
        </w:tc>
        <w:tc>
          <w:tcPr>
            <w:tcW w:w="696" w:type="pct"/>
          </w:tcPr>
          <w:p w14:paraId="3BC226E5"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18/182 (9.9)</w:t>
            </w:r>
          </w:p>
        </w:tc>
        <w:tc>
          <w:tcPr>
            <w:tcW w:w="850" w:type="pct"/>
            <w:vAlign w:val="center"/>
          </w:tcPr>
          <w:p w14:paraId="225B0253"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1.42 (0.80, 2.51)</w:t>
            </w:r>
          </w:p>
        </w:tc>
        <w:tc>
          <w:tcPr>
            <w:tcW w:w="829" w:type="pct"/>
            <w:vAlign w:val="center"/>
          </w:tcPr>
          <w:p w14:paraId="1874E98B"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0.04 (-0.03, 0.11)</w:t>
            </w:r>
          </w:p>
        </w:tc>
      </w:tr>
      <w:tr w:rsidR="007663FA" w:rsidRPr="00CB6EE4" w14:paraId="24277163" w14:textId="77777777" w:rsidTr="00820AB9">
        <w:tc>
          <w:tcPr>
            <w:tcW w:w="1805" w:type="pct"/>
            <w:vAlign w:val="center"/>
          </w:tcPr>
          <w:p w14:paraId="4F1131E6" w14:textId="77777777" w:rsidR="007663FA" w:rsidRPr="00CB6EE4" w:rsidRDefault="007663FA" w:rsidP="00820AB9">
            <w:pPr>
              <w:keepNext/>
              <w:keepLines/>
              <w:ind w:left="106"/>
              <w:jc w:val="left"/>
              <w:rPr>
                <w:rFonts w:ascii="Arial Narrow" w:hAnsi="Arial Narrow"/>
                <w:sz w:val="20"/>
                <w:szCs w:val="20"/>
              </w:rPr>
            </w:pPr>
            <w:r w:rsidRPr="00CB6EE4">
              <w:rPr>
                <w:rFonts w:ascii="Arial Narrow" w:hAnsi="Arial Narrow"/>
                <w:sz w:val="20"/>
                <w:szCs w:val="20"/>
              </w:rPr>
              <w:t>Non-opportunistic infections</w:t>
            </w:r>
          </w:p>
        </w:tc>
        <w:tc>
          <w:tcPr>
            <w:tcW w:w="820" w:type="pct"/>
            <w:vAlign w:val="center"/>
          </w:tcPr>
          <w:p w14:paraId="61B427FC"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5/180 (2.8)</w:t>
            </w:r>
          </w:p>
        </w:tc>
        <w:tc>
          <w:tcPr>
            <w:tcW w:w="696" w:type="pct"/>
          </w:tcPr>
          <w:p w14:paraId="576EC9CF"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10/182 (5.5)</w:t>
            </w:r>
          </w:p>
        </w:tc>
        <w:tc>
          <w:tcPr>
            <w:tcW w:w="850" w:type="pct"/>
            <w:vAlign w:val="center"/>
          </w:tcPr>
          <w:p w14:paraId="5040ED2E"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0.51 (0.18, 1.47)</w:t>
            </w:r>
          </w:p>
        </w:tc>
        <w:tc>
          <w:tcPr>
            <w:tcW w:w="829" w:type="pct"/>
            <w:vAlign w:val="center"/>
          </w:tcPr>
          <w:p w14:paraId="65D7D586"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-0.03 (-0.07, 0.0)]</w:t>
            </w:r>
          </w:p>
        </w:tc>
      </w:tr>
      <w:tr w:rsidR="007663FA" w:rsidRPr="00CB6EE4" w14:paraId="4102220C" w14:textId="77777777" w:rsidTr="00820AB9">
        <w:tc>
          <w:tcPr>
            <w:tcW w:w="1805" w:type="pct"/>
            <w:vAlign w:val="center"/>
          </w:tcPr>
          <w:p w14:paraId="1835B889" w14:textId="77777777" w:rsidR="007663FA" w:rsidRPr="00CB6EE4" w:rsidRDefault="007663FA" w:rsidP="00820AB9">
            <w:pPr>
              <w:keepNext/>
              <w:keepLines/>
              <w:ind w:left="106"/>
              <w:jc w:val="left"/>
              <w:rPr>
                <w:rFonts w:ascii="Arial Narrow" w:hAnsi="Arial Narrow"/>
                <w:sz w:val="20"/>
                <w:szCs w:val="20"/>
              </w:rPr>
            </w:pPr>
            <w:r w:rsidRPr="00CB6EE4">
              <w:rPr>
                <w:rFonts w:ascii="Arial Narrow" w:hAnsi="Arial Narrow"/>
                <w:sz w:val="20"/>
                <w:szCs w:val="20"/>
              </w:rPr>
              <w:t>Herpes Zoster</w:t>
            </w:r>
          </w:p>
        </w:tc>
        <w:tc>
          <w:tcPr>
            <w:tcW w:w="820" w:type="pct"/>
            <w:vAlign w:val="center"/>
          </w:tcPr>
          <w:p w14:paraId="5FF523E1"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13/180 (7.2)</w:t>
            </w:r>
          </w:p>
        </w:tc>
        <w:tc>
          <w:tcPr>
            <w:tcW w:w="696" w:type="pct"/>
          </w:tcPr>
          <w:p w14:paraId="5A6E4CD9"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2/182 (1.1)</w:t>
            </w:r>
          </w:p>
        </w:tc>
        <w:tc>
          <w:tcPr>
            <w:tcW w:w="850" w:type="pct"/>
            <w:vAlign w:val="center"/>
          </w:tcPr>
          <w:p w14:paraId="54870011" w14:textId="77777777" w:rsidR="007663FA" w:rsidRPr="00CB6EE4" w:rsidRDefault="007663FA" w:rsidP="00820AB9">
            <w:pPr>
              <w:keepNext/>
              <w:keepLines/>
              <w:jc w:val="center"/>
              <w:rPr>
                <w:rFonts w:ascii="Arial Narrow" w:hAnsi="Arial Narrow"/>
                <w:b/>
                <w:sz w:val="20"/>
                <w:szCs w:val="20"/>
              </w:rPr>
            </w:pPr>
            <w:r w:rsidRPr="00CB6EE4">
              <w:rPr>
                <w:rFonts w:ascii="Arial Narrow" w:hAnsi="Arial Narrow"/>
                <w:b/>
                <w:sz w:val="20"/>
                <w:szCs w:val="20"/>
              </w:rPr>
              <w:t>6.64 (1.52, 29.03)</w:t>
            </w:r>
          </w:p>
        </w:tc>
        <w:tc>
          <w:tcPr>
            <w:tcW w:w="829" w:type="pct"/>
            <w:vAlign w:val="center"/>
          </w:tcPr>
          <w:p w14:paraId="5A1A60D8" w14:textId="77777777" w:rsidR="007663FA" w:rsidRPr="00CB6EE4" w:rsidRDefault="007663FA" w:rsidP="00820AB9">
            <w:pPr>
              <w:keepNext/>
              <w:keepLines/>
              <w:jc w:val="center"/>
              <w:rPr>
                <w:rFonts w:ascii="Arial Narrow" w:hAnsi="Arial Narrow"/>
                <w:b/>
                <w:sz w:val="20"/>
                <w:szCs w:val="20"/>
              </w:rPr>
            </w:pPr>
            <w:r w:rsidRPr="00CB6EE4">
              <w:rPr>
                <w:rFonts w:ascii="Arial Narrow" w:hAnsi="Arial Narrow"/>
                <w:b/>
                <w:sz w:val="20"/>
                <w:szCs w:val="20"/>
              </w:rPr>
              <w:t>0.06 (0.02, 0.10)</w:t>
            </w:r>
          </w:p>
        </w:tc>
      </w:tr>
      <w:tr w:rsidR="007663FA" w:rsidRPr="00CB6EE4" w14:paraId="4E5C2C0B" w14:textId="77777777" w:rsidTr="00820AB9">
        <w:tc>
          <w:tcPr>
            <w:tcW w:w="1805" w:type="pct"/>
            <w:vAlign w:val="center"/>
          </w:tcPr>
          <w:p w14:paraId="09E10F90"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Infusion-related reaction</w:t>
            </w:r>
          </w:p>
        </w:tc>
        <w:tc>
          <w:tcPr>
            <w:tcW w:w="820" w:type="pct"/>
            <w:vAlign w:val="center"/>
          </w:tcPr>
          <w:p w14:paraId="1A1EBBB1"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25/180 (13.9)</w:t>
            </w:r>
          </w:p>
        </w:tc>
        <w:tc>
          <w:tcPr>
            <w:tcW w:w="696" w:type="pct"/>
          </w:tcPr>
          <w:p w14:paraId="28132781"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14/182 (7.7)</w:t>
            </w:r>
          </w:p>
        </w:tc>
        <w:tc>
          <w:tcPr>
            <w:tcW w:w="850" w:type="pct"/>
            <w:vAlign w:val="center"/>
          </w:tcPr>
          <w:p w14:paraId="01DF4E2B"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1.83 (0.98, 3.40)</w:t>
            </w:r>
          </w:p>
        </w:tc>
        <w:tc>
          <w:tcPr>
            <w:tcW w:w="829" w:type="pct"/>
            <w:vAlign w:val="center"/>
          </w:tcPr>
          <w:p w14:paraId="6EC673FA" w14:textId="77777777" w:rsidR="007663FA" w:rsidRPr="00CB6EE4" w:rsidRDefault="007663FA" w:rsidP="00820AB9">
            <w:pPr>
              <w:keepNext/>
              <w:keepLines/>
              <w:jc w:val="center"/>
              <w:rPr>
                <w:rFonts w:ascii="Arial Narrow" w:hAnsi="Arial Narrow"/>
                <w:b/>
                <w:sz w:val="20"/>
                <w:szCs w:val="20"/>
              </w:rPr>
            </w:pPr>
            <w:r w:rsidRPr="00CB6EE4">
              <w:rPr>
                <w:rFonts w:ascii="Arial Narrow" w:hAnsi="Arial Narrow"/>
                <w:b/>
                <w:sz w:val="20"/>
                <w:szCs w:val="20"/>
              </w:rPr>
              <w:t>0.06 (-0.00, 0.13)</w:t>
            </w:r>
          </w:p>
        </w:tc>
      </w:tr>
      <w:tr w:rsidR="007663FA" w:rsidRPr="00CB6EE4" w14:paraId="7BF4E01F" w14:textId="77777777" w:rsidTr="00820AB9">
        <w:tc>
          <w:tcPr>
            <w:tcW w:w="5000" w:type="pct"/>
            <w:gridSpan w:val="5"/>
            <w:vAlign w:val="center"/>
          </w:tcPr>
          <w:p w14:paraId="411273E5" w14:textId="77777777" w:rsidR="007663FA" w:rsidRPr="00CB6EE4" w:rsidRDefault="007663FA" w:rsidP="00820AB9">
            <w:pPr>
              <w:keepNext/>
              <w:keepLines/>
              <w:jc w:val="left"/>
              <w:rPr>
                <w:rFonts w:ascii="Arial Narrow" w:hAnsi="Arial Narrow"/>
                <w:b/>
                <w:sz w:val="20"/>
                <w:szCs w:val="20"/>
              </w:rPr>
            </w:pPr>
            <w:proofErr w:type="spellStart"/>
            <w:r w:rsidRPr="00CB6EE4">
              <w:rPr>
                <w:rFonts w:ascii="Arial Narrow" w:hAnsi="Arial Narrow"/>
                <w:b/>
                <w:sz w:val="20"/>
                <w:szCs w:val="20"/>
              </w:rPr>
              <w:t>MUSE</w:t>
            </w:r>
            <w:r w:rsidRPr="00CB6EE4">
              <w:rPr>
                <w:rFonts w:ascii="Arial Narrow" w:hAnsi="Arial Narrow"/>
                <w:b/>
                <w:sz w:val="20"/>
                <w:szCs w:val="20"/>
                <w:vertAlign w:val="superscript"/>
              </w:rPr>
              <w:t>c</w:t>
            </w:r>
            <w:proofErr w:type="spellEnd"/>
          </w:p>
        </w:tc>
      </w:tr>
      <w:tr w:rsidR="007663FA" w:rsidRPr="00CB6EE4" w14:paraId="0B1AEDB0" w14:textId="77777777" w:rsidTr="00820AB9">
        <w:tc>
          <w:tcPr>
            <w:tcW w:w="1805" w:type="pct"/>
            <w:vAlign w:val="center"/>
          </w:tcPr>
          <w:p w14:paraId="7C46ED7C"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Any AEs</w:t>
            </w:r>
          </w:p>
        </w:tc>
        <w:tc>
          <w:tcPr>
            <w:tcW w:w="820" w:type="pct"/>
            <w:vAlign w:val="center"/>
          </w:tcPr>
          <w:p w14:paraId="4811A15D"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84/99 (84.8)</w:t>
            </w:r>
          </w:p>
        </w:tc>
        <w:tc>
          <w:tcPr>
            <w:tcW w:w="696" w:type="pct"/>
          </w:tcPr>
          <w:p w14:paraId="6768353D"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78/101 (77.2)</w:t>
            </w:r>
          </w:p>
        </w:tc>
        <w:tc>
          <w:tcPr>
            <w:tcW w:w="850" w:type="pct"/>
            <w:vAlign w:val="center"/>
          </w:tcPr>
          <w:p w14:paraId="23CF57CD"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1.10 (0.96, 1.26)</w:t>
            </w:r>
          </w:p>
        </w:tc>
        <w:tc>
          <w:tcPr>
            <w:tcW w:w="829" w:type="pct"/>
            <w:vAlign w:val="center"/>
          </w:tcPr>
          <w:p w14:paraId="646829DD"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0.08 (-0.03, 0.18)</w:t>
            </w:r>
          </w:p>
        </w:tc>
      </w:tr>
      <w:tr w:rsidR="007663FA" w:rsidRPr="00CB6EE4" w14:paraId="37A68295" w14:textId="77777777" w:rsidTr="00820AB9">
        <w:tc>
          <w:tcPr>
            <w:tcW w:w="1805" w:type="pct"/>
            <w:vAlign w:val="center"/>
          </w:tcPr>
          <w:p w14:paraId="231D29B8"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SAE</w:t>
            </w:r>
          </w:p>
        </w:tc>
        <w:tc>
          <w:tcPr>
            <w:tcW w:w="820" w:type="pct"/>
            <w:vAlign w:val="center"/>
          </w:tcPr>
          <w:p w14:paraId="30D634D6"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16/99 (16.2)</w:t>
            </w:r>
          </w:p>
        </w:tc>
        <w:tc>
          <w:tcPr>
            <w:tcW w:w="696" w:type="pct"/>
          </w:tcPr>
          <w:p w14:paraId="24B5CA0A"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19/101 (18.8)</w:t>
            </w:r>
          </w:p>
        </w:tc>
        <w:tc>
          <w:tcPr>
            <w:tcW w:w="850" w:type="pct"/>
            <w:vAlign w:val="center"/>
          </w:tcPr>
          <w:p w14:paraId="6D14A25E"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0.86 (0.47, 1.57)</w:t>
            </w:r>
          </w:p>
        </w:tc>
        <w:tc>
          <w:tcPr>
            <w:tcW w:w="829" w:type="pct"/>
            <w:vAlign w:val="center"/>
          </w:tcPr>
          <w:p w14:paraId="4BA5EDF4"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-0.03 (-0.13, 0.08)</w:t>
            </w:r>
          </w:p>
        </w:tc>
      </w:tr>
      <w:tr w:rsidR="007663FA" w:rsidRPr="00CB6EE4" w14:paraId="73DAAD59" w14:textId="77777777" w:rsidTr="00820AB9">
        <w:tc>
          <w:tcPr>
            <w:tcW w:w="1805" w:type="pct"/>
            <w:vAlign w:val="center"/>
          </w:tcPr>
          <w:p w14:paraId="09EC58E9"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Death due to AEs</w:t>
            </w:r>
          </w:p>
        </w:tc>
        <w:tc>
          <w:tcPr>
            <w:tcW w:w="820" w:type="pct"/>
            <w:vAlign w:val="center"/>
          </w:tcPr>
          <w:p w14:paraId="4B1BA0C2"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w:t>
            </w:r>
          </w:p>
        </w:tc>
        <w:tc>
          <w:tcPr>
            <w:tcW w:w="696" w:type="pct"/>
          </w:tcPr>
          <w:p w14:paraId="7DF32291"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w:t>
            </w:r>
          </w:p>
        </w:tc>
        <w:tc>
          <w:tcPr>
            <w:tcW w:w="850" w:type="pct"/>
            <w:vAlign w:val="center"/>
          </w:tcPr>
          <w:p w14:paraId="73820AAF"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c>
          <w:tcPr>
            <w:tcW w:w="829" w:type="pct"/>
            <w:vAlign w:val="center"/>
          </w:tcPr>
          <w:p w14:paraId="5EE0DF12"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r>
      <w:tr w:rsidR="007663FA" w:rsidRPr="00CB6EE4" w14:paraId="37BCC53D" w14:textId="77777777" w:rsidTr="00820AB9">
        <w:tc>
          <w:tcPr>
            <w:tcW w:w="1805" w:type="pct"/>
            <w:vAlign w:val="center"/>
          </w:tcPr>
          <w:p w14:paraId="27391A2E"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Discontinuation of study drugs due to AEs</w:t>
            </w:r>
          </w:p>
        </w:tc>
        <w:tc>
          <w:tcPr>
            <w:tcW w:w="820" w:type="pct"/>
            <w:vAlign w:val="center"/>
          </w:tcPr>
          <w:p w14:paraId="54AE3173"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3/99 (3.0)</w:t>
            </w:r>
          </w:p>
        </w:tc>
        <w:tc>
          <w:tcPr>
            <w:tcW w:w="696" w:type="pct"/>
          </w:tcPr>
          <w:p w14:paraId="39ABE158"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8/101 (7.9)</w:t>
            </w:r>
          </w:p>
        </w:tc>
        <w:tc>
          <w:tcPr>
            <w:tcW w:w="850" w:type="pct"/>
            <w:vAlign w:val="center"/>
          </w:tcPr>
          <w:p w14:paraId="11F0BB46"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0.38 (0.10, 1.40)</w:t>
            </w:r>
          </w:p>
        </w:tc>
        <w:tc>
          <w:tcPr>
            <w:tcW w:w="829" w:type="pct"/>
            <w:vAlign w:val="center"/>
          </w:tcPr>
          <w:p w14:paraId="5B4D18C9"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-0.05 (-0.11, 0.01)</w:t>
            </w:r>
          </w:p>
        </w:tc>
      </w:tr>
      <w:tr w:rsidR="007663FA" w:rsidRPr="00CB6EE4" w14:paraId="654E179C" w14:textId="77777777" w:rsidTr="00820AB9">
        <w:tc>
          <w:tcPr>
            <w:tcW w:w="1805" w:type="pct"/>
            <w:vAlign w:val="center"/>
          </w:tcPr>
          <w:p w14:paraId="5FE7966A"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AEs of interest</w:t>
            </w:r>
          </w:p>
        </w:tc>
        <w:tc>
          <w:tcPr>
            <w:tcW w:w="820" w:type="pct"/>
            <w:vAlign w:val="center"/>
          </w:tcPr>
          <w:p w14:paraId="528257DE"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10/99 (10.1)</w:t>
            </w:r>
          </w:p>
        </w:tc>
        <w:tc>
          <w:tcPr>
            <w:tcW w:w="696" w:type="pct"/>
          </w:tcPr>
          <w:p w14:paraId="6D71C70C"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12/101 (11.9)</w:t>
            </w:r>
          </w:p>
        </w:tc>
        <w:tc>
          <w:tcPr>
            <w:tcW w:w="850" w:type="pct"/>
            <w:vAlign w:val="center"/>
          </w:tcPr>
          <w:p w14:paraId="40EE0AAD"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0.85 (0.39, 1.88)</w:t>
            </w:r>
          </w:p>
        </w:tc>
        <w:tc>
          <w:tcPr>
            <w:tcW w:w="829" w:type="pct"/>
            <w:vAlign w:val="center"/>
          </w:tcPr>
          <w:p w14:paraId="071C574F"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-0.02 (-0.10, 0.07)</w:t>
            </w:r>
          </w:p>
        </w:tc>
      </w:tr>
      <w:tr w:rsidR="007663FA" w:rsidRPr="00CB6EE4" w14:paraId="355E5DAF" w14:textId="77777777" w:rsidTr="00820AB9">
        <w:tc>
          <w:tcPr>
            <w:tcW w:w="1805" w:type="pct"/>
            <w:vAlign w:val="center"/>
          </w:tcPr>
          <w:p w14:paraId="7FECB86D" w14:textId="77777777" w:rsidR="007663FA" w:rsidRPr="00CB6EE4" w:rsidRDefault="007663FA" w:rsidP="00820AB9">
            <w:pPr>
              <w:keepNext/>
              <w:keepLines/>
              <w:ind w:left="106"/>
              <w:jc w:val="left"/>
              <w:rPr>
                <w:rFonts w:ascii="Arial Narrow" w:hAnsi="Arial Narrow"/>
                <w:sz w:val="20"/>
                <w:szCs w:val="20"/>
              </w:rPr>
            </w:pPr>
            <w:r w:rsidRPr="00CB6EE4">
              <w:rPr>
                <w:rFonts w:ascii="Arial Narrow" w:hAnsi="Arial Narrow"/>
                <w:sz w:val="20"/>
                <w:szCs w:val="20"/>
              </w:rPr>
              <w:t>Non-opportunistic infections</w:t>
            </w:r>
          </w:p>
        </w:tc>
        <w:tc>
          <w:tcPr>
            <w:tcW w:w="820" w:type="pct"/>
            <w:vAlign w:val="center"/>
          </w:tcPr>
          <w:p w14:paraId="376C17FF"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NR</w:t>
            </w:r>
          </w:p>
        </w:tc>
        <w:tc>
          <w:tcPr>
            <w:tcW w:w="696" w:type="pct"/>
          </w:tcPr>
          <w:p w14:paraId="48E168C7"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NR</w:t>
            </w:r>
          </w:p>
        </w:tc>
        <w:tc>
          <w:tcPr>
            <w:tcW w:w="850" w:type="pct"/>
            <w:vAlign w:val="center"/>
          </w:tcPr>
          <w:p w14:paraId="0A7D7DA7"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c>
          <w:tcPr>
            <w:tcW w:w="829" w:type="pct"/>
            <w:vAlign w:val="center"/>
          </w:tcPr>
          <w:p w14:paraId="0B4A1D9A"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r>
      <w:tr w:rsidR="007663FA" w:rsidRPr="00CB6EE4" w14:paraId="29A4E924" w14:textId="77777777" w:rsidTr="00820AB9">
        <w:tc>
          <w:tcPr>
            <w:tcW w:w="1805" w:type="pct"/>
            <w:vAlign w:val="center"/>
          </w:tcPr>
          <w:p w14:paraId="003CDA05" w14:textId="77777777" w:rsidR="007663FA" w:rsidRPr="00CB6EE4" w:rsidRDefault="007663FA" w:rsidP="00820AB9">
            <w:pPr>
              <w:keepNext/>
              <w:keepLines/>
              <w:ind w:left="106"/>
              <w:jc w:val="left"/>
              <w:rPr>
                <w:rFonts w:ascii="Arial Narrow" w:hAnsi="Arial Narrow"/>
                <w:sz w:val="20"/>
                <w:szCs w:val="20"/>
              </w:rPr>
            </w:pPr>
            <w:r w:rsidRPr="00CB6EE4">
              <w:rPr>
                <w:rFonts w:ascii="Arial Narrow" w:hAnsi="Arial Narrow"/>
                <w:sz w:val="20"/>
                <w:szCs w:val="20"/>
              </w:rPr>
              <w:t>Herpes Zoster</w:t>
            </w:r>
          </w:p>
        </w:tc>
        <w:tc>
          <w:tcPr>
            <w:tcW w:w="820" w:type="pct"/>
            <w:vAlign w:val="center"/>
          </w:tcPr>
          <w:p w14:paraId="3984A452"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5/99 (</w:t>
            </w:r>
            <w:proofErr w:type="gramStart"/>
            <w:r w:rsidRPr="00CB6EE4">
              <w:rPr>
                <w:rFonts w:ascii="Arial Narrow" w:hAnsi="Arial Narrow"/>
                <w:sz w:val="20"/>
                <w:szCs w:val="20"/>
              </w:rPr>
              <w:t>5.1)</w:t>
            </w:r>
            <w:r w:rsidRPr="00CB6EE4">
              <w:rPr>
                <w:rFonts w:ascii="Arial Narrow" w:hAnsi="Arial Narrow"/>
                <w:sz w:val="20"/>
                <w:szCs w:val="20"/>
                <w:vertAlign w:val="superscript"/>
              </w:rPr>
              <w:t>d</w:t>
            </w:r>
            <w:proofErr w:type="gramEnd"/>
          </w:p>
        </w:tc>
        <w:tc>
          <w:tcPr>
            <w:tcW w:w="696" w:type="pct"/>
          </w:tcPr>
          <w:p w14:paraId="30A0A19A"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2/101 (2.0)</w:t>
            </w:r>
          </w:p>
        </w:tc>
        <w:tc>
          <w:tcPr>
            <w:tcW w:w="850" w:type="pct"/>
            <w:vAlign w:val="center"/>
          </w:tcPr>
          <w:p w14:paraId="1D646192"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2.55 (0.51, 12.84)</w:t>
            </w:r>
          </w:p>
        </w:tc>
        <w:tc>
          <w:tcPr>
            <w:tcW w:w="829" w:type="pct"/>
            <w:vAlign w:val="center"/>
          </w:tcPr>
          <w:p w14:paraId="2EFFE29A"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0.03 (-0.02, 0.08)</w:t>
            </w:r>
          </w:p>
        </w:tc>
      </w:tr>
      <w:tr w:rsidR="007663FA" w:rsidRPr="00CB6EE4" w14:paraId="54D08597" w14:textId="77777777" w:rsidTr="00820AB9">
        <w:tc>
          <w:tcPr>
            <w:tcW w:w="1805" w:type="pct"/>
            <w:vAlign w:val="center"/>
          </w:tcPr>
          <w:p w14:paraId="3690D096"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Infusion-related reaction</w:t>
            </w:r>
          </w:p>
        </w:tc>
        <w:tc>
          <w:tcPr>
            <w:tcW w:w="820" w:type="pct"/>
            <w:vAlign w:val="center"/>
          </w:tcPr>
          <w:p w14:paraId="6C9EE168"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2/99 (2.0)</w:t>
            </w:r>
          </w:p>
        </w:tc>
        <w:tc>
          <w:tcPr>
            <w:tcW w:w="696" w:type="pct"/>
          </w:tcPr>
          <w:p w14:paraId="263A4799"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6/101 (5.9)</w:t>
            </w:r>
          </w:p>
        </w:tc>
        <w:tc>
          <w:tcPr>
            <w:tcW w:w="850" w:type="pct"/>
            <w:vAlign w:val="center"/>
          </w:tcPr>
          <w:p w14:paraId="24D972F4"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0.34 (0.07, 1.64)</w:t>
            </w:r>
          </w:p>
        </w:tc>
        <w:tc>
          <w:tcPr>
            <w:tcW w:w="829" w:type="pct"/>
            <w:vAlign w:val="center"/>
          </w:tcPr>
          <w:p w14:paraId="451BC139"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-0.04 (-0.09, 0.0)]</w:t>
            </w:r>
          </w:p>
        </w:tc>
      </w:tr>
      <w:tr w:rsidR="007663FA" w:rsidRPr="00CB6EE4" w14:paraId="037CF5E5" w14:textId="77777777" w:rsidTr="00820AB9">
        <w:tc>
          <w:tcPr>
            <w:tcW w:w="5000" w:type="pct"/>
            <w:gridSpan w:val="5"/>
            <w:vAlign w:val="center"/>
          </w:tcPr>
          <w:p w14:paraId="5EA1E28C" w14:textId="77777777" w:rsidR="007663FA" w:rsidRPr="00CB6EE4" w:rsidRDefault="007663FA" w:rsidP="00820AB9">
            <w:pPr>
              <w:keepNext/>
              <w:keepLines/>
              <w:jc w:val="left"/>
              <w:rPr>
                <w:rFonts w:ascii="Arial Narrow" w:hAnsi="Arial Narrow"/>
                <w:b/>
                <w:sz w:val="20"/>
                <w:szCs w:val="20"/>
              </w:rPr>
            </w:pPr>
            <w:r w:rsidRPr="00CB6EE4">
              <w:rPr>
                <w:rFonts w:ascii="Arial Narrow" w:hAnsi="Arial Narrow"/>
                <w:b/>
                <w:sz w:val="20"/>
                <w:szCs w:val="20"/>
              </w:rPr>
              <w:t>MUSE LTE</w:t>
            </w:r>
          </w:p>
        </w:tc>
      </w:tr>
      <w:tr w:rsidR="007663FA" w:rsidRPr="00CB6EE4" w14:paraId="570B26C1" w14:textId="77777777" w:rsidTr="00820AB9">
        <w:tc>
          <w:tcPr>
            <w:tcW w:w="1805" w:type="pct"/>
            <w:vAlign w:val="center"/>
          </w:tcPr>
          <w:p w14:paraId="6BF20E48"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≥1 SAE</w:t>
            </w:r>
          </w:p>
        </w:tc>
        <w:tc>
          <w:tcPr>
            <w:tcW w:w="820" w:type="pct"/>
            <w:vAlign w:val="center"/>
          </w:tcPr>
          <w:p w14:paraId="401AD3EC"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50/218 (22.9)</w:t>
            </w:r>
          </w:p>
        </w:tc>
        <w:tc>
          <w:tcPr>
            <w:tcW w:w="696" w:type="pct"/>
          </w:tcPr>
          <w:p w14:paraId="6040D0A3"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c>
          <w:tcPr>
            <w:tcW w:w="850" w:type="pct"/>
          </w:tcPr>
          <w:p w14:paraId="3190D721"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c>
          <w:tcPr>
            <w:tcW w:w="829" w:type="pct"/>
          </w:tcPr>
          <w:p w14:paraId="1C99E5A2"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r>
      <w:tr w:rsidR="007663FA" w:rsidRPr="00CB6EE4" w14:paraId="5DD0BA06" w14:textId="77777777" w:rsidTr="00820AB9">
        <w:tc>
          <w:tcPr>
            <w:tcW w:w="1805" w:type="pct"/>
            <w:vAlign w:val="center"/>
          </w:tcPr>
          <w:p w14:paraId="61DAAF13"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Death</w:t>
            </w:r>
          </w:p>
        </w:tc>
        <w:tc>
          <w:tcPr>
            <w:tcW w:w="820" w:type="pct"/>
            <w:vAlign w:val="center"/>
          </w:tcPr>
          <w:p w14:paraId="1D7B5A80"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1/218 (0.5)</w:t>
            </w:r>
          </w:p>
        </w:tc>
        <w:tc>
          <w:tcPr>
            <w:tcW w:w="696" w:type="pct"/>
          </w:tcPr>
          <w:p w14:paraId="204B97E0"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c>
          <w:tcPr>
            <w:tcW w:w="850" w:type="pct"/>
          </w:tcPr>
          <w:p w14:paraId="0F0E28C5"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c>
          <w:tcPr>
            <w:tcW w:w="829" w:type="pct"/>
          </w:tcPr>
          <w:p w14:paraId="2D3ED07B"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r>
      <w:tr w:rsidR="007663FA" w:rsidRPr="00CB6EE4" w14:paraId="1CC58E78" w14:textId="77777777" w:rsidTr="00820AB9">
        <w:tc>
          <w:tcPr>
            <w:tcW w:w="1805" w:type="pct"/>
            <w:vAlign w:val="center"/>
          </w:tcPr>
          <w:p w14:paraId="2B7D72FD"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Discontinuation of study drugs due to AEs</w:t>
            </w:r>
          </w:p>
        </w:tc>
        <w:tc>
          <w:tcPr>
            <w:tcW w:w="820" w:type="pct"/>
            <w:vAlign w:val="center"/>
          </w:tcPr>
          <w:p w14:paraId="06B12297"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17/218 (7.8)</w:t>
            </w:r>
          </w:p>
        </w:tc>
        <w:tc>
          <w:tcPr>
            <w:tcW w:w="696" w:type="pct"/>
          </w:tcPr>
          <w:p w14:paraId="5488A3B1"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c>
          <w:tcPr>
            <w:tcW w:w="850" w:type="pct"/>
          </w:tcPr>
          <w:p w14:paraId="18FC96EB"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c>
          <w:tcPr>
            <w:tcW w:w="829" w:type="pct"/>
          </w:tcPr>
          <w:p w14:paraId="2D367224"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r>
      <w:tr w:rsidR="007663FA" w:rsidRPr="00CB6EE4" w14:paraId="62D980AB" w14:textId="77777777" w:rsidTr="00820AB9">
        <w:tc>
          <w:tcPr>
            <w:tcW w:w="1805" w:type="pct"/>
            <w:vAlign w:val="center"/>
          </w:tcPr>
          <w:p w14:paraId="61F75EB1"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AEs of interest</w:t>
            </w:r>
          </w:p>
        </w:tc>
        <w:tc>
          <w:tcPr>
            <w:tcW w:w="820" w:type="pct"/>
            <w:vAlign w:val="center"/>
          </w:tcPr>
          <w:p w14:paraId="69F8A8FB"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24/218 (11.0)</w:t>
            </w:r>
          </w:p>
        </w:tc>
        <w:tc>
          <w:tcPr>
            <w:tcW w:w="696" w:type="pct"/>
          </w:tcPr>
          <w:p w14:paraId="0377889E"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c>
          <w:tcPr>
            <w:tcW w:w="850" w:type="pct"/>
          </w:tcPr>
          <w:p w14:paraId="1BC0CA4D"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c>
          <w:tcPr>
            <w:tcW w:w="829" w:type="pct"/>
          </w:tcPr>
          <w:p w14:paraId="4E1DA897"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r>
      <w:tr w:rsidR="007663FA" w:rsidRPr="00CB6EE4" w14:paraId="508B2775" w14:textId="77777777" w:rsidTr="00820AB9">
        <w:tc>
          <w:tcPr>
            <w:tcW w:w="1805" w:type="pct"/>
            <w:vAlign w:val="center"/>
          </w:tcPr>
          <w:p w14:paraId="4D2A1BD4" w14:textId="77777777" w:rsidR="007663FA" w:rsidRPr="00CB6EE4" w:rsidRDefault="007663FA" w:rsidP="00820AB9">
            <w:pPr>
              <w:keepNext/>
              <w:keepLines/>
              <w:ind w:left="106"/>
              <w:jc w:val="left"/>
              <w:rPr>
                <w:rFonts w:ascii="Arial Narrow" w:hAnsi="Arial Narrow"/>
                <w:sz w:val="20"/>
                <w:szCs w:val="20"/>
              </w:rPr>
            </w:pPr>
            <w:r w:rsidRPr="00CB6EE4">
              <w:rPr>
                <w:rFonts w:ascii="Arial Narrow" w:hAnsi="Arial Narrow"/>
                <w:sz w:val="20"/>
                <w:szCs w:val="20"/>
              </w:rPr>
              <w:t>Non-opportunistic infections</w:t>
            </w:r>
          </w:p>
        </w:tc>
        <w:tc>
          <w:tcPr>
            <w:tcW w:w="820" w:type="pct"/>
            <w:vAlign w:val="center"/>
          </w:tcPr>
          <w:p w14:paraId="637A6995"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NR</w:t>
            </w:r>
          </w:p>
        </w:tc>
        <w:tc>
          <w:tcPr>
            <w:tcW w:w="696" w:type="pct"/>
          </w:tcPr>
          <w:p w14:paraId="6A31639A"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NR</w:t>
            </w:r>
          </w:p>
        </w:tc>
        <w:tc>
          <w:tcPr>
            <w:tcW w:w="850" w:type="pct"/>
          </w:tcPr>
          <w:p w14:paraId="03C6E90F"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c>
          <w:tcPr>
            <w:tcW w:w="829" w:type="pct"/>
          </w:tcPr>
          <w:p w14:paraId="00E79D53"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r>
      <w:tr w:rsidR="007663FA" w:rsidRPr="00CB6EE4" w14:paraId="62DB20EA" w14:textId="77777777" w:rsidTr="00820AB9">
        <w:tc>
          <w:tcPr>
            <w:tcW w:w="1805" w:type="pct"/>
            <w:vAlign w:val="center"/>
          </w:tcPr>
          <w:p w14:paraId="05759717" w14:textId="77777777" w:rsidR="007663FA" w:rsidRPr="00CB6EE4" w:rsidRDefault="007663FA" w:rsidP="00820AB9">
            <w:pPr>
              <w:keepNext/>
              <w:keepLines/>
              <w:ind w:left="106"/>
              <w:jc w:val="left"/>
              <w:rPr>
                <w:rFonts w:ascii="Arial Narrow" w:hAnsi="Arial Narrow"/>
                <w:sz w:val="20"/>
                <w:szCs w:val="20"/>
              </w:rPr>
            </w:pPr>
            <w:r w:rsidRPr="00CB6EE4">
              <w:rPr>
                <w:rFonts w:ascii="Arial Narrow" w:hAnsi="Arial Narrow"/>
                <w:sz w:val="20"/>
                <w:szCs w:val="20"/>
              </w:rPr>
              <w:t>Herpes Zoster</w:t>
            </w:r>
          </w:p>
        </w:tc>
        <w:tc>
          <w:tcPr>
            <w:tcW w:w="820" w:type="pct"/>
            <w:vAlign w:val="center"/>
          </w:tcPr>
          <w:p w14:paraId="0B31F54C"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11/218 (5.0)</w:t>
            </w:r>
          </w:p>
        </w:tc>
        <w:tc>
          <w:tcPr>
            <w:tcW w:w="696" w:type="pct"/>
          </w:tcPr>
          <w:p w14:paraId="169C10F8"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c>
          <w:tcPr>
            <w:tcW w:w="850" w:type="pct"/>
          </w:tcPr>
          <w:p w14:paraId="7C43C1F2"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c>
          <w:tcPr>
            <w:tcW w:w="829" w:type="pct"/>
          </w:tcPr>
          <w:p w14:paraId="4E746889"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r>
      <w:tr w:rsidR="007663FA" w:rsidRPr="00CB6EE4" w14:paraId="0DADC691" w14:textId="77777777" w:rsidTr="00820AB9">
        <w:tc>
          <w:tcPr>
            <w:tcW w:w="1805" w:type="pct"/>
            <w:vAlign w:val="center"/>
          </w:tcPr>
          <w:p w14:paraId="0B8AA659" w14:textId="77777777" w:rsidR="007663FA" w:rsidRPr="00CB6EE4" w:rsidRDefault="007663FA" w:rsidP="00820AB9">
            <w:pPr>
              <w:keepNext/>
              <w:keepLines/>
              <w:jc w:val="left"/>
              <w:rPr>
                <w:rFonts w:ascii="Arial Narrow" w:hAnsi="Arial Narrow"/>
                <w:sz w:val="20"/>
                <w:szCs w:val="20"/>
              </w:rPr>
            </w:pPr>
            <w:r w:rsidRPr="00CB6EE4">
              <w:rPr>
                <w:rFonts w:ascii="Arial Narrow" w:hAnsi="Arial Narrow"/>
                <w:sz w:val="20"/>
                <w:szCs w:val="20"/>
              </w:rPr>
              <w:t>Infusion-related reaction</w:t>
            </w:r>
          </w:p>
        </w:tc>
        <w:tc>
          <w:tcPr>
            <w:tcW w:w="820" w:type="pct"/>
            <w:vAlign w:val="center"/>
          </w:tcPr>
          <w:p w14:paraId="611C690A"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4/218 (1.8)</w:t>
            </w:r>
          </w:p>
        </w:tc>
        <w:tc>
          <w:tcPr>
            <w:tcW w:w="696" w:type="pct"/>
          </w:tcPr>
          <w:p w14:paraId="19F69421"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c>
          <w:tcPr>
            <w:tcW w:w="850" w:type="pct"/>
          </w:tcPr>
          <w:p w14:paraId="239D7441"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c>
          <w:tcPr>
            <w:tcW w:w="829" w:type="pct"/>
          </w:tcPr>
          <w:p w14:paraId="6A81B947" w14:textId="77777777" w:rsidR="007663FA" w:rsidRPr="00CB6EE4" w:rsidRDefault="007663FA" w:rsidP="00820AB9">
            <w:pPr>
              <w:keepNext/>
              <w:keepLines/>
              <w:jc w:val="center"/>
              <w:rPr>
                <w:rFonts w:ascii="Arial Narrow" w:hAnsi="Arial Narrow"/>
                <w:sz w:val="20"/>
                <w:szCs w:val="20"/>
              </w:rPr>
            </w:pPr>
            <w:r w:rsidRPr="00CB6EE4">
              <w:rPr>
                <w:rFonts w:ascii="Arial Narrow" w:hAnsi="Arial Narrow"/>
                <w:sz w:val="20"/>
                <w:szCs w:val="20"/>
              </w:rPr>
              <w:t>-</w:t>
            </w:r>
          </w:p>
        </w:tc>
      </w:tr>
    </w:tbl>
    <w:p w14:paraId="2A07F051" w14:textId="51CF2081" w:rsidR="00293959" w:rsidRPr="00CB6EE4" w:rsidRDefault="00293959" w:rsidP="00820AB9">
      <w:pPr>
        <w:pStyle w:val="TableFigureFooter"/>
        <w:keepNext/>
        <w:keepLines/>
        <w:spacing w:after="0"/>
      </w:pPr>
      <w:r w:rsidRPr="00CB6EE4">
        <w:rPr>
          <w:b/>
          <w:bCs/>
          <w:szCs w:val="18"/>
        </w:rPr>
        <w:t>Bold</w:t>
      </w:r>
      <w:r w:rsidRPr="00CB6EE4">
        <w:rPr>
          <w:szCs w:val="18"/>
        </w:rPr>
        <w:t xml:space="preserve"> text designates statistical </w:t>
      </w:r>
      <w:r w:rsidRPr="005A0CB8">
        <w:rPr>
          <w:szCs w:val="18"/>
        </w:rPr>
        <w:t>significance</w:t>
      </w:r>
      <w:r w:rsidR="00DF38B9" w:rsidRPr="005A0CB8">
        <w:rPr>
          <w:szCs w:val="18"/>
        </w:rPr>
        <w:t>.</w:t>
      </w:r>
    </w:p>
    <w:p w14:paraId="5EA7601F" w14:textId="27990622" w:rsidR="007663FA" w:rsidRPr="00CB6EE4" w:rsidRDefault="007663FA" w:rsidP="00820AB9">
      <w:pPr>
        <w:keepNext/>
        <w:keepLines/>
        <w:rPr>
          <w:rFonts w:ascii="Arial Narrow" w:hAnsi="Arial Narrow"/>
          <w:sz w:val="18"/>
          <w:szCs w:val="18"/>
        </w:rPr>
      </w:pPr>
      <w:r w:rsidRPr="00CB6EE4">
        <w:rPr>
          <w:rFonts w:ascii="Arial Narrow" w:hAnsi="Arial Narrow"/>
          <w:sz w:val="18"/>
          <w:szCs w:val="18"/>
        </w:rPr>
        <w:t>Source: Tables 2.5-11 and 2.5-12, pp92-93 of the submission.</w:t>
      </w:r>
    </w:p>
    <w:p w14:paraId="0EF19EB4" w14:textId="434492FB" w:rsidR="007663FA" w:rsidRDefault="007663FA" w:rsidP="00820AB9">
      <w:pPr>
        <w:keepNext/>
        <w:keepLines/>
        <w:rPr>
          <w:rFonts w:ascii="Arial Narrow" w:hAnsi="Arial Narrow"/>
          <w:sz w:val="18"/>
          <w:szCs w:val="18"/>
        </w:rPr>
      </w:pPr>
      <w:r>
        <w:rPr>
          <w:rFonts w:ascii="Arial Narrow" w:hAnsi="Arial Narrow"/>
          <w:sz w:val="18"/>
          <w:szCs w:val="18"/>
        </w:rPr>
        <w:t>AE=adverse event; SAE=serious AE;</w:t>
      </w:r>
      <w:r w:rsidR="0060437A">
        <w:rPr>
          <w:rFonts w:ascii="Arial Narrow" w:hAnsi="Arial Narrow"/>
          <w:sz w:val="18"/>
          <w:szCs w:val="18"/>
        </w:rPr>
        <w:t xml:space="preserve"> </w:t>
      </w:r>
      <w:r w:rsidR="00DF38B9">
        <w:rPr>
          <w:rFonts w:ascii="Arial Narrow" w:hAnsi="Arial Narrow"/>
          <w:sz w:val="18"/>
          <w:szCs w:val="18"/>
        </w:rPr>
        <w:t>RR=relative risk; RD=risk difference; NR=not reported; CI=confidence interval.</w:t>
      </w:r>
    </w:p>
    <w:p w14:paraId="66621B1B" w14:textId="77777777" w:rsidR="007663FA" w:rsidRDefault="007663FA" w:rsidP="00820AB9">
      <w:pPr>
        <w:keepNext/>
        <w:keepLines/>
        <w:rPr>
          <w:rFonts w:ascii="Arial Narrow" w:hAnsi="Arial Narrow"/>
          <w:sz w:val="18"/>
          <w:szCs w:val="18"/>
        </w:rPr>
      </w:pPr>
      <w:r>
        <w:rPr>
          <w:rFonts w:ascii="Arial Narrow" w:hAnsi="Arial Narrow"/>
          <w:sz w:val="18"/>
          <w:szCs w:val="18"/>
        </w:rPr>
        <w:t>a</w:t>
      </w:r>
      <w:r>
        <w:rPr>
          <w:rFonts w:ascii="Arial Narrow" w:hAnsi="Arial Narrow"/>
          <w:sz w:val="18"/>
          <w:szCs w:val="18"/>
        </w:rPr>
        <w:tab/>
      </w:r>
      <w:r w:rsidRPr="00C349D7">
        <w:rPr>
          <w:rFonts w:ascii="Arial Narrow" w:hAnsi="Arial Narrow"/>
          <w:sz w:val="18"/>
          <w:szCs w:val="18"/>
        </w:rPr>
        <w:t xml:space="preserve">Death due to pneumonia; patient received two doses of </w:t>
      </w:r>
      <w:proofErr w:type="spellStart"/>
      <w:r w:rsidRPr="00C349D7">
        <w:rPr>
          <w:rFonts w:ascii="Arial Narrow" w:hAnsi="Arial Narrow"/>
          <w:sz w:val="18"/>
          <w:szCs w:val="18"/>
        </w:rPr>
        <w:t>anifrolumab</w:t>
      </w:r>
      <w:proofErr w:type="spellEnd"/>
      <w:r w:rsidRPr="00C349D7">
        <w:rPr>
          <w:rFonts w:ascii="Arial Narrow" w:hAnsi="Arial Narrow"/>
          <w:sz w:val="18"/>
          <w:szCs w:val="18"/>
        </w:rPr>
        <w:t xml:space="preserve"> 300 mg</w:t>
      </w:r>
      <w:r>
        <w:rPr>
          <w:rFonts w:ascii="Arial Narrow" w:hAnsi="Arial Narrow"/>
          <w:sz w:val="18"/>
          <w:szCs w:val="18"/>
        </w:rPr>
        <w:t>.</w:t>
      </w:r>
    </w:p>
    <w:p w14:paraId="5CB6D218" w14:textId="77777777" w:rsidR="007663FA" w:rsidRDefault="007663FA" w:rsidP="00820AB9">
      <w:pPr>
        <w:keepNext/>
        <w:keepLines/>
        <w:rPr>
          <w:rFonts w:ascii="Arial Narrow" w:hAnsi="Arial Narrow"/>
          <w:sz w:val="18"/>
          <w:szCs w:val="18"/>
        </w:rPr>
      </w:pPr>
      <w:r>
        <w:rPr>
          <w:rFonts w:ascii="Arial Narrow" w:hAnsi="Arial Narrow"/>
          <w:sz w:val="18"/>
          <w:szCs w:val="18"/>
        </w:rPr>
        <w:t>b</w:t>
      </w:r>
      <w:r>
        <w:rPr>
          <w:rFonts w:ascii="Arial Narrow" w:hAnsi="Arial Narrow"/>
          <w:sz w:val="18"/>
          <w:szCs w:val="18"/>
        </w:rPr>
        <w:tab/>
        <w:t>D</w:t>
      </w:r>
      <w:r w:rsidRPr="00977D2E">
        <w:rPr>
          <w:rFonts w:ascii="Arial Narrow" w:hAnsi="Arial Narrow"/>
          <w:sz w:val="18"/>
          <w:szCs w:val="18"/>
        </w:rPr>
        <w:t>eath due to pneumonia.</w:t>
      </w:r>
    </w:p>
    <w:p w14:paraId="6CA6C326" w14:textId="24FA6F45" w:rsidR="007663FA" w:rsidRDefault="007663FA" w:rsidP="00820AB9">
      <w:pPr>
        <w:keepNext/>
        <w:keepLines/>
        <w:ind w:left="170" w:hanging="170"/>
        <w:rPr>
          <w:rFonts w:ascii="Arial Narrow" w:hAnsi="Arial Narrow"/>
          <w:sz w:val="18"/>
          <w:szCs w:val="18"/>
        </w:rPr>
      </w:pPr>
      <w:r>
        <w:rPr>
          <w:rFonts w:ascii="Arial Narrow" w:hAnsi="Arial Narrow"/>
          <w:sz w:val="18"/>
          <w:szCs w:val="18"/>
        </w:rPr>
        <w:t>c</w:t>
      </w:r>
      <w:r>
        <w:rPr>
          <w:rFonts w:ascii="Arial Narrow" w:hAnsi="Arial Narrow"/>
          <w:sz w:val="18"/>
          <w:szCs w:val="18"/>
        </w:rPr>
        <w:tab/>
      </w:r>
      <w:proofErr w:type="gramStart"/>
      <w:r w:rsidRPr="000A19FD">
        <w:rPr>
          <w:rFonts w:ascii="Arial Narrow" w:hAnsi="Arial Narrow"/>
          <w:sz w:val="18"/>
          <w:szCs w:val="18"/>
        </w:rPr>
        <w:t>The</w:t>
      </w:r>
      <w:proofErr w:type="gramEnd"/>
      <w:r w:rsidRPr="000A19FD">
        <w:rPr>
          <w:rFonts w:ascii="Arial Narrow" w:hAnsi="Arial Narrow"/>
          <w:sz w:val="18"/>
          <w:szCs w:val="18"/>
        </w:rPr>
        <w:t xml:space="preserve"> safety population consisted of patients who received at least 1 dose of study drug.</w:t>
      </w:r>
      <w:r>
        <w:rPr>
          <w:rFonts w:ascii="Arial Narrow" w:hAnsi="Arial Narrow"/>
          <w:sz w:val="18"/>
          <w:szCs w:val="18"/>
        </w:rPr>
        <w:t xml:space="preserve"> </w:t>
      </w:r>
      <w:r w:rsidRPr="000A19FD">
        <w:rPr>
          <w:rFonts w:ascii="Arial Narrow" w:hAnsi="Arial Narrow"/>
          <w:sz w:val="18"/>
          <w:szCs w:val="18"/>
        </w:rPr>
        <w:t>One patient randomi</w:t>
      </w:r>
      <w:r w:rsidR="0060437A">
        <w:rPr>
          <w:rFonts w:ascii="Arial Narrow" w:hAnsi="Arial Narrow"/>
          <w:sz w:val="18"/>
          <w:szCs w:val="18"/>
        </w:rPr>
        <w:t>s</w:t>
      </w:r>
      <w:r w:rsidRPr="000A19FD">
        <w:rPr>
          <w:rFonts w:ascii="Arial Narrow" w:hAnsi="Arial Narrow"/>
          <w:sz w:val="18"/>
          <w:szCs w:val="18"/>
        </w:rPr>
        <w:t>ed to the placebo group</w:t>
      </w:r>
      <w:r>
        <w:rPr>
          <w:rFonts w:ascii="Arial Narrow" w:hAnsi="Arial Narrow"/>
          <w:sz w:val="18"/>
          <w:szCs w:val="18"/>
        </w:rPr>
        <w:t xml:space="preserve"> </w:t>
      </w:r>
      <w:r w:rsidRPr="000A19FD">
        <w:rPr>
          <w:rFonts w:ascii="Arial Narrow" w:hAnsi="Arial Narrow"/>
          <w:sz w:val="18"/>
          <w:szCs w:val="18"/>
        </w:rPr>
        <w:t xml:space="preserve">mistakenly received a single dose of </w:t>
      </w:r>
      <w:proofErr w:type="spellStart"/>
      <w:r w:rsidRPr="000A19FD">
        <w:rPr>
          <w:rFonts w:ascii="Arial Narrow" w:hAnsi="Arial Narrow"/>
          <w:sz w:val="18"/>
          <w:szCs w:val="18"/>
        </w:rPr>
        <w:t>anifrolumab</w:t>
      </w:r>
      <w:proofErr w:type="spellEnd"/>
      <w:r>
        <w:rPr>
          <w:rFonts w:ascii="Arial Narrow" w:hAnsi="Arial Narrow"/>
          <w:sz w:val="18"/>
          <w:szCs w:val="18"/>
        </w:rPr>
        <w:t xml:space="preserve"> </w:t>
      </w:r>
      <w:r w:rsidRPr="000A19FD">
        <w:rPr>
          <w:rFonts w:ascii="Arial Narrow" w:hAnsi="Arial Narrow"/>
          <w:sz w:val="18"/>
          <w:szCs w:val="18"/>
        </w:rPr>
        <w:t>1000 mg</w:t>
      </w:r>
      <w:r>
        <w:rPr>
          <w:rFonts w:ascii="Arial Narrow" w:hAnsi="Arial Narrow"/>
          <w:sz w:val="18"/>
          <w:szCs w:val="18"/>
        </w:rPr>
        <w:t xml:space="preserve"> and </w:t>
      </w:r>
      <w:r w:rsidRPr="000A19FD">
        <w:rPr>
          <w:rFonts w:ascii="Arial Narrow" w:hAnsi="Arial Narrow"/>
          <w:sz w:val="18"/>
          <w:szCs w:val="18"/>
        </w:rPr>
        <w:t xml:space="preserve">was included in </w:t>
      </w:r>
      <w:proofErr w:type="spellStart"/>
      <w:r w:rsidRPr="000A19FD">
        <w:rPr>
          <w:rFonts w:ascii="Arial Narrow" w:hAnsi="Arial Narrow"/>
          <w:sz w:val="18"/>
          <w:szCs w:val="18"/>
        </w:rPr>
        <w:t>anifrolumab</w:t>
      </w:r>
      <w:proofErr w:type="spellEnd"/>
      <w:r w:rsidRPr="000A19FD">
        <w:rPr>
          <w:rFonts w:ascii="Arial Narrow" w:hAnsi="Arial Narrow"/>
          <w:sz w:val="18"/>
          <w:szCs w:val="18"/>
        </w:rPr>
        <w:t xml:space="preserve"> 1000</w:t>
      </w:r>
      <w:r>
        <w:rPr>
          <w:rFonts w:ascii="Arial Narrow" w:hAnsi="Arial Narrow"/>
          <w:sz w:val="18"/>
          <w:szCs w:val="18"/>
        </w:rPr>
        <w:t xml:space="preserve"> </w:t>
      </w:r>
      <w:r w:rsidRPr="000A19FD">
        <w:rPr>
          <w:rFonts w:ascii="Arial Narrow" w:hAnsi="Arial Narrow"/>
          <w:sz w:val="18"/>
          <w:szCs w:val="18"/>
        </w:rPr>
        <w:t>mg</w:t>
      </w:r>
      <w:r>
        <w:rPr>
          <w:rFonts w:ascii="Arial Narrow" w:hAnsi="Arial Narrow"/>
          <w:sz w:val="18"/>
          <w:szCs w:val="18"/>
        </w:rPr>
        <w:t xml:space="preserve"> </w:t>
      </w:r>
      <w:r w:rsidRPr="000A19FD">
        <w:rPr>
          <w:rFonts w:ascii="Arial Narrow" w:hAnsi="Arial Narrow"/>
          <w:sz w:val="18"/>
          <w:szCs w:val="18"/>
        </w:rPr>
        <w:t>group for the safety analyses.</w:t>
      </w:r>
    </w:p>
    <w:p w14:paraId="5499803D" w14:textId="5088385E" w:rsidR="007663FA" w:rsidRDefault="007663FA" w:rsidP="00820AB9">
      <w:pPr>
        <w:keepNext/>
        <w:keepLines/>
        <w:ind w:left="170" w:hanging="170"/>
        <w:rPr>
          <w:rFonts w:ascii="Arial Narrow" w:hAnsi="Arial Narrow"/>
          <w:sz w:val="18"/>
          <w:szCs w:val="18"/>
        </w:rPr>
      </w:pPr>
      <w:r>
        <w:rPr>
          <w:rFonts w:ascii="Arial Narrow" w:hAnsi="Arial Narrow"/>
          <w:sz w:val="18"/>
          <w:szCs w:val="18"/>
        </w:rPr>
        <w:t>d</w:t>
      </w:r>
      <w:r>
        <w:rPr>
          <w:rFonts w:ascii="Arial Narrow" w:hAnsi="Arial Narrow"/>
          <w:sz w:val="18"/>
          <w:szCs w:val="18"/>
        </w:rPr>
        <w:tab/>
      </w:r>
      <w:r w:rsidRPr="007B1623">
        <w:rPr>
          <w:rFonts w:ascii="Arial Narrow" w:hAnsi="Arial Narrow"/>
          <w:sz w:val="18"/>
          <w:szCs w:val="18"/>
        </w:rPr>
        <w:t>One patient also had transverse myelitis with a quantitatively positive test result for varicella-zoster</w:t>
      </w:r>
      <w:r>
        <w:rPr>
          <w:rFonts w:ascii="Arial Narrow" w:hAnsi="Arial Narrow"/>
          <w:sz w:val="18"/>
          <w:szCs w:val="18"/>
        </w:rPr>
        <w:t xml:space="preserve"> </w:t>
      </w:r>
      <w:r w:rsidRPr="007B1623">
        <w:rPr>
          <w:rFonts w:ascii="Arial Narrow" w:hAnsi="Arial Narrow"/>
          <w:sz w:val="18"/>
          <w:szCs w:val="18"/>
        </w:rPr>
        <w:t>virus in the cerebrospinal fluid.</w:t>
      </w:r>
    </w:p>
    <w:p w14:paraId="14E74B96" w14:textId="77777777" w:rsidR="007663FA" w:rsidRPr="00C349D7" w:rsidRDefault="007663FA" w:rsidP="007663FA">
      <w:pPr>
        <w:ind w:left="170" w:hanging="170"/>
        <w:rPr>
          <w:rFonts w:ascii="Arial Narrow" w:hAnsi="Arial Narrow"/>
          <w:sz w:val="18"/>
          <w:szCs w:val="18"/>
        </w:rPr>
      </w:pPr>
    </w:p>
    <w:p w14:paraId="338D6C3E" w14:textId="211F4F27" w:rsidR="007663FA" w:rsidRPr="00CB6EE4" w:rsidRDefault="007663FA" w:rsidP="00D86231">
      <w:pPr>
        <w:pStyle w:val="3-BodyText"/>
        <w:rPr>
          <w:iCs/>
        </w:rPr>
      </w:pPr>
      <w:r>
        <w:t xml:space="preserve">In all trials, the incidence of any AEs was higher in the </w:t>
      </w:r>
      <w:proofErr w:type="spellStart"/>
      <w:r>
        <w:t>anifrolumab</w:t>
      </w:r>
      <w:proofErr w:type="spellEnd"/>
      <w:r>
        <w:t xml:space="preserve"> group compared to placebo during treatment to Week 52. The majority of AEs were non-serious, </w:t>
      </w:r>
      <w:proofErr w:type="gramStart"/>
      <w:r>
        <w:t>mild</w:t>
      </w:r>
      <w:proofErr w:type="gramEnd"/>
      <w:r>
        <w:t xml:space="preserve"> or moderate in intensity and did not lead to discontinuation of study drugs. </w:t>
      </w:r>
      <w:r w:rsidRPr="00CB6EE4">
        <w:rPr>
          <w:iCs/>
        </w:rPr>
        <w:t>There were no significant differences between groups in the incidence of serious AEs</w:t>
      </w:r>
      <w:r w:rsidR="00FB23C2" w:rsidRPr="00CB6EE4">
        <w:rPr>
          <w:iCs/>
        </w:rPr>
        <w:t xml:space="preserve"> (SAEs)</w:t>
      </w:r>
      <w:r w:rsidRPr="00CB6EE4">
        <w:rPr>
          <w:iCs/>
        </w:rPr>
        <w:t xml:space="preserve">, discontinuations due to AEs and AEs of special interest with the exception of TULIP-2, which showed significantly higher incidence of </w:t>
      </w:r>
      <w:r w:rsidR="00120B20" w:rsidRPr="00CB6EE4">
        <w:rPr>
          <w:iCs/>
        </w:rPr>
        <w:t xml:space="preserve">serious </w:t>
      </w:r>
      <w:r w:rsidRPr="00CB6EE4">
        <w:rPr>
          <w:iCs/>
        </w:rPr>
        <w:t xml:space="preserve">AEs in the placebo group. </w:t>
      </w:r>
      <w:r w:rsidRPr="00CB6EE4">
        <w:rPr>
          <w:iCs/>
        </w:rPr>
        <w:lastRenderedPageBreak/>
        <w:t>Serious AEs included pneumonia, radial fracture, chest pain, asthma, urinary tract infection and gastroenteritis.</w:t>
      </w:r>
    </w:p>
    <w:p w14:paraId="217AFB61" w14:textId="5F498148" w:rsidR="002F4537" w:rsidRPr="00CB6EE4" w:rsidRDefault="007663FA" w:rsidP="00D86231">
      <w:pPr>
        <w:pStyle w:val="3-BodyText"/>
        <w:rPr>
          <w:iCs/>
        </w:rPr>
      </w:pPr>
      <w:r w:rsidRPr="00CB6EE4">
        <w:rPr>
          <w:iCs/>
        </w:rPr>
        <w:t xml:space="preserve">The most frequent AE of special interest across the trials was herpes zoster, which was higher in the </w:t>
      </w:r>
      <w:proofErr w:type="spellStart"/>
      <w:r w:rsidRPr="00CB6EE4">
        <w:rPr>
          <w:iCs/>
        </w:rPr>
        <w:t>anifrolumab</w:t>
      </w:r>
      <w:proofErr w:type="spellEnd"/>
      <w:r w:rsidRPr="00CB6EE4">
        <w:rPr>
          <w:iCs/>
        </w:rPr>
        <w:t xml:space="preserve"> group than placebo. The herpes zoster infections were generally cutaneous in manifestation, non-serious, mild to moderate (one event in TULIP-1 was severe and one patient in MUSE discontinued treatment due to transverse myelitis with a positive test for herpes zoster in the cerebrospinal fluid) and resolved with antiviral treatment. </w:t>
      </w:r>
    </w:p>
    <w:p w14:paraId="2E91EC02" w14:textId="376BBCEC" w:rsidR="007663FA" w:rsidRPr="00CB6EE4" w:rsidRDefault="007663FA" w:rsidP="00D86231">
      <w:pPr>
        <w:pStyle w:val="3-BodyText"/>
        <w:rPr>
          <w:iCs/>
        </w:rPr>
      </w:pPr>
      <w:r w:rsidRPr="00CB6EE4">
        <w:rPr>
          <w:iCs/>
        </w:rPr>
        <w:t xml:space="preserve">There was </w:t>
      </w:r>
      <w:r w:rsidR="0033340F">
        <w:rPr>
          <w:iCs/>
        </w:rPr>
        <w:t xml:space="preserve">a </w:t>
      </w:r>
      <w:r w:rsidRPr="00CB6EE4">
        <w:rPr>
          <w:iCs/>
        </w:rPr>
        <w:t xml:space="preserve">higher incidence of infusion-related events in the </w:t>
      </w:r>
      <w:proofErr w:type="spellStart"/>
      <w:r w:rsidRPr="00CB6EE4">
        <w:rPr>
          <w:iCs/>
        </w:rPr>
        <w:t>anifrolumab</w:t>
      </w:r>
      <w:proofErr w:type="spellEnd"/>
      <w:r w:rsidRPr="00CB6EE4">
        <w:rPr>
          <w:iCs/>
        </w:rPr>
        <w:t xml:space="preserve"> group across the TULIP trials.</w:t>
      </w:r>
    </w:p>
    <w:p w14:paraId="3E81B2B5" w14:textId="0547B044" w:rsidR="007663FA" w:rsidRPr="007663FA" w:rsidRDefault="00366801" w:rsidP="00D86231">
      <w:pPr>
        <w:pStyle w:val="3-BodyText"/>
      </w:pPr>
      <w:r>
        <w:t>The long-term safety data up to 3 years was consistent with the include</w:t>
      </w:r>
      <w:r w:rsidR="00FC6036">
        <w:t>d</w:t>
      </w:r>
      <w:r>
        <w:t xml:space="preserve"> trials to 52 weeks, with no new safety signals.</w:t>
      </w:r>
    </w:p>
    <w:p w14:paraId="04908C7F" w14:textId="5BB5297D" w:rsidR="007F1017" w:rsidRPr="00C9624D" w:rsidRDefault="007F1017" w:rsidP="00D86231">
      <w:pPr>
        <w:pStyle w:val="4-SubsectionHeading"/>
      </w:pPr>
      <w:bookmarkStart w:id="36" w:name="_Toc22897643"/>
      <w:bookmarkStart w:id="37" w:name="_Toc103015536"/>
      <w:r w:rsidRPr="00C9624D">
        <w:t>Benefits/harms</w:t>
      </w:r>
      <w:bookmarkEnd w:id="36"/>
      <w:bookmarkEnd w:id="37"/>
    </w:p>
    <w:p w14:paraId="43EFCDBF" w14:textId="23DA03D3" w:rsidR="007136F8" w:rsidRDefault="0022008B" w:rsidP="0022008B">
      <w:pPr>
        <w:pStyle w:val="3-BodyText"/>
      </w:pPr>
      <w:r>
        <w:t>T</w:t>
      </w:r>
      <w:r w:rsidR="007136F8">
        <w:t xml:space="preserve">he comparative benefits and harms for </w:t>
      </w:r>
      <w:proofErr w:type="spellStart"/>
      <w:r w:rsidR="007136F8">
        <w:t>anifrolumab</w:t>
      </w:r>
      <w:proofErr w:type="spellEnd"/>
      <w:r w:rsidR="007136F8">
        <w:t xml:space="preserve"> versus placebo (i.e. SOC) in patients with SLE </w:t>
      </w:r>
      <w:r>
        <w:t>can be drawn from</w:t>
      </w:r>
      <w:r w:rsidR="002E5F94" w:rsidRPr="0022008B">
        <w:rPr>
          <w:rFonts w:cstheme="minorHAnsi"/>
        </w:rPr>
        <w:t xml:space="preserve"> </w:t>
      </w:r>
      <w:r w:rsidRPr="0022008B">
        <w:rPr>
          <w:rFonts w:cstheme="minorHAnsi"/>
        </w:rPr>
        <w:fldChar w:fldCharType="begin"/>
      </w:r>
      <w:r w:rsidRPr="0022008B">
        <w:rPr>
          <w:rFonts w:cstheme="minorHAnsi"/>
        </w:rPr>
        <w:instrText xml:space="preserve"> REF _Ref102983167 \h  \* MERGEFORMAT </w:instrText>
      </w:r>
      <w:r w:rsidRPr="0022008B">
        <w:rPr>
          <w:rFonts w:cstheme="minorHAnsi"/>
        </w:rPr>
      </w:r>
      <w:r w:rsidRPr="0022008B">
        <w:rPr>
          <w:rFonts w:cstheme="minorHAnsi"/>
        </w:rPr>
        <w:fldChar w:fldCharType="separate"/>
      </w:r>
      <w:r w:rsidR="00942C22" w:rsidRPr="00942C22">
        <w:rPr>
          <w:rStyle w:val="CommentReference"/>
          <w:rFonts w:asciiTheme="minorHAnsi" w:hAnsiTheme="minorHAnsi" w:cstheme="minorHAnsi"/>
          <w:b w:val="0"/>
          <w:sz w:val="24"/>
          <w:szCs w:val="24"/>
        </w:rPr>
        <w:t xml:space="preserve">Table </w:t>
      </w:r>
      <w:r w:rsidR="00942C22" w:rsidRPr="00942C22">
        <w:rPr>
          <w:rStyle w:val="CommentReference"/>
          <w:rFonts w:asciiTheme="minorHAnsi" w:hAnsiTheme="minorHAnsi" w:cstheme="minorHAnsi"/>
          <w:b w:val="0"/>
          <w:noProof/>
          <w:sz w:val="24"/>
          <w:szCs w:val="24"/>
        </w:rPr>
        <w:t>4</w:t>
      </w:r>
      <w:r w:rsidRPr="0022008B">
        <w:rPr>
          <w:rFonts w:cstheme="minorHAnsi"/>
        </w:rPr>
        <w:fldChar w:fldCharType="end"/>
      </w:r>
      <w:r>
        <w:rPr>
          <w:rFonts w:cstheme="minorHAnsi"/>
        </w:rPr>
        <w:t xml:space="preserve"> </w:t>
      </w:r>
      <w:r w:rsidR="002E5F94" w:rsidRPr="0022008B">
        <w:rPr>
          <w:rFonts w:cstheme="minorHAnsi"/>
        </w:rPr>
        <w:t>and</w:t>
      </w:r>
      <w:r w:rsidRPr="0022008B">
        <w:rPr>
          <w:rFonts w:cstheme="minorHAnsi"/>
        </w:rPr>
        <w:t xml:space="preserve"> </w:t>
      </w:r>
      <w:r w:rsidRPr="0022008B">
        <w:rPr>
          <w:rFonts w:cstheme="minorHAnsi"/>
        </w:rPr>
        <w:fldChar w:fldCharType="begin"/>
      </w:r>
      <w:r w:rsidRPr="0022008B">
        <w:rPr>
          <w:rFonts w:cstheme="minorHAnsi"/>
        </w:rPr>
        <w:instrText xml:space="preserve"> REF _Ref102983259 \h  \* MERGEFORMAT </w:instrText>
      </w:r>
      <w:r w:rsidRPr="0022008B">
        <w:rPr>
          <w:rFonts w:cstheme="minorHAnsi"/>
        </w:rPr>
      </w:r>
      <w:r w:rsidRPr="0022008B">
        <w:rPr>
          <w:rFonts w:cstheme="minorHAnsi"/>
        </w:rPr>
        <w:fldChar w:fldCharType="separate"/>
      </w:r>
      <w:r w:rsidR="00942C22" w:rsidRPr="00942C22">
        <w:rPr>
          <w:rStyle w:val="CommentReference"/>
          <w:rFonts w:asciiTheme="minorHAnsi" w:hAnsiTheme="minorHAnsi" w:cstheme="minorHAnsi"/>
          <w:b w:val="0"/>
          <w:sz w:val="24"/>
          <w:szCs w:val="24"/>
        </w:rPr>
        <w:t xml:space="preserve">Table </w:t>
      </w:r>
      <w:r w:rsidR="00942C22" w:rsidRPr="00942C22">
        <w:rPr>
          <w:rStyle w:val="CommentReference"/>
          <w:rFonts w:asciiTheme="minorHAnsi" w:hAnsiTheme="minorHAnsi" w:cstheme="minorHAnsi"/>
          <w:b w:val="0"/>
          <w:noProof/>
          <w:sz w:val="24"/>
          <w:szCs w:val="24"/>
        </w:rPr>
        <w:t>6</w:t>
      </w:r>
      <w:r w:rsidRPr="0022008B">
        <w:rPr>
          <w:rFonts w:cstheme="minorHAnsi"/>
        </w:rPr>
        <w:fldChar w:fldCharType="end"/>
      </w:r>
      <w:r>
        <w:rPr>
          <w:rFonts w:cstheme="minorHAnsi"/>
        </w:rPr>
        <w:t xml:space="preserve"> </w:t>
      </w:r>
      <w:r w:rsidRPr="0022008B">
        <w:rPr>
          <w:rFonts w:cstheme="minorHAnsi"/>
        </w:rPr>
        <w:t>above</w:t>
      </w:r>
      <w:r w:rsidR="007136F8">
        <w:t>.</w:t>
      </w:r>
      <w:r>
        <w:t xml:space="preserve"> </w:t>
      </w:r>
      <w:r w:rsidR="001134E8">
        <w:t>On the basis of direct evidence presented in the submission, for every 100 patient</w:t>
      </w:r>
      <w:r w:rsidR="0095165B">
        <w:t>s</w:t>
      </w:r>
      <w:r w:rsidR="001134E8">
        <w:t xml:space="preserve"> treated with </w:t>
      </w:r>
      <w:proofErr w:type="spellStart"/>
      <w:r w:rsidR="001134E8">
        <w:t>anifrolumab</w:t>
      </w:r>
      <w:proofErr w:type="spellEnd"/>
      <w:r w:rsidR="001134E8">
        <w:t xml:space="preserve"> in comparison with placebo (SOC)</w:t>
      </w:r>
      <w:r w:rsidR="0095165B">
        <w:t>:</w:t>
      </w:r>
    </w:p>
    <w:p w14:paraId="66D50035" w14:textId="25E2C4B6" w:rsidR="0095165B" w:rsidRDefault="0095165B" w:rsidP="00DC2530">
      <w:pPr>
        <w:pStyle w:val="3-BodyText"/>
        <w:numPr>
          <w:ilvl w:val="0"/>
          <w:numId w:val="8"/>
        </w:numPr>
      </w:pPr>
      <w:r>
        <w:t xml:space="preserve">Approximately </w:t>
      </w:r>
      <w:r w:rsidR="006F36CF">
        <w:t xml:space="preserve">4 fewer patients to 22 additional </w:t>
      </w:r>
      <w:r>
        <w:t xml:space="preserve">patients will achieve </w:t>
      </w:r>
      <w:proofErr w:type="gramStart"/>
      <w:r w:rsidR="006F36CF">
        <w:t>SRI(</w:t>
      </w:r>
      <w:proofErr w:type="gramEnd"/>
      <w:r w:rsidR="006F36CF">
        <w:t xml:space="preserve">4) response </w:t>
      </w:r>
      <w:r>
        <w:t>at Week 52</w:t>
      </w:r>
      <w:r w:rsidR="006F36CF">
        <w:t xml:space="preserve"> depending on the trial and analysis used</w:t>
      </w:r>
      <w:r w:rsidR="00332F7E">
        <w:t>.</w:t>
      </w:r>
    </w:p>
    <w:p w14:paraId="647D0134" w14:textId="10F7E598" w:rsidR="006F36CF" w:rsidRDefault="001134E8" w:rsidP="00DC2530">
      <w:pPr>
        <w:pStyle w:val="3-BodyText"/>
        <w:numPr>
          <w:ilvl w:val="0"/>
          <w:numId w:val="8"/>
        </w:numPr>
      </w:pPr>
      <w:r>
        <w:t xml:space="preserve">Approximately </w:t>
      </w:r>
      <w:r w:rsidR="006F36CF">
        <w:t>1</w:t>
      </w:r>
      <w:r w:rsidR="0022008B">
        <w:t>0</w:t>
      </w:r>
      <w:r w:rsidR="006F36CF">
        <w:t>-</w:t>
      </w:r>
      <w:r>
        <w:t>2</w:t>
      </w:r>
      <w:r w:rsidR="006F36CF">
        <w:t>8</w:t>
      </w:r>
      <w:r>
        <w:t xml:space="preserve"> </w:t>
      </w:r>
      <w:r w:rsidR="0095165B">
        <w:t xml:space="preserve">more </w:t>
      </w:r>
      <w:r>
        <w:t xml:space="preserve">patients will achieve </w:t>
      </w:r>
      <w:r w:rsidR="006F36CF">
        <w:t xml:space="preserve">BICLA </w:t>
      </w:r>
      <w:r w:rsidR="0095165B">
        <w:t>response at Week 52</w:t>
      </w:r>
      <w:r w:rsidR="006F36CF" w:rsidRPr="006F36CF">
        <w:t xml:space="preserve"> </w:t>
      </w:r>
      <w:r w:rsidR="006F36CF">
        <w:t>depending on the trial and analysis used.</w:t>
      </w:r>
    </w:p>
    <w:p w14:paraId="53962C63" w14:textId="214A4C20" w:rsidR="0095165B" w:rsidRDefault="0095165B" w:rsidP="00DC2530">
      <w:pPr>
        <w:pStyle w:val="3-BodyText"/>
        <w:numPr>
          <w:ilvl w:val="0"/>
          <w:numId w:val="8"/>
        </w:numPr>
      </w:pPr>
      <w:r>
        <w:t xml:space="preserve">Approximately 5 to 11 more patients will experience any AEs </w:t>
      </w:r>
      <w:r w:rsidR="007C1CBF">
        <w:t xml:space="preserve">over </w:t>
      </w:r>
      <w:r>
        <w:t>52</w:t>
      </w:r>
      <w:r w:rsidR="007C1CBF">
        <w:t xml:space="preserve"> weeks</w:t>
      </w:r>
      <w:r>
        <w:t>.</w:t>
      </w:r>
    </w:p>
    <w:p w14:paraId="4772B53F" w14:textId="275920A0" w:rsidR="0011380F" w:rsidRDefault="0011380F" w:rsidP="00DC2530">
      <w:pPr>
        <w:pStyle w:val="3-BodyText"/>
        <w:numPr>
          <w:ilvl w:val="0"/>
          <w:numId w:val="8"/>
        </w:numPr>
      </w:pPr>
      <w:r>
        <w:t xml:space="preserve">Approximately 2 to 9 fewer patients will experience </w:t>
      </w:r>
      <w:r w:rsidR="00FB23C2">
        <w:t>S</w:t>
      </w:r>
      <w:r>
        <w:t xml:space="preserve">AEs </w:t>
      </w:r>
      <w:r w:rsidR="007C1CBF">
        <w:t xml:space="preserve">over </w:t>
      </w:r>
      <w:r>
        <w:t>52</w:t>
      </w:r>
      <w:r w:rsidR="007C1CBF">
        <w:t xml:space="preserve"> weeks</w:t>
      </w:r>
      <w:r>
        <w:t>.</w:t>
      </w:r>
    </w:p>
    <w:p w14:paraId="49DB5D66" w14:textId="539EDEFB" w:rsidR="0095165B" w:rsidRDefault="0095165B" w:rsidP="00DC2530">
      <w:pPr>
        <w:pStyle w:val="3-BodyText"/>
        <w:numPr>
          <w:ilvl w:val="0"/>
          <w:numId w:val="8"/>
        </w:numPr>
      </w:pPr>
      <w:r>
        <w:t>Approximately 3 to 6 more patients will experience herpes zoster</w:t>
      </w:r>
      <w:r w:rsidR="006F36CF">
        <w:t>.</w:t>
      </w:r>
    </w:p>
    <w:p w14:paraId="10DD1695" w14:textId="7420F7E7" w:rsidR="0022008B" w:rsidRPr="00CB6EE4" w:rsidRDefault="007E0224" w:rsidP="0022008B">
      <w:pPr>
        <w:pStyle w:val="3-BodyText"/>
        <w:numPr>
          <w:ilvl w:val="0"/>
          <w:numId w:val="0"/>
        </w:numPr>
        <w:ind w:left="680"/>
      </w:pPr>
      <w:r w:rsidRPr="00CB6EE4">
        <w:t>The above statements are based on the total trial populations, whereas the submission has targeted a patient group that the PBAC previously considered to have the greatest clinical need.</w:t>
      </w:r>
    </w:p>
    <w:p w14:paraId="7A1772B6" w14:textId="23BB3145" w:rsidR="00B60939" w:rsidRPr="00C9624D" w:rsidRDefault="00B60939" w:rsidP="00E9094A">
      <w:pPr>
        <w:pStyle w:val="4-SubsectionHeading"/>
      </w:pPr>
      <w:bookmarkStart w:id="38" w:name="_Toc22897644"/>
      <w:bookmarkStart w:id="39" w:name="_Toc103015537"/>
      <w:r w:rsidRPr="00C9624D">
        <w:t>Clinical claim</w:t>
      </w:r>
      <w:bookmarkEnd w:id="38"/>
      <w:bookmarkEnd w:id="39"/>
    </w:p>
    <w:p w14:paraId="2309F6C6" w14:textId="77777777" w:rsidR="002D6018" w:rsidRPr="00F11EB3" w:rsidRDefault="00120B20" w:rsidP="002D6018">
      <w:pPr>
        <w:pStyle w:val="3-BodyText"/>
        <w:rPr>
          <w:iCs/>
        </w:rPr>
      </w:pPr>
      <w:bookmarkStart w:id="40" w:name="_Ref104555182"/>
      <w:r w:rsidRPr="00F11EB3">
        <w:rPr>
          <w:iCs/>
        </w:rPr>
        <w:t xml:space="preserve">The submission described </w:t>
      </w:r>
      <w:proofErr w:type="spellStart"/>
      <w:r w:rsidRPr="00F11EB3">
        <w:rPr>
          <w:iCs/>
        </w:rPr>
        <w:t>anifrolumab</w:t>
      </w:r>
      <w:proofErr w:type="spellEnd"/>
      <w:r w:rsidR="00C12102" w:rsidRPr="00F11EB3">
        <w:rPr>
          <w:iCs/>
        </w:rPr>
        <w:t xml:space="preserve"> added to SOC</w:t>
      </w:r>
      <w:r w:rsidR="00AB61E5" w:rsidRPr="00F11EB3">
        <w:rPr>
          <w:iCs/>
        </w:rPr>
        <w:t xml:space="preserve"> (comprising triple therapy</w:t>
      </w:r>
      <w:r w:rsidR="002D6018" w:rsidRPr="00F11EB3">
        <w:rPr>
          <w:iCs/>
        </w:rPr>
        <w:t>, unless contraindicated or not tolerated</w:t>
      </w:r>
      <w:r w:rsidR="00AB61E5" w:rsidRPr="00F11EB3">
        <w:rPr>
          <w:iCs/>
        </w:rPr>
        <w:t>)</w:t>
      </w:r>
      <w:r w:rsidR="00C12102" w:rsidRPr="00F11EB3">
        <w:rPr>
          <w:iCs/>
        </w:rPr>
        <w:t xml:space="preserve"> in patients with</w:t>
      </w:r>
      <w:r w:rsidR="00B34459" w:rsidRPr="00F11EB3">
        <w:rPr>
          <w:iCs/>
        </w:rPr>
        <w:t xml:space="preserve"> severe </w:t>
      </w:r>
      <w:r w:rsidR="00C12102" w:rsidRPr="00F11EB3">
        <w:rPr>
          <w:iCs/>
        </w:rPr>
        <w:t>SLE</w:t>
      </w:r>
      <w:r w:rsidRPr="00F11EB3">
        <w:rPr>
          <w:iCs/>
        </w:rPr>
        <w:t xml:space="preserve"> as</w:t>
      </w:r>
      <w:r w:rsidR="002D6018" w:rsidRPr="00F11EB3">
        <w:rPr>
          <w:iCs/>
        </w:rPr>
        <w:t>:</w:t>
      </w:r>
    </w:p>
    <w:p w14:paraId="7120D3CB" w14:textId="70482D70" w:rsidR="002D6018" w:rsidRPr="00F11EB3" w:rsidRDefault="002D6018" w:rsidP="00854261">
      <w:pPr>
        <w:pStyle w:val="3-BodyText"/>
        <w:numPr>
          <w:ilvl w:val="0"/>
          <w:numId w:val="19"/>
        </w:numPr>
        <w:rPr>
          <w:iCs/>
        </w:rPr>
      </w:pPr>
      <w:r w:rsidRPr="00F11EB3">
        <w:rPr>
          <w:iCs/>
        </w:rPr>
        <w:t>s</w:t>
      </w:r>
      <w:bookmarkEnd w:id="40"/>
      <w:r w:rsidR="00120B20" w:rsidRPr="00F11EB3">
        <w:rPr>
          <w:iCs/>
        </w:rPr>
        <w:t>uperior</w:t>
      </w:r>
      <w:r w:rsidR="00C12102" w:rsidRPr="00F11EB3">
        <w:rPr>
          <w:iCs/>
        </w:rPr>
        <w:t xml:space="preserve"> to SOC alone</w:t>
      </w:r>
      <w:r w:rsidR="00120B20" w:rsidRPr="00F11EB3">
        <w:rPr>
          <w:iCs/>
        </w:rPr>
        <w:t xml:space="preserve"> in terms of effectiveness</w:t>
      </w:r>
      <w:r w:rsidRPr="00F11EB3">
        <w:rPr>
          <w:iCs/>
        </w:rPr>
        <w:t xml:space="preserve">. </w:t>
      </w:r>
    </w:p>
    <w:p w14:paraId="74B348F2" w14:textId="36B7C240" w:rsidR="0068633B" w:rsidRPr="00F11EB3" w:rsidRDefault="00F02534" w:rsidP="00DC2530">
      <w:pPr>
        <w:pStyle w:val="3-BodyText"/>
        <w:numPr>
          <w:ilvl w:val="0"/>
          <w:numId w:val="8"/>
        </w:numPr>
        <w:rPr>
          <w:iCs/>
        </w:rPr>
      </w:pPr>
      <w:r w:rsidRPr="00F11EB3">
        <w:rPr>
          <w:iCs/>
        </w:rPr>
        <w:t>n</w:t>
      </w:r>
      <w:r w:rsidR="00120B20" w:rsidRPr="00F11EB3">
        <w:rPr>
          <w:iCs/>
        </w:rPr>
        <w:t>on-inferior</w:t>
      </w:r>
      <w:r w:rsidR="00B34459" w:rsidRPr="00F11EB3">
        <w:rPr>
          <w:iCs/>
        </w:rPr>
        <w:t xml:space="preserve"> to SOC alone</w:t>
      </w:r>
      <w:r w:rsidR="00120B20" w:rsidRPr="00F11EB3">
        <w:rPr>
          <w:iCs/>
        </w:rPr>
        <w:t xml:space="preserve"> in terms of safety</w:t>
      </w:r>
      <w:r w:rsidR="002D6018" w:rsidRPr="00F11EB3">
        <w:rPr>
          <w:iCs/>
        </w:rPr>
        <w:t>, however</w:t>
      </w:r>
      <w:r w:rsidR="00191895" w:rsidRPr="00F11EB3">
        <w:rPr>
          <w:iCs/>
        </w:rPr>
        <w:t xml:space="preserve"> </w:t>
      </w:r>
      <w:r w:rsidR="00AB61E5" w:rsidRPr="00F11EB3">
        <w:rPr>
          <w:iCs/>
        </w:rPr>
        <w:t>t</w:t>
      </w:r>
      <w:r w:rsidR="00B34459" w:rsidRPr="00F11EB3">
        <w:rPr>
          <w:iCs/>
        </w:rPr>
        <w:t xml:space="preserve">he PSCR (p2) revised this to </w:t>
      </w:r>
      <w:r w:rsidR="002D6018" w:rsidRPr="00F11EB3">
        <w:rPr>
          <w:iCs/>
        </w:rPr>
        <w:t xml:space="preserve">a claim of inferior, but manageable safety. </w:t>
      </w:r>
    </w:p>
    <w:p w14:paraId="69FF058C" w14:textId="4259CE31" w:rsidR="00C12102" w:rsidRPr="00F11EB3" w:rsidRDefault="00DB62B4" w:rsidP="00C12102">
      <w:pPr>
        <w:pStyle w:val="3-BodyText"/>
        <w:rPr>
          <w:iCs/>
        </w:rPr>
      </w:pPr>
      <w:bookmarkStart w:id="41" w:name="_Ref105753809"/>
      <w:r w:rsidRPr="00F11EB3">
        <w:rPr>
          <w:iCs/>
        </w:rPr>
        <w:t>The</w:t>
      </w:r>
      <w:r w:rsidR="006976AB">
        <w:rPr>
          <w:iCs/>
        </w:rPr>
        <w:t xml:space="preserve"> PBAC agreed with the</w:t>
      </w:r>
      <w:r w:rsidRPr="00F11EB3">
        <w:rPr>
          <w:iCs/>
        </w:rPr>
        <w:t xml:space="preserve"> ESC that </w:t>
      </w:r>
      <w:proofErr w:type="spellStart"/>
      <w:r w:rsidRPr="00F11EB3">
        <w:rPr>
          <w:iCs/>
        </w:rPr>
        <w:t>anifrolumab</w:t>
      </w:r>
      <w:proofErr w:type="spellEnd"/>
      <w:r w:rsidRPr="00F11EB3">
        <w:rPr>
          <w:iCs/>
        </w:rPr>
        <w:t xml:space="preserve"> has a clinical benefit over standard of care, but the magnitude of the benefit in the requested PBS population is uncertain</w:t>
      </w:r>
      <w:r w:rsidR="00270D30">
        <w:rPr>
          <w:iCs/>
        </w:rPr>
        <w:t>. The discussion around these issues from the ESC and the PBAC is as follows</w:t>
      </w:r>
      <w:r w:rsidRPr="00F11EB3">
        <w:rPr>
          <w:iCs/>
        </w:rPr>
        <w:t>:</w:t>
      </w:r>
      <w:bookmarkEnd w:id="41"/>
    </w:p>
    <w:p w14:paraId="3DC7A2B1" w14:textId="5EDA7CD8" w:rsidR="00120B20" w:rsidRPr="00F11EB3" w:rsidRDefault="00120B20" w:rsidP="00120B20">
      <w:pPr>
        <w:pStyle w:val="3-BodyText"/>
        <w:numPr>
          <w:ilvl w:val="0"/>
          <w:numId w:val="0"/>
        </w:numPr>
        <w:ind w:left="680"/>
        <w:rPr>
          <w:iCs/>
          <w:u w:val="single"/>
        </w:rPr>
      </w:pPr>
      <w:r w:rsidRPr="00F11EB3">
        <w:rPr>
          <w:iCs/>
          <w:u w:val="single"/>
        </w:rPr>
        <w:lastRenderedPageBreak/>
        <w:t>Efficacy</w:t>
      </w:r>
    </w:p>
    <w:p w14:paraId="6CEBC09E" w14:textId="2870C106" w:rsidR="00F02534" w:rsidRPr="00F11EB3" w:rsidRDefault="00F02534" w:rsidP="00DC2530">
      <w:pPr>
        <w:pStyle w:val="ListParagraph"/>
        <w:numPr>
          <w:ilvl w:val="0"/>
          <w:numId w:val="8"/>
        </w:numPr>
        <w:rPr>
          <w:iCs/>
        </w:rPr>
      </w:pPr>
      <w:r w:rsidRPr="00F11EB3">
        <w:rPr>
          <w:iCs/>
        </w:rPr>
        <w:t xml:space="preserve">There were inconsistent results in the two key </w:t>
      </w:r>
      <w:proofErr w:type="spellStart"/>
      <w:r w:rsidRPr="00F11EB3">
        <w:rPr>
          <w:iCs/>
        </w:rPr>
        <w:t>anifrolumab</w:t>
      </w:r>
      <w:proofErr w:type="spellEnd"/>
      <w:r w:rsidRPr="00F11EB3">
        <w:rPr>
          <w:iCs/>
        </w:rPr>
        <w:t xml:space="preserve"> trials between disease activity indices. </w:t>
      </w:r>
      <w:proofErr w:type="spellStart"/>
      <w:r w:rsidRPr="00F11EB3">
        <w:rPr>
          <w:iCs/>
        </w:rPr>
        <w:t>Anifrolumab</w:t>
      </w:r>
      <w:proofErr w:type="spellEnd"/>
      <w:r w:rsidRPr="00F11EB3">
        <w:rPr>
          <w:iCs/>
        </w:rPr>
        <w:t xml:space="preserve"> was not associated with a beneficial response in the primary outcome</w:t>
      </w:r>
      <w:r w:rsidRPr="00F11EB3" w:rsidDel="006F01C6">
        <w:rPr>
          <w:iCs/>
        </w:rPr>
        <w:t xml:space="preserve"> </w:t>
      </w:r>
      <w:r w:rsidRPr="00F11EB3">
        <w:rPr>
          <w:iCs/>
        </w:rPr>
        <w:t xml:space="preserve">of </w:t>
      </w:r>
      <w:proofErr w:type="gramStart"/>
      <w:r w:rsidRPr="00F11EB3">
        <w:rPr>
          <w:iCs/>
        </w:rPr>
        <w:t>SRI(</w:t>
      </w:r>
      <w:proofErr w:type="gramEnd"/>
      <w:r w:rsidRPr="00F11EB3">
        <w:rPr>
          <w:iCs/>
        </w:rPr>
        <w:t>4) in the TULIP</w:t>
      </w:r>
      <w:r w:rsidRPr="00F11EB3">
        <w:rPr>
          <w:iCs/>
        </w:rPr>
        <w:noBreakHyphen/>
        <w:t xml:space="preserve">1 trial, however a positive response was demonstrated using the BICLA. In contrast, the TULIP-2 trial showed favourable improvements with </w:t>
      </w:r>
      <w:proofErr w:type="spellStart"/>
      <w:r w:rsidRPr="00F11EB3">
        <w:rPr>
          <w:iCs/>
        </w:rPr>
        <w:t>anifrolumab</w:t>
      </w:r>
      <w:proofErr w:type="spellEnd"/>
      <w:r w:rsidRPr="00F11EB3">
        <w:rPr>
          <w:iCs/>
        </w:rPr>
        <w:t xml:space="preserve"> for both </w:t>
      </w:r>
      <w:proofErr w:type="gramStart"/>
      <w:r w:rsidRPr="00F11EB3">
        <w:rPr>
          <w:iCs/>
        </w:rPr>
        <w:t>SRI(</w:t>
      </w:r>
      <w:proofErr w:type="gramEnd"/>
      <w:r w:rsidRPr="00F11EB3">
        <w:rPr>
          <w:iCs/>
        </w:rPr>
        <w:t>4) and BICLA. These inconsistencies arose despite near identical trial designs and reasonably similar reported patient characteristics. While the reason for the discrepancy is unclear, the ESC acknowledged it is likely to be impacted by patient heterogeneity, including unobserved and yet unknown characteristics that drive the disease, and further considered that it may be an issue with the response indexes.</w:t>
      </w:r>
    </w:p>
    <w:p w14:paraId="1B4BE4C3" w14:textId="37BFAC2A" w:rsidR="00120B20" w:rsidRPr="00F11EB3" w:rsidRDefault="002F68ED" w:rsidP="00DC2530">
      <w:pPr>
        <w:pStyle w:val="3-BodyText"/>
        <w:numPr>
          <w:ilvl w:val="0"/>
          <w:numId w:val="8"/>
        </w:numPr>
        <w:rPr>
          <w:iCs/>
        </w:rPr>
      </w:pPr>
      <w:r w:rsidRPr="00F11EB3">
        <w:rPr>
          <w:iCs/>
        </w:rPr>
        <w:t xml:space="preserve">There were no significant differences in change between Week 52 and baseline of patient reported outcomes such as fatigue or quality of life for </w:t>
      </w:r>
      <w:proofErr w:type="spellStart"/>
      <w:r w:rsidRPr="00F11EB3">
        <w:rPr>
          <w:iCs/>
        </w:rPr>
        <w:t>anifrolumab</w:t>
      </w:r>
      <w:proofErr w:type="spellEnd"/>
      <w:r w:rsidRPr="00F11EB3">
        <w:rPr>
          <w:iCs/>
        </w:rPr>
        <w:t xml:space="preserve"> versus placebo in the trials</w:t>
      </w:r>
      <w:r w:rsidR="00245E0C" w:rsidRPr="00F11EB3">
        <w:rPr>
          <w:iCs/>
        </w:rPr>
        <w:t xml:space="preserve">. </w:t>
      </w:r>
      <w:r w:rsidR="00270D30">
        <w:rPr>
          <w:iCs/>
        </w:rPr>
        <w:t>Further, w</w:t>
      </w:r>
      <w:r w:rsidR="00270D30" w:rsidRPr="00270D30">
        <w:rPr>
          <w:iCs/>
        </w:rPr>
        <w:t xml:space="preserve">hile treatment with </w:t>
      </w:r>
      <w:proofErr w:type="spellStart"/>
      <w:r w:rsidR="00270D30" w:rsidRPr="00270D30">
        <w:rPr>
          <w:iCs/>
        </w:rPr>
        <w:t>anifrolumab</w:t>
      </w:r>
      <w:proofErr w:type="spellEnd"/>
      <w:r w:rsidR="00270D30" w:rsidRPr="00270D30">
        <w:rPr>
          <w:iCs/>
        </w:rPr>
        <w:t xml:space="preserve"> resulted in less </w:t>
      </w:r>
      <w:r w:rsidR="00270D30">
        <w:rPr>
          <w:iCs/>
        </w:rPr>
        <w:t>OCS</w:t>
      </w:r>
      <w:r w:rsidR="00270D30" w:rsidRPr="00270D30">
        <w:rPr>
          <w:iCs/>
        </w:rPr>
        <w:t xml:space="preserve"> use, there was no change in quality of life reported in the trials.</w:t>
      </w:r>
    </w:p>
    <w:p w14:paraId="4D7E5E3D" w14:textId="6FEE120C" w:rsidR="0073499A" w:rsidRPr="00F11EB3" w:rsidRDefault="0073499A" w:rsidP="0073499A">
      <w:pPr>
        <w:pStyle w:val="ListParagraph"/>
        <w:numPr>
          <w:ilvl w:val="0"/>
          <w:numId w:val="8"/>
        </w:numPr>
        <w:rPr>
          <w:iCs/>
        </w:rPr>
      </w:pPr>
      <w:r w:rsidRPr="00F11EB3">
        <w:rPr>
          <w:iCs/>
        </w:rPr>
        <w:t xml:space="preserve">In TULIP-2 the restricted medication rules (around use of NSAIDs and OCS for mild flares) were changed after significant data collection had already occurred. This was likely to confound results in favour of </w:t>
      </w:r>
      <w:proofErr w:type="spellStart"/>
      <w:r w:rsidRPr="00F11EB3">
        <w:rPr>
          <w:iCs/>
        </w:rPr>
        <w:t>anifrolumab</w:t>
      </w:r>
      <w:proofErr w:type="spellEnd"/>
      <w:r w:rsidRPr="00F11EB3">
        <w:rPr>
          <w:iCs/>
        </w:rPr>
        <w:t>.</w:t>
      </w:r>
    </w:p>
    <w:p w14:paraId="48DF3D69" w14:textId="77777777" w:rsidR="00541E18" w:rsidRDefault="00120B20" w:rsidP="00DC2530">
      <w:pPr>
        <w:pStyle w:val="3-BodyText"/>
        <w:numPr>
          <w:ilvl w:val="0"/>
          <w:numId w:val="8"/>
        </w:numPr>
        <w:rPr>
          <w:iCs/>
        </w:rPr>
      </w:pPr>
      <w:r w:rsidRPr="00F11EB3">
        <w:rPr>
          <w:iCs/>
        </w:rPr>
        <w:t xml:space="preserve">The trial population was not representative of patients likely to be treated on PBS, who are </w:t>
      </w:r>
      <w:r w:rsidR="00DF6485" w:rsidRPr="00F11EB3">
        <w:rPr>
          <w:iCs/>
        </w:rPr>
        <w:t>expected</w:t>
      </w:r>
      <w:r w:rsidRPr="00F11EB3">
        <w:rPr>
          <w:iCs/>
        </w:rPr>
        <w:t xml:space="preserve"> to have more severe disease. </w:t>
      </w:r>
      <w:r w:rsidR="002D6018" w:rsidRPr="00F11EB3">
        <w:rPr>
          <w:iCs/>
        </w:rPr>
        <w:t>However, the ESC noted that the purpose of restricting use to this narrow population was to target patients with the greatest clinical need.</w:t>
      </w:r>
      <w:r w:rsidR="009C0BC3" w:rsidRPr="00F11EB3">
        <w:rPr>
          <w:iCs/>
        </w:rPr>
        <w:t xml:space="preserve"> Further, the ESC considered the presented subgroup analyses, while exploratory, did not raise concerns of potentially lower efficacy in the proposed PBS population.</w:t>
      </w:r>
    </w:p>
    <w:p w14:paraId="448D91DD" w14:textId="38B60D93" w:rsidR="00120B20" w:rsidRPr="00F11EB3" w:rsidRDefault="00541E18" w:rsidP="00DC2530">
      <w:pPr>
        <w:pStyle w:val="3-BodyText"/>
        <w:numPr>
          <w:ilvl w:val="0"/>
          <w:numId w:val="8"/>
        </w:numPr>
        <w:rPr>
          <w:iCs/>
        </w:rPr>
      </w:pPr>
      <w:r>
        <w:rPr>
          <w:iCs/>
        </w:rPr>
        <w:t>Overall, the</w:t>
      </w:r>
      <w:r w:rsidR="0027452D">
        <w:rPr>
          <w:iCs/>
        </w:rPr>
        <w:t xml:space="preserve"> </w:t>
      </w:r>
      <w:r w:rsidR="0027452D">
        <w:rPr>
          <w:lang w:val="en-GB"/>
        </w:rPr>
        <w:t>t</w:t>
      </w:r>
      <w:r w:rsidR="0027452D" w:rsidRPr="008C5DBA">
        <w:rPr>
          <w:lang w:val="en-GB"/>
        </w:rPr>
        <w:t xml:space="preserve">he PBAC </w:t>
      </w:r>
      <w:r w:rsidR="0027452D">
        <w:rPr>
          <w:lang w:val="en-GB"/>
        </w:rPr>
        <w:t>acknowledged that the issues associated with clinical efficacy</w:t>
      </w:r>
      <w:r w:rsidR="00C3053F">
        <w:rPr>
          <w:lang w:val="en-GB"/>
        </w:rPr>
        <w:t xml:space="preserve"> of </w:t>
      </w:r>
      <w:proofErr w:type="spellStart"/>
      <w:r w:rsidR="00C3053F">
        <w:rPr>
          <w:lang w:val="en-GB"/>
        </w:rPr>
        <w:t>anifrolumab</w:t>
      </w:r>
      <w:proofErr w:type="spellEnd"/>
      <w:r w:rsidR="0027452D">
        <w:rPr>
          <w:lang w:val="en-GB"/>
        </w:rPr>
        <w:t xml:space="preserve"> reflect </w:t>
      </w:r>
      <w:r w:rsidR="0027452D" w:rsidRPr="008C5DBA">
        <w:rPr>
          <w:lang w:val="en-GB"/>
        </w:rPr>
        <w:t xml:space="preserve">the </w:t>
      </w:r>
      <w:r w:rsidR="0027452D">
        <w:rPr>
          <w:lang w:val="en-GB"/>
        </w:rPr>
        <w:t>challenges associated with SLE and its measurement</w:t>
      </w:r>
      <w:r w:rsidR="0027452D" w:rsidRPr="008C5DBA">
        <w:rPr>
          <w:lang w:val="en-GB"/>
        </w:rPr>
        <w:t xml:space="preserve"> given the complex and variable nature of the disease.</w:t>
      </w:r>
      <w:r w:rsidR="0027452D">
        <w:rPr>
          <w:lang w:val="en-GB"/>
        </w:rPr>
        <w:t xml:space="preserve"> The PBAC considered the claim of superiority </w:t>
      </w:r>
      <w:r w:rsidR="0027452D" w:rsidRPr="00F11EB3">
        <w:rPr>
          <w:iCs/>
        </w:rPr>
        <w:t>to SOC alone in terms of effectiveness</w:t>
      </w:r>
      <w:r w:rsidR="0027452D">
        <w:rPr>
          <w:iCs/>
        </w:rPr>
        <w:t xml:space="preserve"> </w:t>
      </w:r>
      <w:r w:rsidR="00DC4761">
        <w:rPr>
          <w:iCs/>
        </w:rPr>
        <w:t>was</w:t>
      </w:r>
      <w:r w:rsidR="0027452D">
        <w:rPr>
          <w:iCs/>
        </w:rPr>
        <w:t xml:space="preserve"> supported </w:t>
      </w:r>
      <w:r w:rsidR="00DC4761">
        <w:rPr>
          <w:iCs/>
        </w:rPr>
        <w:t>based on</w:t>
      </w:r>
      <w:r w:rsidR="00F9519E">
        <w:rPr>
          <w:iCs/>
        </w:rPr>
        <w:t xml:space="preserve"> the</w:t>
      </w:r>
      <w:r w:rsidR="0027452D">
        <w:rPr>
          <w:iCs/>
        </w:rPr>
        <w:t xml:space="preserve"> small improvement in disease activity for some patients.</w:t>
      </w:r>
      <w:r>
        <w:rPr>
          <w:iCs/>
        </w:rPr>
        <w:t xml:space="preserve"> </w:t>
      </w:r>
      <w:r w:rsidR="009C0BC3" w:rsidRPr="00F11EB3">
        <w:rPr>
          <w:iCs/>
        </w:rPr>
        <w:t xml:space="preserve"> </w:t>
      </w:r>
    </w:p>
    <w:p w14:paraId="12405108" w14:textId="44336104" w:rsidR="00120B20" w:rsidRPr="00CB6EE4" w:rsidRDefault="00120B20" w:rsidP="00C3053F">
      <w:pPr>
        <w:pStyle w:val="3-BodyText"/>
        <w:keepNext/>
        <w:keepLines/>
        <w:numPr>
          <w:ilvl w:val="0"/>
          <w:numId w:val="0"/>
        </w:numPr>
        <w:ind w:left="720"/>
        <w:rPr>
          <w:u w:val="single"/>
        </w:rPr>
      </w:pPr>
      <w:r w:rsidRPr="00CB6EE4">
        <w:rPr>
          <w:u w:val="single"/>
        </w:rPr>
        <w:t>Safety</w:t>
      </w:r>
    </w:p>
    <w:p w14:paraId="12628418" w14:textId="4FBF310F" w:rsidR="00120B20" w:rsidRDefault="020BBAE9" w:rsidP="00C3053F">
      <w:pPr>
        <w:pStyle w:val="3-BodyText"/>
        <w:keepNext/>
        <w:keepLines/>
        <w:numPr>
          <w:ilvl w:val="0"/>
          <w:numId w:val="8"/>
        </w:numPr>
      </w:pPr>
      <w:proofErr w:type="spellStart"/>
      <w:r w:rsidRPr="00F11EB3">
        <w:t>Anifrolumab</w:t>
      </w:r>
      <w:proofErr w:type="spellEnd"/>
      <w:r w:rsidRPr="00F11EB3">
        <w:t xml:space="preserve"> was associated with more adverse events (AEs) than placebo in TULIP</w:t>
      </w:r>
      <w:r w:rsidR="00F02534" w:rsidRPr="00F11EB3">
        <w:noBreakHyphen/>
      </w:r>
      <w:r w:rsidRPr="00F11EB3">
        <w:t>1</w:t>
      </w:r>
      <w:r w:rsidR="7054994A" w:rsidRPr="00F11EB3">
        <w:t xml:space="preserve"> (RD 0.11, 95%</w:t>
      </w:r>
      <w:r w:rsidR="006976AB">
        <w:t xml:space="preserve"> </w:t>
      </w:r>
      <w:r w:rsidR="7054994A" w:rsidRPr="00F11EB3">
        <w:t xml:space="preserve">CI: 0.04, 0.19), but not in TULIP-2 or MUSE. TULIP-2 reported fewer SAEs for </w:t>
      </w:r>
      <w:proofErr w:type="spellStart"/>
      <w:r w:rsidR="7054994A" w:rsidRPr="00F11EB3">
        <w:t>anifrolumab</w:t>
      </w:r>
      <w:proofErr w:type="spellEnd"/>
      <w:r w:rsidR="7054994A" w:rsidRPr="00F11EB3">
        <w:t xml:space="preserve"> (RD: -0.09; 95%</w:t>
      </w:r>
      <w:r w:rsidR="006976AB">
        <w:t xml:space="preserve"> </w:t>
      </w:r>
      <w:r w:rsidR="7054994A" w:rsidRPr="00F11EB3">
        <w:t>CI:</w:t>
      </w:r>
      <w:r w:rsidR="2A5A0311" w:rsidRPr="00F11EB3">
        <w:t xml:space="preserve"> </w:t>
      </w:r>
      <w:r w:rsidR="7054994A" w:rsidRPr="00F11EB3">
        <w:t>-0.15, -0.02). As these</w:t>
      </w:r>
      <w:r w:rsidR="2A5A0311" w:rsidRPr="00F11EB3">
        <w:t xml:space="preserve"> safety results</w:t>
      </w:r>
      <w:r w:rsidR="7054994A" w:rsidRPr="00F11EB3">
        <w:t xml:space="preserve"> reflected trial conditions where patients were administered sham infusions in the placebo arm, </w:t>
      </w:r>
      <w:r w:rsidR="75C03FD8" w:rsidRPr="00F11EB3">
        <w:t xml:space="preserve">additional infusions reactions are to be expected </w:t>
      </w:r>
      <w:r w:rsidR="549B0B71" w:rsidRPr="00F11EB3">
        <w:t xml:space="preserve">for </w:t>
      </w:r>
      <w:proofErr w:type="spellStart"/>
      <w:r w:rsidR="549B0B71" w:rsidRPr="00F11EB3">
        <w:t>anifrolumab</w:t>
      </w:r>
      <w:proofErr w:type="spellEnd"/>
      <w:r w:rsidR="549B0B71" w:rsidRPr="00F11EB3">
        <w:t xml:space="preserve"> in clinical practice versus placebo</w:t>
      </w:r>
      <w:r w:rsidR="7054994A" w:rsidRPr="00F11EB3">
        <w:t xml:space="preserve">. </w:t>
      </w:r>
      <w:proofErr w:type="spellStart"/>
      <w:r w:rsidR="7054994A" w:rsidRPr="00F11EB3">
        <w:t>Anifrolumab</w:t>
      </w:r>
      <w:proofErr w:type="spellEnd"/>
      <w:r w:rsidR="7054994A" w:rsidRPr="00F11EB3">
        <w:t xml:space="preserve"> treatment was associated with greater numbers of herpes zoster infections</w:t>
      </w:r>
      <w:r w:rsidR="2A5A0311" w:rsidRPr="00F11EB3">
        <w:t xml:space="preserve"> in all 3 trials, including one case of likely </w:t>
      </w:r>
      <w:r w:rsidR="00567A42">
        <w:t>central nervous system</w:t>
      </w:r>
      <w:r w:rsidR="00567A42" w:rsidRPr="00F11EB3">
        <w:t xml:space="preserve"> </w:t>
      </w:r>
      <w:r w:rsidR="2A5A0311" w:rsidRPr="00F11EB3">
        <w:t>infection</w:t>
      </w:r>
      <w:r w:rsidR="7054994A" w:rsidRPr="00F11EB3">
        <w:t>.</w:t>
      </w:r>
      <w:r w:rsidRPr="00F11EB3">
        <w:t xml:space="preserve"> The</w:t>
      </w:r>
      <w:r w:rsidR="006976AB">
        <w:t xml:space="preserve"> PBAC agreed with the</w:t>
      </w:r>
      <w:r w:rsidRPr="00F11EB3">
        <w:t xml:space="preserve"> ESC </w:t>
      </w:r>
      <w:r w:rsidR="006976AB">
        <w:t>that</w:t>
      </w:r>
      <w:r w:rsidR="006976AB" w:rsidRPr="00F11EB3">
        <w:t xml:space="preserve"> </w:t>
      </w:r>
      <w:r w:rsidR="000E3C51" w:rsidRPr="00F11EB3">
        <w:t xml:space="preserve">a </w:t>
      </w:r>
      <w:r w:rsidRPr="00F11EB3">
        <w:t>claim of</w:t>
      </w:r>
      <w:r w:rsidR="7054994A" w:rsidRPr="00F11EB3">
        <w:t xml:space="preserve"> inferior but </w:t>
      </w:r>
      <w:r w:rsidR="000E3C51" w:rsidRPr="00F11EB3">
        <w:t xml:space="preserve">likely </w:t>
      </w:r>
      <w:r w:rsidR="7054994A" w:rsidRPr="00F11EB3">
        <w:t>manageable safety</w:t>
      </w:r>
      <w:r w:rsidRPr="00F11EB3">
        <w:t xml:space="preserve"> </w:t>
      </w:r>
      <w:r w:rsidR="00F9519E">
        <w:t>wa</w:t>
      </w:r>
      <w:r w:rsidR="00270D30">
        <w:t>s</w:t>
      </w:r>
      <w:r w:rsidR="000E3C51" w:rsidRPr="00F11EB3">
        <w:t xml:space="preserve"> </w:t>
      </w:r>
      <w:r w:rsidRPr="00F11EB3">
        <w:t>reasonable</w:t>
      </w:r>
      <w:r w:rsidR="7054994A" w:rsidRPr="00F11EB3">
        <w:t>.</w:t>
      </w:r>
    </w:p>
    <w:p w14:paraId="7E602F24" w14:textId="077259F2" w:rsidR="00C3053F" w:rsidRDefault="00C3053F" w:rsidP="00C3053F">
      <w:pPr>
        <w:pStyle w:val="3-BodyText"/>
        <w:numPr>
          <w:ilvl w:val="0"/>
          <w:numId w:val="0"/>
        </w:numPr>
      </w:pPr>
      <w:bookmarkStart w:id="42" w:name="_Toc22897645"/>
      <w:bookmarkStart w:id="43" w:name="_Toc103015538"/>
    </w:p>
    <w:p w14:paraId="74A1172E" w14:textId="7B5B7338" w:rsidR="00B60939" w:rsidRPr="00C9624D" w:rsidRDefault="00B60939" w:rsidP="00C3053F">
      <w:pPr>
        <w:pStyle w:val="4-SubsectionHeading"/>
      </w:pPr>
      <w:r w:rsidRPr="00C9624D">
        <w:lastRenderedPageBreak/>
        <w:t>Economic analysis</w:t>
      </w:r>
      <w:bookmarkEnd w:id="42"/>
      <w:bookmarkEnd w:id="43"/>
      <w:r w:rsidR="00491B3A" w:rsidRPr="00C9624D">
        <w:t xml:space="preserve"> </w:t>
      </w:r>
    </w:p>
    <w:p w14:paraId="4769AB16" w14:textId="733C47E6" w:rsidR="000D2C16" w:rsidRPr="000D2C16" w:rsidRDefault="000D2C16" w:rsidP="000D2C16">
      <w:pPr>
        <w:numPr>
          <w:ilvl w:val="1"/>
          <w:numId w:val="1"/>
        </w:numPr>
        <w:spacing w:after="120"/>
        <w:rPr>
          <w:rFonts w:asciiTheme="minorHAnsi" w:hAnsiTheme="minorHAnsi"/>
          <w:b/>
          <w:bCs/>
          <w:snapToGrid w:val="0"/>
          <w:color w:val="0066FF"/>
        </w:rPr>
      </w:pPr>
      <w:r w:rsidRPr="000D2C16">
        <w:rPr>
          <w:rFonts w:asciiTheme="minorHAnsi" w:hAnsiTheme="minorHAnsi"/>
          <w:snapToGrid w:val="0"/>
        </w:rPr>
        <w:t xml:space="preserve">The submission presented a stepped economic evaluation comparing </w:t>
      </w:r>
      <w:proofErr w:type="spellStart"/>
      <w:r w:rsidRPr="000D2C16">
        <w:rPr>
          <w:rFonts w:asciiTheme="minorHAnsi" w:hAnsiTheme="minorHAnsi"/>
          <w:snapToGrid w:val="0"/>
        </w:rPr>
        <w:t>anifrolumab</w:t>
      </w:r>
      <w:proofErr w:type="spellEnd"/>
      <w:r w:rsidRPr="000D2C16">
        <w:rPr>
          <w:rFonts w:asciiTheme="minorHAnsi" w:hAnsiTheme="minorHAnsi"/>
          <w:snapToGrid w:val="0"/>
        </w:rPr>
        <w:t xml:space="preserve"> to SOC. The economic evaluation was based on direct evidence from the TULIP trials and extrapolations using evidence from the MUSE LTE and the John Hopkins Lupus cohort (JHLC)</w:t>
      </w:r>
      <w:r w:rsidR="00D968B6">
        <w:rPr>
          <w:rFonts w:asciiTheme="minorHAnsi" w:hAnsiTheme="minorHAnsi"/>
          <w:snapToGrid w:val="0"/>
        </w:rPr>
        <w:t>, which is a SLE registry based in the US</w:t>
      </w:r>
      <w:r w:rsidRPr="000D2C16">
        <w:rPr>
          <w:rFonts w:asciiTheme="minorHAnsi" w:hAnsiTheme="minorHAnsi"/>
          <w:snapToGrid w:val="0"/>
        </w:rPr>
        <w:t>. The type of economic evaluation presented was a cost-utility analysis across a 30-year time horizon, using patient level microsimulation.</w:t>
      </w:r>
    </w:p>
    <w:p w14:paraId="3BD54761" w14:textId="1F1A48DF" w:rsidR="000D2C16" w:rsidRPr="000D2C16" w:rsidRDefault="00B86F70" w:rsidP="000D2C16">
      <w:pPr>
        <w:numPr>
          <w:ilvl w:val="1"/>
          <w:numId w:val="1"/>
        </w:numPr>
        <w:spacing w:after="120"/>
        <w:rPr>
          <w:rFonts w:ascii="Arial Narrow" w:hAnsi="Arial Narrow"/>
          <w:b/>
          <w:snapToGrid w:val="0"/>
          <w:sz w:val="20"/>
        </w:rPr>
      </w:pPr>
      <w:r>
        <w:rPr>
          <w:rFonts w:asciiTheme="minorHAnsi" w:hAnsiTheme="minorHAnsi"/>
          <w:snapToGrid w:val="0"/>
        </w:rPr>
        <w:t>T</w:t>
      </w:r>
      <w:r w:rsidR="000D2C16" w:rsidRPr="000D2C16">
        <w:rPr>
          <w:rFonts w:asciiTheme="minorHAnsi" w:hAnsiTheme="minorHAnsi"/>
          <w:snapToGrid w:val="0"/>
        </w:rPr>
        <w:t xml:space="preserve">he key components of the economic evaluation are </w:t>
      </w:r>
      <w:r>
        <w:rPr>
          <w:rFonts w:asciiTheme="minorHAnsi" w:hAnsiTheme="minorHAnsi"/>
          <w:snapToGrid w:val="0"/>
        </w:rPr>
        <w:t>summaris</w:t>
      </w:r>
      <w:r w:rsidRPr="000D2C16">
        <w:rPr>
          <w:rFonts w:asciiTheme="minorHAnsi" w:hAnsiTheme="minorHAnsi"/>
          <w:snapToGrid w:val="0"/>
        </w:rPr>
        <w:t xml:space="preserve">ed </w:t>
      </w:r>
      <w:r w:rsidR="000D2C16" w:rsidRPr="000D2C16">
        <w:rPr>
          <w:rFonts w:asciiTheme="minorHAnsi" w:hAnsiTheme="minorHAnsi"/>
          <w:snapToGrid w:val="0"/>
        </w:rPr>
        <w:t xml:space="preserve">in </w:t>
      </w:r>
      <w:r w:rsidR="000D2C16" w:rsidRPr="00B86F70">
        <w:rPr>
          <w:rFonts w:asciiTheme="minorHAnsi" w:hAnsiTheme="minorHAnsi"/>
          <w:snapToGrid w:val="0"/>
        </w:rPr>
        <w:fldChar w:fldCharType="begin"/>
      </w:r>
      <w:r w:rsidR="000D2C16" w:rsidRPr="00B86F70">
        <w:rPr>
          <w:rFonts w:asciiTheme="minorHAnsi" w:hAnsiTheme="minorHAnsi"/>
          <w:snapToGrid w:val="0"/>
        </w:rPr>
        <w:instrText xml:space="preserve"> REF _Ref102736503 </w:instrText>
      </w:r>
      <w:r w:rsidR="001B385A" w:rsidRPr="00B86F70">
        <w:rPr>
          <w:rFonts w:asciiTheme="minorHAnsi" w:hAnsiTheme="minorHAnsi"/>
          <w:snapToGrid w:val="0"/>
        </w:rPr>
        <w:instrText xml:space="preserve"> \* MERGEFORMAT </w:instrText>
      </w:r>
      <w:r w:rsidR="000D2C16" w:rsidRPr="00B86F70">
        <w:rPr>
          <w:rFonts w:asciiTheme="minorHAnsi" w:hAnsiTheme="minorHAnsi"/>
          <w:snapToGrid w:val="0"/>
        </w:rPr>
        <w:fldChar w:fldCharType="separate"/>
      </w:r>
      <w:r w:rsidR="00942C22" w:rsidRPr="00942C22">
        <w:rPr>
          <w:rFonts w:asciiTheme="minorHAnsi" w:hAnsiTheme="minorHAnsi"/>
          <w:snapToGrid w:val="0"/>
        </w:rPr>
        <w:t>Table 7</w:t>
      </w:r>
      <w:r w:rsidR="000D2C16" w:rsidRPr="00B86F70">
        <w:rPr>
          <w:rFonts w:asciiTheme="minorHAnsi" w:hAnsiTheme="minorHAnsi"/>
          <w:snapToGrid w:val="0"/>
        </w:rPr>
        <w:fldChar w:fldCharType="end"/>
      </w:r>
      <w:r w:rsidR="000D2C16" w:rsidRPr="000D2C16">
        <w:rPr>
          <w:rFonts w:asciiTheme="minorHAnsi" w:hAnsiTheme="minorHAnsi"/>
          <w:snapToGrid w:val="0"/>
        </w:rPr>
        <w:t>.</w:t>
      </w:r>
    </w:p>
    <w:p w14:paraId="00202CA8" w14:textId="208D185D" w:rsidR="000D2C16" w:rsidRPr="000D2C16" w:rsidRDefault="000D2C16" w:rsidP="000D2C16">
      <w:pPr>
        <w:keepNext/>
        <w:jc w:val="left"/>
        <w:rPr>
          <w:rFonts w:ascii="Arial Narrow" w:eastAsiaTheme="majorEastAsia" w:hAnsi="Arial Narrow" w:cstheme="majorBidi"/>
          <w:b/>
          <w:bCs/>
          <w:sz w:val="20"/>
        </w:rPr>
      </w:pPr>
      <w:bookmarkStart w:id="44" w:name="_Ref102736503"/>
      <w:r w:rsidRPr="000D2C16">
        <w:rPr>
          <w:rFonts w:ascii="Arial Narrow" w:eastAsiaTheme="majorEastAsia" w:hAnsi="Arial Narrow" w:cstheme="majorBidi"/>
          <w:b/>
          <w:bCs/>
          <w:sz w:val="20"/>
        </w:rPr>
        <w:t xml:space="preserve">Table </w:t>
      </w:r>
      <w:r w:rsidRPr="000D2C16">
        <w:rPr>
          <w:rFonts w:ascii="Arial Narrow" w:eastAsiaTheme="majorEastAsia" w:hAnsi="Arial Narrow" w:cstheme="majorBidi"/>
          <w:b/>
          <w:bCs/>
          <w:sz w:val="20"/>
        </w:rPr>
        <w:fldChar w:fldCharType="begin"/>
      </w:r>
      <w:r w:rsidRPr="000D2C16">
        <w:rPr>
          <w:rFonts w:ascii="Arial Narrow" w:eastAsiaTheme="majorEastAsia" w:hAnsi="Arial Narrow" w:cstheme="majorBidi"/>
          <w:b/>
          <w:bCs/>
          <w:sz w:val="20"/>
        </w:rPr>
        <w:instrText xml:space="preserve"> SEQ Table \* ARABIC </w:instrText>
      </w:r>
      <w:r w:rsidRPr="000D2C16">
        <w:rPr>
          <w:rFonts w:ascii="Arial Narrow" w:eastAsiaTheme="majorEastAsia" w:hAnsi="Arial Narrow" w:cstheme="majorBidi"/>
          <w:b/>
          <w:bCs/>
          <w:sz w:val="20"/>
        </w:rPr>
        <w:fldChar w:fldCharType="separate"/>
      </w:r>
      <w:r w:rsidR="00942C22">
        <w:rPr>
          <w:rFonts w:ascii="Arial Narrow" w:eastAsiaTheme="majorEastAsia" w:hAnsi="Arial Narrow" w:cstheme="majorBidi"/>
          <w:b/>
          <w:bCs/>
          <w:noProof/>
          <w:sz w:val="20"/>
        </w:rPr>
        <w:t>7</w:t>
      </w:r>
      <w:r w:rsidRPr="000D2C16">
        <w:rPr>
          <w:rFonts w:ascii="Arial Narrow" w:eastAsiaTheme="majorEastAsia" w:hAnsi="Arial Narrow" w:cstheme="majorBidi"/>
          <w:b/>
          <w:bCs/>
          <w:noProof/>
          <w:sz w:val="20"/>
        </w:rPr>
        <w:fldChar w:fldCharType="end"/>
      </w:r>
      <w:bookmarkEnd w:id="44"/>
      <w:r w:rsidRPr="000D2C16">
        <w:rPr>
          <w:rFonts w:ascii="Arial Narrow" w:eastAsiaTheme="majorEastAsia" w:hAnsi="Arial Narrow" w:cstheme="majorBidi"/>
          <w:b/>
          <w:bCs/>
          <w:sz w:val="20"/>
        </w:rPr>
        <w:t xml:space="preserve">: Summary of model structure, key </w:t>
      </w:r>
      <w:proofErr w:type="gramStart"/>
      <w:r w:rsidRPr="000D2C16">
        <w:rPr>
          <w:rFonts w:ascii="Arial Narrow" w:eastAsiaTheme="majorEastAsia" w:hAnsi="Arial Narrow" w:cstheme="majorBidi"/>
          <w:b/>
          <w:bCs/>
          <w:sz w:val="20"/>
        </w:rPr>
        <w:t>inputs</w:t>
      </w:r>
      <w:proofErr w:type="gramEnd"/>
      <w:r w:rsidRPr="000D2C16">
        <w:rPr>
          <w:rFonts w:ascii="Arial Narrow" w:eastAsiaTheme="majorEastAsia" w:hAnsi="Arial Narrow" w:cstheme="majorBidi"/>
          <w:b/>
          <w:bCs/>
          <w:sz w:val="20"/>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7746"/>
      </w:tblGrid>
      <w:tr w:rsidR="000D2C16" w:rsidRPr="00603AFC" w14:paraId="269FDC87" w14:textId="77777777" w:rsidTr="009B77F9">
        <w:trPr>
          <w:cantSplit/>
          <w:tblHeader/>
        </w:trPr>
        <w:tc>
          <w:tcPr>
            <w:tcW w:w="705" w:type="pct"/>
            <w:vAlign w:val="center"/>
          </w:tcPr>
          <w:p w14:paraId="6D5DE964" w14:textId="77777777" w:rsidR="000D2C16" w:rsidRPr="00603AFC" w:rsidRDefault="000D2C16" w:rsidP="000D2C16">
            <w:pPr>
              <w:widowControl w:val="0"/>
              <w:spacing w:before="60"/>
              <w:jc w:val="left"/>
              <w:rPr>
                <w:rFonts w:ascii="Arial Narrow" w:eastAsiaTheme="majorEastAsia" w:hAnsi="Arial Narrow" w:cs="Times New Roman"/>
                <w:b/>
                <w:sz w:val="20"/>
                <w:szCs w:val="20"/>
              </w:rPr>
            </w:pPr>
            <w:r w:rsidRPr="00603AFC">
              <w:rPr>
                <w:rFonts w:ascii="Arial Narrow" w:eastAsiaTheme="majorEastAsia" w:hAnsi="Arial Narrow" w:cs="Times New Roman"/>
                <w:b/>
                <w:sz w:val="20"/>
                <w:szCs w:val="20"/>
              </w:rPr>
              <w:t>Component</w:t>
            </w:r>
          </w:p>
        </w:tc>
        <w:tc>
          <w:tcPr>
            <w:tcW w:w="4295" w:type="pct"/>
          </w:tcPr>
          <w:p w14:paraId="46CFA2A8" w14:textId="77777777" w:rsidR="000D2C16" w:rsidRPr="00603AFC" w:rsidRDefault="000D2C16" w:rsidP="000D2C16">
            <w:pPr>
              <w:widowControl w:val="0"/>
              <w:spacing w:before="60"/>
              <w:jc w:val="center"/>
              <w:rPr>
                <w:rFonts w:ascii="Arial Narrow" w:eastAsiaTheme="majorEastAsia" w:hAnsi="Arial Narrow" w:cs="Times New Roman"/>
                <w:b/>
                <w:sz w:val="20"/>
                <w:szCs w:val="20"/>
              </w:rPr>
            </w:pPr>
            <w:r w:rsidRPr="00603AFC">
              <w:rPr>
                <w:rFonts w:ascii="Arial Narrow" w:eastAsiaTheme="majorEastAsia" w:hAnsi="Arial Narrow" w:cs="Times New Roman"/>
                <w:b/>
                <w:sz w:val="20"/>
                <w:szCs w:val="20"/>
              </w:rPr>
              <w:t>Description</w:t>
            </w:r>
          </w:p>
        </w:tc>
      </w:tr>
      <w:tr w:rsidR="000D2C16" w:rsidRPr="00603AFC" w14:paraId="0B7DAC33" w14:textId="77777777" w:rsidTr="009B77F9">
        <w:trPr>
          <w:cantSplit/>
        </w:trPr>
        <w:tc>
          <w:tcPr>
            <w:tcW w:w="705" w:type="pct"/>
            <w:vAlign w:val="center"/>
          </w:tcPr>
          <w:p w14:paraId="5DDBE42F" w14:textId="77777777" w:rsidR="000D2C16" w:rsidRPr="00603AFC" w:rsidRDefault="000D2C16" w:rsidP="000D2C16">
            <w:pPr>
              <w:widowControl w:val="0"/>
              <w:jc w:val="left"/>
              <w:rPr>
                <w:rFonts w:ascii="Arial Narrow" w:eastAsiaTheme="majorEastAsia" w:hAnsi="Arial Narrow" w:cstheme="majorBidi"/>
                <w:bCs/>
                <w:sz w:val="20"/>
                <w:szCs w:val="20"/>
              </w:rPr>
            </w:pPr>
            <w:r w:rsidRPr="00603AFC">
              <w:rPr>
                <w:rFonts w:ascii="Arial Narrow" w:eastAsiaTheme="majorEastAsia" w:hAnsi="Arial Narrow" w:cstheme="majorBidi"/>
                <w:bCs/>
                <w:sz w:val="20"/>
                <w:szCs w:val="20"/>
              </w:rPr>
              <w:t>Type of analysis</w:t>
            </w:r>
          </w:p>
        </w:tc>
        <w:tc>
          <w:tcPr>
            <w:tcW w:w="4295" w:type="pct"/>
          </w:tcPr>
          <w:p w14:paraId="57CDC14E" w14:textId="77777777" w:rsidR="000D2C16" w:rsidRPr="00603AFC" w:rsidRDefault="000D2C16" w:rsidP="000D2C16">
            <w:pPr>
              <w:widowControl w:val="0"/>
              <w:jc w:val="left"/>
              <w:rPr>
                <w:rFonts w:ascii="Arial Narrow" w:eastAsiaTheme="majorEastAsia" w:hAnsi="Arial Narrow" w:cstheme="majorBidi"/>
                <w:bCs/>
                <w:sz w:val="20"/>
                <w:szCs w:val="20"/>
              </w:rPr>
            </w:pPr>
            <w:r w:rsidRPr="00603AFC">
              <w:rPr>
                <w:rFonts w:ascii="Arial Narrow" w:eastAsiaTheme="majorEastAsia" w:hAnsi="Arial Narrow" w:cstheme="majorBidi"/>
                <w:bCs/>
                <w:sz w:val="20"/>
                <w:szCs w:val="20"/>
              </w:rPr>
              <w:t>Cost-utility.</w:t>
            </w:r>
          </w:p>
        </w:tc>
      </w:tr>
      <w:tr w:rsidR="000D2C16" w:rsidRPr="00603AFC" w14:paraId="7D4CA510" w14:textId="77777777" w:rsidTr="009B77F9">
        <w:trPr>
          <w:cantSplit/>
        </w:trPr>
        <w:tc>
          <w:tcPr>
            <w:tcW w:w="705" w:type="pct"/>
            <w:vAlign w:val="center"/>
          </w:tcPr>
          <w:p w14:paraId="6F43D25A" w14:textId="77777777" w:rsidR="000D2C16" w:rsidRPr="00603AFC" w:rsidRDefault="000D2C16" w:rsidP="000D2C16">
            <w:pPr>
              <w:widowControl w:val="0"/>
              <w:jc w:val="left"/>
              <w:rPr>
                <w:rFonts w:ascii="Arial Narrow" w:eastAsiaTheme="majorEastAsia" w:hAnsi="Arial Narrow" w:cstheme="majorBidi"/>
                <w:bCs/>
                <w:sz w:val="20"/>
                <w:szCs w:val="20"/>
              </w:rPr>
            </w:pPr>
            <w:r w:rsidRPr="00603AFC">
              <w:rPr>
                <w:rFonts w:ascii="Arial Narrow" w:eastAsiaTheme="majorEastAsia" w:hAnsi="Arial Narrow" w:cstheme="majorBidi"/>
                <w:bCs/>
                <w:sz w:val="20"/>
                <w:szCs w:val="20"/>
              </w:rPr>
              <w:t>Outcomes</w:t>
            </w:r>
          </w:p>
        </w:tc>
        <w:tc>
          <w:tcPr>
            <w:tcW w:w="4295" w:type="pct"/>
            <w:vAlign w:val="center"/>
          </w:tcPr>
          <w:p w14:paraId="17E9BEE2" w14:textId="26A69859" w:rsidR="000D2C16" w:rsidRPr="00603AFC" w:rsidRDefault="000D2C16" w:rsidP="000D2C16">
            <w:pPr>
              <w:widowControl w:val="0"/>
              <w:jc w:val="left"/>
              <w:rPr>
                <w:rFonts w:ascii="Arial Narrow" w:eastAsiaTheme="majorEastAsia" w:hAnsi="Arial Narrow" w:cstheme="majorBidi"/>
                <w:bCs/>
                <w:sz w:val="20"/>
                <w:szCs w:val="20"/>
              </w:rPr>
            </w:pPr>
            <w:r w:rsidRPr="00603AFC">
              <w:rPr>
                <w:rFonts w:ascii="Arial Narrow" w:eastAsiaTheme="majorEastAsia" w:hAnsi="Arial Narrow" w:cstheme="majorBidi"/>
                <w:bCs/>
                <w:sz w:val="20"/>
                <w:szCs w:val="20"/>
              </w:rPr>
              <w:t>Quality adjusted life years.</w:t>
            </w:r>
          </w:p>
        </w:tc>
      </w:tr>
      <w:tr w:rsidR="000D2C16" w:rsidRPr="00603AFC" w14:paraId="5EFCEB1C" w14:textId="77777777" w:rsidTr="009B77F9">
        <w:trPr>
          <w:cantSplit/>
        </w:trPr>
        <w:tc>
          <w:tcPr>
            <w:tcW w:w="705" w:type="pct"/>
            <w:vAlign w:val="center"/>
          </w:tcPr>
          <w:p w14:paraId="0065432A" w14:textId="77777777" w:rsidR="000D2C16" w:rsidRPr="00603AFC" w:rsidRDefault="000D2C16" w:rsidP="000D2C16">
            <w:pPr>
              <w:widowControl w:val="0"/>
              <w:jc w:val="left"/>
              <w:rPr>
                <w:rFonts w:ascii="Arial Narrow" w:eastAsiaTheme="majorEastAsia" w:hAnsi="Arial Narrow" w:cstheme="majorBidi"/>
                <w:bCs/>
                <w:sz w:val="20"/>
                <w:szCs w:val="20"/>
              </w:rPr>
            </w:pPr>
            <w:r w:rsidRPr="00603AFC">
              <w:rPr>
                <w:rFonts w:ascii="Arial Narrow" w:eastAsiaTheme="majorEastAsia" w:hAnsi="Arial Narrow" w:cstheme="majorBidi"/>
                <w:bCs/>
                <w:sz w:val="20"/>
                <w:szCs w:val="20"/>
              </w:rPr>
              <w:t>Time horizon</w:t>
            </w:r>
          </w:p>
        </w:tc>
        <w:tc>
          <w:tcPr>
            <w:tcW w:w="4295" w:type="pct"/>
            <w:vAlign w:val="center"/>
          </w:tcPr>
          <w:p w14:paraId="47CE488C" w14:textId="77777777" w:rsidR="000D2C16" w:rsidRPr="005036E4" w:rsidRDefault="000D2C16" w:rsidP="005036E4">
            <w:pPr>
              <w:pStyle w:val="ListParagraph"/>
              <w:widowControl w:val="0"/>
              <w:numPr>
                <w:ilvl w:val="0"/>
                <w:numId w:val="8"/>
              </w:numPr>
              <w:ind w:left="113" w:hanging="113"/>
              <w:jc w:val="left"/>
              <w:rPr>
                <w:rFonts w:ascii="Arial Narrow" w:eastAsiaTheme="majorEastAsia" w:hAnsi="Arial Narrow" w:cstheme="majorBidi"/>
                <w:bCs/>
                <w:sz w:val="20"/>
                <w:szCs w:val="20"/>
              </w:rPr>
            </w:pPr>
            <w:r w:rsidRPr="005036E4">
              <w:rPr>
                <w:rFonts w:ascii="Arial Narrow" w:eastAsiaTheme="majorEastAsia" w:hAnsi="Arial Narrow" w:cstheme="majorBidi"/>
                <w:bCs/>
                <w:sz w:val="20"/>
                <w:szCs w:val="20"/>
              </w:rPr>
              <w:t>30 years in the model base case vs. 52 weeks in the TULIP trials.</w:t>
            </w:r>
          </w:p>
          <w:p w14:paraId="4FC1F5BB" w14:textId="0161BAFB" w:rsidR="000D2C16" w:rsidRPr="00603AFC" w:rsidRDefault="000D2C16" w:rsidP="000D2C16">
            <w:pPr>
              <w:widowControl w:val="0"/>
              <w:jc w:val="left"/>
              <w:rPr>
                <w:rFonts w:ascii="Arial Narrow" w:eastAsiaTheme="majorEastAsia" w:hAnsi="Arial Narrow" w:cstheme="majorBidi"/>
                <w:bCs/>
                <w:sz w:val="20"/>
                <w:szCs w:val="20"/>
              </w:rPr>
            </w:pPr>
            <w:r w:rsidRPr="00603AFC">
              <w:rPr>
                <w:rFonts w:ascii="Arial Narrow" w:eastAsiaTheme="majorEastAsia" w:hAnsi="Arial Narrow" w:cstheme="majorBidi"/>
                <w:bCs/>
                <w:sz w:val="20"/>
                <w:szCs w:val="20"/>
              </w:rPr>
              <w:t>SLE is a life-long chronic condition, therefore</w:t>
            </w:r>
            <w:r w:rsidR="005036E4">
              <w:rPr>
                <w:rFonts w:ascii="Arial Narrow" w:eastAsiaTheme="majorEastAsia" w:hAnsi="Arial Narrow" w:cstheme="majorBidi"/>
                <w:bCs/>
                <w:sz w:val="20"/>
                <w:szCs w:val="20"/>
              </w:rPr>
              <w:t xml:space="preserve"> the evaluation considered that</w:t>
            </w:r>
            <w:r w:rsidRPr="00603AFC">
              <w:rPr>
                <w:rFonts w:ascii="Arial Narrow" w:eastAsiaTheme="majorEastAsia" w:hAnsi="Arial Narrow" w:cstheme="majorBidi"/>
                <w:bCs/>
                <w:sz w:val="20"/>
                <w:szCs w:val="20"/>
              </w:rPr>
              <w:t xml:space="preserve"> a lifetime model would be appropriate to capture all the costs and benefits associated with the disease. </w:t>
            </w:r>
            <w:bookmarkStart w:id="45" w:name="_Hlk109812268"/>
            <w:r w:rsidR="007E2002">
              <w:rPr>
                <w:rFonts w:ascii="Arial Narrow" w:eastAsiaTheme="majorEastAsia" w:hAnsi="Arial Narrow" w:cstheme="majorBidi"/>
                <w:bCs/>
                <w:sz w:val="20"/>
                <w:szCs w:val="20"/>
              </w:rPr>
              <w:t>T</w:t>
            </w:r>
            <w:r w:rsidRPr="00603AFC">
              <w:rPr>
                <w:rFonts w:ascii="Arial Narrow" w:eastAsiaTheme="majorEastAsia" w:hAnsi="Arial Narrow" w:cstheme="majorBidi"/>
                <w:bCs/>
                <w:sz w:val="20"/>
                <w:szCs w:val="20"/>
              </w:rPr>
              <w:t>he</w:t>
            </w:r>
            <w:r w:rsidR="007E2002">
              <w:rPr>
                <w:rFonts w:ascii="Arial Narrow" w:eastAsiaTheme="majorEastAsia" w:hAnsi="Arial Narrow" w:cstheme="majorBidi"/>
                <w:bCs/>
                <w:sz w:val="20"/>
                <w:szCs w:val="20"/>
              </w:rPr>
              <w:t xml:space="preserve"> PBAC agreed with the evaluation that the</w:t>
            </w:r>
            <w:r w:rsidRPr="00603AFC">
              <w:rPr>
                <w:rFonts w:ascii="Arial Narrow" w:eastAsiaTheme="majorEastAsia" w:hAnsi="Arial Narrow" w:cstheme="majorBidi"/>
                <w:bCs/>
                <w:sz w:val="20"/>
                <w:szCs w:val="20"/>
              </w:rPr>
              <w:t xml:space="preserve"> comparatively short trial follow-up (52 weeks vs 30-year time horizon) and the lack of direct evidence on organ damage and mortality results in an uncertain ICER.</w:t>
            </w:r>
            <w:bookmarkEnd w:id="45"/>
          </w:p>
        </w:tc>
      </w:tr>
      <w:tr w:rsidR="000D2C16" w:rsidRPr="00603AFC" w14:paraId="163D8567" w14:textId="77777777" w:rsidTr="009B77F9">
        <w:trPr>
          <w:cantSplit/>
        </w:trPr>
        <w:tc>
          <w:tcPr>
            <w:tcW w:w="705" w:type="pct"/>
            <w:vAlign w:val="center"/>
          </w:tcPr>
          <w:p w14:paraId="27D48BC2" w14:textId="77777777" w:rsidR="000D2C16" w:rsidRPr="00603AFC" w:rsidRDefault="000D2C16" w:rsidP="000D2C16">
            <w:pPr>
              <w:widowControl w:val="0"/>
              <w:jc w:val="left"/>
              <w:rPr>
                <w:rFonts w:ascii="Arial Narrow" w:eastAsiaTheme="majorEastAsia" w:hAnsi="Arial Narrow" w:cstheme="majorBidi"/>
                <w:bCs/>
                <w:sz w:val="20"/>
                <w:szCs w:val="20"/>
              </w:rPr>
            </w:pPr>
            <w:r w:rsidRPr="00603AFC">
              <w:rPr>
                <w:rFonts w:ascii="Arial Narrow" w:eastAsiaTheme="majorEastAsia" w:hAnsi="Arial Narrow" w:cstheme="majorBidi"/>
                <w:bCs/>
                <w:sz w:val="20"/>
                <w:szCs w:val="20"/>
              </w:rPr>
              <w:t xml:space="preserve">Population </w:t>
            </w:r>
          </w:p>
        </w:tc>
        <w:tc>
          <w:tcPr>
            <w:tcW w:w="4295" w:type="pct"/>
            <w:vAlign w:val="center"/>
          </w:tcPr>
          <w:p w14:paraId="127289C1" w14:textId="77777777" w:rsidR="009B77F9" w:rsidRDefault="000D2C16" w:rsidP="005036E4">
            <w:pPr>
              <w:pStyle w:val="ListParagraph"/>
              <w:widowControl w:val="0"/>
              <w:numPr>
                <w:ilvl w:val="0"/>
                <w:numId w:val="8"/>
              </w:numPr>
              <w:ind w:left="114" w:hanging="114"/>
              <w:jc w:val="left"/>
              <w:rPr>
                <w:rFonts w:ascii="Arial Narrow" w:eastAsiaTheme="majorEastAsia" w:hAnsi="Arial Narrow" w:cstheme="majorBidi"/>
                <w:bCs/>
                <w:sz w:val="20"/>
                <w:szCs w:val="20"/>
              </w:rPr>
            </w:pPr>
            <w:r w:rsidRPr="005036E4">
              <w:rPr>
                <w:rFonts w:ascii="Arial Narrow" w:eastAsiaTheme="majorEastAsia" w:hAnsi="Arial Narrow" w:cstheme="majorBidi"/>
                <w:bCs/>
                <w:sz w:val="20"/>
                <w:szCs w:val="20"/>
              </w:rPr>
              <w:t>Based on TULIP trials for the subgroup with SLEDAI-2K</w:t>
            </w:r>
            <w:r w:rsidR="0038176D" w:rsidRPr="005036E4">
              <w:rPr>
                <w:rFonts w:ascii="Arial Narrow" w:eastAsiaTheme="majorEastAsia" w:hAnsi="Arial Narrow" w:cstheme="majorBidi"/>
                <w:bCs/>
                <w:sz w:val="20"/>
                <w:szCs w:val="20"/>
              </w:rPr>
              <w:t xml:space="preserve"> </w:t>
            </w:r>
            <w:r w:rsidRPr="005036E4">
              <w:rPr>
                <w:rFonts w:ascii="Arial Narrow" w:eastAsiaTheme="majorEastAsia" w:hAnsi="Arial Narrow" w:cstheme="majorBidi"/>
                <w:bCs/>
                <w:sz w:val="20"/>
                <w:szCs w:val="20"/>
              </w:rPr>
              <w:t xml:space="preserve">≥10. </w:t>
            </w:r>
          </w:p>
          <w:p w14:paraId="72055C22" w14:textId="7CBA4EEB" w:rsidR="005036E4" w:rsidRDefault="000D2C16" w:rsidP="005036E4">
            <w:pPr>
              <w:pStyle w:val="ListParagraph"/>
              <w:widowControl w:val="0"/>
              <w:numPr>
                <w:ilvl w:val="0"/>
                <w:numId w:val="8"/>
              </w:numPr>
              <w:ind w:left="114" w:hanging="114"/>
              <w:jc w:val="left"/>
              <w:rPr>
                <w:rFonts w:ascii="Arial Narrow" w:eastAsiaTheme="majorEastAsia" w:hAnsi="Arial Narrow" w:cstheme="majorBidi"/>
                <w:bCs/>
                <w:sz w:val="20"/>
                <w:szCs w:val="20"/>
              </w:rPr>
            </w:pPr>
            <w:r w:rsidRPr="005036E4">
              <w:rPr>
                <w:rFonts w:ascii="Arial Narrow" w:eastAsiaTheme="majorEastAsia" w:hAnsi="Arial Narrow" w:cstheme="majorBidi"/>
                <w:bCs/>
                <w:sz w:val="20"/>
                <w:szCs w:val="20"/>
              </w:rPr>
              <w:t xml:space="preserve">Longer term data </w:t>
            </w:r>
            <w:r w:rsidR="00997424" w:rsidRPr="005036E4">
              <w:rPr>
                <w:rFonts w:ascii="Arial Narrow" w:eastAsiaTheme="majorEastAsia" w:hAnsi="Arial Narrow" w:cstheme="majorBidi"/>
                <w:bCs/>
                <w:sz w:val="20"/>
                <w:szCs w:val="20"/>
              </w:rPr>
              <w:t xml:space="preserve">were </w:t>
            </w:r>
            <w:r w:rsidRPr="005036E4">
              <w:rPr>
                <w:rFonts w:ascii="Arial Narrow" w:eastAsiaTheme="majorEastAsia" w:hAnsi="Arial Narrow" w:cstheme="majorBidi"/>
                <w:bCs/>
                <w:sz w:val="20"/>
                <w:szCs w:val="20"/>
              </w:rPr>
              <w:t>based on JHLC</w:t>
            </w:r>
            <w:r w:rsidR="001E5B66" w:rsidRPr="005036E4">
              <w:rPr>
                <w:rFonts w:ascii="Arial Narrow" w:eastAsiaTheme="majorEastAsia" w:hAnsi="Arial Narrow" w:cstheme="majorBidi"/>
                <w:bCs/>
                <w:sz w:val="20"/>
                <w:szCs w:val="20"/>
              </w:rPr>
              <w:t xml:space="preserve"> </w:t>
            </w:r>
            <w:r w:rsidR="00997424" w:rsidRPr="005036E4">
              <w:rPr>
                <w:rFonts w:ascii="Arial Narrow" w:eastAsiaTheme="majorEastAsia" w:hAnsi="Arial Narrow" w:cstheme="majorBidi"/>
                <w:bCs/>
                <w:sz w:val="20"/>
                <w:szCs w:val="20"/>
              </w:rPr>
              <w:t xml:space="preserve">(n = 1,354) </w:t>
            </w:r>
            <w:r w:rsidR="001E5B66" w:rsidRPr="005036E4">
              <w:rPr>
                <w:rFonts w:ascii="Arial Narrow" w:eastAsiaTheme="majorEastAsia" w:hAnsi="Arial Narrow" w:cstheme="majorBidi"/>
                <w:bCs/>
                <w:sz w:val="20"/>
                <w:szCs w:val="20"/>
              </w:rPr>
              <w:t>which had 6.9 years follow-up</w:t>
            </w:r>
            <w:r w:rsidRPr="005036E4">
              <w:rPr>
                <w:rFonts w:ascii="Arial Narrow" w:eastAsiaTheme="majorEastAsia" w:hAnsi="Arial Narrow" w:cstheme="majorBidi"/>
                <w:bCs/>
                <w:sz w:val="20"/>
                <w:szCs w:val="20"/>
              </w:rPr>
              <w:t>.</w:t>
            </w:r>
            <w:r w:rsidR="00F6519A" w:rsidRPr="005036E4">
              <w:rPr>
                <w:rFonts w:ascii="Arial Narrow" w:eastAsiaTheme="majorEastAsia" w:hAnsi="Arial Narrow" w:cstheme="majorBidi"/>
                <w:bCs/>
                <w:sz w:val="20"/>
                <w:szCs w:val="20"/>
              </w:rPr>
              <w:t xml:space="preserve"> </w:t>
            </w:r>
          </w:p>
          <w:p w14:paraId="130D8B74" w14:textId="29475FB9" w:rsidR="000D2C16" w:rsidRPr="00997424" w:rsidRDefault="00DC6E61" w:rsidP="000D2C16">
            <w:pPr>
              <w:widowControl w:val="0"/>
              <w:jc w:val="left"/>
              <w:rPr>
                <w:rFonts w:ascii="Arial Narrow" w:eastAsiaTheme="majorEastAsia" w:hAnsi="Arial Narrow" w:cstheme="majorBidi"/>
                <w:bCs/>
                <w:sz w:val="20"/>
                <w:szCs w:val="20"/>
              </w:rPr>
            </w:pPr>
            <w:r>
              <w:rPr>
                <w:rFonts w:ascii="Arial Narrow" w:eastAsiaTheme="majorEastAsia" w:hAnsi="Arial Narrow" w:cstheme="majorBidi"/>
                <w:bCs/>
                <w:sz w:val="20"/>
                <w:szCs w:val="20"/>
              </w:rPr>
              <w:t>The evaluation noted that l</w:t>
            </w:r>
            <w:r w:rsidR="00F6519A" w:rsidRPr="005036E4">
              <w:rPr>
                <w:rFonts w:ascii="Arial Narrow" w:eastAsiaTheme="majorEastAsia" w:hAnsi="Arial Narrow" w:cstheme="majorBidi"/>
                <w:bCs/>
                <w:sz w:val="20"/>
                <w:szCs w:val="20"/>
              </w:rPr>
              <w:t>imited information was provided about the JHLC registry.</w:t>
            </w:r>
            <w:r w:rsidR="005036E4">
              <w:rPr>
                <w:rFonts w:ascii="Arial Narrow" w:eastAsiaTheme="majorEastAsia" w:hAnsi="Arial Narrow" w:cstheme="majorBidi"/>
                <w:bCs/>
                <w:sz w:val="20"/>
                <w:szCs w:val="20"/>
              </w:rPr>
              <w:t xml:space="preserve"> </w:t>
            </w:r>
            <w:r w:rsidR="000D2C16" w:rsidRPr="00603AFC">
              <w:rPr>
                <w:rFonts w:ascii="Arial Narrow" w:eastAsiaTheme="majorEastAsia" w:hAnsi="Arial Narrow" w:cstheme="majorBidi"/>
                <w:bCs/>
                <w:sz w:val="20"/>
                <w:szCs w:val="20"/>
              </w:rPr>
              <w:t>Neither the TULIP nor the JHLC populations were fully representative of the requested population, considering PBS eligibility also required patients to be on triple therapy and OCS ≥7.5</w:t>
            </w:r>
            <w:r w:rsidR="0038176D" w:rsidRPr="00603AFC">
              <w:rPr>
                <w:rFonts w:ascii="Arial Narrow" w:eastAsiaTheme="majorEastAsia" w:hAnsi="Arial Narrow" w:cstheme="majorBidi"/>
                <w:bCs/>
                <w:sz w:val="20"/>
                <w:szCs w:val="20"/>
              </w:rPr>
              <w:t xml:space="preserve"> </w:t>
            </w:r>
            <w:r w:rsidR="000D2C16" w:rsidRPr="00603AFC">
              <w:rPr>
                <w:rFonts w:ascii="Arial Narrow" w:eastAsiaTheme="majorEastAsia" w:hAnsi="Arial Narrow" w:cstheme="majorBidi"/>
                <w:bCs/>
                <w:sz w:val="20"/>
                <w:szCs w:val="20"/>
              </w:rPr>
              <w:t>mg/day at baseline</w:t>
            </w:r>
            <w:r w:rsidR="005036E4">
              <w:rPr>
                <w:rFonts w:ascii="Arial Narrow" w:eastAsiaTheme="majorEastAsia" w:hAnsi="Arial Narrow" w:cstheme="majorBidi"/>
                <w:bCs/>
                <w:sz w:val="20"/>
                <w:szCs w:val="20"/>
              </w:rPr>
              <w:t>;</w:t>
            </w:r>
            <w:r w:rsidR="00B86F70">
              <w:rPr>
                <w:rFonts w:ascii="Arial Narrow" w:eastAsiaTheme="majorEastAsia" w:hAnsi="Arial Narrow" w:cstheme="majorBidi"/>
                <w:bCs/>
                <w:sz w:val="20"/>
                <w:szCs w:val="20"/>
              </w:rPr>
              <w:t xml:space="preserve"> </w:t>
            </w:r>
            <w:r w:rsidR="00B86F70" w:rsidRPr="00F11EB3">
              <w:rPr>
                <w:rFonts w:ascii="Arial Narrow" w:eastAsiaTheme="majorEastAsia" w:hAnsi="Arial Narrow" w:cstheme="majorBidi"/>
                <w:bCs/>
                <w:sz w:val="20"/>
                <w:szCs w:val="20"/>
              </w:rPr>
              <w:t>the evaluation estimated that</w:t>
            </w:r>
            <w:r w:rsidR="000D2C16" w:rsidRPr="00F11EB3">
              <w:rPr>
                <w:rFonts w:ascii="Arial Narrow" w:eastAsiaTheme="majorEastAsia" w:hAnsi="Arial Narrow" w:cstheme="majorBidi"/>
                <w:bCs/>
                <w:sz w:val="20"/>
                <w:szCs w:val="20"/>
              </w:rPr>
              <w:t xml:space="preserve"> less than 16% of TULIP trial patients would qualify</w:t>
            </w:r>
            <w:r w:rsidR="005036E4">
              <w:rPr>
                <w:rFonts w:ascii="Arial Narrow" w:eastAsiaTheme="majorEastAsia" w:hAnsi="Arial Narrow" w:cstheme="majorBidi"/>
                <w:bCs/>
                <w:sz w:val="20"/>
                <w:szCs w:val="20"/>
              </w:rPr>
              <w:t xml:space="preserve"> for PBS treatment</w:t>
            </w:r>
            <w:r w:rsidR="000D2C16" w:rsidRPr="00F11EB3">
              <w:rPr>
                <w:rFonts w:ascii="Arial Narrow" w:eastAsiaTheme="majorEastAsia" w:hAnsi="Arial Narrow" w:cstheme="majorBidi"/>
                <w:bCs/>
                <w:sz w:val="20"/>
                <w:szCs w:val="20"/>
              </w:rPr>
              <w:t>.</w:t>
            </w:r>
            <w:r w:rsidR="008C43A2" w:rsidRPr="00F11EB3">
              <w:rPr>
                <w:rFonts w:ascii="Arial Narrow" w:eastAsiaTheme="majorEastAsia" w:hAnsi="Arial Narrow" w:cstheme="majorBidi"/>
                <w:bCs/>
                <w:sz w:val="20"/>
                <w:szCs w:val="20"/>
              </w:rPr>
              <w:t xml:space="preserve"> The ESC noted that the TULIP trials did not provide directly comparable data for the requested PBS population.</w:t>
            </w:r>
          </w:p>
          <w:p w14:paraId="09AB9345" w14:textId="7FB31C05" w:rsidR="000D2C16" w:rsidRPr="00603AFC" w:rsidRDefault="000D2C16" w:rsidP="00A245E2">
            <w:pPr>
              <w:widowControl w:val="0"/>
              <w:jc w:val="left"/>
              <w:rPr>
                <w:rFonts w:ascii="Arial Narrow" w:eastAsiaTheme="majorEastAsia" w:hAnsi="Arial Narrow" w:cstheme="majorBidi"/>
                <w:bCs/>
                <w:sz w:val="20"/>
                <w:szCs w:val="20"/>
              </w:rPr>
            </w:pPr>
            <w:r w:rsidRPr="00997424">
              <w:rPr>
                <w:rFonts w:ascii="Arial Narrow" w:eastAsiaTheme="majorEastAsia" w:hAnsi="Arial Narrow" w:cstheme="majorBidi"/>
                <w:bCs/>
                <w:sz w:val="20"/>
                <w:szCs w:val="20"/>
              </w:rPr>
              <w:t>Compared to Australian patient</w:t>
            </w:r>
            <w:r w:rsidR="00997424">
              <w:rPr>
                <w:rFonts w:ascii="Arial Narrow" w:eastAsiaTheme="majorEastAsia" w:hAnsi="Arial Narrow" w:cstheme="majorBidi"/>
                <w:bCs/>
                <w:sz w:val="20"/>
                <w:szCs w:val="20"/>
              </w:rPr>
              <w:t>s</w:t>
            </w:r>
            <w:r w:rsidRPr="00997424">
              <w:rPr>
                <w:rFonts w:ascii="Arial Narrow" w:eastAsiaTheme="majorEastAsia" w:hAnsi="Arial Narrow" w:cstheme="majorBidi"/>
                <w:bCs/>
                <w:sz w:val="20"/>
                <w:szCs w:val="20"/>
              </w:rPr>
              <w:t xml:space="preserve"> in the ALRB, patients with SLEDAI-2K</w:t>
            </w:r>
            <w:r w:rsidR="0038176D" w:rsidRPr="00997424">
              <w:rPr>
                <w:rFonts w:ascii="Arial Narrow" w:eastAsiaTheme="majorEastAsia" w:hAnsi="Arial Narrow" w:cstheme="majorBidi"/>
                <w:bCs/>
                <w:sz w:val="20"/>
                <w:szCs w:val="20"/>
              </w:rPr>
              <w:t xml:space="preserve"> </w:t>
            </w:r>
            <w:r w:rsidRPr="00997424">
              <w:rPr>
                <w:rFonts w:ascii="Arial Narrow" w:eastAsiaTheme="majorEastAsia" w:hAnsi="Arial Narrow" w:cstheme="majorBidi"/>
                <w:bCs/>
                <w:sz w:val="20"/>
                <w:szCs w:val="20"/>
              </w:rPr>
              <w:t>≥10 in the TULIP trials were older (mean age 40 years vs 34.5 years in ALRB) and with less baseline organ damage (38.6% (TULIP ITT data) vs 61.3% in ALRB). There were also far fewer patients of Asian ethnicity in the TULIP trials (9.7% versus 45.2%). Asian ethnicity is associated with more severe disease</w:t>
            </w:r>
            <w:r w:rsidR="00997424" w:rsidRPr="00997424">
              <w:rPr>
                <w:rFonts w:ascii="Arial Narrow" w:eastAsiaTheme="majorEastAsia" w:hAnsi="Arial Narrow" w:cstheme="majorBidi"/>
                <w:bCs/>
                <w:sz w:val="20"/>
                <w:szCs w:val="20"/>
              </w:rPr>
              <w:t xml:space="preserve">, </w:t>
            </w:r>
            <w:r w:rsidR="00997424" w:rsidRPr="00F11EB3">
              <w:rPr>
                <w:rFonts w:ascii="Arial Narrow" w:eastAsiaTheme="majorEastAsia" w:hAnsi="Arial Narrow" w:cstheme="majorBidi"/>
                <w:bCs/>
                <w:sz w:val="20"/>
                <w:szCs w:val="20"/>
              </w:rPr>
              <w:t>and the PSCR claimed that subgroup analyses found that placebo</w:t>
            </w:r>
            <w:r w:rsidR="005036E4">
              <w:rPr>
                <w:rFonts w:ascii="Arial Narrow" w:eastAsiaTheme="majorEastAsia" w:hAnsi="Arial Narrow" w:cstheme="majorBidi"/>
                <w:bCs/>
                <w:sz w:val="20"/>
                <w:szCs w:val="20"/>
              </w:rPr>
              <w:t>-</w:t>
            </w:r>
            <w:r w:rsidR="00997424" w:rsidRPr="00F11EB3">
              <w:rPr>
                <w:rFonts w:ascii="Arial Narrow" w:eastAsiaTheme="majorEastAsia" w:hAnsi="Arial Narrow" w:cstheme="majorBidi"/>
                <w:bCs/>
                <w:sz w:val="20"/>
                <w:szCs w:val="20"/>
              </w:rPr>
              <w:t xml:space="preserve">adjusted response rates were nominally higher in Asian patients indicating that the benefit of </w:t>
            </w:r>
            <w:proofErr w:type="spellStart"/>
            <w:r w:rsidR="00997424" w:rsidRPr="00F11EB3">
              <w:rPr>
                <w:rFonts w:ascii="Arial Narrow" w:eastAsiaTheme="majorEastAsia" w:hAnsi="Arial Narrow" w:cstheme="majorBidi"/>
                <w:bCs/>
                <w:sz w:val="20"/>
                <w:szCs w:val="20"/>
              </w:rPr>
              <w:t>anifrolumab</w:t>
            </w:r>
            <w:proofErr w:type="spellEnd"/>
            <w:r w:rsidR="00997424" w:rsidRPr="00F11EB3">
              <w:rPr>
                <w:rFonts w:ascii="Arial Narrow" w:eastAsiaTheme="majorEastAsia" w:hAnsi="Arial Narrow" w:cstheme="majorBidi"/>
                <w:bCs/>
                <w:sz w:val="20"/>
                <w:szCs w:val="20"/>
              </w:rPr>
              <w:t xml:space="preserve"> to the requested PBS population is potentially greater.</w:t>
            </w:r>
            <w:r w:rsidR="00B36316">
              <w:rPr>
                <w:rFonts w:ascii="Arial Narrow" w:eastAsiaTheme="majorEastAsia" w:hAnsi="Arial Narrow" w:cstheme="majorBidi"/>
                <w:bCs/>
                <w:sz w:val="20"/>
                <w:szCs w:val="20"/>
              </w:rPr>
              <w:t xml:space="preserve"> </w:t>
            </w:r>
          </w:p>
        </w:tc>
      </w:tr>
      <w:tr w:rsidR="000D2C16" w:rsidRPr="00603AFC" w14:paraId="5C8BDEF6" w14:textId="77777777" w:rsidTr="009B77F9">
        <w:trPr>
          <w:cantSplit/>
        </w:trPr>
        <w:tc>
          <w:tcPr>
            <w:tcW w:w="705" w:type="pct"/>
            <w:vAlign w:val="center"/>
          </w:tcPr>
          <w:p w14:paraId="513370E5" w14:textId="77777777" w:rsidR="000D2C16" w:rsidRPr="00603AFC" w:rsidRDefault="000D2C16" w:rsidP="000D2C16">
            <w:pPr>
              <w:widowControl w:val="0"/>
              <w:jc w:val="left"/>
              <w:rPr>
                <w:rFonts w:ascii="Arial Narrow" w:eastAsiaTheme="majorEastAsia" w:hAnsi="Arial Narrow" w:cstheme="majorBidi"/>
                <w:bCs/>
                <w:sz w:val="20"/>
                <w:szCs w:val="20"/>
              </w:rPr>
            </w:pPr>
            <w:r w:rsidRPr="00603AFC">
              <w:rPr>
                <w:rFonts w:ascii="Arial Narrow" w:eastAsiaTheme="majorEastAsia" w:hAnsi="Arial Narrow" w:cstheme="majorBidi"/>
                <w:bCs/>
                <w:sz w:val="20"/>
                <w:szCs w:val="20"/>
              </w:rPr>
              <w:t>Methods used to generate results</w:t>
            </w:r>
          </w:p>
        </w:tc>
        <w:tc>
          <w:tcPr>
            <w:tcW w:w="4295" w:type="pct"/>
            <w:vAlign w:val="center"/>
          </w:tcPr>
          <w:p w14:paraId="4E45B152" w14:textId="77777777" w:rsidR="005036E4" w:rsidRDefault="000D2C16" w:rsidP="005036E4">
            <w:pPr>
              <w:pStyle w:val="ListParagraph"/>
              <w:widowControl w:val="0"/>
              <w:numPr>
                <w:ilvl w:val="0"/>
                <w:numId w:val="8"/>
              </w:numPr>
              <w:ind w:left="114" w:hanging="114"/>
              <w:jc w:val="left"/>
              <w:rPr>
                <w:rFonts w:ascii="Arial Narrow" w:eastAsiaTheme="majorEastAsia" w:hAnsi="Arial Narrow" w:cstheme="majorBidi"/>
                <w:bCs/>
                <w:sz w:val="20"/>
                <w:szCs w:val="20"/>
              </w:rPr>
            </w:pPr>
            <w:r w:rsidRPr="005036E4">
              <w:rPr>
                <w:rFonts w:ascii="Arial Narrow" w:eastAsiaTheme="majorEastAsia" w:hAnsi="Arial Narrow" w:cstheme="majorBidi"/>
                <w:bCs/>
                <w:sz w:val="20"/>
                <w:szCs w:val="20"/>
              </w:rPr>
              <w:t>Individual patient microsimulation</w:t>
            </w:r>
            <w:r w:rsidR="001E5B66" w:rsidRPr="005036E4">
              <w:rPr>
                <w:rFonts w:ascii="Arial Narrow" w:eastAsiaTheme="majorEastAsia" w:hAnsi="Arial Narrow" w:cstheme="majorBidi"/>
                <w:bCs/>
                <w:sz w:val="20"/>
                <w:szCs w:val="20"/>
              </w:rPr>
              <w:t xml:space="preserve"> to allow patient characteristics/history to influence future disease events</w:t>
            </w:r>
            <w:r w:rsidRPr="005036E4">
              <w:rPr>
                <w:rFonts w:ascii="Arial Narrow" w:eastAsiaTheme="majorEastAsia" w:hAnsi="Arial Narrow" w:cstheme="majorBidi"/>
                <w:bCs/>
                <w:sz w:val="20"/>
                <w:szCs w:val="20"/>
              </w:rPr>
              <w:t xml:space="preserve">. </w:t>
            </w:r>
          </w:p>
          <w:p w14:paraId="49A5110C" w14:textId="0A22AEA9" w:rsidR="000D2C16" w:rsidRPr="005036E4" w:rsidRDefault="000C79BA" w:rsidP="005036E4">
            <w:pPr>
              <w:widowControl w:val="0"/>
              <w:jc w:val="left"/>
              <w:rPr>
                <w:rFonts w:ascii="Arial Narrow" w:eastAsiaTheme="majorEastAsia" w:hAnsi="Arial Narrow" w:cstheme="majorBidi"/>
                <w:bCs/>
                <w:sz w:val="20"/>
                <w:szCs w:val="20"/>
              </w:rPr>
            </w:pPr>
            <w:r>
              <w:rPr>
                <w:rFonts w:ascii="Arial Narrow" w:eastAsiaTheme="majorEastAsia" w:hAnsi="Arial Narrow" w:cstheme="majorBidi"/>
                <w:bCs/>
                <w:sz w:val="20"/>
                <w:szCs w:val="20"/>
              </w:rPr>
              <w:t>T</w:t>
            </w:r>
            <w:r w:rsidR="004F69B5">
              <w:rPr>
                <w:rFonts w:ascii="Arial Narrow" w:eastAsiaTheme="majorEastAsia" w:hAnsi="Arial Narrow" w:cstheme="majorBidi"/>
                <w:bCs/>
                <w:sz w:val="20"/>
                <w:szCs w:val="20"/>
              </w:rPr>
              <w:t>he</w:t>
            </w:r>
            <w:r w:rsidR="001E5B66" w:rsidRPr="005036E4">
              <w:rPr>
                <w:rFonts w:ascii="Arial Narrow" w:eastAsiaTheme="majorEastAsia" w:hAnsi="Arial Narrow" w:cstheme="majorBidi"/>
                <w:bCs/>
                <w:sz w:val="20"/>
                <w:szCs w:val="20"/>
              </w:rPr>
              <w:t xml:space="preserve"> evaluation </w:t>
            </w:r>
            <w:r w:rsidR="00E52B85">
              <w:rPr>
                <w:rFonts w:ascii="Arial Narrow" w:eastAsiaTheme="majorEastAsia" w:hAnsi="Arial Narrow" w:cstheme="majorBidi"/>
                <w:bCs/>
                <w:sz w:val="20"/>
                <w:szCs w:val="20"/>
              </w:rPr>
              <w:t xml:space="preserve">and ESC considered </w:t>
            </w:r>
            <w:r w:rsidR="004F69B5">
              <w:rPr>
                <w:rFonts w:ascii="Arial Narrow" w:eastAsiaTheme="majorEastAsia" w:hAnsi="Arial Narrow" w:cstheme="majorBidi"/>
                <w:bCs/>
                <w:sz w:val="20"/>
                <w:szCs w:val="20"/>
              </w:rPr>
              <w:t>that</w:t>
            </w:r>
            <w:r w:rsidR="004F69B5" w:rsidRPr="005036E4">
              <w:rPr>
                <w:rFonts w:ascii="Arial Narrow" w:eastAsiaTheme="majorEastAsia" w:hAnsi="Arial Narrow" w:cstheme="majorBidi"/>
                <w:bCs/>
                <w:sz w:val="20"/>
                <w:szCs w:val="20"/>
              </w:rPr>
              <w:t xml:space="preserve"> </w:t>
            </w:r>
            <w:r w:rsidR="001E5B66" w:rsidRPr="005036E4">
              <w:rPr>
                <w:rFonts w:ascii="Arial Narrow" w:eastAsiaTheme="majorEastAsia" w:hAnsi="Arial Narrow" w:cstheme="majorBidi"/>
                <w:bCs/>
                <w:sz w:val="20"/>
                <w:szCs w:val="20"/>
              </w:rPr>
              <w:t xml:space="preserve">there were issues </w:t>
            </w:r>
            <w:r w:rsidR="000D2C16" w:rsidRPr="005036E4">
              <w:rPr>
                <w:rFonts w:ascii="Arial Narrow" w:eastAsiaTheme="majorEastAsia" w:hAnsi="Arial Narrow" w:cstheme="majorBidi"/>
                <w:bCs/>
                <w:sz w:val="20"/>
                <w:szCs w:val="20"/>
              </w:rPr>
              <w:t xml:space="preserve">with how this approach was implemented, including: summary level data was used to model each patient (rather than individual patient data based on the trials, </w:t>
            </w:r>
            <w:bookmarkStart w:id="46" w:name="_Hlk109814073"/>
            <w:r w:rsidR="000D2C16" w:rsidRPr="005036E4">
              <w:rPr>
                <w:rFonts w:ascii="Arial Narrow" w:eastAsiaTheme="majorEastAsia" w:hAnsi="Arial Narrow" w:cstheme="majorBidi"/>
                <w:bCs/>
                <w:sz w:val="20"/>
                <w:szCs w:val="20"/>
              </w:rPr>
              <w:t>in particular, SOC patients were modelled as an average of responders and non-responders)</w:t>
            </w:r>
            <w:bookmarkEnd w:id="46"/>
            <w:r w:rsidR="000D2C16" w:rsidRPr="005036E4">
              <w:rPr>
                <w:rFonts w:ascii="Arial Narrow" w:eastAsiaTheme="majorEastAsia" w:hAnsi="Arial Narrow" w:cstheme="majorBidi"/>
                <w:bCs/>
                <w:sz w:val="20"/>
                <w:szCs w:val="20"/>
              </w:rPr>
              <w:t>, many model inputs were treated independently, and parameter uncertainty was not captured for many inputs since most treatment effect inputs were modelled using uniform distributions assuming a constant value.</w:t>
            </w:r>
            <w:r w:rsidR="0076459F" w:rsidRPr="005036E4">
              <w:rPr>
                <w:rFonts w:ascii="Arial Narrow" w:eastAsiaTheme="majorEastAsia" w:hAnsi="Arial Narrow" w:cstheme="majorBidi"/>
                <w:bCs/>
                <w:sz w:val="20"/>
                <w:szCs w:val="20"/>
              </w:rPr>
              <w:t xml:space="preserve"> </w:t>
            </w:r>
          </w:p>
        </w:tc>
      </w:tr>
      <w:tr w:rsidR="000D2C16" w:rsidRPr="00603AFC" w14:paraId="3E51CAD0" w14:textId="77777777" w:rsidTr="009B77F9">
        <w:trPr>
          <w:cantSplit/>
        </w:trPr>
        <w:tc>
          <w:tcPr>
            <w:tcW w:w="705" w:type="pct"/>
            <w:vAlign w:val="center"/>
          </w:tcPr>
          <w:p w14:paraId="7CF568E4" w14:textId="77777777" w:rsidR="000D2C16" w:rsidRPr="00603AFC" w:rsidRDefault="000D2C16" w:rsidP="000D2C16">
            <w:pPr>
              <w:widowControl w:val="0"/>
              <w:jc w:val="left"/>
              <w:rPr>
                <w:rFonts w:ascii="Arial Narrow" w:eastAsiaTheme="majorEastAsia" w:hAnsi="Arial Narrow" w:cstheme="majorBidi"/>
                <w:bCs/>
                <w:sz w:val="20"/>
                <w:szCs w:val="20"/>
              </w:rPr>
            </w:pPr>
            <w:r w:rsidRPr="00603AFC">
              <w:rPr>
                <w:rFonts w:ascii="Arial Narrow" w:eastAsiaTheme="majorEastAsia" w:hAnsi="Arial Narrow" w:cstheme="majorBidi"/>
                <w:bCs/>
                <w:sz w:val="20"/>
                <w:szCs w:val="20"/>
              </w:rPr>
              <w:t>Health states</w:t>
            </w:r>
          </w:p>
        </w:tc>
        <w:tc>
          <w:tcPr>
            <w:tcW w:w="4295" w:type="pct"/>
          </w:tcPr>
          <w:p w14:paraId="6DC5F7C0" w14:textId="77777777" w:rsidR="000D2C16" w:rsidRPr="005036E4" w:rsidRDefault="000D2C16" w:rsidP="005036E4">
            <w:pPr>
              <w:pStyle w:val="ListParagraph"/>
              <w:widowControl w:val="0"/>
              <w:numPr>
                <w:ilvl w:val="0"/>
                <w:numId w:val="8"/>
              </w:numPr>
              <w:ind w:left="114" w:hanging="114"/>
              <w:jc w:val="left"/>
              <w:rPr>
                <w:rFonts w:ascii="Arial Narrow" w:eastAsiaTheme="majorEastAsia" w:hAnsi="Arial Narrow" w:cstheme="majorBidi"/>
                <w:bCs/>
                <w:sz w:val="20"/>
                <w:szCs w:val="20"/>
              </w:rPr>
            </w:pPr>
            <w:proofErr w:type="spellStart"/>
            <w:r w:rsidRPr="005036E4">
              <w:rPr>
                <w:rFonts w:ascii="Arial Narrow" w:eastAsiaTheme="majorEastAsia" w:hAnsi="Arial Narrow" w:cstheme="majorBidi"/>
                <w:bCs/>
                <w:sz w:val="20"/>
                <w:szCs w:val="20"/>
                <w:u w:val="single"/>
              </w:rPr>
              <w:t>Anifrolumab</w:t>
            </w:r>
            <w:proofErr w:type="spellEnd"/>
            <w:r w:rsidRPr="005036E4">
              <w:rPr>
                <w:rFonts w:ascii="Arial Narrow" w:eastAsiaTheme="majorEastAsia" w:hAnsi="Arial Narrow" w:cstheme="majorBidi"/>
                <w:bCs/>
                <w:sz w:val="20"/>
                <w:szCs w:val="20"/>
                <w:u w:val="single"/>
              </w:rPr>
              <w:t xml:space="preserve"> arm:</w:t>
            </w:r>
            <w:r w:rsidRPr="005036E4">
              <w:rPr>
                <w:rFonts w:ascii="Arial Narrow" w:eastAsiaTheme="majorEastAsia" w:hAnsi="Arial Narrow" w:cstheme="majorBidi"/>
                <w:bCs/>
                <w:sz w:val="20"/>
                <w:szCs w:val="20"/>
              </w:rPr>
              <w:t xml:space="preserve"> alive on treatment, alive off treatment, dead.</w:t>
            </w:r>
          </w:p>
          <w:p w14:paraId="5EBE6394" w14:textId="77777777" w:rsidR="000D2C16" w:rsidRPr="005036E4" w:rsidRDefault="000D2C16" w:rsidP="005036E4">
            <w:pPr>
              <w:pStyle w:val="ListParagraph"/>
              <w:widowControl w:val="0"/>
              <w:numPr>
                <w:ilvl w:val="0"/>
                <w:numId w:val="8"/>
              </w:numPr>
              <w:ind w:left="114" w:hanging="114"/>
              <w:jc w:val="left"/>
              <w:rPr>
                <w:rFonts w:ascii="Arial Narrow" w:eastAsiaTheme="majorEastAsia" w:hAnsi="Arial Narrow" w:cstheme="majorBidi"/>
                <w:bCs/>
                <w:sz w:val="20"/>
                <w:szCs w:val="20"/>
              </w:rPr>
            </w:pPr>
            <w:r w:rsidRPr="005036E4">
              <w:rPr>
                <w:rFonts w:ascii="Arial Narrow" w:eastAsiaTheme="majorEastAsia" w:hAnsi="Arial Narrow" w:cstheme="majorBidi"/>
                <w:bCs/>
                <w:sz w:val="20"/>
                <w:szCs w:val="20"/>
                <w:u w:val="single"/>
              </w:rPr>
              <w:t>SOC arm:</w:t>
            </w:r>
            <w:r w:rsidRPr="005036E4">
              <w:rPr>
                <w:rFonts w:ascii="Arial Narrow" w:eastAsiaTheme="majorEastAsia" w:hAnsi="Arial Narrow" w:cstheme="majorBidi"/>
                <w:bCs/>
                <w:sz w:val="20"/>
                <w:szCs w:val="20"/>
              </w:rPr>
              <w:t xml:space="preserve"> alive, dead.</w:t>
            </w:r>
          </w:p>
          <w:p w14:paraId="48FF1515" w14:textId="01F719C0" w:rsidR="000D2C16" w:rsidRPr="00603AFC" w:rsidRDefault="00E52B85" w:rsidP="000D2C16">
            <w:pPr>
              <w:widowControl w:val="0"/>
              <w:jc w:val="left"/>
              <w:rPr>
                <w:rFonts w:ascii="Arial Narrow" w:eastAsiaTheme="majorEastAsia" w:hAnsi="Arial Narrow" w:cstheme="majorBidi"/>
                <w:bCs/>
                <w:sz w:val="20"/>
                <w:szCs w:val="20"/>
              </w:rPr>
            </w:pPr>
            <w:r>
              <w:rPr>
                <w:rFonts w:ascii="Arial Narrow" w:eastAsiaTheme="majorEastAsia" w:hAnsi="Arial Narrow" w:cstheme="majorBidi"/>
                <w:bCs/>
                <w:sz w:val="20"/>
                <w:szCs w:val="20"/>
              </w:rPr>
              <w:t>E</w:t>
            </w:r>
            <w:r w:rsidR="000D2C16" w:rsidRPr="00603AFC">
              <w:rPr>
                <w:rFonts w:ascii="Arial Narrow" w:eastAsiaTheme="majorEastAsia" w:hAnsi="Arial Narrow" w:cstheme="majorBidi"/>
                <w:bCs/>
                <w:sz w:val="20"/>
                <w:szCs w:val="20"/>
              </w:rPr>
              <w:t>ach cycle</w:t>
            </w:r>
            <w:r w:rsidR="000111BD">
              <w:rPr>
                <w:rFonts w:ascii="Arial Narrow" w:eastAsiaTheme="majorEastAsia" w:hAnsi="Arial Narrow" w:cstheme="majorBidi"/>
                <w:bCs/>
                <w:sz w:val="20"/>
                <w:szCs w:val="20"/>
              </w:rPr>
              <w:t>,</w:t>
            </w:r>
            <w:r w:rsidR="000D2C16" w:rsidRPr="00603AFC">
              <w:rPr>
                <w:rFonts w:ascii="Arial Narrow" w:eastAsiaTheme="majorEastAsia" w:hAnsi="Arial Narrow" w:cstheme="majorBidi"/>
                <w:bCs/>
                <w:sz w:val="20"/>
                <w:szCs w:val="20"/>
              </w:rPr>
              <w:t xml:space="preserve"> patients could also experience events such as flares, organ damage, OCS use, and change in SLEDAI-2K. Some events were associated with ongoing costs and </w:t>
            </w:r>
            <w:proofErr w:type="spellStart"/>
            <w:r w:rsidR="000D2C16" w:rsidRPr="00603AFC">
              <w:rPr>
                <w:rFonts w:ascii="Arial Narrow" w:eastAsiaTheme="majorEastAsia" w:hAnsi="Arial Narrow" w:cstheme="majorBidi"/>
                <w:bCs/>
                <w:sz w:val="20"/>
                <w:szCs w:val="20"/>
              </w:rPr>
              <w:t>disutilities</w:t>
            </w:r>
            <w:proofErr w:type="spellEnd"/>
            <w:r w:rsidR="000D2C16" w:rsidRPr="00603AFC">
              <w:rPr>
                <w:rFonts w:ascii="Arial Narrow" w:eastAsiaTheme="majorEastAsia" w:hAnsi="Arial Narrow" w:cstheme="majorBidi"/>
                <w:bCs/>
                <w:sz w:val="20"/>
                <w:szCs w:val="20"/>
              </w:rPr>
              <w:t>, effectively making these a different health state.</w:t>
            </w:r>
          </w:p>
          <w:p w14:paraId="1F2BFAC6" w14:textId="0650036B" w:rsidR="000D2C16" w:rsidRPr="00603AFC" w:rsidRDefault="000D2C16" w:rsidP="000D2C16">
            <w:pPr>
              <w:jc w:val="left"/>
              <w:rPr>
                <w:rFonts w:ascii="Arial Narrow" w:eastAsiaTheme="majorEastAsia" w:hAnsi="Arial Narrow" w:cstheme="majorBidi"/>
                <w:sz w:val="20"/>
                <w:szCs w:val="20"/>
              </w:rPr>
            </w:pPr>
            <w:r w:rsidRPr="00603AFC">
              <w:rPr>
                <w:rFonts w:ascii="Arial Narrow" w:eastAsiaTheme="majorEastAsia" w:hAnsi="Arial Narrow" w:cstheme="majorBidi"/>
                <w:bCs/>
                <w:sz w:val="20"/>
                <w:szCs w:val="20"/>
              </w:rPr>
              <w:t xml:space="preserve">Response in the economic model was equivalent to a 4-point reduction in SLEDAI-2K by </w:t>
            </w:r>
            <w:r w:rsidR="00910A6F">
              <w:rPr>
                <w:rFonts w:ascii="Arial Narrow" w:eastAsiaTheme="majorEastAsia" w:hAnsi="Arial Narrow" w:cstheme="majorBidi"/>
                <w:bCs/>
                <w:sz w:val="20"/>
                <w:szCs w:val="20"/>
              </w:rPr>
              <w:t>W</w:t>
            </w:r>
            <w:r w:rsidRPr="00603AFC">
              <w:rPr>
                <w:rFonts w:ascii="Arial Narrow" w:eastAsiaTheme="majorEastAsia" w:hAnsi="Arial Narrow" w:cstheme="majorBidi"/>
                <w:bCs/>
                <w:sz w:val="20"/>
                <w:szCs w:val="20"/>
              </w:rPr>
              <w:t xml:space="preserve">eek 24 and </w:t>
            </w:r>
            <w:proofErr w:type="spellStart"/>
            <w:r w:rsidRPr="00603AFC">
              <w:rPr>
                <w:rFonts w:ascii="Arial Narrow" w:eastAsiaTheme="majorEastAsia" w:hAnsi="Arial Narrow" w:cstheme="majorBidi"/>
                <w:bCs/>
                <w:sz w:val="20"/>
                <w:szCs w:val="20"/>
              </w:rPr>
              <w:t>anifrolumab</w:t>
            </w:r>
            <w:proofErr w:type="spellEnd"/>
            <w:r w:rsidRPr="00603AFC">
              <w:rPr>
                <w:rFonts w:ascii="Arial Narrow" w:eastAsiaTheme="majorEastAsia" w:hAnsi="Arial Narrow" w:cstheme="majorBidi"/>
                <w:bCs/>
                <w:sz w:val="20"/>
                <w:szCs w:val="20"/>
              </w:rPr>
              <w:t xml:space="preserve"> non-responders discontinued treatment beyond this point.</w:t>
            </w:r>
          </w:p>
          <w:p w14:paraId="75404988" w14:textId="469FC184" w:rsidR="000D2C16" w:rsidRPr="00603AFC" w:rsidRDefault="000D2C16" w:rsidP="000D2C16">
            <w:pPr>
              <w:widowControl w:val="0"/>
              <w:jc w:val="left"/>
              <w:rPr>
                <w:rFonts w:ascii="Arial Narrow" w:eastAsiaTheme="majorEastAsia" w:hAnsi="Arial Narrow" w:cstheme="majorBidi"/>
                <w:bCs/>
                <w:sz w:val="20"/>
                <w:szCs w:val="20"/>
              </w:rPr>
            </w:pPr>
            <w:r w:rsidRPr="00603AFC">
              <w:rPr>
                <w:rFonts w:ascii="Arial Narrow" w:eastAsiaTheme="majorEastAsia" w:hAnsi="Arial Narrow" w:cstheme="majorBidi"/>
                <w:bCs/>
                <w:sz w:val="20"/>
                <w:szCs w:val="20"/>
              </w:rPr>
              <w:t xml:space="preserve">Patients who discontinued </w:t>
            </w:r>
            <w:proofErr w:type="spellStart"/>
            <w:r w:rsidRPr="00603AFC">
              <w:rPr>
                <w:rFonts w:ascii="Arial Narrow" w:eastAsiaTheme="majorEastAsia" w:hAnsi="Arial Narrow" w:cstheme="majorBidi"/>
                <w:bCs/>
                <w:sz w:val="20"/>
                <w:szCs w:val="20"/>
              </w:rPr>
              <w:t>anifrolumab</w:t>
            </w:r>
            <w:proofErr w:type="spellEnd"/>
            <w:r w:rsidRPr="00603AFC">
              <w:rPr>
                <w:rFonts w:ascii="Arial Narrow" w:eastAsiaTheme="majorEastAsia" w:hAnsi="Arial Narrow" w:cstheme="majorBidi"/>
                <w:bCs/>
                <w:sz w:val="20"/>
                <w:szCs w:val="20"/>
              </w:rPr>
              <w:t xml:space="preserve"> treatment after </w:t>
            </w:r>
            <w:r w:rsidR="00910A6F">
              <w:rPr>
                <w:rFonts w:ascii="Arial Narrow" w:eastAsiaTheme="majorEastAsia" w:hAnsi="Arial Narrow" w:cstheme="majorBidi"/>
                <w:bCs/>
                <w:sz w:val="20"/>
                <w:szCs w:val="20"/>
              </w:rPr>
              <w:t>W</w:t>
            </w:r>
            <w:r w:rsidRPr="00603AFC">
              <w:rPr>
                <w:rFonts w:ascii="Arial Narrow" w:eastAsiaTheme="majorEastAsia" w:hAnsi="Arial Narrow" w:cstheme="majorBidi"/>
                <w:bCs/>
                <w:sz w:val="20"/>
                <w:szCs w:val="20"/>
              </w:rPr>
              <w:t>eek 24 (for any given reason) were referred to as non-responders in the model.</w:t>
            </w:r>
          </w:p>
        </w:tc>
      </w:tr>
      <w:tr w:rsidR="000D2C16" w:rsidRPr="00603AFC" w14:paraId="1B623A2A" w14:textId="77777777" w:rsidTr="009B77F9">
        <w:trPr>
          <w:cantSplit/>
        </w:trPr>
        <w:tc>
          <w:tcPr>
            <w:tcW w:w="705" w:type="pct"/>
            <w:vAlign w:val="center"/>
          </w:tcPr>
          <w:p w14:paraId="62DE5052" w14:textId="77777777" w:rsidR="000D2C16" w:rsidRPr="00603AFC" w:rsidRDefault="000D2C16" w:rsidP="000D2C16">
            <w:pPr>
              <w:widowControl w:val="0"/>
              <w:jc w:val="left"/>
              <w:rPr>
                <w:rFonts w:ascii="Arial Narrow" w:eastAsiaTheme="majorEastAsia" w:hAnsi="Arial Narrow" w:cstheme="majorBidi"/>
                <w:bCs/>
                <w:sz w:val="20"/>
                <w:szCs w:val="20"/>
              </w:rPr>
            </w:pPr>
            <w:r w:rsidRPr="00603AFC">
              <w:rPr>
                <w:rFonts w:ascii="Arial Narrow" w:eastAsiaTheme="majorEastAsia" w:hAnsi="Arial Narrow" w:cstheme="majorBidi"/>
                <w:bCs/>
                <w:sz w:val="20"/>
                <w:szCs w:val="20"/>
              </w:rPr>
              <w:lastRenderedPageBreak/>
              <w:t>Cycle length</w:t>
            </w:r>
          </w:p>
        </w:tc>
        <w:tc>
          <w:tcPr>
            <w:tcW w:w="4295" w:type="pct"/>
            <w:vAlign w:val="center"/>
          </w:tcPr>
          <w:p w14:paraId="72EA8C20" w14:textId="46059448" w:rsidR="00DC6E61" w:rsidRDefault="00DC6E61" w:rsidP="006107F0">
            <w:pPr>
              <w:pStyle w:val="ListParagraph"/>
              <w:numPr>
                <w:ilvl w:val="0"/>
                <w:numId w:val="28"/>
              </w:numPr>
              <w:ind w:left="114" w:hanging="114"/>
              <w:rPr>
                <w:rFonts w:ascii="Arial Narrow" w:eastAsiaTheme="majorEastAsia" w:hAnsi="Arial Narrow"/>
                <w:sz w:val="20"/>
                <w:szCs w:val="20"/>
              </w:rPr>
            </w:pPr>
            <w:r>
              <w:rPr>
                <w:rFonts w:ascii="Arial Narrow" w:eastAsiaTheme="majorEastAsia" w:hAnsi="Arial Narrow"/>
                <w:sz w:val="20"/>
                <w:szCs w:val="20"/>
              </w:rPr>
              <w:t>6 months.</w:t>
            </w:r>
          </w:p>
          <w:p w14:paraId="24EC616C" w14:textId="7DECEB2B" w:rsidR="000D2C16" w:rsidRPr="00DC6E61" w:rsidRDefault="00DC6E61" w:rsidP="00DC6E61">
            <w:pPr>
              <w:rPr>
                <w:rFonts w:ascii="Arial Narrow" w:eastAsiaTheme="majorEastAsia" w:hAnsi="Arial Narrow"/>
                <w:sz w:val="20"/>
                <w:szCs w:val="20"/>
              </w:rPr>
            </w:pPr>
            <w:r w:rsidRPr="00DC6E61">
              <w:rPr>
                <w:rFonts w:ascii="Arial Narrow" w:eastAsiaTheme="majorEastAsia" w:hAnsi="Arial Narrow"/>
                <w:sz w:val="20"/>
                <w:szCs w:val="20"/>
              </w:rPr>
              <w:t>The evaluation considered this to be r</w:t>
            </w:r>
            <w:r w:rsidR="000D2C16" w:rsidRPr="00DC6E61">
              <w:rPr>
                <w:rFonts w:ascii="Arial Narrow" w:eastAsiaTheme="majorEastAsia" w:hAnsi="Arial Narrow"/>
                <w:sz w:val="20"/>
                <w:szCs w:val="20"/>
              </w:rPr>
              <w:t>easonable. However, it was unclear if some transition probabilities were adjusted correctly for cycle length</w:t>
            </w:r>
            <w:r w:rsidR="005038F2">
              <w:rPr>
                <w:rFonts w:ascii="Arial Narrow" w:eastAsiaTheme="majorEastAsia" w:hAnsi="Arial Narrow"/>
                <w:sz w:val="20"/>
                <w:szCs w:val="20"/>
              </w:rPr>
              <w:t xml:space="preserve"> </w:t>
            </w:r>
            <w:r w:rsidR="000D2C16" w:rsidRPr="00DC6E61">
              <w:rPr>
                <w:rFonts w:ascii="Arial Narrow" w:eastAsiaTheme="majorEastAsia" w:hAnsi="Arial Narrow"/>
                <w:sz w:val="20"/>
                <w:szCs w:val="20"/>
              </w:rPr>
              <w:t xml:space="preserve">- the model referred to “annual rates” and “during current year” regressions which were implemented per 6 monthly cycles. </w:t>
            </w:r>
          </w:p>
        </w:tc>
      </w:tr>
      <w:tr w:rsidR="000D2C16" w:rsidRPr="00603AFC" w14:paraId="4B56F79E" w14:textId="77777777" w:rsidTr="009B77F9">
        <w:trPr>
          <w:cantSplit/>
        </w:trPr>
        <w:tc>
          <w:tcPr>
            <w:tcW w:w="705" w:type="pct"/>
            <w:vAlign w:val="center"/>
          </w:tcPr>
          <w:p w14:paraId="225E0D24" w14:textId="77777777" w:rsidR="000D2C16" w:rsidRPr="00603AFC" w:rsidRDefault="000D2C16" w:rsidP="000D2C16">
            <w:pPr>
              <w:widowControl w:val="0"/>
              <w:jc w:val="left"/>
              <w:rPr>
                <w:rFonts w:ascii="Arial Narrow" w:eastAsiaTheme="majorEastAsia" w:hAnsi="Arial Narrow" w:cstheme="majorBidi"/>
                <w:bCs/>
                <w:sz w:val="20"/>
                <w:szCs w:val="20"/>
              </w:rPr>
            </w:pPr>
            <w:r w:rsidRPr="00603AFC">
              <w:rPr>
                <w:rFonts w:ascii="Arial Narrow" w:eastAsiaTheme="majorEastAsia" w:hAnsi="Arial Narrow" w:cstheme="majorBidi"/>
                <w:bCs/>
                <w:sz w:val="20"/>
                <w:szCs w:val="20"/>
              </w:rPr>
              <w:t>Transition probabilities</w:t>
            </w:r>
          </w:p>
        </w:tc>
        <w:tc>
          <w:tcPr>
            <w:tcW w:w="4295" w:type="pct"/>
            <w:vAlign w:val="center"/>
          </w:tcPr>
          <w:p w14:paraId="5CCBE7CB" w14:textId="77777777" w:rsidR="009B77F9" w:rsidRPr="009B77F9" w:rsidRDefault="000D2C16" w:rsidP="006107F0">
            <w:pPr>
              <w:pStyle w:val="ListParagraph"/>
              <w:widowControl w:val="0"/>
              <w:numPr>
                <w:ilvl w:val="0"/>
                <w:numId w:val="28"/>
              </w:numPr>
              <w:ind w:left="114" w:hanging="114"/>
              <w:jc w:val="left"/>
              <w:rPr>
                <w:rFonts w:ascii="Arial Narrow" w:eastAsiaTheme="majorEastAsia" w:hAnsi="Arial Narrow" w:cstheme="majorBidi"/>
                <w:bCs/>
                <w:sz w:val="20"/>
                <w:szCs w:val="20"/>
              </w:rPr>
            </w:pPr>
            <w:r w:rsidRPr="009B77F9">
              <w:rPr>
                <w:rFonts w:ascii="Arial Narrow" w:eastAsiaTheme="majorEastAsia" w:hAnsi="Arial Narrow" w:cstheme="majorBidi"/>
                <w:bCs/>
                <w:sz w:val="20"/>
                <w:szCs w:val="20"/>
              </w:rPr>
              <w:t xml:space="preserve">Treatment discontinuation rates from the TULIP trials and MUSE LTE. </w:t>
            </w:r>
          </w:p>
          <w:p w14:paraId="14FDE280" w14:textId="77777777" w:rsidR="009B77F9" w:rsidRDefault="000D2C16" w:rsidP="006107F0">
            <w:pPr>
              <w:pStyle w:val="ListParagraph"/>
              <w:widowControl w:val="0"/>
              <w:numPr>
                <w:ilvl w:val="0"/>
                <w:numId w:val="28"/>
              </w:numPr>
              <w:ind w:left="114" w:hanging="114"/>
              <w:jc w:val="left"/>
              <w:rPr>
                <w:rFonts w:ascii="Arial Narrow" w:eastAsiaTheme="majorEastAsia" w:hAnsi="Arial Narrow" w:cstheme="majorBidi"/>
                <w:bCs/>
                <w:sz w:val="20"/>
                <w:szCs w:val="20"/>
              </w:rPr>
            </w:pPr>
            <w:r w:rsidRPr="009B77F9">
              <w:rPr>
                <w:rFonts w:ascii="Arial Narrow" w:eastAsiaTheme="majorEastAsia" w:hAnsi="Arial Narrow" w:cstheme="majorBidi"/>
                <w:bCs/>
                <w:sz w:val="20"/>
                <w:szCs w:val="20"/>
              </w:rPr>
              <w:t xml:space="preserve">Mortality rates derived from </w:t>
            </w:r>
            <w:r w:rsidR="00C10910" w:rsidRPr="009B77F9">
              <w:rPr>
                <w:rFonts w:ascii="Arial Narrow" w:eastAsiaTheme="majorEastAsia" w:hAnsi="Arial Narrow" w:cstheme="majorBidi"/>
                <w:bCs/>
                <w:sz w:val="20"/>
                <w:szCs w:val="20"/>
              </w:rPr>
              <w:t xml:space="preserve">a </w:t>
            </w:r>
            <w:r w:rsidRPr="009B77F9">
              <w:rPr>
                <w:rFonts w:ascii="Arial Narrow" w:eastAsiaTheme="majorEastAsia" w:hAnsi="Arial Narrow" w:cstheme="majorBidi"/>
                <w:bCs/>
                <w:sz w:val="20"/>
                <w:szCs w:val="20"/>
              </w:rPr>
              <w:t>survival model based on JHLC adjusted by standardised mortality ratios for SLE patients.</w:t>
            </w:r>
          </w:p>
          <w:p w14:paraId="3F1AA1BB" w14:textId="46786D17" w:rsidR="000D2C16" w:rsidRPr="009B77F9" w:rsidRDefault="000D2C16" w:rsidP="006107F0">
            <w:pPr>
              <w:pStyle w:val="ListParagraph"/>
              <w:widowControl w:val="0"/>
              <w:numPr>
                <w:ilvl w:val="0"/>
                <w:numId w:val="28"/>
              </w:numPr>
              <w:ind w:left="114" w:hanging="114"/>
              <w:jc w:val="left"/>
              <w:rPr>
                <w:rFonts w:ascii="Arial Narrow" w:eastAsiaTheme="majorEastAsia" w:hAnsi="Arial Narrow" w:cstheme="majorBidi"/>
                <w:bCs/>
                <w:sz w:val="20"/>
                <w:szCs w:val="20"/>
              </w:rPr>
            </w:pPr>
            <w:r w:rsidRPr="009B77F9">
              <w:rPr>
                <w:rFonts w:ascii="Arial Narrow" w:eastAsiaTheme="majorEastAsia" w:hAnsi="Arial Narrow" w:cstheme="majorBidi"/>
                <w:bCs/>
                <w:sz w:val="20"/>
                <w:szCs w:val="20"/>
              </w:rPr>
              <w:t xml:space="preserve">Cycle dependent event regression models </w:t>
            </w:r>
            <w:r w:rsidR="00C10910" w:rsidRPr="009B77F9">
              <w:rPr>
                <w:rFonts w:ascii="Arial Narrow" w:eastAsiaTheme="majorEastAsia" w:hAnsi="Arial Narrow" w:cstheme="majorBidi"/>
                <w:bCs/>
                <w:sz w:val="20"/>
                <w:szCs w:val="20"/>
              </w:rPr>
              <w:t xml:space="preserve">were </w:t>
            </w:r>
            <w:r w:rsidRPr="009B77F9">
              <w:rPr>
                <w:rFonts w:ascii="Arial Narrow" w:eastAsiaTheme="majorEastAsia" w:hAnsi="Arial Narrow" w:cstheme="majorBidi"/>
                <w:bCs/>
                <w:sz w:val="20"/>
                <w:szCs w:val="20"/>
              </w:rPr>
              <w:t xml:space="preserve">based on evidence from the TULIP trials and JHLC. </w:t>
            </w:r>
          </w:p>
          <w:p w14:paraId="7BBB6589" w14:textId="7FA37CEA" w:rsidR="000D2C16" w:rsidRPr="001C211E" w:rsidRDefault="009B77F9" w:rsidP="000D2C16">
            <w:pPr>
              <w:widowControl w:val="0"/>
              <w:jc w:val="left"/>
              <w:rPr>
                <w:rFonts w:ascii="Arial Narrow" w:eastAsiaTheme="majorEastAsia" w:hAnsi="Arial Narrow" w:cstheme="majorBidi"/>
                <w:bCs/>
                <w:sz w:val="20"/>
                <w:szCs w:val="20"/>
              </w:rPr>
            </w:pPr>
            <w:r>
              <w:rPr>
                <w:rFonts w:ascii="Arial Narrow" w:eastAsiaTheme="majorEastAsia" w:hAnsi="Arial Narrow" w:cstheme="majorBidi"/>
                <w:bCs/>
                <w:sz w:val="20"/>
                <w:szCs w:val="20"/>
              </w:rPr>
              <w:t>The evaluation</w:t>
            </w:r>
            <w:r w:rsidR="00550FB2">
              <w:rPr>
                <w:rFonts w:ascii="Arial Narrow" w:eastAsiaTheme="majorEastAsia" w:hAnsi="Arial Narrow" w:cstheme="majorBidi"/>
                <w:bCs/>
                <w:sz w:val="20"/>
                <w:szCs w:val="20"/>
              </w:rPr>
              <w:t xml:space="preserve"> </w:t>
            </w:r>
            <w:r w:rsidRPr="001C211E">
              <w:rPr>
                <w:rFonts w:ascii="Arial Narrow" w:eastAsiaTheme="majorEastAsia" w:hAnsi="Arial Narrow" w:cstheme="majorBidi"/>
                <w:bCs/>
                <w:sz w:val="20"/>
                <w:szCs w:val="20"/>
              </w:rPr>
              <w:t>noted that m</w:t>
            </w:r>
            <w:r w:rsidR="000D2C16" w:rsidRPr="001C211E">
              <w:rPr>
                <w:rFonts w:ascii="Arial Narrow" w:eastAsiaTheme="majorEastAsia" w:hAnsi="Arial Narrow" w:cstheme="majorBidi"/>
                <w:bCs/>
                <w:sz w:val="20"/>
                <w:szCs w:val="20"/>
              </w:rPr>
              <w:t>ortality and event probabilities were dependent on patient characteristics and other events, resulting in circular estimates: e.g., SLEDAI-2K was an input for risk of flares and flares were an input for change in SLEDAI-2K and both were inputs for steroid use.</w:t>
            </w:r>
          </w:p>
          <w:p w14:paraId="28F92C4E" w14:textId="6AE18203" w:rsidR="001E5B66" w:rsidRDefault="000D2C16" w:rsidP="000D2C16">
            <w:pPr>
              <w:widowControl w:val="0"/>
              <w:jc w:val="left"/>
              <w:rPr>
                <w:rFonts w:ascii="Arial Narrow" w:eastAsiaTheme="majorEastAsia" w:hAnsi="Arial Narrow" w:cstheme="majorBidi"/>
                <w:bCs/>
                <w:sz w:val="20"/>
                <w:szCs w:val="20"/>
              </w:rPr>
            </w:pPr>
            <w:bookmarkStart w:id="47" w:name="_Hlk109815757"/>
            <w:r w:rsidRPr="001C211E">
              <w:rPr>
                <w:rFonts w:ascii="Arial Narrow" w:eastAsiaTheme="majorEastAsia" w:hAnsi="Arial Narrow" w:cstheme="majorBidi"/>
                <w:bCs/>
                <w:sz w:val="20"/>
                <w:szCs w:val="20"/>
              </w:rPr>
              <w:t>Choice of regression may also not adequately capture events</w:t>
            </w:r>
            <w:bookmarkEnd w:id="47"/>
            <w:r w:rsidRPr="001C211E">
              <w:rPr>
                <w:rFonts w:ascii="Arial Narrow" w:eastAsiaTheme="majorEastAsia" w:hAnsi="Arial Narrow" w:cstheme="majorBidi"/>
                <w:bCs/>
                <w:sz w:val="20"/>
                <w:szCs w:val="20"/>
              </w:rPr>
              <w:t>. For example, change in SLEDAI-2K was modelled as linear regression, resulting in SLEDAI-2K estimates that could</w:t>
            </w:r>
            <w:r w:rsidRPr="00603AFC">
              <w:rPr>
                <w:rFonts w:ascii="Arial Narrow" w:eastAsiaTheme="majorEastAsia" w:hAnsi="Arial Narrow" w:cstheme="majorBidi"/>
                <w:bCs/>
                <w:sz w:val="20"/>
                <w:szCs w:val="20"/>
              </w:rPr>
              <w:t xml:space="preserve"> be non-integer or less than 0 (which have no clinical interpretation), and assumed a change in SLEDAI-2K is constant across the scale (e.g. a reduction from score 6 to 2 is the same as the reduction from 13 to 9).</w:t>
            </w:r>
            <w:r w:rsidR="00C54D6F">
              <w:rPr>
                <w:rFonts w:ascii="Arial Narrow" w:eastAsiaTheme="majorEastAsia" w:hAnsi="Arial Narrow" w:cstheme="majorBidi"/>
                <w:bCs/>
                <w:sz w:val="20"/>
                <w:szCs w:val="20"/>
              </w:rPr>
              <w:t xml:space="preserve"> </w:t>
            </w:r>
            <w:bookmarkStart w:id="48" w:name="_Hlk105851852"/>
          </w:p>
          <w:p w14:paraId="5F333A78" w14:textId="3EF92A59" w:rsidR="000D2C16" w:rsidRPr="00603AFC" w:rsidRDefault="001E5B66" w:rsidP="000D2C16">
            <w:pPr>
              <w:widowControl w:val="0"/>
              <w:jc w:val="left"/>
              <w:rPr>
                <w:rFonts w:ascii="Arial Narrow" w:eastAsiaTheme="majorEastAsia" w:hAnsi="Arial Narrow" w:cstheme="majorBidi"/>
                <w:bCs/>
                <w:sz w:val="20"/>
                <w:szCs w:val="20"/>
              </w:rPr>
            </w:pPr>
            <w:r w:rsidRPr="001E5B66">
              <w:rPr>
                <w:rFonts w:ascii="Arial Narrow" w:eastAsiaTheme="majorEastAsia" w:hAnsi="Arial Narrow" w:cstheme="majorBidi"/>
                <w:bCs/>
                <w:sz w:val="20"/>
                <w:szCs w:val="20"/>
              </w:rPr>
              <w:t>The ICER was not very sensitive to rounding SLEDAI-2K to the nearest integer greater than or equal to 0, increasing to $</w:t>
            </w:r>
            <w:r w:rsidR="00164331" w:rsidRPr="00164331">
              <w:rPr>
                <w:rFonts w:ascii="Arial Narrow" w:eastAsiaTheme="majorEastAsia" w:hAnsi="Arial Narrow" w:cstheme="majorBidi"/>
                <w:bCs/>
                <w:color w:val="000000"/>
                <w:spacing w:val="51"/>
                <w:sz w:val="20"/>
                <w:szCs w:val="20"/>
                <w:shd w:val="solid" w:color="000000" w:fill="000000"/>
                <w:fitText w:val="326" w:id="-1436283136"/>
                <w14:textFill>
                  <w14:solidFill>
                    <w14:srgbClr w14:val="000000">
                      <w14:alpha w14:val="100000"/>
                    </w14:srgbClr>
                  </w14:solidFill>
                </w14:textFill>
              </w:rPr>
              <w:t>|||</w:t>
            </w:r>
            <w:r w:rsidR="00164331" w:rsidRPr="00164331">
              <w:rPr>
                <w:rFonts w:ascii="Arial Narrow" w:eastAsiaTheme="majorEastAsia" w:hAnsi="Arial Narrow" w:cstheme="majorBidi"/>
                <w:bCs/>
                <w:color w:val="000000"/>
                <w:spacing w:val="3"/>
                <w:sz w:val="20"/>
                <w:szCs w:val="20"/>
                <w:shd w:val="solid" w:color="000000" w:fill="000000"/>
                <w:fitText w:val="326" w:id="-1436283136"/>
                <w14:textFill>
                  <w14:solidFill>
                    <w14:srgbClr w14:val="000000">
                      <w14:alpha w14:val="100000"/>
                    </w14:srgbClr>
                  </w14:solidFill>
                </w14:textFill>
              </w:rPr>
              <w:t>|</w:t>
            </w:r>
            <w:r w:rsidR="00D349B9">
              <w:rPr>
                <w:rFonts w:ascii="Arial Narrow" w:eastAsiaTheme="majorEastAsia" w:hAnsi="Arial Narrow" w:cstheme="majorBidi"/>
                <w:bCs/>
                <w:sz w:val="20"/>
                <w:szCs w:val="20"/>
                <w:vertAlign w:val="superscript"/>
              </w:rPr>
              <w:t>1</w:t>
            </w:r>
            <w:r w:rsidRPr="001E5B66">
              <w:rPr>
                <w:rFonts w:ascii="Arial Narrow" w:eastAsiaTheme="majorEastAsia" w:hAnsi="Arial Narrow" w:cstheme="majorBidi"/>
                <w:bCs/>
                <w:sz w:val="20"/>
                <w:szCs w:val="20"/>
              </w:rPr>
              <w:t xml:space="preserve"> per QALY gained when this and other linear regressions for SDI score, OCS dose, hospital length of stay and utility were restricted to be non-negative. </w:t>
            </w:r>
            <w:bookmarkEnd w:id="48"/>
          </w:p>
        </w:tc>
      </w:tr>
      <w:tr w:rsidR="000D2C16" w:rsidRPr="00603AFC" w14:paraId="09792BD6" w14:textId="77777777" w:rsidTr="009B77F9">
        <w:trPr>
          <w:cantSplit/>
        </w:trPr>
        <w:tc>
          <w:tcPr>
            <w:tcW w:w="705" w:type="pct"/>
            <w:vAlign w:val="center"/>
          </w:tcPr>
          <w:p w14:paraId="16CAD816" w14:textId="77777777" w:rsidR="000D2C16" w:rsidRPr="00603AFC" w:rsidRDefault="000D2C16" w:rsidP="000D2C16">
            <w:pPr>
              <w:widowControl w:val="0"/>
              <w:jc w:val="left"/>
              <w:rPr>
                <w:rFonts w:ascii="Arial Narrow" w:eastAsiaTheme="majorEastAsia" w:hAnsi="Arial Narrow" w:cstheme="majorBidi"/>
                <w:bCs/>
                <w:sz w:val="20"/>
                <w:szCs w:val="20"/>
              </w:rPr>
            </w:pPr>
            <w:r w:rsidRPr="00603AFC">
              <w:rPr>
                <w:rFonts w:ascii="Arial Narrow" w:eastAsiaTheme="majorEastAsia" w:hAnsi="Arial Narrow" w:cstheme="majorBidi"/>
                <w:bCs/>
                <w:sz w:val="20"/>
                <w:szCs w:val="20"/>
              </w:rPr>
              <w:t>Software package</w:t>
            </w:r>
          </w:p>
        </w:tc>
        <w:tc>
          <w:tcPr>
            <w:tcW w:w="4295" w:type="pct"/>
            <w:vAlign w:val="center"/>
          </w:tcPr>
          <w:p w14:paraId="7ED06ECF" w14:textId="77777777" w:rsidR="000D2C16" w:rsidRPr="00D01734" w:rsidRDefault="000D2C16" w:rsidP="006107F0">
            <w:pPr>
              <w:pStyle w:val="ListParagraph"/>
              <w:widowControl w:val="0"/>
              <w:numPr>
                <w:ilvl w:val="0"/>
                <w:numId w:val="29"/>
              </w:numPr>
              <w:ind w:left="114" w:hanging="114"/>
              <w:jc w:val="left"/>
              <w:rPr>
                <w:rFonts w:ascii="Arial Narrow" w:eastAsiaTheme="majorEastAsia" w:hAnsi="Arial Narrow" w:cstheme="majorBidi"/>
                <w:bCs/>
                <w:sz w:val="20"/>
                <w:szCs w:val="20"/>
              </w:rPr>
            </w:pPr>
            <w:r w:rsidRPr="00D01734">
              <w:rPr>
                <w:rFonts w:ascii="Arial Narrow" w:eastAsiaTheme="majorEastAsia" w:hAnsi="Arial Narrow" w:cstheme="majorBidi"/>
                <w:bCs/>
                <w:sz w:val="20"/>
                <w:szCs w:val="20"/>
              </w:rPr>
              <w:t>Excel 2010 with @RISK.</w:t>
            </w:r>
          </w:p>
          <w:p w14:paraId="1D380735" w14:textId="6B7BF0AD" w:rsidR="000D2C16" w:rsidRPr="00603AFC" w:rsidRDefault="00D01734" w:rsidP="000D2C16">
            <w:pPr>
              <w:widowControl w:val="0"/>
              <w:jc w:val="left"/>
              <w:rPr>
                <w:rFonts w:ascii="Arial Narrow" w:eastAsiaTheme="majorEastAsia" w:hAnsi="Arial Narrow" w:cstheme="majorBidi"/>
                <w:bCs/>
                <w:sz w:val="20"/>
                <w:szCs w:val="20"/>
              </w:rPr>
            </w:pPr>
            <w:r w:rsidRPr="00DC6E61">
              <w:rPr>
                <w:rFonts w:ascii="Arial Narrow" w:eastAsiaTheme="majorEastAsia" w:hAnsi="Arial Narrow"/>
                <w:sz w:val="20"/>
                <w:szCs w:val="20"/>
              </w:rPr>
              <w:t xml:space="preserve">The evaluation considered this to be </w:t>
            </w:r>
            <w:r>
              <w:rPr>
                <w:rFonts w:ascii="Arial Narrow" w:eastAsiaTheme="majorEastAsia" w:hAnsi="Arial Narrow" w:cstheme="majorBidi"/>
                <w:bCs/>
                <w:sz w:val="20"/>
                <w:szCs w:val="20"/>
              </w:rPr>
              <w:t>r</w:t>
            </w:r>
            <w:r w:rsidR="000D2C16" w:rsidRPr="00603AFC">
              <w:rPr>
                <w:rFonts w:ascii="Arial Narrow" w:eastAsiaTheme="majorEastAsia" w:hAnsi="Arial Narrow" w:cstheme="majorBidi"/>
                <w:bCs/>
                <w:sz w:val="20"/>
                <w:szCs w:val="20"/>
              </w:rPr>
              <w:t>easonable, though @RISK was not utilised as expected: the distributions of the regression models were not included in the simulations.</w:t>
            </w:r>
          </w:p>
        </w:tc>
      </w:tr>
    </w:tbl>
    <w:p w14:paraId="08937156" w14:textId="77777777" w:rsidR="000D2C16" w:rsidRPr="000D2C16" w:rsidRDefault="000D2C16" w:rsidP="000D2C16">
      <w:pPr>
        <w:spacing w:after="120"/>
        <w:contextualSpacing/>
        <w:rPr>
          <w:rFonts w:ascii="Arial Narrow" w:hAnsi="Arial Narrow"/>
          <w:snapToGrid w:val="0"/>
          <w:sz w:val="18"/>
          <w:szCs w:val="22"/>
        </w:rPr>
      </w:pPr>
      <w:bookmarkStart w:id="49" w:name="_Hlk102947946"/>
      <w:r w:rsidRPr="000D2C16">
        <w:rPr>
          <w:rFonts w:ascii="Arial Narrow" w:hAnsi="Arial Narrow"/>
          <w:snapToGrid w:val="0"/>
          <w:sz w:val="18"/>
          <w:szCs w:val="22"/>
        </w:rPr>
        <w:t>Source: Table 3.1-1, pp107-108 of the submission</w:t>
      </w:r>
    </w:p>
    <w:p w14:paraId="1B6F9363" w14:textId="5E95D4DE" w:rsidR="000D2C16" w:rsidRDefault="000D2C16" w:rsidP="000D2C16">
      <w:pPr>
        <w:spacing w:after="120"/>
        <w:contextualSpacing/>
        <w:rPr>
          <w:rFonts w:ascii="Arial Narrow" w:hAnsi="Arial Narrow"/>
          <w:snapToGrid w:val="0"/>
          <w:sz w:val="18"/>
          <w:szCs w:val="22"/>
        </w:rPr>
      </w:pPr>
      <w:r w:rsidRPr="000D2C16">
        <w:rPr>
          <w:rFonts w:ascii="Arial Narrow" w:hAnsi="Arial Narrow"/>
          <w:snapToGrid w:val="0"/>
          <w:sz w:val="18"/>
          <w:szCs w:val="22"/>
        </w:rPr>
        <w:t xml:space="preserve">ALRB=Australian Lupus Registry and Biobank; AR-DRG= Australian Refined Diagnosis Related Groups, ICER=incremental cost-effectiveness ratio, JHLC=John Hopkins Lupus cohort, NHCDC=National Hospital Cost Data Collection, OCS=oral corticosteroids, </w:t>
      </w:r>
      <w:r w:rsidR="002E37F4" w:rsidRPr="00A22828">
        <w:rPr>
          <w:rFonts w:ascii="Arial Narrow" w:hAnsi="Arial Narrow"/>
          <w:snapToGrid w:val="0"/>
          <w:sz w:val="18"/>
          <w:szCs w:val="22"/>
        </w:rPr>
        <w:t>PSCR=Pre-Sub-Committee Response,</w:t>
      </w:r>
      <w:r w:rsidR="002E37F4" w:rsidRPr="002E37F4">
        <w:rPr>
          <w:rFonts w:ascii="Arial Narrow" w:hAnsi="Arial Narrow"/>
          <w:i/>
          <w:iCs/>
          <w:snapToGrid w:val="0"/>
          <w:sz w:val="18"/>
          <w:szCs w:val="22"/>
        </w:rPr>
        <w:t xml:space="preserve"> </w:t>
      </w:r>
      <w:r w:rsidRPr="000D2C16">
        <w:rPr>
          <w:rFonts w:ascii="Arial Narrow" w:hAnsi="Arial Narrow"/>
          <w:snapToGrid w:val="0"/>
          <w:sz w:val="18"/>
          <w:szCs w:val="22"/>
        </w:rPr>
        <w:t xml:space="preserve">QALYs=quality adjusted life years, SLE=systemic lupus erythematosus, SLEDAI-2K= Systemic Lupus Erythematosus Disease Activity Index 2000, SOC = standard of care. </w:t>
      </w:r>
    </w:p>
    <w:p w14:paraId="35142530" w14:textId="60E3626D" w:rsidR="00D349B9" w:rsidRDefault="00D349B9" w:rsidP="000D2C16">
      <w:pPr>
        <w:spacing w:after="120"/>
        <w:contextualSpacing/>
        <w:rPr>
          <w:rFonts w:ascii="Arial Narrow" w:hAnsi="Arial Narrow"/>
          <w:snapToGrid w:val="0"/>
          <w:sz w:val="18"/>
          <w:szCs w:val="22"/>
        </w:rPr>
      </w:pPr>
    </w:p>
    <w:p w14:paraId="0E43CE16" w14:textId="546B6B7F" w:rsidR="00D349B9" w:rsidRPr="009C5BD8" w:rsidRDefault="00D349B9" w:rsidP="000D2C16">
      <w:pPr>
        <w:spacing w:after="120"/>
        <w:contextualSpacing/>
        <w:rPr>
          <w:rFonts w:ascii="Arial Narrow" w:hAnsi="Arial Narrow"/>
          <w:snapToGrid w:val="0"/>
          <w:sz w:val="18"/>
          <w:szCs w:val="22"/>
        </w:rPr>
      </w:pPr>
      <w:r w:rsidRPr="009C5BD8">
        <w:rPr>
          <w:rFonts w:ascii="Arial Narrow" w:hAnsi="Arial Narrow"/>
          <w:snapToGrid w:val="0"/>
          <w:sz w:val="18"/>
          <w:szCs w:val="22"/>
        </w:rPr>
        <w:t>The redacted values correspond to the following ranges:</w:t>
      </w:r>
    </w:p>
    <w:p w14:paraId="1FE44191" w14:textId="3269DF4A" w:rsidR="00D349B9" w:rsidRDefault="00D349B9" w:rsidP="00D349B9">
      <w:pPr>
        <w:ind w:right="147"/>
        <w:rPr>
          <w:rFonts w:ascii="Arial" w:hAnsi="Arial"/>
          <w:color w:val="333333"/>
          <w:sz w:val="21"/>
          <w:szCs w:val="21"/>
        </w:rPr>
      </w:pPr>
      <w:r w:rsidRPr="009C5BD8">
        <w:rPr>
          <w:rFonts w:ascii="Arial" w:hAnsi="Arial"/>
          <w:color w:val="333333"/>
          <w:sz w:val="21"/>
          <w:szCs w:val="21"/>
          <w:vertAlign w:val="superscript"/>
        </w:rPr>
        <w:t>1</w:t>
      </w:r>
      <w:r w:rsidRPr="009C5BD8">
        <w:rPr>
          <w:rFonts w:ascii="Arial Narrow" w:hAnsi="Arial Narrow"/>
          <w:i/>
          <w:iCs/>
          <w:color w:val="333333"/>
          <w:sz w:val="18"/>
          <w:szCs w:val="18"/>
        </w:rPr>
        <w:t>$75,000 to &lt; $95,000</w:t>
      </w:r>
    </w:p>
    <w:p w14:paraId="3807D788" w14:textId="77777777" w:rsidR="00D349B9" w:rsidRDefault="00D349B9" w:rsidP="000D2C16">
      <w:pPr>
        <w:spacing w:after="120"/>
        <w:contextualSpacing/>
        <w:rPr>
          <w:rFonts w:ascii="Arial Narrow" w:hAnsi="Arial Narrow"/>
          <w:snapToGrid w:val="0"/>
          <w:sz w:val="18"/>
          <w:szCs w:val="22"/>
        </w:rPr>
      </w:pPr>
    </w:p>
    <w:p w14:paraId="1330B8D2" w14:textId="77777777" w:rsidR="00BD2B2D" w:rsidRPr="000D2C16" w:rsidRDefault="00BD2B2D" w:rsidP="000D2C16">
      <w:pPr>
        <w:spacing w:after="120"/>
        <w:contextualSpacing/>
        <w:rPr>
          <w:rFonts w:ascii="Arial Narrow" w:hAnsi="Arial Narrow"/>
          <w:snapToGrid w:val="0"/>
          <w:sz w:val="18"/>
          <w:szCs w:val="22"/>
        </w:rPr>
      </w:pPr>
    </w:p>
    <w:bookmarkEnd w:id="49"/>
    <w:p w14:paraId="3092C2C2" w14:textId="6A0F9F46" w:rsidR="00B86F70" w:rsidRPr="008545F3" w:rsidRDefault="00B86F70" w:rsidP="00B86F70">
      <w:pPr>
        <w:pStyle w:val="3-BodyText"/>
      </w:pPr>
      <w:r w:rsidRPr="00B86F70">
        <w:t xml:space="preserve">The submission presented a microsimulation model to allow patient characteristics/history to influence future disease events. </w:t>
      </w:r>
      <w:r w:rsidRPr="008545F3">
        <w:t>The ESC considered that this approach may not be reasonable, as there were limited data to populate the model particularly for longer term events such as organ damage and mortality.</w:t>
      </w:r>
      <w:r w:rsidR="00361E8B">
        <w:t xml:space="preserve"> </w:t>
      </w:r>
      <w:r w:rsidR="00D62746">
        <w:t>However, t</w:t>
      </w:r>
      <w:r w:rsidR="00361E8B">
        <w:t xml:space="preserve">he PBAC noted that the microsimulation approach did allow for the model to reflect variability across the patient population. </w:t>
      </w:r>
    </w:p>
    <w:p w14:paraId="2275F7B6" w14:textId="1F5B1942" w:rsidR="000D2C16" w:rsidRPr="000D2C16" w:rsidRDefault="000D2C16" w:rsidP="000D2C16">
      <w:pPr>
        <w:numPr>
          <w:ilvl w:val="1"/>
          <w:numId w:val="1"/>
        </w:numPr>
        <w:spacing w:after="120"/>
        <w:rPr>
          <w:rFonts w:asciiTheme="minorHAnsi" w:hAnsiTheme="minorHAnsi"/>
          <w:snapToGrid w:val="0"/>
        </w:rPr>
      </w:pPr>
      <w:r w:rsidRPr="000D2C16">
        <w:rPr>
          <w:rFonts w:asciiTheme="minorHAnsi" w:hAnsiTheme="minorHAnsi"/>
          <w:snapToGrid w:val="0"/>
        </w:rPr>
        <w:t xml:space="preserve">A summary of the microsimulation model structure is presented in </w:t>
      </w:r>
      <w:r w:rsidRPr="000D2C16">
        <w:rPr>
          <w:rFonts w:asciiTheme="minorHAnsi" w:hAnsiTheme="minorHAnsi"/>
          <w:snapToGrid w:val="0"/>
        </w:rPr>
        <w:fldChar w:fldCharType="begin"/>
      </w:r>
      <w:r w:rsidRPr="000D2C16">
        <w:rPr>
          <w:rFonts w:asciiTheme="minorHAnsi" w:hAnsiTheme="minorHAnsi"/>
          <w:snapToGrid w:val="0"/>
        </w:rPr>
        <w:instrText xml:space="preserve"> REF _Ref102828097 </w:instrText>
      </w:r>
      <w:r w:rsidR="00794099">
        <w:rPr>
          <w:rFonts w:asciiTheme="minorHAnsi" w:hAnsiTheme="minorHAnsi"/>
          <w:snapToGrid w:val="0"/>
        </w:rPr>
        <w:instrText xml:space="preserve"> \* MERGEFORMAT </w:instrText>
      </w:r>
      <w:r w:rsidRPr="000D2C16">
        <w:rPr>
          <w:rFonts w:asciiTheme="minorHAnsi" w:hAnsiTheme="minorHAnsi"/>
          <w:snapToGrid w:val="0"/>
        </w:rPr>
        <w:fldChar w:fldCharType="separate"/>
      </w:r>
      <w:r w:rsidR="00942C22" w:rsidRPr="00942C22">
        <w:rPr>
          <w:rFonts w:asciiTheme="minorHAnsi" w:hAnsiTheme="minorHAnsi"/>
          <w:snapToGrid w:val="0"/>
        </w:rPr>
        <w:t>Figure 1</w:t>
      </w:r>
      <w:r w:rsidRPr="000D2C16">
        <w:rPr>
          <w:rFonts w:asciiTheme="minorHAnsi" w:hAnsiTheme="minorHAnsi"/>
          <w:snapToGrid w:val="0"/>
        </w:rPr>
        <w:fldChar w:fldCharType="end"/>
      </w:r>
      <w:r w:rsidRPr="000D2C16">
        <w:rPr>
          <w:rFonts w:asciiTheme="minorHAnsi" w:hAnsiTheme="minorHAnsi"/>
          <w:snapToGrid w:val="0"/>
        </w:rPr>
        <w:t>.</w:t>
      </w:r>
    </w:p>
    <w:p w14:paraId="22ACC42E" w14:textId="2CCE3D5F" w:rsidR="000D2C16" w:rsidRPr="000D2C16" w:rsidRDefault="000D2C16" w:rsidP="000D2C16">
      <w:pPr>
        <w:keepNext/>
        <w:jc w:val="left"/>
        <w:rPr>
          <w:rFonts w:ascii="Arial Narrow" w:eastAsiaTheme="majorEastAsia" w:hAnsi="Arial Narrow" w:cstheme="majorBidi"/>
          <w:b/>
          <w:bCs/>
          <w:sz w:val="20"/>
        </w:rPr>
      </w:pPr>
      <w:bookmarkStart w:id="50" w:name="_Ref102828097"/>
      <w:r w:rsidRPr="000D2C16">
        <w:rPr>
          <w:rFonts w:ascii="Arial Narrow" w:eastAsiaTheme="majorEastAsia" w:hAnsi="Arial Narrow" w:cstheme="majorBidi"/>
          <w:b/>
          <w:bCs/>
          <w:sz w:val="20"/>
        </w:rPr>
        <w:lastRenderedPageBreak/>
        <w:t xml:space="preserve">Figure </w:t>
      </w:r>
      <w:r w:rsidRPr="000D2C16">
        <w:rPr>
          <w:rFonts w:ascii="Arial Narrow" w:eastAsiaTheme="majorEastAsia" w:hAnsi="Arial Narrow" w:cstheme="majorBidi"/>
          <w:b/>
          <w:bCs/>
          <w:sz w:val="20"/>
        </w:rPr>
        <w:fldChar w:fldCharType="begin"/>
      </w:r>
      <w:r w:rsidRPr="000D2C16">
        <w:rPr>
          <w:rFonts w:ascii="Arial Narrow" w:eastAsiaTheme="majorEastAsia" w:hAnsi="Arial Narrow" w:cstheme="majorBidi"/>
          <w:b/>
          <w:bCs/>
          <w:sz w:val="20"/>
        </w:rPr>
        <w:instrText xml:space="preserve"> SEQ Figure \* ARABIC </w:instrText>
      </w:r>
      <w:r w:rsidRPr="000D2C16">
        <w:rPr>
          <w:rFonts w:ascii="Arial Narrow" w:eastAsiaTheme="majorEastAsia" w:hAnsi="Arial Narrow" w:cstheme="majorBidi"/>
          <w:b/>
          <w:bCs/>
          <w:sz w:val="20"/>
        </w:rPr>
        <w:fldChar w:fldCharType="separate"/>
      </w:r>
      <w:r w:rsidR="00942C22">
        <w:rPr>
          <w:rFonts w:ascii="Arial Narrow" w:eastAsiaTheme="majorEastAsia" w:hAnsi="Arial Narrow" w:cstheme="majorBidi"/>
          <w:b/>
          <w:bCs/>
          <w:noProof/>
          <w:sz w:val="20"/>
        </w:rPr>
        <w:t>1</w:t>
      </w:r>
      <w:r w:rsidRPr="000D2C16">
        <w:rPr>
          <w:rFonts w:ascii="Arial Narrow" w:eastAsiaTheme="majorEastAsia" w:hAnsi="Arial Narrow" w:cstheme="majorBidi"/>
          <w:b/>
          <w:bCs/>
          <w:noProof/>
          <w:sz w:val="20"/>
        </w:rPr>
        <w:fldChar w:fldCharType="end"/>
      </w:r>
      <w:bookmarkEnd w:id="50"/>
      <w:r w:rsidRPr="000D2C16">
        <w:rPr>
          <w:rFonts w:ascii="Arial Narrow" w:eastAsiaTheme="majorEastAsia" w:hAnsi="Arial Narrow" w:cstheme="majorBidi"/>
          <w:b/>
          <w:bCs/>
          <w:sz w:val="20"/>
        </w:rPr>
        <w:t>: Summary of the submitted model structure</w:t>
      </w:r>
    </w:p>
    <w:p w14:paraId="58EEE1FD" w14:textId="77777777" w:rsidR="000D2C16" w:rsidRPr="000D2C16" w:rsidRDefault="000D2C16" w:rsidP="000D2C16">
      <w:pPr>
        <w:spacing w:after="120"/>
        <w:contextualSpacing/>
        <w:rPr>
          <w:rFonts w:ascii="Arial Narrow" w:hAnsi="Arial Narrow"/>
          <w:snapToGrid w:val="0"/>
          <w:sz w:val="18"/>
          <w:szCs w:val="22"/>
        </w:rPr>
      </w:pPr>
      <w:r w:rsidRPr="000D2C16">
        <w:rPr>
          <w:rFonts w:ascii="Arial Narrow" w:hAnsi="Arial Narrow"/>
          <w:noProof/>
          <w:snapToGrid w:val="0"/>
          <w:sz w:val="18"/>
          <w:szCs w:val="22"/>
        </w:rPr>
        <w:drawing>
          <wp:inline distT="0" distB="0" distL="0" distR="0" wp14:anchorId="5876D710" wp14:editId="62257387">
            <wp:extent cx="5101752" cy="3573780"/>
            <wp:effectExtent l="0" t="0" r="3810" b="762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2830" cy="3581540"/>
                    </a:xfrm>
                    <a:prstGeom prst="rect">
                      <a:avLst/>
                    </a:prstGeom>
                    <a:noFill/>
                  </pic:spPr>
                </pic:pic>
              </a:graphicData>
            </a:graphic>
          </wp:inline>
        </w:drawing>
      </w:r>
    </w:p>
    <w:p w14:paraId="5F609979" w14:textId="77777777" w:rsidR="000D2C16" w:rsidRPr="000D2C16" w:rsidRDefault="000D2C16" w:rsidP="000D2C16">
      <w:pPr>
        <w:spacing w:after="120"/>
        <w:contextualSpacing/>
        <w:rPr>
          <w:rFonts w:ascii="Arial Narrow" w:hAnsi="Arial Narrow"/>
          <w:snapToGrid w:val="0"/>
          <w:sz w:val="18"/>
          <w:szCs w:val="22"/>
        </w:rPr>
      </w:pPr>
      <w:r w:rsidRPr="000D2C16">
        <w:rPr>
          <w:rFonts w:ascii="Arial Narrow" w:hAnsi="Arial Narrow"/>
          <w:snapToGrid w:val="0"/>
          <w:sz w:val="18"/>
          <w:szCs w:val="22"/>
        </w:rPr>
        <w:t>Source: Figure 3.2-3 of the submission</w:t>
      </w:r>
    </w:p>
    <w:p w14:paraId="17ECACBF" w14:textId="77777777" w:rsidR="000D2C16" w:rsidRPr="000D2C16" w:rsidRDefault="000D2C16" w:rsidP="000D2C16">
      <w:pPr>
        <w:spacing w:after="120"/>
        <w:contextualSpacing/>
        <w:rPr>
          <w:rFonts w:ascii="Arial Narrow" w:hAnsi="Arial Narrow"/>
          <w:snapToGrid w:val="0"/>
          <w:sz w:val="18"/>
          <w:szCs w:val="22"/>
        </w:rPr>
      </w:pPr>
      <w:r w:rsidRPr="000D2C16">
        <w:rPr>
          <w:rFonts w:ascii="Arial Narrow" w:hAnsi="Arial Narrow"/>
          <w:snapToGrid w:val="0"/>
          <w:sz w:val="18"/>
          <w:szCs w:val="22"/>
        </w:rPr>
        <w:t xml:space="preserve">OCS=oral corticosteroids; QALYs=quality-adjust life year; SDI=Systemic Lupus International Collaborating Clinics/American College of Rheumatology (SLICC/ACR) Damage Index; SLEDAI-2K=Systemic Lupus Erythematosus Disease Activity Index. </w:t>
      </w:r>
    </w:p>
    <w:p w14:paraId="6DABE38A" w14:textId="77777777" w:rsidR="000D2C16" w:rsidRPr="000D2C16" w:rsidRDefault="000D2C16" w:rsidP="000D2C16"/>
    <w:p w14:paraId="42984977" w14:textId="35D98972" w:rsidR="00167583" w:rsidRPr="00167583" w:rsidRDefault="001C3E97" w:rsidP="00191895">
      <w:pPr>
        <w:numPr>
          <w:ilvl w:val="1"/>
          <w:numId w:val="1"/>
        </w:numPr>
        <w:spacing w:after="120"/>
        <w:rPr>
          <w:rFonts w:asciiTheme="minorHAnsi" w:hAnsiTheme="minorHAnsi"/>
          <w:snapToGrid w:val="0"/>
        </w:rPr>
      </w:pPr>
      <w:r w:rsidRPr="006912C6">
        <w:rPr>
          <w:rFonts w:asciiTheme="minorHAnsi" w:hAnsiTheme="minorHAnsi"/>
          <w:snapToGrid w:val="0"/>
        </w:rPr>
        <w:t xml:space="preserve">At the beginning of the simulations, a set of baseline patient characteristics </w:t>
      </w:r>
      <w:r w:rsidR="00B12BC7">
        <w:rPr>
          <w:rFonts w:asciiTheme="minorHAnsi" w:hAnsiTheme="minorHAnsi"/>
          <w:snapToGrid w:val="0"/>
        </w:rPr>
        <w:t>we</w:t>
      </w:r>
      <w:r w:rsidRPr="006912C6">
        <w:rPr>
          <w:rFonts w:asciiTheme="minorHAnsi" w:hAnsiTheme="minorHAnsi"/>
          <w:snapToGrid w:val="0"/>
        </w:rPr>
        <w:t>re sampled for each patient</w:t>
      </w:r>
      <w:r w:rsidR="00B064DE">
        <w:rPr>
          <w:rFonts w:asciiTheme="minorHAnsi" w:hAnsiTheme="minorHAnsi"/>
          <w:snapToGrid w:val="0"/>
        </w:rPr>
        <w:t>,</w:t>
      </w:r>
      <w:r w:rsidRPr="006912C6">
        <w:rPr>
          <w:rFonts w:asciiTheme="minorHAnsi" w:hAnsiTheme="minorHAnsi"/>
          <w:snapToGrid w:val="0"/>
        </w:rPr>
        <w:t xml:space="preserve"> including response to treatment based on pooled TULIP 1 and</w:t>
      </w:r>
      <w:r w:rsidR="00071F1A">
        <w:rPr>
          <w:rFonts w:asciiTheme="minorHAnsi" w:hAnsiTheme="minorHAnsi"/>
          <w:snapToGrid w:val="0"/>
        </w:rPr>
        <w:t xml:space="preserve"> TULIP</w:t>
      </w:r>
      <w:r w:rsidRPr="006912C6">
        <w:rPr>
          <w:rFonts w:asciiTheme="minorHAnsi" w:hAnsiTheme="minorHAnsi"/>
          <w:snapToGrid w:val="0"/>
        </w:rPr>
        <w:t xml:space="preserve"> 2 </w:t>
      </w:r>
      <w:r w:rsidR="00071F1A">
        <w:rPr>
          <w:rFonts w:asciiTheme="minorHAnsi" w:hAnsiTheme="minorHAnsi"/>
          <w:snapToGrid w:val="0"/>
        </w:rPr>
        <w:t xml:space="preserve">data for the </w:t>
      </w:r>
      <w:r w:rsidRPr="006912C6">
        <w:rPr>
          <w:rFonts w:asciiTheme="minorHAnsi" w:hAnsiTheme="minorHAnsi"/>
          <w:snapToGrid w:val="0"/>
        </w:rPr>
        <w:t>SLEDAI</w:t>
      </w:r>
      <w:r w:rsidR="006912C6" w:rsidRPr="006912C6">
        <w:rPr>
          <w:rFonts w:asciiTheme="minorHAnsi" w:hAnsiTheme="minorHAnsi"/>
          <w:snapToGrid w:val="0"/>
        </w:rPr>
        <w:t>-2K</w:t>
      </w:r>
      <w:r w:rsidRPr="006912C6">
        <w:rPr>
          <w:rFonts w:asciiTheme="minorHAnsi" w:hAnsiTheme="minorHAnsi"/>
          <w:snapToGrid w:val="0"/>
        </w:rPr>
        <w:t xml:space="preserve"> </w:t>
      </w:r>
      <w:r w:rsidRPr="006912C6">
        <w:rPr>
          <w:rFonts w:asciiTheme="minorHAnsi" w:hAnsiTheme="minorHAnsi" w:cstheme="minorHAnsi"/>
          <w:snapToGrid w:val="0"/>
        </w:rPr>
        <w:t>≥10</w:t>
      </w:r>
      <w:r w:rsidR="006912C6" w:rsidRPr="006912C6">
        <w:rPr>
          <w:rFonts w:asciiTheme="minorHAnsi" w:hAnsiTheme="minorHAnsi" w:cstheme="minorHAnsi"/>
          <w:snapToGrid w:val="0"/>
        </w:rPr>
        <w:t xml:space="preserve"> </w:t>
      </w:r>
      <w:r w:rsidR="00071F1A">
        <w:rPr>
          <w:rFonts w:asciiTheme="minorHAnsi" w:hAnsiTheme="minorHAnsi" w:cstheme="minorHAnsi"/>
          <w:snapToGrid w:val="0"/>
        </w:rPr>
        <w:t>subgroup</w:t>
      </w:r>
      <w:r w:rsidRPr="006912C6">
        <w:rPr>
          <w:rFonts w:asciiTheme="minorHAnsi" w:hAnsiTheme="minorHAnsi" w:cstheme="minorHAnsi"/>
          <w:snapToGrid w:val="0"/>
        </w:rPr>
        <w:t>. Patients who d</w:t>
      </w:r>
      <w:r w:rsidR="00B12BC7">
        <w:rPr>
          <w:rFonts w:asciiTheme="minorHAnsi" w:hAnsiTheme="minorHAnsi" w:cstheme="minorHAnsi"/>
          <w:snapToGrid w:val="0"/>
        </w:rPr>
        <w:t>id</w:t>
      </w:r>
      <w:r w:rsidRPr="006912C6">
        <w:rPr>
          <w:rFonts w:asciiTheme="minorHAnsi" w:hAnsiTheme="minorHAnsi" w:cstheme="minorHAnsi"/>
          <w:snapToGrid w:val="0"/>
        </w:rPr>
        <w:t xml:space="preserve"> not respond to treatment at Week 24 discontinued from </w:t>
      </w:r>
      <w:proofErr w:type="spellStart"/>
      <w:r w:rsidRPr="006912C6">
        <w:rPr>
          <w:rFonts w:asciiTheme="minorHAnsi" w:hAnsiTheme="minorHAnsi" w:cstheme="minorHAnsi"/>
          <w:snapToGrid w:val="0"/>
        </w:rPr>
        <w:t>anifrolumab</w:t>
      </w:r>
      <w:proofErr w:type="spellEnd"/>
      <w:r w:rsidRPr="006912C6">
        <w:rPr>
          <w:rFonts w:asciiTheme="minorHAnsi" w:hAnsiTheme="minorHAnsi" w:cstheme="minorHAnsi"/>
          <w:snapToGrid w:val="0"/>
        </w:rPr>
        <w:t xml:space="preserve"> at the end of the first cycle. </w:t>
      </w:r>
      <w:r w:rsidR="000D2C16" w:rsidRPr="006912C6">
        <w:rPr>
          <w:rFonts w:asciiTheme="minorHAnsi" w:hAnsiTheme="minorHAnsi"/>
          <w:snapToGrid w:val="0"/>
        </w:rPr>
        <w:t xml:space="preserve">Events each cycle were based on predictive models of disease progression, with each element informed by disease history. </w:t>
      </w:r>
      <w:r w:rsidR="00A41CAC">
        <w:rPr>
          <w:rFonts w:asciiTheme="minorHAnsi" w:hAnsiTheme="minorHAnsi"/>
          <w:snapToGrid w:val="0"/>
        </w:rPr>
        <w:t>Predictive models for c</w:t>
      </w:r>
      <w:r w:rsidR="006912C6" w:rsidRPr="006912C6">
        <w:rPr>
          <w:rFonts w:asciiTheme="minorHAnsi" w:hAnsiTheme="minorHAnsi" w:cstheme="minorHAnsi"/>
          <w:snapToGrid w:val="0"/>
        </w:rPr>
        <w:t xml:space="preserve">linical outcomes (flares, change in SLEDAI-2K and OCS dose) were based on </w:t>
      </w:r>
      <w:r w:rsidR="006912C6">
        <w:rPr>
          <w:rFonts w:asciiTheme="minorHAnsi" w:hAnsiTheme="minorHAnsi" w:cstheme="minorHAnsi"/>
          <w:snapToGrid w:val="0"/>
        </w:rPr>
        <w:t>pooled TULIP data</w:t>
      </w:r>
      <w:r w:rsidR="001E5B66">
        <w:rPr>
          <w:rFonts w:asciiTheme="minorHAnsi" w:hAnsiTheme="minorHAnsi" w:cstheme="minorHAnsi"/>
          <w:snapToGrid w:val="0"/>
        </w:rPr>
        <w:t xml:space="preserve"> </w:t>
      </w:r>
      <w:r w:rsidR="001E5B66" w:rsidRPr="008545F3">
        <w:rPr>
          <w:rFonts w:asciiTheme="minorHAnsi" w:hAnsiTheme="minorHAnsi" w:cstheme="minorHAnsi"/>
          <w:snapToGrid w:val="0"/>
        </w:rPr>
        <w:t>(</w:t>
      </w:r>
      <w:r w:rsidR="001E5B66" w:rsidRPr="008545F3">
        <w:rPr>
          <w:rFonts w:asciiTheme="minorHAnsi" w:hAnsiTheme="minorHAnsi"/>
          <w:snapToGrid w:val="0"/>
        </w:rPr>
        <w:t xml:space="preserve">for the SLEDAI-2K </w:t>
      </w:r>
      <w:r w:rsidR="001E5B66" w:rsidRPr="008545F3">
        <w:rPr>
          <w:rFonts w:asciiTheme="minorHAnsi" w:hAnsiTheme="minorHAnsi" w:cstheme="minorHAnsi"/>
          <w:snapToGrid w:val="0"/>
        </w:rPr>
        <w:t>≥10 subgroup)</w:t>
      </w:r>
      <w:r w:rsidR="00B12BC7" w:rsidRPr="008545F3">
        <w:rPr>
          <w:rFonts w:asciiTheme="minorHAnsi" w:hAnsiTheme="minorHAnsi" w:cstheme="minorHAnsi"/>
          <w:snapToGrid w:val="0"/>
        </w:rPr>
        <w:t>,</w:t>
      </w:r>
      <w:r w:rsidR="006912C6">
        <w:rPr>
          <w:rFonts w:asciiTheme="minorHAnsi" w:hAnsiTheme="minorHAnsi" w:cstheme="minorHAnsi"/>
          <w:snapToGrid w:val="0"/>
        </w:rPr>
        <w:t xml:space="preserve"> and </w:t>
      </w:r>
      <w:r w:rsidR="00A41CAC">
        <w:rPr>
          <w:rFonts w:asciiTheme="minorHAnsi" w:hAnsiTheme="minorHAnsi" w:cstheme="minorHAnsi"/>
          <w:snapToGrid w:val="0"/>
        </w:rPr>
        <w:t xml:space="preserve">predictive models for </w:t>
      </w:r>
      <w:r w:rsidR="000B3789">
        <w:rPr>
          <w:rFonts w:asciiTheme="minorHAnsi" w:hAnsiTheme="minorHAnsi" w:cstheme="minorHAnsi"/>
          <w:snapToGrid w:val="0"/>
        </w:rPr>
        <w:t>longer-term</w:t>
      </w:r>
      <w:r w:rsidR="006912C6">
        <w:rPr>
          <w:rFonts w:asciiTheme="minorHAnsi" w:hAnsiTheme="minorHAnsi" w:cstheme="minorHAnsi"/>
          <w:snapToGrid w:val="0"/>
        </w:rPr>
        <w:t xml:space="preserve"> outcomes </w:t>
      </w:r>
      <w:r w:rsidR="00833EE4">
        <w:rPr>
          <w:rFonts w:asciiTheme="minorHAnsi" w:hAnsiTheme="minorHAnsi" w:cstheme="minorHAnsi"/>
          <w:snapToGrid w:val="0"/>
        </w:rPr>
        <w:t xml:space="preserve">(mortality and organ damage) were based </w:t>
      </w:r>
      <w:r w:rsidR="000B3789">
        <w:rPr>
          <w:rFonts w:asciiTheme="minorHAnsi" w:hAnsiTheme="minorHAnsi" w:cstheme="minorHAnsi"/>
          <w:snapToGrid w:val="0"/>
        </w:rPr>
        <w:t xml:space="preserve">on </w:t>
      </w:r>
      <w:r w:rsidR="00833EE4">
        <w:rPr>
          <w:rFonts w:asciiTheme="minorHAnsi" w:hAnsiTheme="minorHAnsi" w:cstheme="minorHAnsi"/>
          <w:snapToGrid w:val="0"/>
        </w:rPr>
        <w:t xml:space="preserve">JHLC registry data. </w:t>
      </w:r>
      <w:r w:rsidR="00A41CAC">
        <w:rPr>
          <w:rFonts w:asciiTheme="minorHAnsi" w:hAnsiTheme="minorHAnsi" w:cstheme="minorHAnsi"/>
          <w:snapToGrid w:val="0"/>
        </w:rPr>
        <w:t xml:space="preserve">Organ damage frequency was based on data from the </w:t>
      </w:r>
      <w:r w:rsidR="001B22AD" w:rsidRPr="001B22AD">
        <w:rPr>
          <w:rFonts w:asciiTheme="minorHAnsi" w:hAnsiTheme="minorHAnsi" w:cstheme="minorHAnsi"/>
          <w:snapToGrid w:val="0"/>
        </w:rPr>
        <w:t>Australian Lupus Registry and Biobank</w:t>
      </w:r>
      <w:r w:rsidR="001B22AD">
        <w:rPr>
          <w:rFonts w:asciiTheme="minorHAnsi" w:hAnsiTheme="minorHAnsi" w:cstheme="minorHAnsi"/>
          <w:snapToGrid w:val="0"/>
        </w:rPr>
        <w:t xml:space="preserve"> (ALRB).</w:t>
      </w:r>
      <w:r w:rsidR="001B22AD" w:rsidRPr="001B22AD">
        <w:rPr>
          <w:rFonts w:asciiTheme="minorHAnsi" w:hAnsiTheme="minorHAnsi" w:cstheme="minorHAnsi"/>
          <w:snapToGrid w:val="0"/>
        </w:rPr>
        <w:t xml:space="preserve"> </w:t>
      </w:r>
    </w:p>
    <w:p w14:paraId="76452243" w14:textId="1E06FC66" w:rsidR="000D2C16" w:rsidRPr="00C42D9A" w:rsidRDefault="000D2C16" w:rsidP="00C42D9A">
      <w:pPr>
        <w:numPr>
          <w:ilvl w:val="1"/>
          <w:numId w:val="1"/>
        </w:numPr>
        <w:spacing w:after="120"/>
        <w:rPr>
          <w:rFonts w:asciiTheme="minorHAnsi" w:hAnsiTheme="minorHAnsi" w:cstheme="minorHAnsi"/>
          <w:snapToGrid w:val="0"/>
        </w:rPr>
      </w:pPr>
      <w:r w:rsidRPr="00C42D9A">
        <w:rPr>
          <w:rFonts w:asciiTheme="minorHAnsi" w:hAnsiTheme="minorHAnsi" w:cstheme="minorHAnsi"/>
          <w:snapToGrid w:val="0"/>
        </w:rPr>
        <w:t>The interdependencies of the disease progression predictive models are presented in</w:t>
      </w:r>
      <w:r w:rsidR="003145D0" w:rsidRPr="00C42D9A">
        <w:rPr>
          <w:rFonts w:asciiTheme="minorHAnsi" w:hAnsiTheme="minorHAnsi" w:cstheme="minorHAnsi"/>
          <w:snapToGrid w:val="0"/>
        </w:rPr>
        <w:t xml:space="preserve"> </w:t>
      </w:r>
      <w:r w:rsidR="00C42D9A" w:rsidRPr="00C42D9A">
        <w:rPr>
          <w:rFonts w:asciiTheme="minorHAnsi" w:hAnsiTheme="minorHAnsi" w:cstheme="minorHAnsi"/>
          <w:snapToGrid w:val="0"/>
        </w:rPr>
        <w:fldChar w:fldCharType="begin"/>
      </w:r>
      <w:r w:rsidR="00C42D9A" w:rsidRPr="00C42D9A">
        <w:rPr>
          <w:rFonts w:asciiTheme="minorHAnsi" w:hAnsiTheme="minorHAnsi" w:cstheme="minorHAnsi"/>
          <w:snapToGrid w:val="0"/>
        </w:rPr>
        <w:instrText xml:space="preserve"> REF _Ref103690393 \h  \* MERGEFORMAT </w:instrText>
      </w:r>
      <w:r w:rsidR="00C42D9A" w:rsidRPr="00C42D9A">
        <w:rPr>
          <w:rFonts w:asciiTheme="minorHAnsi" w:hAnsiTheme="minorHAnsi" w:cstheme="minorHAnsi"/>
          <w:snapToGrid w:val="0"/>
        </w:rPr>
      </w:r>
      <w:r w:rsidR="00C42D9A" w:rsidRPr="00C42D9A">
        <w:rPr>
          <w:rFonts w:asciiTheme="minorHAnsi" w:hAnsiTheme="minorHAnsi" w:cstheme="minorHAnsi"/>
          <w:snapToGrid w:val="0"/>
        </w:rPr>
        <w:fldChar w:fldCharType="separate"/>
      </w:r>
      <w:r w:rsidR="00942C22" w:rsidRPr="00942C22">
        <w:rPr>
          <w:rFonts w:asciiTheme="minorHAnsi" w:hAnsiTheme="minorHAnsi" w:cstheme="minorHAnsi"/>
          <w:snapToGrid w:val="0"/>
        </w:rPr>
        <w:t xml:space="preserve">Figure </w:t>
      </w:r>
      <w:r w:rsidR="00942C22" w:rsidRPr="00942C22">
        <w:rPr>
          <w:rFonts w:asciiTheme="minorHAnsi" w:hAnsiTheme="minorHAnsi" w:cstheme="minorHAnsi"/>
          <w:noProof/>
          <w:snapToGrid w:val="0"/>
        </w:rPr>
        <w:t>2</w:t>
      </w:r>
      <w:r w:rsidR="00C42D9A" w:rsidRPr="00C42D9A">
        <w:rPr>
          <w:rFonts w:asciiTheme="minorHAnsi" w:hAnsiTheme="minorHAnsi" w:cstheme="minorHAnsi"/>
          <w:snapToGrid w:val="0"/>
        </w:rPr>
        <w:fldChar w:fldCharType="end"/>
      </w:r>
      <w:r w:rsidR="00EA2FD7" w:rsidRPr="00C42D9A">
        <w:rPr>
          <w:rFonts w:asciiTheme="minorHAnsi" w:hAnsiTheme="minorHAnsi" w:cstheme="minorHAnsi"/>
          <w:snapToGrid w:val="0"/>
        </w:rPr>
        <w:t>.</w:t>
      </w:r>
      <w:bookmarkStart w:id="51" w:name="_Ref102828128"/>
    </w:p>
    <w:p w14:paraId="55404B5E" w14:textId="099EF712" w:rsidR="000D2C16" w:rsidRPr="000D2C16" w:rsidRDefault="000D2C16" w:rsidP="00820AB9">
      <w:pPr>
        <w:keepNext/>
        <w:keepLines/>
        <w:spacing w:after="120"/>
        <w:rPr>
          <w:rFonts w:ascii="Arial Narrow" w:hAnsi="Arial Narrow"/>
          <w:b/>
          <w:bCs/>
          <w:snapToGrid w:val="0"/>
          <w:sz w:val="20"/>
          <w:szCs w:val="20"/>
        </w:rPr>
      </w:pPr>
      <w:bookmarkStart w:id="52" w:name="_Ref103690393"/>
      <w:r w:rsidRPr="000D2C16">
        <w:rPr>
          <w:rFonts w:ascii="Arial Narrow" w:hAnsi="Arial Narrow"/>
          <w:b/>
          <w:bCs/>
          <w:snapToGrid w:val="0"/>
          <w:sz w:val="20"/>
          <w:szCs w:val="20"/>
        </w:rPr>
        <w:lastRenderedPageBreak/>
        <w:t xml:space="preserve">Figure </w:t>
      </w:r>
      <w:r w:rsidRPr="000D2C16">
        <w:rPr>
          <w:rFonts w:ascii="Arial Narrow" w:hAnsi="Arial Narrow"/>
          <w:b/>
          <w:bCs/>
          <w:snapToGrid w:val="0"/>
          <w:sz w:val="20"/>
          <w:szCs w:val="20"/>
        </w:rPr>
        <w:fldChar w:fldCharType="begin"/>
      </w:r>
      <w:r w:rsidRPr="000D2C16">
        <w:rPr>
          <w:rFonts w:ascii="Arial Narrow" w:hAnsi="Arial Narrow"/>
          <w:b/>
          <w:bCs/>
          <w:snapToGrid w:val="0"/>
          <w:sz w:val="20"/>
          <w:szCs w:val="20"/>
        </w:rPr>
        <w:instrText xml:space="preserve"> SEQ Figure \* ARABIC </w:instrText>
      </w:r>
      <w:r w:rsidRPr="000D2C16">
        <w:rPr>
          <w:rFonts w:ascii="Arial Narrow" w:hAnsi="Arial Narrow"/>
          <w:b/>
          <w:bCs/>
          <w:snapToGrid w:val="0"/>
          <w:sz w:val="20"/>
          <w:szCs w:val="20"/>
        </w:rPr>
        <w:fldChar w:fldCharType="separate"/>
      </w:r>
      <w:r w:rsidR="00942C22">
        <w:rPr>
          <w:rFonts w:ascii="Arial Narrow" w:hAnsi="Arial Narrow"/>
          <w:b/>
          <w:bCs/>
          <w:noProof/>
          <w:snapToGrid w:val="0"/>
          <w:sz w:val="20"/>
          <w:szCs w:val="20"/>
        </w:rPr>
        <w:t>2</w:t>
      </w:r>
      <w:r w:rsidRPr="000D2C16">
        <w:rPr>
          <w:rFonts w:ascii="Arial Narrow" w:hAnsi="Arial Narrow"/>
          <w:b/>
          <w:bCs/>
          <w:noProof/>
          <w:snapToGrid w:val="0"/>
          <w:sz w:val="20"/>
          <w:szCs w:val="20"/>
        </w:rPr>
        <w:fldChar w:fldCharType="end"/>
      </w:r>
      <w:bookmarkEnd w:id="51"/>
      <w:bookmarkEnd w:id="52"/>
      <w:r w:rsidRPr="000D2C16">
        <w:rPr>
          <w:rFonts w:ascii="Arial Narrow" w:hAnsi="Arial Narrow"/>
          <w:b/>
          <w:bCs/>
          <w:snapToGrid w:val="0"/>
          <w:sz w:val="20"/>
          <w:szCs w:val="20"/>
        </w:rPr>
        <w:t xml:space="preserve">: Dependencies among predictive models of disease progression </w:t>
      </w:r>
    </w:p>
    <w:tbl>
      <w:tblPr>
        <w:tblStyle w:val="TableGrid"/>
        <w:tblW w:w="0" w:type="auto"/>
        <w:tblBorders>
          <w:insideH w:val="none" w:sz="0" w:space="0" w:color="auto"/>
        </w:tblBorders>
        <w:tblCellMar>
          <w:left w:w="0" w:type="dxa"/>
          <w:right w:w="0" w:type="dxa"/>
        </w:tblCellMar>
        <w:tblLook w:val="04A0" w:firstRow="1" w:lastRow="0" w:firstColumn="1" w:lastColumn="0" w:noHBand="0" w:noVBand="1"/>
      </w:tblPr>
      <w:tblGrid>
        <w:gridCol w:w="4508"/>
        <w:gridCol w:w="4509"/>
      </w:tblGrid>
      <w:tr w:rsidR="000D2C16" w:rsidRPr="000D2C16" w14:paraId="4BA9F013" w14:textId="77777777" w:rsidTr="00306AFC">
        <w:tc>
          <w:tcPr>
            <w:tcW w:w="4508" w:type="dxa"/>
          </w:tcPr>
          <w:p w14:paraId="1E9825B3" w14:textId="59A2D410" w:rsidR="000D2C16" w:rsidRPr="000D2C16" w:rsidRDefault="00F651EA" w:rsidP="00820AB9">
            <w:pPr>
              <w:keepNext/>
              <w:keepLines/>
              <w:jc w:val="center"/>
              <w:rPr>
                <w:rFonts w:ascii="Arial Narrow" w:eastAsiaTheme="majorEastAsia" w:hAnsi="Arial Narrow" w:cs="Times New Roman"/>
                <w:b/>
                <w:sz w:val="20"/>
              </w:rPr>
            </w:pPr>
            <w:r>
              <w:rPr>
                <w:rFonts w:ascii="Arial Narrow" w:eastAsiaTheme="majorEastAsia" w:hAnsi="Arial Narrow" w:cs="Times New Roman"/>
                <w:b/>
                <w:sz w:val="20"/>
              </w:rPr>
              <w:t>I</w:t>
            </w:r>
            <w:r w:rsidR="000D2C16" w:rsidRPr="000D2C16">
              <w:rPr>
                <w:rFonts w:ascii="Arial Narrow" w:eastAsiaTheme="majorEastAsia" w:hAnsi="Arial Narrow" w:cs="Times New Roman"/>
                <w:b/>
                <w:sz w:val="20"/>
              </w:rPr>
              <w:t>nitial</w:t>
            </w:r>
          </w:p>
        </w:tc>
        <w:tc>
          <w:tcPr>
            <w:tcW w:w="4509" w:type="dxa"/>
            <w:vAlign w:val="center"/>
          </w:tcPr>
          <w:p w14:paraId="4DEB019E" w14:textId="56AE563C" w:rsidR="000D2C16" w:rsidRPr="000D2C16" w:rsidRDefault="00F651EA" w:rsidP="00820AB9">
            <w:pPr>
              <w:keepNext/>
              <w:keepLines/>
              <w:jc w:val="center"/>
              <w:rPr>
                <w:rFonts w:ascii="Arial Narrow" w:eastAsiaTheme="majorEastAsia" w:hAnsi="Arial Narrow" w:cs="Times New Roman"/>
                <w:b/>
                <w:sz w:val="20"/>
              </w:rPr>
            </w:pPr>
            <w:r>
              <w:rPr>
                <w:rFonts w:ascii="Arial Narrow" w:eastAsiaTheme="majorEastAsia" w:hAnsi="Arial Narrow" w:cs="Times New Roman"/>
                <w:b/>
                <w:sz w:val="20"/>
                <w:lang w:val="en-US"/>
              </w:rPr>
              <w:t>A</w:t>
            </w:r>
            <w:r w:rsidR="000D2C16" w:rsidRPr="000D2C16">
              <w:rPr>
                <w:rFonts w:ascii="Arial Narrow" w:eastAsiaTheme="majorEastAsia" w:hAnsi="Arial Narrow" w:cs="Times New Roman"/>
                <w:b/>
                <w:sz w:val="20"/>
                <w:lang w:val="en-US"/>
              </w:rPr>
              <w:t>fter first year</w:t>
            </w:r>
          </w:p>
        </w:tc>
      </w:tr>
      <w:tr w:rsidR="000D2C16" w:rsidRPr="000D2C16" w14:paraId="337B7356" w14:textId="77777777" w:rsidTr="00306AFC">
        <w:tc>
          <w:tcPr>
            <w:tcW w:w="4508" w:type="dxa"/>
          </w:tcPr>
          <w:p w14:paraId="516BF566" w14:textId="77777777" w:rsidR="000D2C16" w:rsidRPr="000D2C16" w:rsidRDefault="000D2C16" w:rsidP="00820AB9">
            <w:pPr>
              <w:keepNext/>
              <w:keepLines/>
              <w:jc w:val="left"/>
              <w:rPr>
                <w:rFonts w:ascii="Arial Narrow" w:eastAsiaTheme="majorEastAsia" w:hAnsi="Arial Narrow" w:cs="Times New Roman"/>
                <w:b/>
                <w:sz w:val="20"/>
              </w:rPr>
            </w:pPr>
          </w:p>
          <w:p w14:paraId="35B2247E" w14:textId="3220231A" w:rsidR="000D2C16" w:rsidRPr="000D2C16" w:rsidRDefault="000D2C16" w:rsidP="00820AB9">
            <w:pPr>
              <w:keepNext/>
              <w:keepLines/>
              <w:jc w:val="left"/>
              <w:rPr>
                <w:rFonts w:ascii="Arial Narrow" w:eastAsiaTheme="majorEastAsia" w:hAnsi="Arial Narrow" w:cs="Times New Roman"/>
                <w:b/>
                <w:sz w:val="20"/>
              </w:rPr>
            </w:pPr>
            <w:r w:rsidRPr="000D2C16">
              <w:rPr>
                <w:rFonts w:ascii="Arial Narrow" w:eastAsiaTheme="majorEastAsia" w:hAnsi="Arial Narrow" w:cs="Times New Roman"/>
                <w:b/>
                <w:i/>
                <w:noProof/>
                <w:sz w:val="20"/>
                <w:lang w:val="en-US"/>
              </w:rPr>
              <w:drawing>
                <wp:inline distT="0" distB="0" distL="0" distR="0" wp14:anchorId="51CDDF67" wp14:editId="620058B1">
                  <wp:extent cx="2803525" cy="1915064"/>
                  <wp:effectExtent l="0" t="0" r="0" b="952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956" cy="1926288"/>
                          </a:xfrm>
                          <a:prstGeom prst="rect">
                            <a:avLst/>
                          </a:prstGeom>
                          <a:noFill/>
                        </pic:spPr>
                      </pic:pic>
                    </a:graphicData>
                  </a:graphic>
                </wp:inline>
              </w:drawing>
            </w:r>
          </w:p>
          <w:p w14:paraId="0E2ED8D5" w14:textId="77777777" w:rsidR="000D2C16" w:rsidRPr="000D2C16" w:rsidRDefault="000D2C16" w:rsidP="00820AB9">
            <w:pPr>
              <w:keepNext/>
              <w:keepLines/>
              <w:jc w:val="left"/>
              <w:rPr>
                <w:rFonts w:ascii="Arial Narrow" w:eastAsiaTheme="majorEastAsia" w:hAnsi="Arial Narrow" w:cs="Times New Roman"/>
                <w:b/>
                <w:sz w:val="20"/>
              </w:rPr>
            </w:pPr>
          </w:p>
          <w:p w14:paraId="36411BCD" w14:textId="77777777" w:rsidR="000D2C16" w:rsidRPr="000D2C16" w:rsidRDefault="000D2C16" w:rsidP="00820AB9">
            <w:pPr>
              <w:keepNext/>
              <w:keepLines/>
              <w:jc w:val="left"/>
              <w:rPr>
                <w:rFonts w:ascii="Arial Narrow" w:eastAsiaTheme="majorEastAsia" w:hAnsi="Arial Narrow" w:cs="Times New Roman"/>
                <w:b/>
                <w:sz w:val="20"/>
              </w:rPr>
            </w:pPr>
          </w:p>
        </w:tc>
        <w:tc>
          <w:tcPr>
            <w:tcW w:w="4509" w:type="dxa"/>
          </w:tcPr>
          <w:p w14:paraId="7AD458B1" w14:textId="77777777" w:rsidR="000D2C16" w:rsidRPr="000D2C16" w:rsidRDefault="000D2C16" w:rsidP="00820AB9">
            <w:pPr>
              <w:keepNext/>
              <w:keepLines/>
              <w:jc w:val="left"/>
              <w:rPr>
                <w:rFonts w:ascii="Arial Narrow" w:eastAsiaTheme="majorEastAsia" w:hAnsi="Arial Narrow" w:cs="Times New Roman"/>
                <w:b/>
                <w:sz w:val="20"/>
              </w:rPr>
            </w:pPr>
          </w:p>
          <w:p w14:paraId="3F5B7A9B" w14:textId="5B0F227B" w:rsidR="000D2C16" w:rsidRPr="000D2C16" w:rsidRDefault="000D2C16" w:rsidP="00820AB9">
            <w:pPr>
              <w:keepNext/>
              <w:keepLines/>
              <w:jc w:val="left"/>
              <w:rPr>
                <w:rFonts w:ascii="Arial Narrow" w:eastAsiaTheme="majorEastAsia" w:hAnsi="Arial Narrow" w:cs="Times New Roman"/>
                <w:b/>
                <w:sz w:val="20"/>
              </w:rPr>
            </w:pPr>
            <w:r w:rsidRPr="000D2C16">
              <w:rPr>
                <w:rFonts w:ascii="Arial Narrow" w:eastAsiaTheme="majorEastAsia" w:hAnsi="Arial Narrow" w:cs="Times New Roman"/>
                <w:b/>
                <w:i/>
                <w:noProof/>
                <w:sz w:val="20"/>
                <w:lang w:val="en-US"/>
              </w:rPr>
              <w:drawing>
                <wp:inline distT="0" distB="0" distL="0" distR="0" wp14:anchorId="42577C2E" wp14:editId="3143D08C">
                  <wp:extent cx="2751827" cy="2052668"/>
                  <wp:effectExtent l="0" t="0" r="0" b="508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2550" cy="2075585"/>
                          </a:xfrm>
                          <a:prstGeom prst="rect">
                            <a:avLst/>
                          </a:prstGeom>
                          <a:noFill/>
                        </pic:spPr>
                      </pic:pic>
                    </a:graphicData>
                  </a:graphic>
                </wp:inline>
              </w:drawing>
            </w:r>
          </w:p>
        </w:tc>
      </w:tr>
    </w:tbl>
    <w:p w14:paraId="22047AB8" w14:textId="77777777" w:rsidR="000D2C16" w:rsidRPr="000D2C16" w:rsidRDefault="000D2C16" w:rsidP="00820AB9">
      <w:pPr>
        <w:keepNext/>
        <w:keepLines/>
        <w:rPr>
          <w:rFonts w:ascii="Arial Narrow" w:hAnsi="Arial Narrow"/>
          <w:snapToGrid w:val="0"/>
          <w:sz w:val="18"/>
          <w:szCs w:val="22"/>
        </w:rPr>
      </w:pPr>
      <w:r w:rsidRPr="000D2C16">
        <w:rPr>
          <w:rFonts w:ascii="Arial Narrow" w:hAnsi="Arial Narrow"/>
          <w:snapToGrid w:val="0"/>
          <w:sz w:val="18"/>
          <w:szCs w:val="22"/>
        </w:rPr>
        <w:t>Source: Figure 3.2-1 and Figure 3.2-2 of the submission</w:t>
      </w:r>
    </w:p>
    <w:p w14:paraId="20E49B78" w14:textId="77777777" w:rsidR="000D2C16" w:rsidRPr="000D2C16" w:rsidRDefault="000D2C16" w:rsidP="00820AB9">
      <w:pPr>
        <w:keepNext/>
        <w:keepLines/>
        <w:rPr>
          <w:rFonts w:ascii="Arial Narrow" w:hAnsi="Arial Narrow"/>
          <w:snapToGrid w:val="0"/>
          <w:sz w:val="18"/>
          <w:szCs w:val="22"/>
        </w:rPr>
      </w:pPr>
      <w:r w:rsidRPr="000D2C16">
        <w:rPr>
          <w:rFonts w:ascii="Arial Narrow" w:hAnsi="Arial Narrow"/>
          <w:snapToGrid w:val="0"/>
          <w:sz w:val="18"/>
          <w:szCs w:val="22"/>
        </w:rPr>
        <w:t>SLEDAI= Systemic Lupus Erythematosus Disease Activity Index.</w:t>
      </w:r>
    </w:p>
    <w:p w14:paraId="0E816FC2" w14:textId="6440320C" w:rsidR="003145D0" w:rsidRDefault="003145D0" w:rsidP="003145D0">
      <w:pPr>
        <w:spacing w:after="120"/>
        <w:rPr>
          <w:rFonts w:asciiTheme="minorHAnsi" w:hAnsiTheme="minorHAnsi"/>
          <w:snapToGrid w:val="0"/>
        </w:rPr>
      </w:pPr>
    </w:p>
    <w:p w14:paraId="27F6A050" w14:textId="0F258E74" w:rsidR="000D2C16" w:rsidRPr="00FC1EC9" w:rsidRDefault="000D2C16" w:rsidP="000D2C16">
      <w:pPr>
        <w:numPr>
          <w:ilvl w:val="1"/>
          <w:numId w:val="1"/>
        </w:numPr>
        <w:spacing w:after="120"/>
        <w:rPr>
          <w:rFonts w:asciiTheme="minorHAnsi" w:hAnsiTheme="minorHAnsi"/>
          <w:iCs/>
          <w:snapToGrid w:val="0"/>
        </w:rPr>
      </w:pPr>
      <w:r w:rsidRPr="00603AFC">
        <w:rPr>
          <w:rFonts w:asciiTheme="minorHAnsi" w:hAnsiTheme="minorHAnsi"/>
          <w:iCs/>
          <w:snapToGrid w:val="0"/>
        </w:rPr>
        <w:t>In the SLEDAI-2K</w:t>
      </w:r>
      <w:r w:rsidR="0034362B" w:rsidRPr="00603AFC">
        <w:rPr>
          <w:rFonts w:asciiTheme="minorHAnsi" w:hAnsiTheme="minorHAnsi"/>
          <w:iCs/>
          <w:snapToGrid w:val="0"/>
        </w:rPr>
        <w:t xml:space="preserve"> </w:t>
      </w:r>
      <w:r w:rsidRPr="00603AFC">
        <w:rPr>
          <w:rFonts w:asciiTheme="minorHAnsi" w:hAnsiTheme="minorHAnsi" w:cstheme="minorHAnsi"/>
          <w:iCs/>
          <w:snapToGrid w:val="0"/>
        </w:rPr>
        <w:t>≥</w:t>
      </w:r>
      <w:r w:rsidRPr="00603AFC">
        <w:rPr>
          <w:rFonts w:asciiTheme="minorHAnsi" w:hAnsiTheme="minorHAnsi"/>
          <w:iCs/>
          <w:snapToGrid w:val="0"/>
        </w:rPr>
        <w:t>10 subgroup of the TULIP trials, the percentage of responders at W</w:t>
      </w:r>
      <w:r w:rsidRPr="00FC1EC9">
        <w:rPr>
          <w:rFonts w:asciiTheme="minorHAnsi" w:hAnsiTheme="minorHAnsi"/>
          <w:iCs/>
          <w:snapToGrid w:val="0"/>
        </w:rPr>
        <w:t>eek 24 (i.e., patients whose SLEDAI-2K decreased by at least 4 points</w:t>
      </w:r>
      <w:r w:rsidR="00B86F70" w:rsidRPr="00FC1EC9">
        <w:rPr>
          <w:rFonts w:asciiTheme="minorHAnsi" w:hAnsiTheme="minorHAnsi"/>
          <w:i/>
          <w:snapToGrid w:val="0"/>
        </w:rPr>
        <w:t xml:space="preserve"> </w:t>
      </w:r>
      <w:r w:rsidR="00B86F70" w:rsidRPr="00F651EA">
        <w:rPr>
          <w:rFonts w:asciiTheme="minorHAnsi" w:hAnsiTheme="minorHAnsi"/>
          <w:iCs/>
          <w:snapToGrid w:val="0"/>
        </w:rPr>
        <w:t xml:space="preserve">consistent with the </w:t>
      </w:r>
      <w:r w:rsidR="00AB1B86" w:rsidRPr="00F651EA">
        <w:rPr>
          <w:rFonts w:asciiTheme="minorHAnsi" w:hAnsiTheme="minorHAnsi"/>
          <w:iCs/>
          <w:snapToGrid w:val="0"/>
        </w:rPr>
        <w:t xml:space="preserve">criteria for response in the </w:t>
      </w:r>
      <w:r w:rsidR="00B86F70" w:rsidRPr="00F651EA">
        <w:rPr>
          <w:rFonts w:asciiTheme="minorHAnsi" w:hAnsiTheme="minorHAnsi"/>
          <w:iCs/>
          <w:snapToGrid w:val="0"/>
        </w:rPr>
        <w:t>proposed PBS restriction</w:t>
      </w:r>
      <w:r w:rsidRPr="00F651EA">
        <w:rPr>
          <w:rFonts w:asciiTheme="minorHAnsi" w:hAnsiTheme="minorHAnsi"/>
          <w:iCs/>
          <w:snapToGrid w:val="0"/>
        </w:rPr>
        <w:t>)</w:t>
      </w:r>
      <w:r w:rsidRPr="00FC1EC9">
        <w:rPr>
          <w:rFonts w:asciiTheme="minorHAnsi" w:hAnsiTheme="minorHAnsi"/>
          <w:iCs/>
          <w:snapToGrid w:val="0"/>
        </w:rPr>
        <w:t xml:space="preserve"> was 55.4% in the </w:t>
      </w:r>
      <w:proofErr w:type="spellStart"/>
      <w:r w:rsidRPr="00FC1EC9">
        <w:rPr>
          <w:rFonts w:asciiTheme="minorHAnsi" w:hAnsiTheme="minorHAnsi"/>
          <w:iCs/>
          <w:snapToGrid w:val="0"/>
        </w:rPr>
        <w:t>anifrolumab</w:t>
      </w:r>
      <w:proofErr w:type="spellEnd"/>
      <w:r w:rsidRPr="00FC1EC9">
        <w:rPr>
          <w:rFonts w:asciiTheme="minorHAnsi" w:hAnsiTheme="minorHAnsi"/>
          <w:iCs/>
          <w:snapToGrid w:val="0"/>
        </w:rPr>
        <w:t xml:space="preserve"> arm versus 47.4% in the placebo arm.</w:t>
      </w:r>
    </w:p>
    <w:p w14:paraId="3EA1A240" w14:textId="3E720F07" w:rsidR="0034702A" w:rsidRPr="0034702A" w:rsidRDefault="000D2C16" w:rsidP="001275DF">
      <w:pPr>
        <w:pStyle w:val="3-BodyText"/>
        <w:rPr>
          <w:i/>
          <w:iCs/>
        </w:rPr>
      </w:pPr>
      <w:bookmarkStart w:id="53" w:name="_Ref110516663"/>
      <w:r w:rsidRPr="00FC1EC9">
        <w:t xml:space="preserve">Many of the regression models resulted in circular estimations and had the potential for double counting, particularly flares and SLEDAI-2K scores (i.e. SLEDAI-2K affected the likelihood of flares and flares affected the change in SLEDAI-2K, so each had acted as both regressor and </w:t>
      </w:r>
      <w:proofErr w:type="spellStart"/>
      <w:r w:rsidRPr="00FC1EC9">
        <w:t>regressand</w:t>
      </w:r>
      <w:proofErr w:type="spellEnd"/>
      <w:r w:rsidRPr="00FC1EC9">
        <w:t xml:space="preserve">). This was particularly important given the limited clinical evidence of the relationship between SLEDAI-2K and the long-term outcomes it contributed to. </w:t>
      </w:r>
      <w:r w:rsidR="00026ADD" w:rsidRPr="008545F3">
        <w:t xml:space="preserve">The PSCR stated (p3) that a flare is a sudden large increase in disease activity combined with the need to change treatment; as such, it </w:t>
      </w:r>
      <w:r w:rsidR="00F6519A" w:rsidRPr="008545F3">
        <w:t>was</w:t>
      </w:r>
      <w:r w:rsidR="00026ADD" w:rsidRPr="008545F3">
        <w:t xml:space="preserve"> appropriate f</w:t>
      </w:r>
      <w:r w:rsidR="00F6519A" w:rsidRPr="008545F3">
        <w:t>or</w:t>
      </w:r>
      <w:r w:rsidR="00026ADD" w:rsidRPr="008545F3">
        <w:t xml:space="preserve"> SLEDAI-2K scores </w:t>
      </w:r>
      <w:r w:rsidR="00F6519A" w:rsidRPr="008545F3">
        <w:t>to be</w:t>
      </w:r>
      <w:r w:rsidR="00026ADD" w:rsidRPr="008545F3">
        <w:t xml:space="preserve"> impacted by flares and vice versa. </w:t>
      </w:r>
      <w:r w:rsidR="00F6519A" w:rsidRPr="008545F3">
        <w:t xml:space="preserve">The PSCR further argued that </w:t>
      </w:r>
      <w:proofErr w:type="spellStart"/>
      <w:r w:rsidR="00F6519A" w:rsidRPr="008545F3">
        <w:t>a</w:t>
      </w:r>
      <w:r w:rsidR="00026ADD" w:rsidRPr="008545F3">
        <w:t>nifrolumab</w:t>
      </w:r>
      <w:proofErr w:type="spellEnd"/>
      <w:r w:rsidR="00026ADD" w:rsidRPr="008545F3">
        <w:t xml:space="preserve"> does not have a direct impact on SLEDAI-2K in the model beyond the trial period. </w:t>
      </w:r>
      <w:r w:rsidR="005D07F1" w:rsidRPr="008545F3">
        <w:t>However, t</w:t>
      </w:r>
      <w:r w:rsidR="00026ADD" w:rsidRPr="008545F3">
        <w:t>he</w:t>
      </w:r>
      <w:r w:rsidR="005D07F1" w:rsidRPr="008545F3">
        <w:t xml:space="preserve"> </w:t>
      </w:r>
      <w:r w:rsidR="00F641D8">
        <w:t>evaluation and the ESC considered</w:t>
      </w:r>
      <w:r w:rsidR="001D2135" w:rsidRPr="008545F3">
        <w:t xml:space="preserve"> there was a high chance of double counting the SLEDAI-2K effect, given it was used in predictions of other model components.</w:t>
      </w:r>
      <w:r w:rsidR="00852C90" w:rsidRPr="0034702A">
        <w:rPr>
          <w:i/>
        </w:rPr>
        <w:t xml:space="preserve"> </w:t>
      </w:r>
      <w:r w:rsidR="00F641D8">
        <w:t>Th</w:t>
      </w:r>
      <w:r w:rsidR="0034702A" w:rsidRPr="0034702A">
        <w:t xml:space="preserve">e pre-PBAC response removed the effect of SLEDAI-2K on utility and the number of hospitalisations, </w:t>
      </w:r>
      <w:r w:rsidR="00F641D8">
        <w:t xml:space="preserve">however </w:t>
      </w:r>
      <w:r w:rsidR="0034702A" w:rsidRPr="0034702A">
        <w:t>its effect on mortality, organ damage and OCS use remained unchanged, likely leading to some double-counting of the effect of SLEDAI on mortality.</w:t>
      </w:r>
      <w:r w:rsidR="0034702A" w:rsidRPr="0034702A">
        <w:rPr>
          <w:i/>
          <w:iCs/>
        </w:rPr>
        <w:t xml:space="preserve"> </w:t>
      </w:r>
      <w:bookmarkEnd w:id="53"/>
    </w:p>
    <w:p w14:paraId="1A32BA3A" w14:textId="7E6D0417" w:rsidR="007B4D68" w:rsidRPr="008545F3" w:rsidRDefault="008D0777" w:rsidP="00D804FF">
      <w:pPr>
        <w:pStyle w:val="3-BodyText"/>
      </w:pPr>
      <w:r>
        <w:t xml:space="preserve">The ESC considered that </w:t>
      </w:r>
      <w:r w:rsidR="00FC1EC9" w:rsidRPr="00FC1EC9">
        <w:t xml:space="preserve">the relationship between SLEDAI-2K and clinical outcomes was not well justified in the </w:t>
      </w:r>
      <w:r w:rsidR="00FC1EC9" w:rsidRPr="008545F3">
        <w:t>submission, particularly the long-term outcomes to which it contributed</w:t>
      </w:r>
      <w:r w:rsidR="00E93CEC">
        <w:rPr>
          <w:lang w:val="en-US"/>
        </w:rPr>
        <w:t>.</w:t>
      </w:r>
      <w:r w:rsidR="00E93CEC">
        <w:rPr>
          <w:iCs/>
        </w:rPr>
        <w:t xml:space="preserve"> </w:t>
      </w:r>
    </w:p>
    <w:p w14:paraId="3B70D9D4" w14:textId="15103020" w:rsidR="000D2C16" w:rsidRPr="00603AFC" w:rsidRDefault="000D2C16" w:rsidP="00D804FF">
      <w:pPr>
        <w:pStyle w:val="3-BodyText"/>
        <w:rPr>
          <w:iCs/>
        </w:rPr>
      </w:pPr>
      <w:r w:rsidRPr="00FC1EC9">
        <w:rPr>
          <w:iCs/>
        </w:rPr>
        <w:t>Mortality was not captured in the TULIP data and organ damage was only presented as an exploratory</w:t>
      </w:r>
      <w:r w:rsidRPr="00603AFC">
        <w:rPr>
          <w:iCs/>
        </w:rPr>
        <w:t xml:space="preserve"> outcome that showed no difference between the </w:t>
      </w:r>
      <w:proofErr w:type="spellStart"/>
      <w:r w:rsidRPr="00603AFC">
        <w:rPr>
          <w:iCs/>
        </w:rPr>
        <w:t>anifrolumab</w:t>
      </w:r>
      <w:proofErr w:type="spellEnd"/>
      <w:r w:rsidRPr="00603AFC">
        <w:rPr>
          <w:iCs/>
        </w:rPr>
        <w:t xml:space="preserve"> and </w:t>
      </w:r>
      <w:r w:rsidRPr="00603AFC">
        <w:rPr>
          <w:iCs/>
        </w:rPr>
        <w:lastRenderedPageBreak/>
        <w:t xml:space="preserve">placebo arms. Instead, </w:t>
      </w:r>
      <w:r w:rsidR="00725910">
        <w:rPr>
          <w:iCs/>
        </w:rPr>
        <w:t xml:space="preserve">the model used </w:t>
      </w:r>
      <w:r w:rsidRPr="00603AFC">
        <w:rPr>
          <w:iCs/>
        </w:rPr>
        <w:t>SLEDAI-2K scores to estimate flares, OCS use, organ damage, and mortality.</w:t>
      </w:r>
      <w:r w:rsidR="003145D0" w:rsidRPr="00603AFC">
        <w:rPr>
          <w:iCs/>
        </w:rPr>
        <w:t xml:space="preserve"> </w:t>
      </w:r>
      <w:r w:rsidR="009602F2" w:rsidRPr="00603AFC">
        <w:rPr>
          <w:iCs/>
        </w:rPr>
        <w:t xml:space="preserve">In </w:t>
      </w:r>
      <w:r w:rsidR="0097002A" w:rsidRPr="00603AFC">
        <w:rPr>
          <w:iCs/>
        </w:rPr>
        <w:t xml:space="preserve">the </w:t>
      </w:r>
      <w:r w:rsidR="009602F2" w:rsidRPr="00603AFC">
        <w:rPr>
          <w:iCs/>
        </w:rPr>
        <w:t>consideration of belimumab for SLE, the PBAC no</w:t>
      </w:r>
      <w:r w:rsidR="0097002A" w:rsidRPr="00603AFC">
        <w:rPr>
          <w:iCs/>
        </w:rPr>
        <w:t>ted</w:t>
      </w:r>
      <w:r w:rsidR="009602F2" w:rsidRPr="00603AFC">
        <w:rPr>
          <w:iCs/>
        </w:rPr>
        <w:t xml:space="preserve"> while it was clinically plausible to expect a benefit in organ damage </w:t>
      </w:r>
      <w:r w:rsidR="00C92569" w:rsidRPr="00603AFC">
        <w:rPr>
          <w:iCs/>
        </w:rPr>
        <w:t>with belimumab</w:t>
      </w:r>
      <w:r w:rsidR="002B5339" w:rsidRPr="00603AFC">
        <w:rPr>
          <w:iCs/>
        </w:rPr>
        <w:t xml:space="preserve"> (</w:t>
      </w:r>
      <w:r w:rsidR="009602F2" w:rsidRPr="00603AFC">
        <w:rPr>
          <w:iCs/>
        </w:rPr>
        <w:t xml:space="preserve">and consequently </w:t>
      </w:r>
      <w:r w:rsidR="00725910">
        <w:rPr>
          <w:iCs/>
        </w:rPr>
        <w:t xml:space="preserve">a </w:t>
      </w:r>
      <w:r w:rsidR="002B5339" w:rsidRPr="00603AFC">
        <w:rPr>
          <w:iCs/>
        </w:rPr>
        <w:t>reduction in</w:t>
      </w:r>
      <w:r w:rsidR="009602F2" w:rsidRPr="00603AFC">
        <w:rPr>
          <w:iCs/>
        </w:rPr>
        <w:t xml:space="preserve"> mortality</w:t>
      </w:r>
      <w:r w:rsidR="002B5339" w:rsidRPr="00603AFC">
        <w:rPr>
          <w:iCs/>
        </w:rPr>
        <w:t>)</w:t>
      </w:r>
      <w:r w:rsidR="009602F2" w:rsidRPr="00603AFC">
        <w:rPr>
          <w:iCs/>
        </w:rPr>
        <w:t xml:space="preserve">, the magnitude </w:t>
      </w:r>
      <w:r w:rsidR="002B5339" w:rsidRPr="00603AFC">
        <w:rPr>
          <w:iCs/>
        </w:rPr>
        <w:t>of the effect was uncertain</w:t>
      </w:r>
      <w:r w:rsidR="00B9584A" w:rsidRPr="00603AFC">
        <w:rPr>
          <w:iCs/>
        </w:rPr>
        <w:t xml:space="preserve">. </w:t>
      </w:r>
      <w:r w:rsidR="008C489B" w:rsidRPr="00603AFC">
        <w:rPr>
          <w:iCs/>
        </w:rPr>
        <w:t>The PBAC noted reasons for the uncertainty</w:t>
      </w:r>
      <w:r w:rsidR="00771797" w:rsidRPr="00603AFC">
        <w:rPr>
          <w:iCs/>
        </w:rPr>
        <w:t xml:space="preserve"> included </w:t>
      </w:r>
      <w:r w:rsidR="008C489B" w:rsidRPr="00603AFC">
        <w:rPr>
          <w:iCs/>
        </w:rPr>
        <w:t xml:space="preserve">the </w:t>
      </w:r>
      <w:r w:rsidR="00C92569" w:rsidRPr="00603AFC">
        <w:rPr>
          <w:iCs/>
        </w:rPr>
        <w:t xml:space="preserve">lack of statistically significant </w:t>
      </w:r>
      <w:r w:rsidR="00071F1A" w:rsidRPr="00603AFC">
        <w:rPr>
          <w:iCs/>
        </w:rPr>
        <w:t>differences</w:t>
      </w:r>
      <w:r w:rsidR="00C92569" w:rsidRPr="00603AFC">
        <w:rPr>
          <w:iCs/>
        </w:rPr>
        <w:t xml:space="preserve"> for most measures of organ damage progression</w:t>
      </w:r>
      <w:r w:rsidR="00DF6CD0" w:rsidRPr="00603AFC">
        <w:rPr>
          <w:iCs/>
        </w:rPr>
        <w:t xml:space="preserve"> in the clinical trials</w:t>
      </w:r>
      <w:r w:rsidR="00B9584A" w:rsidRPr="00603AFC">
        <w:rPr>
          <w:iCs/>
        </w:rPr>
        <w:t xml:space="preserve"> (</w:t>
      </w:r>
      <w:r w:rsidR="008C489B" w:rsidRPr="00603AFC">
        <w:rPr>
          <w:iCs/>
        </w:rPr>
        <w:t>but acknowledg</w:t>
      </w:r>
      <w:r w:rsidR="00170420" w:rsidRPr="00603AFC">
        <w:rPr>
          <w:iCs/>
        </w:rPr>
        <w:t>ed</w:t>
      </w:r>
      <w:r w:rsidR="008C489B" w:rsidRPr="00603AFC">
        <w:rPr>
          <w:iCs/>
        </w:rPr>
        <w:t xml:space="preserve"> </w:t>
      </w:r>
      <w:r w:rsidR="00B9584A" w:rsidRPr="00603AFC">
        <w:rPr>
          <w:iCs/>
        </w:rPr>
        <w:t>the short duration of the studies and that the studies were not powered for this outcome</w:t>
      </w:r>
      <w:proofErr w:type="gramStart"/>
      <w:r w:rsidR="00B9584A" w:rsidRPr="00603AFC">
        <w:rPr>
          <w:iCs/>
        </w:rPr>
        <w:t>)</w:t>
      </w:r>
      <w:proofErr w:type="gramEnd"/>
      <w:r w:rsidR="00B9584A" w:rsidRPr="00603AFC">
        <w:rPr>
          <w:iCs/>
        </w:rPr>
        <w:t xml:space="preserve"> and </w:t>
      </w:r>
      <w:r w:rsidR="008C489B" w:rsidRPr="00603AFC">
        <w:rPr>
          <w:iCs/>
        </w:rPr>
        <w:t>unc</w:t>
      </w:r>
      <w:r w:rsidR="00771797" w:rsidRPr="00603AFC">
        <w:rPr>
          <w:iCs/>
        </w:rPr>
        <w:t xml:space="preserve">ertain </w:t>
      </w:r>
      <w:r w:rsidR="008C489B" w:rsidRPr="00603AFC">
        <w:rPr>
          <w:iCs/>
        </w:rPr>
        <w:t>reliab</w:t>
      </w:r>
      <w:r w:rsidR="00771797" w:rsidRPr="00603AFC">
        <w:rPr>
          <w:iCs/>
        </w:rPr>
        <w:t>ility, applicability and external validity of</w:t>
      </w:r>
      <w:r w:rsidR="008C489B" w:rsidRPr="00603AFC">
        <w:rPr>
          <w:iCs/>
        </w:rPr>
        <w:t xml:space="preserve"> </w:t>
      </w:r>
      <w:r w:rsidR="00B9584A" w:rsidRPr="00603AFC">
        <w:rPr>
          <w:iCs/>
        </w:rPr>
        <w:t xml:space="preserve">estimates </w:t>
      </w:r>
      <w:r w:rsidR="008C489B" w:rsidRPr="00603AFC">
        <w:rPr>
          <w:iCs/>
        </w:rPr>
        <w:t xml:space="preserve">derived </w:t>
      </w:r>
      <w:r w:rsidR="00B9584A" w:rsidRPr="00603AFC">
        <w:rPr>
          <w:iCs/>
        </w:rPr>
        <w:t xml:space="preserve">from secondary data sources (paragraphs 7.5 and 7.7, Belimumab PSD, July 2020 </w:t>
      </w:r>
      <w:r w:rsidR="00071F1A" w:rsidRPr="00603AFC">
        <w:rPr>
          <w:iCs/>
        </w:rPr>
        <w:t xml:space="preserve">PBAC </w:t>
      </w:r>
      <w:r w:rsidR="00B9584A" w:rsidRPr="00603AFC">
        <w:rPr>
          <w:iCs/>
        </w:rPr>
        <w:t>meeting)</w:t>
      </w:r>
      <w:r w:rsidR="008C489B" w:rsidRPr="00603AFC">
        <w:rPr>
          <w:iCs/>
        </w:rPr>
        <w:t>.</w:t>
      </w:r>
    </w:p>
    <w:p w14:paraId="07814711" w14:textId="7387F596" w:rsidR="000D2C16" w:rsidRPr="00C50294" w:rsidRDefault="000D2C16" w:rsidP="00C50294">
      <w:pPr>
        <w:numPr>
          <w:ilvl w:val="1"/>
          <w:numId w:val="1"/>
        </w:numPr>
        <w:spacing w:after="120"/>
        <w:rPr>
          <w:iCs/>
        </w:rPr>
      </w:pPr>
      <w:bookmarkStart w:id="54" w:name="_Ref110516928"/>
      <w:r w:rsidRPr="00603AFC">
        <w:rPr>
          <w:rFonts w:asciiTheme="minorHAnsi" w:hAnsiTheme="minorHAnsi"/>
          <w:iCs/>
          <w:snapToGrid w:val="0"/>
        </w:rPr>
        <w:t>The</w:t>
      </w:r>
      <w:r w:rsidR="00C50294">
        <w:rPr>
          <w:rFonts w:asciiTheme="minorHAnsi" w:hAnsiTheme="minorHAnsi"/>
          <w:iCs/>
          <w:snapToGrid w:val="0"/>
        </w:rPr>
        <w:t xml:space="preserve"> evaluation considered that the</w:t>
      </w:r>
      <w:r w:rsidRPr="00603AFC">
        <w:rPr>
          <w:rFonts w:asciiTheme="minorHAnsi" w:hAnsiTheme="minorHAnsi"/>
          <w:iCs/>
          <w:snapToGrid w:val="0"/>
        </w:rPr>
        <w:t xml:space="preserve"> chosen regression models were not justified, neither the choice of the distribution nor the covariates, and much of the underlying data and methodology could not be verified</w:t>
      </w:r>
      <w:r w:rsidR="00D804FF" w:rsidRPr="00603AFC">
        <w:rPr>
          <w:rFonts w:asciiTheme="minorHAnsi" w:hAnsiTheme="minorHAnsi"/>
          <w:iCs/>
          <w:snapToGrid w:val="0"/>
        </w:rPr>
        <w:t>.</w:t>
      </w:r>
      <w:r w:rsidR="00C50294">
        <w:rPr>
          <w:iCs/>
        </w:rPr>
        <w:t xml:space="preserve"> </w:t>
      </w:r>
      <w:r w:rsidR="00C50294">
        <w:t>Further, s</w:t>
      </w:r>
      <w:r w:rsidR="00D804FF" w:rsidRPr="00D804FF">
        <w:t>ome of the regressions resulted in potentially spurious results</w:t>
      </w:r>
      <w:r w:rsidR="00241457">
        <w:t>, for example,</w:t>
      </w:r>
      <w:r w:rsidR="00D804FF" w:rsidRPr="00D804FF">
        <w:t xml:space="preserve"> the flare </w:t>
      </w:r>
      <w:r w:rsidR="00D804FF" w:rsidRPr="00840C85">
        <w:t xml:space="preserve">regression coefficients </w:t>
      </w:r>
      <w:r w:rsidR="00D804FF" w:rsidRPr="00D804FF">
        <w:t xml:space="preserve">suggested that from Cycle 2 onwards </w:t>
      </w:r>
      <w:proofErr w:type="spellStart"/>
      <w:r w:rsidR="00D804FF" w:rsidRPr="00D804FF">
        <w:t>anifrolumab</w:t>
      </w:r>
      <w:proofErr w:type="spellEnd"/>
      <w:r w:rsidR="00D804FF" w:rsidRPr="00D804FF">
        <w:t xml:space="preserve"> non-responders had fewer non-severe flares than responders and fewer flares than SOC patients. </w:t>
      </w:r>
      <w:r w:rsidR="00D804FF">
        <w:t>Even if n</w:t>
      </w:r>
      <w:r w:rsidR="00D804FF" w:rsidRPr="00D804FF">
        <w:t xml:space="preserve">on-responders from Cycle 2 </w:t>
      </w:r>
      <w:r w:rsidR="00B12BC7" w:rsidRPr="00D804FF">
        <w:t>ha</w:t>
      </w:r>
      <w:r w:rsidR="00B12BC7">
        <w:t>d</w:t>
      </w:r>
      <w:r w:rsidR="00B12BC7" w:rsidRPr="00D804FF">
        <w:t xml:space="preserve"> </w:t>
      </w:r>
      <w:r w:rsidR="00D804FF" w:rsidRPr="00D804FF">
        <w:t xml:space="preserve">some ongoing protection from </w:t>
      </w:r>
      <w:proofErr w:type="spellStart"/>
      <w:r w:rsidR="00D804FF" w:rsidRPr="00D804FF">
        <w:t>anifrolumab</w:t>
      </w:r>
      <w:proofErr w:type="spellEnd"/>
      <w:r w:rsidR="00D804FF" w:rsidRPr="00D804FF">
        <w:t xml:space="preserve"> over SOC, that this would continue to the end of the time horizon was not justified</w:t>
      </w:r>
      <w:r w:rsidR="00FF5A37">
        <w:t>, especially compared to SOC responders</w:t>
      </w:r>
      <w:r w:rsidR="00D804FF" w:rsidRPr="008545F3">
        <w:t xml:space="preserve">. </w:t>
      </w:r>
      <w:r w:rsidR="00EE0E20" w:rsidRPr="008545F3">
        <w:t>The</w:t>
      </w:r>
      <w:r w:rsidR="00E93CEC">
        <w:t xml:space="preserve"> </w:t>
      </w:r>
      <w:r w:rsidR="00EE0E20" w:rsidRPr="008545F3">
        <w:t>ESC</w:t>
      </w:r>
      <w:r w:rsidR="00F641D8">
        <w:t xml:space="preserve"> considered</w:t>
      </w:r>
      <w:r w:rsidR="00EE0E20" w:rsidRPr="008545F3">
        <w:t xml:space="preserve"> that this example demonstrated the </w:t>
      </w:r>
      <w:r w:rsidR="0011034F" w:rsidRPr="008545F3">
        <w:t xml:space="preserve">uncertainty </w:t>
      </w:r>
      <w:r w:rsidR="00EE0E20" w:rsidRPr="008545F3">
        <w:t xml:space="preserve">with </w:t>
      </w:r>
      <w:r w:rsidR="0011034F" w:rsidRPr="008545F3">
        <w:t xml:space="preserve">the </w:t>
      </w:r>
      <w:r w:rsidR="008867B6" w:rsidRPr="008545F3">
        <w:t xml:space="preserve">model (e.g. lack of data to inform microsimulation approach and issues with </w:t>
      </w:r>
      <w:r w:rsidR="00EE0E20" w:rsidRPr="008545F3">
        <w:t>how different outcomes are predicted in the model</w:t>
      </w:r>
      <w:r w:rsidR="008867B6" w:rsidRPr="008545F3">
        <w:t>)</w:t>
      </w:r>
      <w:r w:rsidR="00EE0E20" w:rsidRPr="008545F3">
        <w:t>.</w:t>
      </w:r>
      <w:bookmarkEnd w:id="54"/>
      <w:r w:rsidR="00EE0E20" w:rsidRPr="008545F3">
        <w:t xml:space="preserve"> </w:t>
      </w:r>
    </w:p>
    <w:p w14:paraId="029952F9" w14:textId="60826432" w:rsidR="000D2C16" w:rsidRPr="00603AFC" w:rsidRDefault="000D2C16" w:rsidP="000D2C16">
      <w:pPr>
        <w:numPr>
          <w:ilvl w:val="1"/>
          <w:numId w:val="1"/>
        </w:numPr>
        <w:spacing w:after="120"/>
        <w:rPr>
          <w:rFonts w:asciiTheme="minorHAnsi" w:hAnsiTheme="minorHAnsi"/>
          <w:snapToGrid w:val="0"/>
        </w:rPr>
      </w:pPr>
      <w:r w:rsidRPr="00603AFC">
        <w:rPr>
          <w:rFonts w:asciiTheme="minorHAnsi" w:hAnsiTheme="minorHAnsi"/>
          <w:snapToGrid w:val="0"/>
        </w:rPr>
        <w:t xml:space="preserve">Duration of flares was assumed to be 3.9 months both for patients in the SOC arm and for patients who discontinued </w:t>
      </w:r>
      <w:proofErr w:type="spellStart"/>
      <w:r w:rsidRPr="00603AFC">
        <w:rPr>
          <w:rFonts w:asciiTheme="minorHAnsi" w:hAnsiTheme="minorHAnsi"/>
          <w:snapToGrid w:val="0"/>
        </w:rPr>
        <w:t>anifrolumab</w:t>
      </w:r>
      <w:proofErr w:type="spellEnd"/>
      <w:r w:rsidRPr="00603AFC">
        <w:rPr>
          <w:rFonts w:asciiTheme="minorHAnsi" w:hAnsiTheme="minorHAnsi"/>
          <w:snapToGrid w:val="0"/>
        </w:rPr>
        <w:t xml:space="preserve"> in the </w:t>
      </w:r>
      <w:proofErr w:type="spellStart"/>
      <w:r w:rsidRPr="00603AFC">
        <w:rPr>
          <w:rFonts w:asciiTheme="minorHAnsi" w:hAnsiTheme="minorHAnsi"/>
          <w:snapToGrid w:val="0"/>
        </w:rPr>
        <w:t>anifrolumab</w:t>
      </w:r>
      <w:proofErr w:type="spellEnd"/>
      <w:r w:rsidRPr="00603AFC">
        <w:rPr>
          <w:rFonts w:asciiTheme="minorHAnsi" w:hAnsiTheme="minorHAnsi"/>
          <w:snapToGrid w:val="0"/>
        </w:rPr>
        <w:t xml:space="preserve"> arm (based on </w:t>
      </w:r>
      <w:proofErr w:type="spellStart"/>
      <w:r w:rsidRPr="00603AFC">
        <w:rPr>
          <w:rFonts w:asciiTheme="minorHAnsi" w:hAnsiTheme="minorHAnsi"/>
          <w:snapToGrid w:val="0"/>
        </w:rPr>
        <w:t>Nikpour</w:t>
      </w:r>
      <w:proofErr w:type="spellEnd"/>
      <w:r w:rsidRPr="00603AFC">
        <w:rPr>
          <w:rFonts w:asciiTheme="minorHAnsi" w:hAnsiTheme="minorHAnsi"/>
          <w:snapToGrid w:val="0"/>
        </w:rPr>
        <w:t xml:space="preserve"> 2009</w:t>
      </w:r>
      <w:r w:rsidRPr="00603AFC">
        <w:rPr>
          <w:rFonts w:asciiTheme="minorHAnsi" w:hAnsiTheme="minorHAnsi"/>
          <w:snapToGrid w:val="0"/>
          <w:vertAlign w:val="superscript"/>
        </w:rPr>
        <w:footnoteReference w:id="6"/>
      </w:r>
      <w:r w:rsidRPr="00603AFC">
        <w:rPr>
          <w:rFonts w:asciiTheme="minorHAnsi" w:hAnsiTheme="minorHAnsi"/>
          <w:snapToGrid w:val="0"/>
        </w:rPr>
        <w:t xml:space="preserve">). A hazard ratio (HR) of 1.76 was applied to patients receiving </w:t>
      </w:r>
      <w:proofErr w:type="spellStart"/>
      <w:r w:rsidRPr="00603AFC">
        <w:rPr>
          <w:rFonts w:asciiTheme="minorHAnsi" w:hAnsiTheme="minorHAnsi"/>
          <w:snapToGrid w:val="0"/>
        </w:rPr>
        <w:t>anifrolumab</w:t>
      </w:r>
      <w:proofErr w:type="spellEnd"/>
      <w:r w:rsidRPr="00603AFC">
        <w:rPr>
          <w:rFonts w:asciiTheme="minorHAnsi" w:hAnsiTheme="minorHAnsi"/>
          <w:snapToGrid w:val="0"/>
        </w:rPr>
        <w:t xml:space="preserve">, resulting in a flare duration of 2.2 months. The value from </w:t>
      </w:r>
      <w:proofErr w:type="spellStart"/>
      <w:r w:rsidRPr="00603AFC">
        <w:rPr>
          <w:rFonts w:asciiTheme="minorHAnsi" w:hAnsiTheme="minorHAnsi"/>
          <w:snapToGrid w:val="0"/>
        </w:rPr>
        <w:t>Nikpour</w:t>
      </w:r>
      <w:proofErr w:type="spellEnd"/>
      <w:r w:rsidRPr="00603AFC">
        <w:rPr>
          <w:rFonts w:asciiTheme="minorHAnsi" w:hAnsiTheme="minorHAnsi"/>
          <w:snapToGrid w:val="0"/>
        </w:rPr>
        <w:t xml:space="preserve"> 2009 appeared to refer to the mean time interval between visits used to diagnose flares, rather than actual flare duration</w:t>
      </w:r>
      <w:r w:rsidR="00725910">
        <w:rPr>
          <w:rFonts w:asciiTheme="minorHAnsi" w:hAnsiTheme="minorHAnsi"/>
          <w:snapToGrid w:val="0"/>
        </w:rPr>
        <w:t>, and thus</w:t>
      </w:r>
      <w:r w:rsidRPr="00603AFC">
        <w:rPr>
          <w:rFonts w:asciiTheme="minorHAnsi" w:hAnsiTheme="minorHAnsi"/>
          <w:snapToGrid w:val="0"/>
        </w:rPr>
        <w:t xml:space="preserve"> </w:t>
      </w:r>
      <w:r w:rsidR="00725910">
        <w:rPr>
          <w:rFonts w:asciiTheme="minorHAnsi" w:hAnsiTheme="minorHAnsi"/>
          <w:snapToGrid w:val="0"/>
        </w:rPr>
        <w:t>f</w:t>
      </w:r>
      <w:r w:rsidRPr="00603AFC">
        <w:rPr>
          <w:rFonts w:asciiTheme="minorHAnsi" w:hAnsiTheme="minorHAnsi"/>
          <w:snapToGrid w:val="0"/>
        </w:rPr>
        <w:t>lare duration was likely overestimated in the model. A recent US cost study (Hammond et al. 2021</w:t>
      </w:r>
      <w:r w:rsidRPr="00603AFC">
        <w:rPr>
          <w:rFonts w:asciiTheme="minorHAnsi" w:hAnsiTheme="minorHAnsi"/>
          <w:snapToGrid w:val="0"/>
          <w:vertAlign w:val="superscript"/>
        </w:rPr>
        <w:footnoteReference w:id="7"/>
      </w:r>
      <w:r w:rsidRPr="00603AFC">
        <w:rPr>
          <w:rFonts w:asciiTheme="minorHAnsi" w:hAnsiTheme="minorHAnsi"/>
          <w:snapToGrid w:val="0"/>
        </w:rPr>
        <w:t xml:space="preserve">) </w:t>
      </w:r>
      <w:r w:rsidR="001D2135" w:rsidRPr="008545F3">
        <w:rPr>
          <w:rFonts w:asciiTheme="minorHAnsi" w:hAnsiTheme="minorHAnsi"/>
          <w:snapToGrid w:val="0"/>
        </w:rPr>
        <w:t xml:space="preserve">estimated the cost of flares over a </w:t>
      </w:r>
      <w:proofErr w:type="gramStart"/>
      <w:r w:rsidR="001D2135" w:rsidRPr="008545F3">
        <w:rPr>
          <w:rFonts w:asciiTheme="minorHAnsi" w:hAnsiTheme="minorHAnsi"/>
          <w:snapToGrid w:val="0"/>
        </w:rPr>
        <w:t>one month</w:t>
      </w:r>
      <w:proofErr w:type="gramEnd"/>
      <w:r w:rsidR="001D2135" w:rsidRPr="008545F3">
        <w:rPr>
          <w:rFonts w:asciiTheme="minorHAnsi" w:hAnsiTheme="minorHAnsi"/>
          <w:snapToGrid w:val="0"/>
        </w:rPr>
        <w:t xml:space="preserve"> duration. </w:t>
      </w:r>
      <w:r w:rsidR="00725910">
        <w:rPr>
          <w:rFonts w:asciiTheme="minorHAnsi" w:hAnsiTheme="minorHAnsi"/>
          <w:snapToGrid w:val="0"/>
        </w:rPr>
        <w:t>T</w:t>
      </w:r>
      <w:r w:rsidRPr="00603AFC">
        <w:rPr>
          <w:rFonts w:asciiTheme="minorHAnsi" w:hAnsiTheme="minorHAnsi"/>
          <w:snapToGrid w:val="0"/>
        </w:rPr>
        <w:t xml:space="preserve">he ICER was very sensitive to flare duration. When the duration was reduced to 3 months (1.7 months for patients receiving </w:t>
      </w:r>
      <w:proofErr w:type="spellStart"/>
      <w:r w:rsidRPr="00603AFC">
        <w:rPr>
          <w:rFonts w:asciiTheme="minorHAnsi" w:hAnsiTheme="minorHAnsi"/>
          <w:snapToGrid w:val="0"/>
        </w:rPr>
        <w:t>anifrolumab</w:t>
      </w:r>
      <w:proofErr w:type="spellEnd"/>
      <w:r w:rsidRPr="00603AFC">
        <w:rPr>
          <w:rFonts w:asciiTheme="minorHAnsi" w:hAnsiTheme="minorHAnsi"/>
          <w:snapToGrid w:val="0"/>
        </w:rPr>
        <w:t>), the ICER increased to $</w:t>
      </w:r>
      <w:r w:rsidR="00D349B9" w:rsidRPr="00D349B9">
        <w:rPr>
          <w:rFonts w:asciiTheme="minorHAnsi" w:hAnsiTheme="minorHAnsi" w:cstheme="minorHAnsi"/>
          <w:color w:val="333333"/>
        </w:rPr>
        <w:t>155,000 to &lt; $255,000</w:t>
      </w:r>
      <w:r w:rsidR="00D349B9">
        <w:rPr>
          <w:rFonts w:ascii="Arial" w:hAnsi="Arial"/>
          <w:color w:val="333333"/>
          <w:sz w:val="21"/>
          <w:szCs w:val="21"/>
        </w:rPr>
        <w:t xml:space="preserve"> </w:t>
      </w:r>
      <w:r w:rsidRPr="00603AFC">
        <w:rPr>
          <w:rFonts w:asciiTheme="minorHAnsi" w:hAnsiTheme="minorHAnsi"/>
          <w:snapToGrid w:val="0"/>
        </w:rPr>
        <w:t>per QALY gained. Flare duration was not reported in the included trials.</w:t>
      </w:r>
    </w:p>
    <w:p w14:paraId="4F10C8C3" w14:textId="12BF5B75" w:rsidR="000D2C16" w:rsidRPr="00603AFC" w:rsidRDefault="000D2C16" w:rsidP="000D2C16">
      <w:pPr>
        <w:numPr>
          <w:ilvl w:val="1"/>
          <w:numId w:val="1"/>
        </w:numPr>
        <w:spacing w:after="120"/>
        <w:rPr>
          <w:rFonts w:asciiTheme="minorHAnsi" w:hAnsiTheme="minorHAnsi"/>
          <w:snapToGrid w:val="0"/>
        </w:rPr>
      </w:pPr>
      <w:r w:rsidRPr="00603AFC">
        <w:rPr>
          <w:rFonts w:asciiTheme="minorHAnsi" w:hAnsiTheme="minorHAnsi"/>
          <w:snapToGrid w:val="0"/>
        </w:rPr>
        <w:t xml:space="preserve">While the overall results were based on the average of 5,000 simulations, it is important to consider how reasonable the model predictions were for individual simulated patients. </w:t>
      </w:r>
      <w:r w:rsidRPr="00603AFC">
        <w:rPr>
          <w:rFonts w:asciiTheme="minorHAnsi" w:hAnsiTheme="minorHAnsi"/>
          <w:snapToGrid w:val="0"/>
        </w:rPr>
        <w:fldChar w:fldCharType="begin"/>
      </w:r>
      <w:r w:rsidRPr="00603AFC">
        <w:rPr>
          <w:rFonts w:asciiTheme="minorHAnsi" w:hAnsiTheme="minorHAnsi"/>
          <w:snapToGrid w:val="0"/>
        </w:rPr>
        <w:instrText xml:space="preserve"> REF _Ref102828988 </w:instrText>
      </w:r>
      <w:r w:rsidR="00DD5F56" w:rsidRPr="00603AFC">
        <w:rPr>
          <w:rFonts w:asciiTheme="minorHAnsi" w:hAnsiTheme="minorHAnsi"/>
          <w:snapToGrid w:val="0"/>
        </w:rPr>
        <w:instrText xml:space="preserve"> \* MERGEFORMAT </w:instrText>
      </w:r>
      <w:r w:rsidRPr="00603AFC">
        <w:rPr>
          <w:rFonts w:asciiTheme="minorHAnsi" w:hAnsiTheme="minorHAnsi"/>
          <w:snapToGrid w:val="0"/>
        </w:rPr>
        <w:fldChar w:fldCharType="separate"/>
      </w:r>
      <w:r w:rsidR="00942C22" w:rsidRPr="00942C22">
        <w:rPr>
          <w:rFonts w:asciiTheme="minorHAnsi" w:hAnsiTheme="minorHAnsi"/>
          <w:snapToGrid w:val="0"/>
        </w:rPr>
        <w:t>Figure 3</w:t>
      </w:r>
      <w:r w:rsidRPr="00603AFC">
        <w:rPr>
          <w:rFonts w:asciiTheme="minorHAnsi" w:hAnsiTheme="minorHAnsi"/>
          <w:snapToGrid w:val="0"/>
        </w:rPr>
        <w:fldChar w:fldCharType="end"/>
      </w:r>
      <w:r w:rsidRPr="00603AFC">
        <w:rPr>
          <w:rFonts w:asciiTheme="minorHAnsi" w:hAnsiTheme="minorHAnsi"/>
          <w:snapToGrid w:val="0"/>
        </w:rPr>
        <w:t xml:space="preserve"> presents a single patient’s SLEDAI-2K</w:t>
      </w:r>
      <w:r w:rsidR="00B12BC7" w:rsidRPr="00603AFC">
        <w:rPr>
          <w:rFonts w:asciiTheme="minorHAnsi" w:hAnsiTheme="minorHAnsi"/>
          <w:snapToGrid w:val="0"/>
        </w:rPr>
        <w:t xml:space="preserve"> score</w:t>
      </w:r>
      <w:r w:rsidRPr="00603AFC">
        <w:rPr>
          <w:rFonts w:asciiTheme="minorHAnsi" w:hAnsiTheme="minorHAnsi"/>
          <w:snapToGrid w:val="0"/>
        </w:rPr>
        <w:t xml:space="preserve"> over time, </w:t>
      </w:r>
      <w:r w:rsidRPr="00603AFC">
        <w:rPr>
          <w:rFonts w:asciiTheme="minorHAnsi" w:hAnsiTheme="minorHAnsi"/>
          <w:snapToGrid w:val="0"/>
        </w:rPr>
        <w:lastRenderedPageBreak/>
        <w:t xml:space="preserve">based on one iteration of the fixed seed 1111 used for the base case @RISK model. This patient discontinued </w:t>
      </w:r>
      <w:proofErr w:type="spellStart"/>
      <w:r w:rsidRPr="00603AFC">
        <w:rPr>
          <w:rFonts w:asciiTheme="minorHAnsi" w:hAnsiTheme="minorHAnsi"/>
          <w:snapToGrid w:val="0"/>
        </w:rPr>
        <w:t>anifrolumab</w:t>
      </w:r>
      <w:proofErr w:type="spellEnd"/>
      <w:r w:rsidRPr="00603AFC">
        <w:rPr>
          <w:rFonts w:asciiTheme="minorHAnsi" w:hAnsiTheme="minorHAnsi"/>
          <w:snapToGrid w:val="0"/>
        </w:rPr>
        <w:t xml:space="preserve"> at Year 1, but the greatest difference between the arms did not occur until after Year 10, and was likely driven by </w:t>
      </w:r>
      <w:r w:rsidR="00725910">
        <w:rPr>
          <w:rFonts w:asciiTheme="minorHAnsi" w:hAnsiTheme="minorHAnsi"/>
          <w:snapToGrid w:val="0"/>
        </w:rPr>
        <w:t xml:space="preserve">a </w:t>
      </w:r>
      <w:r w:rsidRPr="00603AFC">
        <w:rPr>
          <w:rFonts w:asciiTheme="minorHAnsi" w:hAnsiTheme="minorHAnsi"/>
          <w:snapToGrid w:val="0"/>
        </w:rPr>
        <w:t xml:space="preserve">reduction in flares predicted for </w:t>
      </w:r>
      <w:proofErr w:type="spellStart"/>
      <w:r w:rsidRPr="00603AFC">
        <w:rPr>
          <w:rFonts w:asciiTheme="minorHAnsi" w:hAnsiTheme="minorHAnsi"/>
          <w:snapToGrid w:val="0"/>
        </w:rPr>
        <w:t>anifrolumab</w:t>
      </w:r>
      <w:proofErr w:type="spellEnd"/>
      <w:r w:rsidRPr="00603AFC">
        <w:rPr>
          <w:rFonts w:asciiTheme="minorHAnsi" w:hAnsiTheme="minorHAnsi"/>
          <w:snapToGrid w:val="0"/>
        </w:rPr>
        <w:t xml:space="preserve"> non-responders compared to SOC. This example also demonstrates how the model could predict a SLEDAI-2K score less than 0.</w:t>
      </w:r>
    </w:p>
    <w:p w14:paraId="51F2C46C" w14:textId="0E73BF8B" w:rsidR="000D2C16" w:rsidRPr="000D2C16" w:rsidRDefault="000D2C16" w:rsidP="000D2C16">
      <w:pPr>
        <w:keepNext/>
        <w:jc w:val="left"/>
        <w:rPr>
          <w:rFonts w:ascii="Arial Narrow" w:eastAsiaTheme="majorEastAsia" w:hAnsi="Arial Narrow" w:cstheme="majorBidi"/>
          <w:b/>
          <w:bCs/>
          <w:sz w:val="20"/>
        </w:rPr>
      </w:pPr>
      <w:bookmarkStart w:id="55" w:name="_Ref102828988"/>
      <w:r w:rsidRPr="000D2C16">
        <w:rPr>
          <w:rFonts w:ascii="Arial Narrow" w:eastAsiaTheme="majorEastAsia" w:hAnsi="Arial Narrow" w:cstheme="majorBidi"/>
          <w:b/>
          <w:bCs/>
          <w:sz w:val="20"/>
        </w:rPr>
        <w:t xml:space="preserve">Figure </w:t>
      </w:r>
      <w:r w:rsidRPr="000D2C16">
        <w:rPr>
          <w:rFonts w:ascii="Arial Narrow" w:eastAsiaTheme="majorEastAsia" w:hAnsi="Arial Narrow" w:cstheme="majorBidi"/>
          <w:b/>
          <w:bCs/>
          <w:sz w:val="20"/>
        </w:rPr>
        <w:fldChar w:fldCharType="begin"/>
      </w:r>
      <w:r w:rsidRPr="000D2C16">
        <w:rPr>
          <w:rFonts w:ascii="Arial Narrow" w:eastAsiaTheme="majorEastAsia" w:hAnsi="Arial Narrow" w:cstheme="majorBidi"/>
          <w:b/>
          <w:bCs/>
          <w:sz w:val="20"/>
        </w:rPr>
        <w:instrText xml:space="preserve"> SEQ Figure \* ARABIC </w:instrText>
      </w:r>
      <w:r w:rsidRPr="000D2C16">
        <w:rPr>
          <w:rFonts w:ascii="Arial Narrow" w:eastAsiaTheme="majorEastAsia" w:hAnsi="Arial Narrow" w:cstheme="majorBidi"/>
          <w:b/>
          <w:bCs/>
          <w:sz w:val="20"/>
        </w:rPr>
        <w:fldChar w:fldCharType="separate"/>
      </w:r>
      <w:r w:rsidR="00942C22">
        <w:rPr>
          <w:rFonts w:ascii="Arial Narrow" w:eastAsiaTheme="majorEastAsia" w:hAnsi="Arial Narrow" w:cstheme="majorBidi"/>
          <w:b/>
          <w:bCs/>
          <w:noProof/>
          <w:sz w:val="20"/>
        </w:rPr>
        <w:t>3</w:t>
      </w:r>
      <w:r w:rsidRPr="000D2C16">
        <w:rPr>
          <w:rFonts w:ascii="Arial Narrow" w:eastAsiaTheme="majorEastAsia" w:hAnsi="Arial Narrow" w:cstheme="majorBidi"/>
          <w:b/>
          <w:bCs/>
          <w:noProof/>
          <w:sz w:val="20"/>
        </w:rPr>
        <w:fldChar w:fldCharType="end"/>
      </w:r>
      <w:bookmarkEnd w:id="55"/>
      <w:r w:rsidRPr="000D2C16">
        <w:rPr>
          <w:rFonts w:ascii="Arial Narrow" w:eastAsiaTheme="majorEastAsia" w:hAnsi="Arial Narrow" w:cstheme="majorBidi"/>
          <w:b/>
          <w:bCs/>
          <w:sz w:val="20"/>
        </w:rPr>
        <w:t>: Modelled changes in SLEDAI-2K for 1 patient</w:t>
      </w:r>
    </w:p>
    <w:p w14:paraId="69663D12" w14:textId="77777777" w:rsidR="000D2C16" w:rsidRPr="000D2C16" w:rsidRDefault="000D2C16" w:rsidP="000D2C16">
      <w:pPr>
        <w:spacing w:after="120"/>
        <w:contextualSpacing/>
        <w:rPr>
          <w:rFonts w:ascii="Arial Narrow" w:hAnsi="Arial Narrow"/>
          <w:snapToGrid w:val="0"/>
          <w:sz w:val="18"/>
          <w:szCs w:val="22"/>
        </w:rPr>
      </w:pPr>
      <w:r w:rsidRPr="000D2C16">
        <w:rPr>
          <w:rFonts w:ascii="Arial Narrow" w:hAnsi="Arial Narrow"/>
          <w:noProof/>
          <w:snapToGrid w:val="0"/>
          <w:sz w:val="18"/>
          <w:szCs w:val="22"/>
        </w:rPr>
        <w:drawing>
          <wp:inline distT="0" distB="0" distL="0" distR="0" wp14:anchorId="11A44A8D" wp14:editId="66CCC5D5">
            <wp:extent cx="4667250" cy="30861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0" cy="3086100"/>
                    </a:xfrm>
                    <a:prstGeom prst="rect">
                      <a:avLst/>
                    </a:prstGeom>
                    <a:noFill/>
                    <a:ln>
                      <a:noFill/>
                    </a:ln>
                  </pic:spPr>
                </pic:pic>
              </a:graphicData>
            </a:graphic>
          </wp:inline>
        </w:drawing>
      </w:r>
    </w:p>
    <w:p w14:paraId="1241D394" w14:textId="77777777" w:rsidR="000D2C16" w:rsidRPr="000D2C16" w:rsidRDefault="000D2C16" w:rsidP="000D2C16">
      <w:pPr>
        <w:spacing w:after="120"/>
        <w:contextualSpacing/>
        <w:rPr>
          <w:rFonts w:ascii="Arial Narrow" w:hAnsi="Arial Narrow"/>
          <w:i/>
          <w:snapToGrid w:val="0"/>
          <w:sz w:val="18"/>
          <w:szCs w:val="22"/>
        </w:rPr>
      </w:pPr>
      <w:r w:rsidRPr="000D2C16">
        <w:rPr>
          <w:rFonts w:ascii="Arial Narrow" w:hAnsi="Arial Narrow"/>
          <w:snapToGrid w:val="0"/>
          <w:sz w:val="18"/>
          <w:szCs w:val="22"/>
        </w:rPr>
        <w:t>Source</w:t>
      </w:r>
      <w:r w:rsidRPr="000D2C16">
        <w:rPr>
          <w:rFonts w:ascii="Arial Narrow" w:hAnsi="Arial Narrow"/>
          <w:i/>
          <w:snapToGrid w:val="0"/>
          <w:sz w:val="18"/>
          <w:szCs w:val="22"/>
        </w:rPr>
        <w:t>: compiled from sheet ‘Summary’ of the Excel workbook ‘CE model_anifrolumab_SLE_March2022_circ.xlsx’</w:t>
      </w:r>
    </w:p>
    <w:p w14:paraId="3FA3DA57" w14:textId="77777777" w:rsidR="00DD5F56" w:rsidRDefault="00DD5F56" w:rsidP="00DD5F56">
      <w:pPr>
        <w:spacing w:after="120"/>
        <w:ind w:left="720"/>
        <w:rPr>
          <w:rFonts w:asciiTheme="minorHAnsi" w:hAnsiTheme="minorHAnsi"/>
          <w:snapToGrid w:val="0"/>
        </w:rPr>
      </w:pPr>
    </w:p>
    <w:p w14:paraId="433ED036" w14:textId="737AD1DE" w:rsidR="000D2C16" w:rsidRPr="00603AFC" w:rsidRDefault="001E3682" w:rsidP="00241457">
      <w:pPr>
        <w:numPr>
          <w:ilvl w:val="1"/>
          <w:numId w:val="1"/>
        </w:numPr>
        <w:spacing w:after="120"/>
        <w:rPr>
          <w:rFonts w:asciiTheme="minorHAnsi" w:hAnsiTheme="minorHAnsi"/>
          <w:snapToGrid w:val="0"/>
        </w:rPr>
      </w:pPr>
      <w:r w:rsidRPr="001E3682">
        <w:rPr>
          <w:rFonts w:asciiTheme="minorHAnsi" w:hAnsiTheme="minorHAnsi" w:cstheme="minorHAnsi"/>
          <w:snapToGrid w:val="0"/>
        </w:rPr>
        <w:fldChar w:fldCharType="begin"/>
      </w:r>
      <w:r w:rsidRPr="001E3682">
        <w:rPr>
          <w:rFonts w:asciiTheme="minorHAnsi" w:hAnsiTheme="minorHAnsi" w:cstheme="minorHAnsi"/>
          <w:snapToGrid w:val="0"/>
        </w:rPr>
        <w:instrText xml:space="preserve"> REF _Ref103692239 \h  \* MERGEFORMAT </w:instrText>
      </w:r>
      <w:r w:rsidRPr="001E3682">
        <w:rPr>
          <w:rFonts w:asciiTheme="minorHAnsi" w:hAnsiTheme="minorHAnsi" w:cstheme="minorHAnsi"/>
          <w:snapToGrid w:val="0"/>
        </w:rPr>
      </w:r>
      <w:r w:rsidRPr="001E3682">
        <w:rPr>
          <w:rFonts w:asciiTheme="minorHAnsi" w:hAnsiTheme="minorHAnsi" w:cstheme="minorHAnsi"/>
          <w:snapToGrid w:val="0"/>
        </w:rPr>
        <w:fldChar w:fldCharType="separate"/>
      </w:r>
      <w:r w:rsidR="00942C22" w:rsidRPr="00942C22">
        <w:rPr>
          <w:rFonts w:asciiTheme="minorHAnsi" w:eastAsiaTheme="majorEastAsia" w:hAnsiTheme="minorHAnsi" w:cstheme="minorHAnsi"/>
        </w:rPr>
        <w:t xml:space="preserve">Figure </w:t>
      </w:r>
      <w:r w:rsidR="00942C22" w:rsidRPr="00942C22">
        <w:rPr>
          <w:rFonts w:asciiTheme="minorHAnsi" w:eastAsiaTheme="majorEastAsia" w:hAnsiTheme="minorHAnsi" w:cstheme="minorHAnsi"/>
          <w:noProof/>
        </w:rPr>
        <w:t>4</w:t>
      </w:r>
      <w:r w:rsidRPr="001E3682">
        <w:rPr>
          <w:rFonts w:asciiTheme="minorHAnsi" w:hAnsiTheme="minorHAnsi" w:cstheme="minorHAnsi"/>
          <w:snapToGrid w:val="0"/>
        </w:rPr>
        <w:fldChar w:fldCharType="end"/>
      </w:r>
      <w:r>
        <w:rPr>
          <w:rFonts w:asciiTheme="minorHAnsi" w:hAnsiTheme="minorHAnsi" w:cstheme="minorHAnsi"/>
          <w:snapToGrid w:val="0"/>
        </w:rPr>
        <w:t xml:space="preserve"> </w:t>
      </w:r>
      <w:r w:rsidR="000D2C16" w:rsidRPr="001E3682">
        <w:rPr>
          <w:rFonts w:asciiTheme="minorHAnsi" w:hAnsiTheme="minorHAnsi" w:cstheme="minorHAnsi"/>
          <w:snapToGrid w:val="0"/>
        </w:rPr>
        <w:t>presents</w:t>
      </w:r>
      <w:r w:rsidR="000D2C16" w:rsidRPr="000D2C16">
        <w:rPr>
          <w:rFonts w:asciiTheme="minorHAnsi" w:hAnsiTheme="minorHAnsi"/>
          <w:snapToGrid w:val="0"/>
        </w:rPr>
        <w:t xml:space="preserve"> the modelled survival in the base case. The </w:t>
      </w:r>
      <w:proofErr w:type="spellStart"/>
      <w:r w:rsidR="000D2C16" w:rsidRPr="000D2C16">
        <w:rPr>
          <w:rFonts w:asciiTheme="minorHAnsi" w:hAnsiTheme="minorHAnsi"/>
          <w:snapToGrid w:val="0"/>
        </w:rPr>
        <w:t>anifrolumab</w:t>
      </w:r>
      <w:proofErr w:type="spellEnd"/>
      <w:r w:rsidR="000D2C16" w:rsidRPr="000D2C16">
        <w:rPr>
          <w:rFonts w:asciiTheme="minorHAnsi" w:hAnsiTheme="minorHAnsi"/>
          <w:snapToGrid w:val="0"/>
        </w:rPr>
        <w:t xml:space="preserve"> arm resulted in greater survival compared to SOC, and this survival benefit appeared to increase over the time horizon (at Year 5 survival was similar between the arms, compared to a 10% difference at </w:t>
      </w:r>
      <w:r w:rsidR="000D2C16" w:rsidRPr="00603AFC">
        <w:rPr>
          <w:rFonts w:asciiTheme="minorHAnsi" w:hAnsiTheme="minorHAnsi"/>
          <w:snapToGrid w:val="0"/>
        </w:rPr>
        <w:t xml:space="preserve">Year 30). </w:t>
      </w:r>
      <w:r w:rsidR="00DD5F56" w:rsidRPr="00603AFC">
        <w:rPr>
          <w:rFonts w:asciiTheme="minorHAnsi" w:hAnsiTheme="minorHAnsi"/>
          <w:snapToGrid w:val="0"/>
        </w:rPr>
        <w:t>T</w:t>
      </w:r>
      <w:r w:rsidR="000D2C16" w:rsidRPr="00603AFC">
        <w:rPr>
          <w:rFonts w:asciiTheme="minorHAnsi" w:hAnsiTheme="minorHAnsi"/>
          <w:snapToGrid w:val="0"/>
        </w:rPr>
        <w:t>he ICER was sensitive to mortality assumptions. As with other model inputs, mortality was largely driven by SLEDAI-2K estimates. If the coefficient for SLEDAI-2K in the survival distribution was set to 0, the incremental undiscounted life years gained reduced to 0.239 from 0.770 in the base case.</w:t>
      </w:r>
    </w:p>
    <w:p w14:paraId="5BC68A99" w14:textId="6673ACC5" w:rsidR="000D2C16" w:rsidRPr="000D2C16" w:rsidRDefault="000D2C16" w:rsidP="000D2C16">
      <w:pPr>
        <w:keepNext/>
        <w:jc w:val="left"/>
        <w:rPr>
          <w:rFonts w:ascii="Arial Narrow" w:eastAsiaTheme="majorEastAsia" w:hAnsi="Arial Narrow" w:cstheme="majorBidi"/>
          <w:b/>
          <w:bCs/>
          <w:sz w:val="20"/>
        </w:rPr>
      </w:pPr>
      <w:bookmarkStart w:id="56" w:name="_Ref103692239"/>
      <w:r w:rsidRPr="000D2C16">
        <w:rPr>
          <w:rFonts w:ascii="Arial Narrow" w:eastAsiaTheme="majorEastAsia" w:hAnsi="Arial Narrow" w:cstheme="majorBidi"/>
          <w:b/>
          <w:bCs/>
          <w:sz w:val="20"/>
        </w:rPr>
        <w:lastRenderedPageBreak/>
        <w:t xml:space="preserve">Figure </w:t>
      </w:r>
      <w:r w:rsidRPr="000D2C16">
        <w:rPr>
          <w:rFonts w:ascii="Arial Narrow" w:eastAsiaTheme="majorEastAsia" w:hAnsi="Arial Narrow" w:cstheme="majorBidi"/>
          <w:b/>
          <w:bCs/>
          <w:sz w:val="20"/>
        </w:rPr>
        <w:fldChar w:fldCharType="begin"/>
      </w:r>
      <w:r w:rsidRPr="000D2C16">
        <w:rPr>
          <w:rFonts w:ascii="Arial Narrow" w:eastAsiaTheme="majorEastAsia" w:hAnsi="Arial Narrow" w:cstheme="majorBidi"/>
          <w:b/>
          <w:bCs/>
          <w:sz w:val="20"/>
        </w:rPr>
        <w:instrText xml:space="preserve"> SEQ Figure \* ARABIC </w:instrText>
      </w:r>
      <w:r w:rsidRPr="000D2C16">
        <w:rPr>
          <w:rFonts w:ascii="Arial Narrow" w:eastAsiaTheme="majorEastAsia" w:hAnsi="Arial Narrow" w:cstheme="majorBidi"/>
          <w:b/>
          <w:bCs/>
          <w:sz w:val="20"/>
        </w:rPr>
        <w:fldChar w:fldCharType="separate"/>
      </w:r>
      <w:r w:rsidR="00942C22">
        <w:rPr>
          <w:rFonts w:ascii="Arial Narrow" w:eastAsiaTheme="majorEastAsia" w:hAnsi="Arial Narrow" w:cstheme="majorBidi"/>
          <w:b/>
          <w:bCs/>
          <w:noProof/>
          <w:sz w:val="20"/>
        </w:rPr>
        <w:t>4</w:t>
      </w:r>
      <w:r w:rsidRPr="000D2C16">
        <w:rPr>
          <w:rFonts w:ascii="Arial Narrow" w:eastAsiaTheme="majorEastAsia" w:hAnsi="Arial Narrow" w:cstheme="majorBidi"/>
          <w:b/>
          <w:bCs/>
          <w:noProof/>
          <w:sz w:val="20"/>
        </w:rPr>
        <w:fldChar w:fldCharType="end"/>
      </w:r>
      <w:bookmarkEnd w:id="56"/>
      <w:r w:rsidRPr="000D2C16">
        <w:rPr>
          <w:rFonts w:ascii="Arial Narrow" w:eastAsiaTheme="majorEastAsia" w:hAnsi="Arial Narrow" w:cstheme="majorBidi"/>
          <w:b/>
          <w:bCs/>
          <w:sz w:val="20"/>
        </w:rPr>
        <w:t>: Modelled survival over 30 years, 5,000 patients (base case)</w:t>
      </w:r>
    </w:p>
    <w:p w14:paraId="6ABFE765" w14:textId="77777777" w:rsidR="000D2C16" w:rsidRPr="000D2C16" w:rsidRDefault="000D2C16" w:rsidP="000D2C16">
      <w:r w:rsidRPr="000D2C16">
        <w:rPr>
          <w:noProof/>
        </w:rPr>
        <w:drawing>
          <wp:inline distT="0" distB="0" distL="0" distR="0" wp14:anchorId="58CE6893" wp14:editId="345D5DD9">
            <wp:extent cx="5719935" cy="317182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972" cy="3179054"/>
                    </a:xfrm>
                    <a:prstGeom prst="rect">
                      <a:avLst/>
                    </a:prstGeom>
                    <a:noFill/>
                  </pic:spPr>
                </pic:pic>
              </a:graphicData>
            </a:graphic>
          </wp:inline>
        </w:drawing>
      </w:r>
    </w:p>
    <w:p w14:paraId="5F1D0965" w14:textId="5D59A83A" w:rsidR="000D2C16" w:rsidRDefault="000D2C16" w:rsidP="000D2C16">
      <w:pPr>
        <w:spacing w:after="120"/>
        <w:contextualSpacing/>
        <w:rPr>
          <w:rFonts w:ascii="Arial Narrow" w:hAnsi="Arial Narrow"/>
          <w:snapToGrid w:val="0"/>
          <w:sz w:val="18"/>
          <w:szCs w:val="22"/>
        </w:rPr>
      </w:pPr>
      <w:r w:rsidRPr="000D2C16">
        <w:rPr>
          <w:rFonts w:ascii="Arial Narrow" w:hAnsi="Arial Narrow"/>
          <w:snapToGrid w:val="0"/>
          <w:sz w:val="18"/>
          <w:szCs w:val="22"/>
        </w:rPr>
        <w:t>Source: Figure 3.7-8 of the submission</w:t>
      </w:r>
    </w:p>
    <w:p w14:paraId="5397905C" w14:textId="77777777" w:rsidR="00DD5F56" w:rsidRPr="000D2C16" w:rsidRDefault="00DD5F56" w:rsidP="000D2C16">
      <w:pPr>
        <w:spacing w:after="120"/>
        <w:contextualSpacing/>
        <w:rPr>
          <w:rFonts w:ascii="Arial Narrow" w:hAnsi="Arial Narrow"/>
          <w:snapToGrid w:val="0"/>
          <w:sz w:val="18"/>
          <w:szCs w:val="22"/>
        </w:rPr>
      </w:pPr>
    </w:p>
    <w:p w14:paraId="7540B53B" w14:textId="2A3DC8F6" w:rsidR="000D2C16" w:rsidRPr="008545F3" w:rsidRDefault="000D2C16" w:rsidP="00191895">
      <w:pPr>
        <w:numPr>
          <w:ilvl w:val="1"/>
          <w:numId w:val="1"/>
        </w:numPr>
        <w:spacing w:after="120"/>
        <w:rPr>
          <w:rFonts w:asciiTheme="minorHAnsi" w:hAnsiTheme="minorHAnsi"/>
          <w:iCs/>
          <w:snapToGrid w:val="0"/>
        </w:rPr>
      </w:pPr>
      <w:proofErr w:type="spellStart"/>
      <w:r w:rsidRPr="007F6A83">
        <w:rPr>
          <w:rFonts w:asciiTheme="minorHAnsi" w:hAnsiTheme="minorHAnsi"/>
          <w:snapToGrid w:val="0"/>
        </w:rPr>
        <w:t>Anifrolumab</w:t>
      </w:r>
      <w:proofErr w:type="spellEnd"/>
      <w:r w:rsidRPr="007F6A83">
        <w:rPr>
          <w:rFonts w:asciiTheme="minorHAnsi" w:hAnsiTheme="minorHAnsi"/>
          <w:snapToGrid w:val="0"/>
        </w:rPr>
        <w:t xml:space="preserve"> treatment discontinuation was estimated as 44.6% </w:t>
      </w:r>
      <w:r w:rsidR="007F6A83" w:rsidRPr="007F6A83">
        <w:rPr>
          <w:rFonts w:asciiTheme="minorHAnsi" w:hAnsiTheme="minorHAnsi"/>
          <w:snapToGrid w:val="0"/>
        </w:rPr>
        <w:t xml:space="preserve">and </w:t>
      </w:r>
      <w:r w:rsidRPr="007F6A83">
        <w:rPr>
          <w:rFonts w:asciiTheme="minorHAnsi" w:hAnsiTheme="minorHAnsi"/>
          <w:snapToGrid w:val="0"/>
        </w:rPr>
        <w:t xml:space="preserve">7.6% in </w:t>
      </w:r>
      <w:r w:rsidR="007F6A83" w:rsidRPr="007F6A83">
        <w:rPr>
          <w:rFonts w:asciiTheme="minorHAnsi" w:hAnsiTheme="minorHAnsi"/>
          <w:snapToGrid w:val="0"/>
        </w:rPr>
        <w:t>Cycle</w:t>
      </w:r>
      <w:r w:rsidR="00B12BC7">
        <w:rPr>
          <w:rFonts w:asciiTheme="minorHAnsi" w:hAnsiTheme="minorHAnsi"/>
          <w:snapToGrid w:val="0"/>
        </w:rPr>
        <w:t>s</w:t>
      </w:r>
      <w:r w:rsidR="007F6A83" w:rsidRPr="007F6A83">
        <w:rPr>
          <w:rFonts w:asciiTheme="minorHAnsi" w:hAnsiTheme="minorHAnsi"/>
          <w:snapToGrid w:val="0"/>
        </w:rPr>
        <w:t xml:space="preserve"> 1 and </w:t>
      </w:r>
      <w:r w:rsidRPr="007F6A83">
        <w:rPr>
          <w:rFonts w:asciiTheme="minorHAnsi" w:hAnsiTheme="minorHAnsi"/>
          <w:snapToGrid w:val="0"/>
        </w:rPr>
        <w:t>2</w:t>
      </w:r>
      <w:r w:rsidR="00B12BC7">
        <w:rPr>
          <w:rFonts w:asciiTheme="minorHAnsi" w:hAnsiTheme="minorHAnsi"/>
          <w:snapToGrid w:val="0"/>
        </w:rPr>
        <w:t xml:space="preserve"> respectively,</w:t>
      </w:r>
      <w:r w:rsidR="007F6A83" w:rsidRPr="007F6A83">
        <w:rPr>
          <w:rFonts w:asciiTheme="minorHAnsi" w:hAnsiTheme="minorHAnsi"/>
          <w:snapToGrid w:val="0"/>
        </w:rPr>
        <w:t xml:space="preserve"> based on</w:t>
      </w:r>
      <w:r w:rsidRPr="007F6A83">
        <w:rPr>
          <w:rFonts w:asciiTheme="minorHAnsi" w:hAnsiTheme="minorHAnsi"/>
          <w:snapToGrid w:val="0"/>
        </w:rPr>
        <w:t xml:space="preserve"> pooled TULIP SLEDAI-2K</w:t>
      </w:r>
      <w:r w:rsidRPr="007F6A83">
        <w:rPr>
          <w:rFonts w:asciiTheme="minorHAnsi" w:hAnsiTheme="minorHAnsi" w:cstheme="minorHAnsi"/>
          <w:snapToGrid w:val="0"/>
        </w:rPr>
        <w:t>≥</w:t>
      </w:r>
      <w:r w:rsidRPr="007F6A83">
        <w:rPr>
          <w:rFonts w:asciiTheme="minorHAnsi" w:hAnsiTheme="minorHAnsi"/>
          <w:snapToGrid w:val="0"/>
        </w:rPr>
        <w:t xml:space="preserve"> 10</w:t>
      </w:r>
      <w:r w:rsidR="007F6A83" w:rsidRPr="007F6A83">
        <w:rPr>
          <w:rFonts w:asciiTheme="minorHAnsi" w:hAnsiTheme="minorHAnsi"/>
          <w:snapToGrid w:val="0"/>
        </w:rPr>
        <w:t xml:space="preserve"> subgroup </w:t>
      </w:r>
      <w:r w:rsidR="00725910">
        <w:rPr>
          <w:rFonts w:asciiTheme="minorHAnsi" w:hAnsiTheme="minorHAnsi"/>
          <w:snapToGrid w:val="0"/>
        </w:rPr>
        <w:t xml:space="preserve">data </w:t>
      </w:r>
      <w:r w:rsidR="007F6A83" w:rsidRPr="007F6A83">
        <w:rPr>
          <w:rFonts w:asciiTheme="minorHAnsi" w:hAnsiTheme="minorHAnsi"/>
          <w:snapToGrid w:val="0"/>
        </w:rPr>
        <w:t xml:space="preserve">at </w:t>
      </w:r>
      <w:r w:rsidRPr="007F6A83">
        <w:rPr>
          <w:rFonts w:asciiTheme="minorHAnsi" w:hAnsiTheme="minorHAnsi"/>
          <w:snapToGrid w:val="0"/>
        </w:rPr>
        <w:t>Weeks 24 t</w:t>
      </w:r>
      <w:r w:rsidR="007F6A83" w:rsidRPr="007F6A83">
        <w:rPr>
          <w:rFonts w:asciiTheme="minorHAnsi" w:hAnsiTheme="minorHAnsi"/>
          <w:snapToGrid w:val="0"/>
        </w:rPr>
        <w:t>o</w:t>
      </w:r>
      <w:r w:rsidRPr="007F6A83">
        <w:rPr>
          <w:rFonts w:asciiTheme="minorHAnsi" w:hAnsiTheme="minorHAnsi"/>
          <w:snapToGrid w:val="0"/>
        </w:rPr>
        <w:t xml:space="preserve"> 52, and 7.2% from Cycle 3 onwards </w:t>
      </w:r>
      <w:r w:rsidR="007F6A83" w:rsidRPr="007F6A83">
        <w:rPr>
          <w:rFonts w:asciiTheme="minorHAnsi" w:hAnsiTheme="minorHAnsi"/>
          <w:snapToGrid w:val="0"/>
        </w:rPr>
        <w:t xml:space="preserve">based on </w:t>
      </w:r>
      <w:r w:rsidRPr="007F6A83">
        <w:rPr>
          <w:rFonts w:asciiTheme="minorHAnsi" w:hAnsiTheme="minorHAnsi"/>
          <w:snapToGrid w:val="0"/>
        </w:rPr>
        <w:t xml:space="preserve">MUSE LTE. </w:t>
      </w:r>
      <w:r w:rsidRPr="00603AFC">
        <w:rPr>
          <w:rFonts w:asciiTheme="minorHAnsi" w:hAnsiTheme="minorHAnsi"/>
          <w:iCs/>
          <w:snapToGrid w:val="0"/>
        </w:rPr>
        <w:t>As shown in</w:t>
      </w:r>
      <w:r w:rsidR="001E3682" w:rsidRPr="00603AFC">
        <w:rPr>
          <w:rFonts w:asciiTheme="minorHAnsi" w:hAnsiTheme="minorHAnsi"/>
          <w:iCs/>
          <w:snapToGrid w:val="0"/>
        </w:rPr>
        <w:t xml:space="preserve"> </w:t>
      </w:r>
      <w:r w:rsidR="001E3682" w:rsidRPr="00603AFC">
        <w:rPr>
          <w:rFonts w:asciiTheme="minorHAnsi" w:hAnsiTheme="minorHAnsi" w:cstheme="minorHAnsi"/>
          <w:iCs/>
          <w:snapToGrid w:val="0"/>
        </w:rPr>
        <w:fldChar w:fldCharType="begin"/>
      </w:r>
      <w:r w:rsidR="001E3682" w:rsidRPr="00603AFC">
        <w:rPr>
          <w:rFonts w:asciiTheme="minorHAnsi" w:hAnsiTheme="minorHAnsi" w:cstheme="minorHAnsi"/>
          <w:iCs/>
          <w:snapToGrid w:val="0"/>
        </w:rPr>
        <w:instrText xml:space="preserve"> REF _Ref103692277 \h  \* MERGEFORMAT </w:instrText>
      </w:r>
      <w:r w:rsidR="001E3682" w:rsidRPr="00603AFC">
        <w:rPr>
          <w:rFonts w:asciiTheme="minorHAnsi" w:hAnsiTheme="minorHAnsi" w:cstheme="minorHAnsi"/>
          <w:iCs/>
          <w:snapToGrid w:val="0"/>
        </w:rPr>
      </w:r>
      <w:r w:rsidR="001E3682" w:rsidRPr="00603AFC">
        <w:rPr>
          <w:rFonts w:asciiTheme="minorHAnsi" w:hAnsiTheme="minorHAnsi" w:cstheme="minorHAnsi"/>
          <w:iCs/>
          <w:snapToGrid w:val="0"/>
        </w:rPr>
        <w:fldChar w:fldCharType="separate"/>
      </w:r>
      <w:r w:rsidR="00942C22" w:rsidRPr="00942C22">
        <w:rPr>
          <w:rFonts w:asciiTheme="minorHAnsi" w:eastAsiaTheme="majorEastAsia" w:hAnsiTheme="minorHAnsi" w:cstheme="minorHAnsi"/>
          <w:iCs/>
        </w:rPr>
        <w:t xml:space="preserve">Figure </w:t>
      </w:r>
      <w:r w:rsidR="00942C22" w:rsidRPr="00942C22">
        <w:rPr>
          <w:rFonts w:asciiTheme="minorHAnsi" w:eastAsiaTheme="majorEastAsia" w:hAnsiTheme="minorHAnsi" w:cstheme="minorHAnsi"/>
          <w:iCs/>
          <w:noProof/>
        </w:rPr>
        <w:t>5</w:t>
      </w:r>
      <w:r w:rsidR="001E3682" w:rsidRPr="00603AFC">
        <w:rPr>
          <w:rFonts w:asciiTheme="minorHAnsi" w:hAnsiTheme="minorHAnsi" w:cstheme="minorHAnsi"/>
          <w:iCs/>
          <w:snapToGrid w:val="0"/>
        </w:rPr>
        <w:fldChar w:fldCharType="end"/>
      </w:r>
      <w:r w:rsidRPr="00603AFC">
        <w:rPr>
          <w:rFonts w:asciiTheme="minorHAnsi" w:hAnsiTheme="minorHAnsi"/>
          <w:iCs/>
          <w:snapToGrid w:val="0"/>
        </w:rPr>
        <w:t xml:space="preserve">, the constant discontinuation of </w:t>
      </w:r>
      <w:proofErr w:type="spellStart"/>
      <w:r w:rsidRPr="00603AFC">
        <w:rPr>
          <w:rFonts w:asciiTheme="minorHAnsi" w:hAnsiTheme="minorHAnsi"/>
          <w:iCs/>
          <w:snapToGrid w:val="0"/>
        </w:rPr>
        <w:t>anifrolumab</w:t>
      </w:r>
      <w:proofErr w:type="spellEnd"/>
      <w:r w:rsidRPr="00603AFC">
        <w:rPr>
          <w:rFonts w:asciiTheme="minorHAnsi" w:hAnsiTheme="minorHAnsi"/>
          <w:iCs/>
          <w:snapToGrid w:val="0"/>
        </w:rPr>
        <w:t xml:space="preserve"> resulted in &lt;10% patients still on treatment at Year 15, though benefits persisted to Year 30</w:t>
      </w:r>
      <w:r w:rsidR="00EE0E20">
        <w:rPr>
          <w:rFonts w:asciiTheme="minorHAnsi" w:hAnsiTheme="minorHAnsi"/>
          <w:iCs/>
          <w:snapToGrid w:val="0"/>
        </w:rPr>
        <w:t xml:space="preserve">, </w:t>
      </w:r>
      <w:r w:rsidR="001E5B66">
        <w:rPr>
          <w:rFonts w:asciiTheme="minorHAnsi" w:hAnsiTheme="minorHAnsi"/>
          <w:iCs/>
          <w:snapToGrid w:val="0"/>
        </w:rPr>
        <w:t xml:space="preserve">including survival benefits, </w:t>
      </w:r>
      <w:r w:rsidR="001E5B66" w:rsidRPr="007874A4">
        <w:rPr>
          <w:rFonts w:asciiTheme="minorHAnsi" w:hAnsiTheme="minorHAnsi" w:cstheme="minorHAnsi"/>
          <w:iCs/>
          <w:snapToGrid w:val="0"/>
        </w:rPr>
        <w:t>per</w:t>
      </w:r>
      <w:r w:rsidR="007874A4" w:rsidRPr="007874A4">
        <w:rPr>
          <w:rFonts w:asciiTheme="minorHAnsi" w:hAnsiTheme="minorHAnsi" w:cstheme="minorHAnsi"/>
          <w:iCs/>
          <w:snapToGrid w:val="0"/>
        </w:rPr>
        <w:t xml:space="preserve"> </w:t>
      </w:r>
      <w:r w:rsidR="007874A4" w:rsidRPr="007874A4">
        <w:rPr>
          <w:rFonts w:asciiTheme="minorHAnsi" w:hAnsiTheme="minorHAnsi" w:cstheme="minorHAnsi"/>
          <w:iCs/>
          <w:snapToGrid w:val="0"/>
        </w:rPr>
        <w:fldChar w:fldCharType="begin"/>
      </w:r>
      <w:r w:rsidR="007874A4" w:rsidRPr="007874A4">
        <w:rPr>
          <w:rFonts w:asciiTheme="minorHAnsi" w:hAnsiTheme="minorHAnsi" w:cstheme="minorHAnsi"/>
          <w:iCs/>
          <w:snapToGrid w:val="0"/>
        </w:rPr>
        <w:instrText xml:space="preserve"> REF _Ref103692239 \h  \* MERGEFORMAT </w:instrText>
      </w:r>
      <w:r w:rsidR="007874A4" w:rsidRPr="007874A4">
        <w:rPr>
          <w:rFonts w:asciiTheme="minorHAnsi" w:hAnsiTheme="minorHAnsi" w:cstheme="minorHAnsi"/>
          <w:iCs/>
          <w:snapToGrid w:val="0"/>
        </w:rPr>
      </w:r>
      <w:r w:rsidR="007874A4" w:rsidRPr="007874A4">
        <w:rPr>
          <w:rFonts w:asciiTheme="minorHAnsi" w:hAnsiTheme="minorHAnsi" w:cstheme="minorHAnsi"/>
          <w:iCs/>
          <w:snapToGrid w:val="0"/>
        </w:rPr>
        <w:fldChar w:fldCharType="separate"/>
      </w:r>
      <w:r w:rsidR="00942C22" w:rsidRPr="00942C22">
        <w:rPr>
          <w:rFonts w:asciiTheme="minorHAnsi" w:eastAsiaTheme="majorEastAsia" w:hAnsiTheme="minorHAnsi" w:cstheme="minorHAnsi"/>
        </w:rPr>
        <w:t xml:space="preserve">Figure </w:t>
      </w:r>
      <w:r w:rsidR="00942C22" w:rsidRPr="00942C22">
        <w:rPr>
          <w:rFonts w:asciiTheme="minorHAnsi" w:eastAsiaTheme="majorEastAsia" w:hAnsiTheme="minorHAnsi" w:cstheme="minorHAnsi"/>
          <w:noProof/>
        </w:rPr>
        <w:t>4</w:t>
      </w:r>
      <w:r w:rsidR="007874A4" w:rsidRPr="007874A4">
        <w:rPr>
          <w:rFonts w:asciiTheme="minorHAnsi" w:hAnsiTheme="minorHAnsi" w:cstheme="minorHAnsi"/>
          <w:iCs/>
          <w:snapToGrid w:val="0"/>
        </w:rPr>
        <w:fldChar w:fldCharType="end"/>
      </w:r>
      <w:r w:rsidR="007874A4">
        <w:rPr>
          <w:rFonts w:asciiTheme="minorHAnsi" w:hAnsiTheme="minorHAnsi" w:cstheme="minorHAnsi"/>
          <w:iCs/>
          <w:snapToGrid w:val="0"/>
        </w:rPr>
        <w:t>.</w:t>
      </w:r>
      <w:r w:rsidR="00EE0E20">
        <w:rPr>
          <w:rFonts w:asciiTheme="minorHAnsi" w:hAnsiTheme="minorHAnsi"/>
          <w:iCs/>
          <w:snapToGrid w:val="0"/>
        </w:rPr>
        <w:t xml:space="preserve"> </w:t>
      </w:r>
      <w:r w:rsidR="00EE0E20" w:rsidRPr="008545F3">
        <w:rPr>
          <w:rFonts w:asciiTheme="minorHAnsi" w:hAnsiTheme="minorHAnsi"/>
          <w:iCs/>
          <w:snapToGrid w:val="0"/>
        </w:rPr>
        <w:t xml:space="preserve">The ESC considered that it was not clinically plausible for </w:t>
      </w:r>
      <w:r w:rsidR="008D0777">
        <w:rPr>
          <w:rFonts w:asciiTheme="minorHAnsi" w:hAnsiTheme="minorHAnsi"/>
          <w:iCs/>
          <w:snapToGrid w:val="0"/>
        </w:rPr>
        <w:t xml:space="preserve">incremental </w:t>
      </w:r>
      <w:r w:rsidR="00EE0E20" w:rsidRPr="008545F3">
        <w:rPr>
          <w:rFonts w:asciiTheme="minorHAnsi" w:hAnsiTheme="minorHAnsi"/>
          <w:iCs/>
          <w:snapToGrid w:val="0"/>
        </w:rPr>
        <w:t xml:space="preserve">survival in the </w:t>
      </w:r>
      <w:proofErr w:type="spellStart"/>
      <w:r w:rsidR="00EE0E20" w:rsidRPr="008545F3">
        <w:rPr>
          <w:rFonts w:asciiTheme="minorHAnsi" w:hAnsiTheme="minorHAnsi"/>
          <w:iCs/>
          <w:snapToGrid w:val="0"/>
        </w:rPr>
        <w:t>anifrolumab</w:t>
      </w:r>
      <w:proofErr w:type="spellEnd"/>
      <w:r w:rsidR="00EE0E20" w:rsidRPr="008545F3">
        <w:rPr>
          <w:rFonts w:asciiTheme="minorHAnsi" w:hAnsiTheme="minorHAnsi"/>
          <w:iCs/>
          <w:snapToGrid w:val="0"/>
        </w:rPr>
        <w:t xml:space="preserve"> arm to be increasing toward the end of the modelled time horizon despite few patients remaining on treatment. </w:t>
      </w:r>
    </w:p>
    <w:p w14:paraId="4E759CFB" w14:textId="3E3B1012" w:rsidR="000D2C16" w:rsidRPr="000D2C16" w:rsidRDefault="000D2C16" w:rsidP="000D2C16">
      <w:pPr>
        <w:keepNext/>
        <w:jc w:val="left"/>
        <w:rPr>
          <w:rFonts w:ascii="Arial Narrow" w:eastAsiaTheme="majorEastAsia" w:hAnsi="Arial Narrow" w:cstheme="majorBidi"/>
          <w:b/>
          <w:bCs/>
          <w:sz w:val="20"/>
        </w:rPr>
      </w:pPr>
      <w:bookmarkStart w:id="57" w:name="_Ref103692277"/>
      <w:r w:rsidRPr="000D2C16">
        <w:rPr>
          <w:rFonts w:ascii="Arial Narrow" w:eastAsiaTheme="majorEastAsia" w:hAnsi="Arial Narrow" w:cstheme="majorBidi"/>
          <w:b/>
          <w:bCs/>
          <w:sz w:val="20"/>
        </w:rPr>
        <w:lastRenderedPageBreak/>
        <w:t xml:space="preserve">Figure </w:t>
      </w:r>
      <w:r w:rsidRPr="000D2C16">
        <w:rPr>
          <w:rFonts w:ascii="Arial Narrow" w:eastAsiaTheme="majorEastAsia" w:hAnsi="Arial Narrow" w:cstheme="majorBidi"/>
          <w:b/>
          <w:bCs/>
          <w:sz w:val="20"/>
        </w:rPr>
        <w:fldChar w:fldCharType="begin"/>
      </w:r>
      <w:r w:rsidRPr="000D2C16">
        <w:rPr>
          <w:rFonts w:ascii="Arial Narrow" w:eastAsiaTheme="majorEastAsia" w:hAnsi="Arial Narrow" w:cstheme="majorBidi"/>
          <w:b/>
          <w:bCs/>
          <w:sz w:val="20"/>
        </w:rPr>
        <w:instrText xml:space="preserve"> SEQ Figure \* ARABIC </w:instrText>
      </w:r>
      <w:r w:rsidRPr="000D2C16">
        <w:rPr>
          <w:rFonts w:ascii="Arial Narrow" w:eastAsiaTheme="majorEastAsia" w:hAnsi="Arial Narrow" w:cstheme="majorBidi"/>
          <w:b/>
          <w:bCs/>
          <w:sz w:val="20"/>
        </w:rPr>
        <w:fldChar w:fldCharType="separate"/>
      </w:r>
      <w:r w:rsidR="00942C22">
        <w:rPr>
          <w:rFonts w:ascii="Arial Narrow" w:eastAsiaTheme="majorEastAsia" w:hAnsi="Arial Narrow" w:cstheme="majorBidi"/>
          <w:b/>
          <w:bCs/>
          <w:noProof/>
          <w:sz w:val="20"/>
        </w:rPr>
        <w:t>5</w:t>
      </w:r>
      <w:r w:rsidRPr="000D2C16">
        <w:rPr>
          <w:rFonts w:ascii="Arial Narrow" w:eastAsiaTheme="majorEastAsia" w:hAnsi="Arial Narrow" w:cstheme="majorBidi"/>
          <w:b/>
          <w:bCs/>
          <w:noProof/>
          <w:sz w:val="20"/>
        </w:rPr>
        <w:fldChar w:fldCharType="end"/>
      </w:r>
      <w:bookmarkEnd w:id="57"/>
      <w:r w:rsidRPr="000D2C16">
        <w:rPr>
          <w:rFonts w:ascii="Arial Narrow" w:eastAsiaTheme="majorEastAsia" w:hAnsi="Arial Narrow" w:cstheme="majorBidi"/>
          <w:b/>
          <w:bCs/>
          <w:sz w:val="20"/>
        </w:rPr>
        <w:t>: Modelled proportion of patients on treatment</w:t>
      </w:r>
    </w:p>
    <w:p w14:paraId="11142F77" w14:textId="77777777" w:rsidR="000D2C16" w:rsidRPr="000D2C16" w:rsidRDefault="000D2C16" w:rsidP="000D2C16">
      <w:r w:rsidRPr="000D2C16">
        <w:rPr>
          <w:noProof/>
        </w:rPr>
        <w:drawing>
          <wp:inline distT="0" distB="0" distL="0" distR="0" wp14:anchorId="5AA8EE0E" wp14:editId="1DC16C60">
            <wp:extent cx="5710687" cy="3243580"/>
            <wp:effectExtent l="0" t="0" r="444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296" cy="3246198"/>
                    </a:xfrm>
                    <a:prstGeom prst="rect">
                      <a:avLst/>
                    </a:prstGeom>
                    <a:noFill/>
                  </pic:spPr>
                </pic:pic>
              </a:graphicData>
            </a:graphic>
          </wp:inline>
        </w:drawing>
      </w:r>
    </w:p>
    <w:p w14:paraId="4E6D9962" w14:textId="1D844F2A" w:rsidR="000D2C16" w:rsidRDefault="000D2C16" w:rsidP="000D2C16">
      <w:pPr>
        <w:spacing w:after="120"/>
        <w:contextualSpacing/>
        <w:rPr>
          <w:rFonts w:ascii="Arial Narrow" w:hAnsi="Arial Narrow"/>
          <w:snapToGrid w:val="0"/>
          <w:sz w:val="18"/>
          <w:szCs w:val="22"/>
        </w:rPr>
      </w:pPr>
      <w:r w:rsidRPr="000D2C16">
        <w:rPr>
          <w:rFonts w:ascii="Arial Narrow" w:hAnsi="Arial Narrow"/>
          <w:snapToGrid w:val="0"/>
          <w:sz w:val="18"/>
          <w:szCs w:val="22"/>
        </w:rPr>
        <w:t>Source: Figure 3.7-1 of the submission</w:t>
      </w:r>
      <w:r w:rsidR="007F6A83">
        <w:rPr>
          <w:rFonts w:ascii="Arial Narrow" w:hAnsi="Arial Narrow"/>
          <w:snapToGrid w:val="0"/>
          <w:sz w:val="18"/>
          <w:szCs w:val="22"/>
        </w:rPr>
        <w:t>.</w:t>
      </w:r>
    </w:p>
    <w:p w14:paraId="7CB09656" w14:textId="77777777" w:rsidR="007F6A83" w:rsidRPr="000D2C16" w:rsidRDefault="007F6A83" w:rsidP="000D2C16">
      <w:pPr>
        <w:spacing w:after="120"/>
        <w:contextualSpacing/>
        <w:rPr>
          <w:rFonts w:ascii="Arial Narrow" w:hAnsi="Arial Narrow"/>
          <w:snapToGrid w:val="0"/>
          <w:sz w:val="18"/>
          <w:szCs w:val="22"/>
        </w:rPr>
      </w:pPr>
    </w:p>
    <w:p w14:paraId="305C9C61" w14:textId="1F58F5A5" w:rsidR="000D2C16" w:rsidRPr="008D0B15" w:rsidRDefault="000D2C16" w:rsidP="003D1098">
      <w:pPr>
        <w:numPr>
          <w:ilvl w:val="1"/>
          <w:numId w:val="1"/>
        </w:numPr>
        <w:spacing w:after="120"/>
        <w:rPr>
          <w:rFonts w:asciiTheme="minorHAnsi" w:hAnsiTheme="minorHAnsi"/>
          <w:iCs/>
          <w:snapToGrid w:val="0"/>
        </w:rPr>
      </w:pPr>
      <w:r w:rsidRPr="008D0B15">
        <w:rPr>
          <w:rFonts w:asciiTheme="minorHAnsi" w:hAnsiTheme="minorHAnsi"/>
          <w:snapToGrid w:val="0"/>
        </w:rPr>
        <w:t>The submission estimated utilities</w:t>
      </w:r>
      <w:r w:rsidR="007F5C75">
        <w:rPr>
          <w:rFonts w:asciiTheme="minorHAnsi" w:hAnsiTheme="minorHAnsi"/>
          <w:snapToGrid w:val="0"/>
        </w:rPr>
        <w:t xml:space="preserve"> for</w:t>
      </w:r>
      <w:r w:rsidRPr="008D0B15">
        <w:rPr>
          <w:rFonts w:asciiTheme="minorHAnsi" w:hAnsiTheme="minorHAnsi"/>
          <w:snapToGrid w:val="0"/>
        </w:rPr>
        <w:t xml:space="preserve"> each cycle based on a linear regression of patient characteristics</w:t>
      </w:r>
      <w:r w:rsidR="007F5C75">
        <w:rPr>
          <w:rFonts w:asciiTheme="minorHAnsi" w:hAnsiTheme="minorHAnsi"/>
          <w:snapToGrid w:val="0"/>
        </w:rPr>
        <w:t>,</w:t>
      </w:r>
      <w:r w:rsidRPr="008D0B15">
        <w:rPr>
          <w:rFonts w:asciiTheme="minorHAnsi" w:hAnsiTheme="minorHAnsi"/>
          <w:snapToGrid w:val="0"/>
        </w:rPr>
        <w:t xml:space="preserve"> and response to treatment from the pooled ITT data from the TULIP trials. </w:t>
      </w:r>
      <w:r w:rsidRPr="008D0B15">
        <w:rPr>
          <w:rFonts w:asciiTheme="minorHAnsi" w:hAnsiTheme="minorHAnsi"/>
          <w:iCs/>
          <w:snapToGrid w:val="0"/>
        </w:rPr>
        <w:t xml:space="preserve">The linear regressions for utility could fall below 0 and exceed 1, </w:t>
      </w:r>
      <w:r w:rsidR="00A245E2">
        <w:rPr>
          <w:rFonts w:asciiTheme="minorHAnsi" w:hAnsiTheme="minorHAnsi"/>
          <w:iCs/>
          <w:snapToGrid w:val="0"/>
        </w:rPr>
        <w:t>(</w:t>
      </w:r>
      <w:r w:rsidR="002D062C">
        <w:rPr>
          <w:rFonts w:asciiTheme="minorHAnsi" w:hAnsiTheme="minorHAnsi"/>
          <w:iCs/>
          <w:snapToGrid w:val="0"/>
        </w:rPr>
        <w:t>as</w:t>
      </w:r>
      <w:r w:rsidR="002D062C" w:rsidRPr="008D0B15">
        <w:rPr>
          <w:rFonts w:asciiTheme="minorHAnsi" w:hAnsiTheme="minorHAnsi"/>
          <w:iCs/>
          <w:snapToGrid w:val="0"/>
        </w:rPr>
        <w:t xml:space="preserve"> </w:t>
      </w:r>
      <w:r w:rsidRPr="008D0B15">
        <w:rPr>
          <w:rFonts w:asciiTheme="minorHAnsi" w:hAnsiTheme="minorHAnsi"/>
          <w:iCs/>
          <w:snapToGrid w:val="0"/>
        </w:rPr>
        <w:t>did occur in individual patient simulations</w:t>
      </w:r>
      <w:r w:rsidR="00A245E2">
        <w:rPr>
          <w:rFonts w:asciiTheme="minorHAnsi" w:hAnsiTheme="minorHAnsi"/>
          <w:iCs/>
          <w:snapToGrid w:val="0"/>
        </w:rPr>
        <w:t>), which the ESC and the PBAC considered was not reasonable</w:t>
      </w:r>
      <w:r w:rsidRPr="008D0B15">
        <w:rPr>
          <w:rFonts w:asciiTheme="minorHAnsi" w:hAnsiTheme="minorHAnsi"/>
          <w:iCs/>
          <w:snapToGrid w:val="0"/>
        </w:rPr>
        <w:t xml:space="preserve">. Mean utility in the absence of organ damage was </w:t>
      </w:r>
      <w:r w:rsidR="008D0B15" w:rsidRPr="008D0B15">
        <w:rPr>
          <w:rFonts w:asciiTheme="minorHAnsi" w:hAnsiTheme="minorHAnsi"/>
          <w:iCs/>
          <w:snapToGrid w:val="0"/>
        </w:rPr>
        <w:t xml:space="preserve">relatively </w:t>
      </w:r>
      <w:r w:rsidRPr="008D0B15">
        <w:rPr>
          <w:rFonts w:asciiTheme="minorHAnsi" w:hAnsiTheme="minorHAnsi"/>
          <w:iCs/>
          <w:snapToGrid w:val="0"/>
        </w:rPr>
        <w:t xml:space="preserve">high once adjusted for mortality, averaging 0.875 across the time horizon in the </w:t>
      </w:r>
      <w:proofErr w:type="spellStart"/>
      <w:r w:rsidRPr="008D0B15">
        <w:rPr>
          <w:rFonts w:asciiTheme="minorHAnsi" w:hAnsiTheme="minorHAnsi"/>
          <w:iCs/>
          <w:snapToGrid w:val="0"/>
        </w:rPr>
        <w:t>anifrolumab</w:t>
      </w:r>
      <w:proofErr w:type="spellEnd"/>
      <w:r w:rsidRPr="008D0B15">
        <w:rPr>
          <w:rFonts w:asciiTheme="minorHAnsi" w:hAnsiTheme="minorHAnsi"/>
          <w:iCs/>
          <w:snapToGrid w:val="0"/>
        </w:rPr>
        <w:t xml:space="preserve"> arm, and 0.874 in the SOC arm. In comparison, the mean EQ-5D scores in the pooled TULIP data were 0.566 for the </w:t>
      </w:r>
      <w:proofErr w:type="spellStart"/>
      <w:r w:rsidRPr="008D0B15">
        <w:rPr>
          <w:rFonts w:asciiTheme="minorHAnsi" w:hAnsiTheme="minorHAnsi"/>
          <w:iCs/>
          <w:snapToGrid w:val="0"/>
        </w:rPr>
        <w:t>anifrolumab</w:t>
      </w:r>
      <w:proofErr w:type="spellEnd"/>
      <w:r w:rsidRPr="008D0B15">
        <w:rPr>
          <w:rFonts w:asciiTheme="minorHAnsi" w:hAnsiTheme="minorHAnsi"/>
          <w:iCs/>
          <w:snapToGrid w:val="0"/>
        </w:rPr>
        <w:t xml:space="preserve"> arm and 0.555 for the placebo arm. As with many of the other regressions in the model, utility was very sensitive to the SLEDAI-2K coefficient</w:t>
      </w:r>
      <w:r w:rsidRPr="00884642">
        <w:rPr>
          <w:rFonts w:asciiTheme="minorHAnsi" w:hAnsiTheme="minorHAnsi"/>
          <w:iCs/>
          <w:snapToGrid w:val="0"/>
        </w:rPr>
        <w:t>. If the SLEDAI-2K coefficient was set to 0, the ICER increased to $</w:t>
      </w:r>
      <w:r w:rsidR="003B59ED" w:rsidRPr="00884642">
        <w:rPr>
          <w:rFonts w:asciiTheme="minorHAnsi" w:hAnsiTheme="minorHAnsi"/>
        </w:rPr>
        <w:t>75,000 to &lt; $95,000</w:t>
      </w:r>
      <w:r w:rsidRPr="00884642">
        <w:rPr>
          <w:rFonts w:asciiTheme="minorHAnsi" w:hAnsiTheme="minorHAnsi"/>
          <w:iCs/>
          <w:snapToGrid w:val="0"/>
        </w:rPr>
        <w:t>per QALY gained, compared to $</w:t>
      </w:r>
      <w:r w:rsidR="003B59ED" w:rsidRPr="00884642">
        <w:rPr>
          <w:rFonts w:asciiTheme="minorHAnsi" w:hAnsiTheme="minorHAnsi"/>
        </w:rPr>
        <w:t xml:space="preserve">55,000 to &lt; $75,000 </w:t>
      </w:r>
      <w:r w:rsidRPr="00884642">
        <w:rPr>
          <w:rFonts w:asciiTheme="minorHAnsi" w:hAnsiTheme="minorHAnsi"/>
          <w:iCs/>
          <w:snapToGrid w:val="0"/>
        </w:rPr>
        <w:t xml:space="preserve">in the base case. Furthermore, </w:t>
      </w:r>
      <w:r w:rsidR="00A245E2" w:rsidRPr="00884642">
        <w:rPr>
          <w:rFonts w:asciiTheme="minorHAnsi" w:hAnsiTheme="minorHAnsi"/>
          <w:iCs/>
          <w:snapToGrid w:val="0"/>
        </w:rPr>
        <w:t xml:space="preserve">in the submission </w:t>
      </w:r>
      <w:r w:rsidR="00A245E2">
        <w:rPr>
          <w:rFonts w:asciiTheme="minorHAnsi" w:hAnsiTheme="minorHAnsi"/>
          <w:iCs/>
          <w:snapToGrid w:val="0"/>
        </w:rPr>
        <w:t xml:space="preserve">base case, </w:t>
      </w:r>
      <w:r w:rsidR="00B60557" w:rsidRPr="008D0B15">
        <w:rPr>
          <w:rFonts w:asciiTheme="minorHAnsi" w:hAnsiTheme="minorHAnsi"/>
          <w:iCs/>
          <w:snapToGrid w:val="0"/>
        </w:rPr>
        <w:t xml:space="preserve">the effect of </w:t>
      </w:r>
      <w:r w:rsidR="008D0B15" w:rsidRPr="008D0B15">
        <w:rPr>
          <w:rFonts w:asciiTheme="minorHAnsi" w:hAnsiTheme="minorHAnsi"/>
          <w:iCs/>
          <w:snapToGrid w:val="0"/>
        </w:rPr>
        <w:t xml:space="preserve">the </w:t>
      </w:r>
      <w:r w:rsidRPr="008D0B15">
        <w:rPr>
          <w:rFonts w:asciiTheme="minorHAnsi" w:hAnsiTheme="minorHAnsi"/>
          <w:iCs/>
          <w:snapToGrid w:val="0"/>
        </w:rPr>
        <w:t xml:space="preserve">SLEDAI-2K score </w:t>
      </w:r>
      <w:r w:rsidR="00B60557" w:rsidRPr="008D0B15">
        <w:rPr>
          <w:rFonts w:asciiTheme="minorHAnsi" w:hAnsiTheme="minorHAnsi"/>
          <w:iCs/>
          <w:snapToGrid w:val="0"/>
        </w:rPr>
        <w:t>may</w:t>
      </w:r>
      <w:r w:rsidR="00A245E2">
        <w:rPr>
          <w:rFonts w:asciiTheme="minorHAnsi" w:hAnsiTheme="minorHAnsi"/>
          <w:iCs/>
          <w:snapToGrid w:val="0"/>
        </w:rPr>
        <w:t xml:space="preserve"> have</w:t>
      </w:r>
      <w:r w:rsidR="00B60557" w:rsidRPr="008D0B15">
        <w:rPr>
          <w:rFonts w:asciiTheme="minorHAnsi" w:hAnsiTheme="minorHAnsi"/>
          <w:iCs/>
          <w:snapToGrid w:val="0"/>
        </w:rPr>
        <w:t xml:space="preserve"> be</w:t>
      </w:r>
      <w:r w:rsidR="00A245E2">
        <w:rPr>
          <w:rFonts w:asciiTheme="minorHAnsi" w:hAnsiTheme="minorHAnsi"/>
          <w:iCs/>
          <w:snapToGrid w:val="0"/>
        </w:rPr>
        <w:t>en</w:t>
      </w:r>
      <w:r w:rsidR="00B60557" w:rsidRPr="008D0B15">
        <w:rPr>
          <w:rFonts w:asciiTheme="minorHAnsi" w:hAnsiTheme="minorHAnsi"/>
          <w:iCs/>
          <w:snapToGrid w:val="0"/>
        </w:rPr>
        <w:t xml:space="preserve"> double counted in the utility estimates, </w:t>
      </w:r>
      <w:r w:rsidR="00310580" w:rsidRPr="008D0B15">
        <w:rPr>
          <w:rFonts w:asciiTheme="minorHAnsi" w:hAnsiTheme="minorHAnsi"/>
          <w:iCs/>
          <w:snapToGrid w:val="0"/>
        </w:rPr>
        <w:t xml:space="preserve">contributing both directly as a covariate in </w:t>
      </w:r>
      <w:r w:rsidR="006D431E" w:rsidRPr="008D0B15">
        <w:rPr>
          <w:rFonts w:asciiTheme="minorHAnsi" w:hAnsiTheme="minorHAnsi"/>
          <w:iCs/>
          <w:snapToGrid w:val="0"/>
        </w:rPr>
        <w:t xml:space="preserve">the </w:t>
      </w:r>
      <w:r w:rsidR="005F5621" w:rsidRPr="008D0B15">
        <w:rPr>
          <w:rFonts w:asciiTheme="minorHAnsi" w:hAnsiTheme="minorHAnsi"/>
          <w:iCs/>
          <w:snapToGrid w:val="0"/>
        </w:rPr>
        <w:t xml:space="preserve">utility regression </w:t>
      </w:r>
      <w:r w:rsidR="00310580" w:rsidRPr="008D0B15">
        <w:rPr>
          <w:rFonts w:asciiTheme="minorHAnsi" w:hAnsiTheme="minorHAnsi"/>
          <w:iCs/>
          <w:snapToGrid w:val="0"/>
        </w:rPr>
        <w:t xml:space="preserve">and </w:t>
      </w:r>
      <w:r w:rsidR="00B60557" w:rsidRPr="008D0B15">
        <w:rPr>
          <w:rFonts w:asciiTheme="minorHAnsi" w:hAnsiTheme="minorHAnsi"/>
          <w:iCs/>
          <w:snapToGrid w:val="0"/>
        </w:rPr>
        <w:t xml:space="preserve">indirectly </w:t>
      </w:r>
      <w:r w:rsidR="00310580" w:rsidRPr="008D0B15">
        <w:rPr>
          <w:rFonts w:asciiTheme="minorHAnsi" w:hAnsiTheme="minorHAnsi"/>
          <w:iCs/>
          <w:snapToGrid w:val="0"/>
        </w:rPr>
        <w:t xml:space="preserve">in the </w:t>
      </w:r>
      <w:r w:rsidR="00B60557" w:rsidRPr="008D0B15">
        <w:rPr>
          <w:rFonts w:asciiTheme="minorHAnsi" w:hAnsiTheme="minorHAnsi"/>
          <w:iCs/>
          <w:snapToGrid w:val="0"/>
        </w:rPr>
        <w:t>prediction of organ damage</w:t>
      </w:r>
      <w:r w:rsidR="003044C7" w:rsidRPr="008D0B15">
        <w:rPr>
          <w:rFonts w:asciiTheme="minorHAnsi" w:hAnsiTheme="minorHAnsi"/>
          <w:iCs/>
          <w:snapToGrid w:val="0"/>
        </w:rPr>
        <w:t>,</w:t>
      </w:r>
      <w:r w:rsidR="00B60557" w:rsidRPr="008D0B15">
        <w:rPr>
          <w:rFonts w:asciiTheme="minorHAnsi" w:hAnsiTheme="minorHAnsi"/>
          <w:iCs/>
          <w:snapToGrid w:val="0"/>
        </w:rPr>
        <w:t xml:space="preserve"> </w:t>
      </w:r>
      <w:r w:rsidR="00310580" w:rsidRPr="008D0B15">
        <w:rPr>
          <w:rFonts w:asciiTheme="minorHAnsi" w:hAnsiTheme="minorHAnsi"/>
          <w:iCs/>
          <w:snapToGrid w:val="0"/>
        </w:rPr>
        <w:t xml:space="preserve">and </w:t>
      </w:r>
      <w:r w:rsidR="006D431E" w:rsidRPr="008D0B15">
        <w:rPr>
          <w:rFonts w:asciiTheme="minorHAnsi" w:hAnsiTheme="minorHAnsi"/>
          <w:iCs/>
          <w:snapToGrid w:val="0"/>
        </w:rPr>
        <w:t xml:space="preserve">consequently </w:t>
      </w:r>
      <w:r w:rsidR="005F5621" w:rsidRPr="008D0B15">
        <w:rPr>
          <w:rFonts w:asciiTheme="minorHAnsi" w:hAnsiTheme="minorHAnsi"/>
          <w:iCs/>
          <w:snapToGrid w:val="0"/>
        </w:rPr>
        <w:t xml:space="preserve">organ damage associated </w:t>
      </w:r>
      <w:r w:rsidR="00310580" w:rsidRPr="008D0B15">
        <w:rPr>
          <w:rFonts w:asciiTheme="minorHAnsi" w:hAnsiTheme="minorHAnsi"/>
          <w:iCs/>
          <w:snapToGrid w:val="0"/>
        </w:rPr>
        <w:t>disutility</w:t>
      </w:r>
      <w:r w:rsidRPr="008D0B15">
        <w:rPr>
          <w:rFonts w:asciiTheme="minorHAnsi" w:hAnsiTheme="minorHAnsi"/>
          <w:iCs/>
          <w:snapToGrid w:val="0"/>
        </w:rPr>
        <w:t>.</w:t>
      </w:r>
      <w:r w:rsidR="00A245E2">
        <w:rPr>
          <w:rFonts w:asciiTheme="minorHAnsi" w:hAnsiTheme="minorHAnsi"/>
          <w:iCs/>
          <w:snapToGrid w:val="0"/>
        </w:rPr>
        <w:t xml:space="preserve"> The PBAC noted that the revised base case in the pre-PBAC response had changed the SLEDAI-2K coefficient in the utility regression to zero</w:t>
      </w:r>
      <w:r w:rsidR="00A245E2" w:rsidRPr="00A245E2">
        <w:rPr>
          <w:rFonts w:asciiTheme="minorHAnsi" w:hAnsiTheme="minorHAnsi"/>
          <w:iCs/>
          <w:snapToGrid w:val="0"/>
        </w:rPr>
        <w:t>.</w:t>
      </w:r>
    </w:p>
    <w:p w14:paraId="588CE519" w14:textId="4917CAE5" w:rsidR="000D2C16" w:rsidRPr="00603AFC" w:rsidRDefault="000D2C16" w:rsidP="000D2C16">
      <w:pPr>
        <w:numPr>
          <w:ilvl w:val="1"/>
          <w:numId w:val="1"/>
        </w:numPr>
        <w:spacing w:after="120"/>
        <w:rPr>
          <w:rFonts w:asciiTheme="minorHAnsi" w:hAnsiTheme="minorHAnsi"/>
          <w:iCs/>
          <w:snapToGrid w:val="0"/>
        </w:rPr>
      </w:pPr>
      <w:r w:rsidRPr="000D2C16">
        <w:rPr>
          <w:rFonts w:asciiTheme="minorHAnsi" w:hAnsiTheme="minorHAnsi"/>
          <w:snapToGrid w:val="0"/>
        </w:rPr>
        <w:t xml:space="preserve">The submission compared the SLEDAI-2K scores over time to the belimumab NICE submission and the ALRB, </w:t>
      </w:r>
      <w:r w:rsidRPr="00603AFC">
        <w:rPr>
          <w:rFonts w:asciiTheme="minorHAnsi" w:hAnsiTheme="minorHAnsi"/>
          <w:iCs/>
          <w:snapToGrid w:val="0"/>
        </w:rPr>
        <w:t>but it was hard to draw conclusions based on the shorter follow up, and the differences between the data sources. With adjustment for mortality, the model appeared to overestimate the average mean SLEDAI-2K for patients receiving only SOC (</w:t>
      </w:r>
      <w:r w:rsidRPr="00603AFC">
        <w:rPr>
          <w:rFonts w:asciiTheme="minorHAnsi" w:hAnsiTheme="minorHAnsi"/>
          <w:iCs/>
          <w:snapToGrid w:val="0"/>
        </w:rPr>
        <w:fldChar w:fldCharType="begin"/>
      </w:r>
      <w:r w:rsidRPr="00603AFC">
        <w:rPr>
          <w:rFonts w:asciiTheme="minorHAnsi" w:hAnsiTheme="minorHAnsi"/>
          <w:iCs/>
          <w:snapToGrid w:val="0"/>
        </w:rPr>
        <w:instrText xml:space="preserve"> REF _Ref102830645 </w:instrText>
      </w:r>
      <w:r w:rsidR="005F5621" w:rsidRPr="00603AFC">
        <w:rPr>
          <w:rFonts w:asciiTheme="minorHAnsi" w:hAnsiTheme="minorHAnsi"/>
          <w:iCs/>
          <w:snapToGrid w:val="0"/>
        </w:rPr>
        <w:instrText xml:space="preserve"> \* MERGEFORMAT </w:instrText>
      </w:r>
      <w:r w:rsidRPr="00603AFC">
        <w:rPr>
          <w:rFonts w:asciiTheme="minorHAnsi" w:hAnsiTheme="minorHAnsi"/>
          <w:iCs/>
          <w:snapToGrid w:val="0"/>
        </w:rPr>
        <w:fldChar w:fldCharType="separate"/>
      </w:r>
      <w:r w:rsidR="00942C22" w:rsidRPr="00942C22">
        <w:rPr>
          <w:rFonts w:asciiTheme="minorHAnsi" w:hAnsiTheme="minorHAnsi"/>
          <w:iCs/>
          <w:snapToGrid w:val="0"/>
        </w:rPr>
        <w:t>Figure 6</w:t>
      </w:r>
      <w:r w:rsidRPr="00603AFC">
        <w:rPr>
          <w:rFonts w:asciiTheme="minorHAnsi" w:hAnsiTheme="minorHAnsi"/>
          <w:iCs/>
          <w:snapToGrid w:val="0"/>
        </w:rPr>
        <w:fldChar w:fldCharType="end"/>
      </w:r>
      <w:r w:rsidRPr="00603AFC">
        <w:rPr>
          <w:rFonts w:asciiTheme="minorHAnsi" w:hAnsiTheme="minorHAnsi"/>
          <w:iCs/>
          <w:snapToGrid w:val="0"/>
        </w:rPr>
        <w:t>).</w:t>
      </w:r>
    </w:p>
    <w:p w14:paraId="303DD04B" w14:textId="4377CC97" w:rsidR="000D2C16" w:rsidRPr="000D2C16" w:rsidRDefault="000D2C16" w:rsidP="00820AB9">
      <w:pPr>
        <w:keepNext/>
        <w:keepLines/>
        <w:jc w:val="left"/>
        <w:rPr>
          <w:rFonts w:ascii="Arial Narrow" w:eastAsiaTheme="majorEastAsia" w:hAnsi="Arial Narrow" w:cstheme="majorBidi"/>
          <w:b/>
          <w:bCs/>
          <w:sz w:val="20"/>
        </w:rPr>
      </w:pPr>
      <w:bookmarkStart w:id="58" w:name="_Ref102830645"/>
      <w:r w:rsidRPr="000D2C16">
        <w:rPr>
          <w:rFonts w:ascii="Arial Narrow" w:eastAsiaTheme="majorEastAsia" w:hAnsi="Arial Narrow" w:cstheme="majorBidi"/>
          <w:b/>
          <w:bCs/>
          <w:sz w:val="20"/>
        </w:rPr>
        <w:lastRenderedPageBreak/>
        <w:t xml:space="preserve">Figure </w:t>
      </w:r>
      <w:r w:rsidRPr="000D2C16">
        <w:rPr>
          <w:rFonts w:ascii="Arial Narrow" w:eastAsiaTheme="majorEastAsia" w:hAnsi="Arial Narrow" w:cstheme="majorBidi"/>
          <w:b/>
          <w:bCs/>
          <w:sz w:val="20"/>
        </w:rPr>
        <w:fldChar w:fldCharType="begin"/>
      </w:r>
      <w:r w:rsidRPr="000D2C16">
        <w:rPr>
          <w:rFonts w:ascii="Arial Narrow" w:eastAsiaTheme="majorEastAsia" w:hAnsi="Arial Narrow" w:cstheme="majorBidi"/>
          <w:b/>
          <w:bCs/>
          <w:sz w:val="20"/>
        </w:rPr>
        <w:instrText xml:space="preserve"> SEQ Figure \* ARABIC </w:instrText>
      </w:r>
      <w:r w:rsidRPr="000D2C16">
        <w:rPr>
          <w:rFonts w:ascii="Arial Narrow" w:eastAsiaTheme="majorEastAsia" w:hAnsi="Arial Narrow" w:cstheme="majorBidi"/>
          <w:b/>
          <w:bCs/>
          <w:sz w:val="20"/>
        </w:rPr>
        <w:fldChar w:fldCharType="separate"/>
      </w:r>
      <w:r w:rsidR="00942C22">
        <w:rPr>
          <w:rFonts w:ascii="Arial Narrow" w:eastAsiaTheme="majorEastAsia" w:hAnsi="Arial Narrow" w:cstheme="majorBidi"/>
          <w:b/>
          <w:bCs/>
          <w:noProof/>
          <w:sz w:val="20"/>
        </w:rPr>
        <w:t>6</w:t>
      </w:r>
      <w:r w:rsidRPr="000D2C16">
        <w:rPr>
          <w:rFonts w:ascii="Arial Narrow" w:eastAsiaTheme="majorEastAsia" w:hAnsi="Arial Narrow" w:cstheme="majorBidi"/>
          <w:b/>
          <w:bCs/>
          <w:noProof/>
          <w:sz w:val="20"/>
        </w:rPr>
        <w:fldChar w:fldCharType="end"/>
      </w:r>
      <w:bookmarkEnd w:id="58"/>
      <w:r w:rsidRPr="000D2C16">
        <w:rPr>
          <w:rFonts w:ascii="Arial Narrow" w:eastAsiaTheme="majorEastAsia" w:hAnsi="Arial Narrow" w:cstheme="majorBidi"/>
          <w:b/>
          <w:bCs/>
          <w:sz w:val="20"/>
        </w:rPr>
        <w:t xml:space="preserve">: Modelled SLEDAI-2K score compared to ALRB data, adjusted for mortality </w:t>
      </w:r>
    </w:p>
    <w:p w14:paraId="4E6C896A" w14:textId="77777777" w:rsidR="000D2C16" w:rsidRPr="000D2C16" w:rsidRDefault="000D2C16" w:rsidP="00820AB9">
      <w:pPr>
        <w:keepNext/>
        <w:keepLines/>
        <w:spacing w:after="120"/>
        <w:contextualSpacing/>
        <w:rPr>
          <w:rFonts w:ascii="Arial Narrow" w:hAnsi="Arial Narrow"/>
          <w:snapToGrid w:val="0"/>
          <w:sz w:val="18"/>
          <w:szCs w:val="22"/>
        </w:rPr>
      </w:pPr>
      <w:r w:rsidRPr="000D2C16">
        <w:rPr>
          <w:rFonts w:ascii="Arial Narrow" w:hAnsi="Arial Narrow"/>
          <w:noProof/>
          <w:snapToGrid w:val="0"/>
          <w:sz w:val="18"/>
          <w:szCs w:val="22"/>
        </w:rPr>
        <w:drawing>
          <wp:inline distT="0" distB="0" distL="0" distR="0" wp14:anchorId="1C1022D5" wp14:editId="3214F52F">
            <wp:extent cx="5758180" cy="310515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475" cy="3106927"/>
                    </a:xfrm>
                    <a:prstGeom prst="rect">
                      <a:avLst/>
                    </a:prstGeom>
                    <a:noFill/>
                    <a:ln>
                      <a:noFill/>
                    </a:ln>
                  </pic:spPr>
                </pic:pic>
              </a:graphicData>
            </a:graphic>
          </wp:inline>
        </w:drawing>
      </w:r>
    </w:p>
    <w:p w14:paraId="34E07BE1" w14:textId="4823DF4D" w:rsidR="000D2C16" w:rsidRDefault="000D2C16" w:rsidP="00820AB9">
      <w:pPr>
        <w:keepNext/>
        <w:keepLines/>
        <w:spacing w:after="120"/>
        <w:contextualSpacing/>
        <w:rPr>
          <w:rFonts w:ascii="Arial Narrow" w:hAnsi="Arial Narrow"/>
          <w:snapToGrid w:val="0"/>
          <w:sz w:val="18"/>
          <w:szCs w:val="22"/>
        </w:rPr>
      </w:pPr>
      <w:r w:rsidRPr="000D2C16">
        <w:rPr>
          <w:rFonts w:ascii="Arial Narrow" w:hAnsi="Arial Narrow"/>
          <w:snapToGrid w:val="0"/>
          <w:sz w:val="18"/>
          <w:szCs w:val="22"/>
        </w:rPr>
        <w:t xml:space="preserve">Source: </w:t>
      </w:r>
      <w:r w:rsidRPr="008545F3">
        <w:rPr>
          <w:rFonts w:ascii="Arial Narrow" w:hAnsi="Arial Narrow"/>
          <w:iCs/>
          <w:snapToGrid w:val="0"/>
          <w:sz w:val="18"/>
          <w:szCs w:val="22"/>
        </w:rPr>
        <w:t>Compiled from Sheet ‘Summary’ of the Excel workbook ‘CE model_anifrolumab_SLE_March2022_circ.xlsx’ SLEDAI-2K score adjusted for mortality.</w:t>
      </w:r>
      <w:r w:rsidRPr="000D2C16">
        <w:rPr>
          <w:rFonts w:ascii="Arial Narrow" w:hAnsi="Arial Narrow"/>
          <w:i/>
          <w:snapToGrid w:val="0"/>
          <w:sz w:val="18"/>
          <w:szCs w:val="22"/>
        </w:rPr>
        <w:t xml:space="preserve"> </w:t>
      </w:r>
      <w:r w:rsidRPr="000D2C16">
        <w:rPr>
          <w:rFonts w:ascii="Arial Narrow" w:hAnsi="Arial Narrow"/>
          <w:snapToGrid w:val="0"/>
          <w:sz w:val="18"/>
          <w:szCs w:val="22"/>
        </w:rPr>
        <w:t>ALRB = Australian Lupus Registry and Biobank; HDAS = high disease activity score; SOC = standard of care</w:t>
      </w:r>
    </w:p>
    <w:p w14:paraId="233A65EA" w14:textId="77777777" w:rsidR="005F5621" w:rsidRPr="000D2C16" w:rsidRDefault="005F5621" w:rsidP="000D2C16">
      <w:pPr>
        <w:spacing w:after="120"/>
        <w:contextualSpacing/>
        <w:rPr>
          <w:rFonts w:ascii="Arial Narrow" w:hAnsi="Arial Narrow"/>
          <w:snapToGrid w:val="0"/>
          <w:sz w:val="18"/>
          <w:szCs w:val="22"/>
        </w:rPr>
      </w:pPr>
    </w:p>
    <w:p w14:paraId="22FD2E72" w14:textId="10465D8D" w:rsidR="000D2C16" w:rsidRPr="00820AB9" w:rsidRDefault="000D2C16" w:rsidP="000D2C16">
      <w:pPr>
        <w:numPr>
          <w:ilvl w:val="1"/>
          <w:numId w:val="1"/>
        </w:numPr>
        <w:spacing w:after="120"/>
        <w:rPr>
          <w:rFonts w:asciiTheme="minorHAnsi" w:hAnsiTheme="minorHAnsi"/>
          <w:snapToGrid w:val="0"/>
        </w:rPr>
      </w:pPr>
      <w:r w:rsidRPr="000D2C16">
        <w:rPr>
          <w:rFonts w:asciiTheme="minorHAnsi" w:hAnsiTheme="minorHAnsi"/>
          <w:snapToGrid w:val="0"/>
        </w:rPr>
        <w:t xml:space="preserve"> The key drivers of the model are </w:t>
      </w:r>
      <w:r w:rsidRPr="00820AB9">
        <w:rPr>
          <w:rFonts w:asciiTheme="minorHAnsi" w:hAnsiTheme="minorHAnsi"/>
          <w:snapToGrid w:val="0"/>
        </w:rPr>
        <w:t>summarised in</w:t>
      </w:r>
      <w:r w:rsidR="00820AB9" w:rsidRPr="00820AB9">
        <w:rPr>
          <w:rFonts w:asciiTheme="minorHAnsi" w:hAnsiTheme="minorHAnsi"/>
          <w:snapToGrid w:val="0"/>
        </w:rPr>
        <w:t xml:space="preserve"> </w:t>
      </w:r>
      <w:r w:rsidR="00820AB9" w:rsidRPr="00820AB9">
        <w:rPr>
          <w:rFonts w:asciiTheme="minorHAnsi" w:hAnsiTheme="minorHAnsi"/>
          <w:snapToGrid w:val="0"/>
        </w:rPr>
        <w:fldChar w:fldCharType="begin"/>
      </w:r>
      <w:r w:rsidR="00820AB9" w:rsidRPr="00820AB9">
        <w:rPr>
          <w:rFonts w:asciiTheme="minorHAnsi" w:hAnsiTheme="minorHAnsi"/>
          <w:snapToGrid w:val="0"/>
        </w:rPr>
        <w:instrText xml:space="preserve"> REF _Ref103773774 \h  \* MERGEFORMAT </w:instrText>
      </w:r>
      <w:r w:rsidR="00820AB9" w:rsidRPr="00820AB9">
        <w:rPr>
          <w:rFonts w:asciiTheme="minorHAnsi" w:hAnsiTheme="minorHAnsi"/>
          <w:snapToGrid w:val="0"/>
        </w:rPr>
      </w:r>
      <w:r w:rsidR="00820AB9" w:rsidRPr="00820AB9">
        <w:rPr>
          <w:rFonts w:asciiTheme="minorHAnsi" w:hAnsiTheme="minorHAnsi"/>
          <w:snapToGrid w:val="0"/>
        </w:rPr>
        <w:fldChar w:fldCharType="separate"/>
      </w:r>
      <w:r w:rsidR="00942C22" w:rsidRPr="00942C22">
        <w:rPr>
          <w:rFonts w:asciiTheme="minorHAnsi" w:eastAsiaTheme="majorEastAsia" w:hAnsiTheme="minorHAnsi" w:cstheme="majorBidi"/>
        </w:rPr>
        <w:t xml:space="preserve">Table </w:t>
      </w:r>
      <w:r w:rsidR="00942C22" w:rsidRPr="00942C22">
        <w:rPr>
          <w:rFonts w:asciiTheme="minorHAnsi" w:eastAsiaTheme="majorEastAsia" w:hAnsiTheme="minorHAnsi" w:cstheme="majorBidi"/>
          <w:noProof/>
        </w:rPr>
        <w:t>8</w:t>
      </w:r>
      <w:r w:rsidR="00820AB9" w:rsidRPr="00820AB9">
        <w:rPr>
          <w:rFonts w:asciiTheme="minorHAnsi" w:hAnsiTheme="minorHAnsi"/>
          <w:snapToGrid w:val="0"/>
        </w:rPr>
        <w:fldChar w:fldCharType="end"/>
      </w:r>
      <w:r w:rsidRPr="00820AB9">
        <w:rPr>
          <w:rFonts w:asciiTheme="minorHAnsi" w:hAnsiTheme="minorHAnsi"/>
          <w:snapToGrid w:val="0"/>
        </w:rPr>
        <w:t>.</w:t>
      </w:r>
    </w:p>
    <w:p w14:paraId="65EB9EBB" w14:textId="25B54029" w:rsidR="000D2C16" w:rsidRPr="000D2C16" w:rsidRDefault="000D2C16" w:rsidP="000D2C16">
      <w:pPr>
        <w:keepNext/>
        <w:jc w:val="left"/>
        <w:rPr>
          <w:rFonts w:ascii="Arial Narrow" w:eastAsiaTheme="majorEastAsia" w:hAnsi="Arial Narrow" w:cstheme="majorBidi"/>
          <w:b/>
          <w:bCs/>
          <w:sz w:val="20"/>
        </w:rPr>
      </w:pPr>
      <w:bookmarkStart w:id="59" w:name="_Ref103773774"/>
      <w:r w:rsidRPr="000D2C16">
        <w:rPr>
          <w:rFonts w:ascii="Arial Narrow" w:eastAsiaTheme="majorEastAsia" w:hAnsi="Arial Narrow" w:cstheme="majorBidi"/>
          <w:b/>
          <w:bCs/>
          <w:sz w:val="20"/>
        </w:rPr>
        <w:t xml:space="preserve">Table </w:t>
      </w:r>
      <w:r w:rsidRPr="000D2C16">
        <w:rPr>
          <w:rFonts w:ascii="Arial Narrow" w:eastAsiaTheme="majorEastAsia" w:hAnsi="Arial Narrow" w:cstheme="majorBidi"/>
          <w:b/>
          <w:bCs/>
          <w:sz w:val="20"/>
        </w:rPr>
        <w:fldChar w:fldCharType="begin"/>
      </w:r>
      <w:r w:rsidRPr="000D2C16">
        <w:rPr>
          <w:rFonts w:ascii="Arial Narrow" w:eastAsiaTheme="majorEastAsia" w:hAnsi="Arial Narrow" w:cstheme="majorBidi"/>
          <w:b/>
          <w:bCs/>
          <w:sz w:val="20"/>
        </w:rPr>
        <w:instrText xml:space="preserve"> SEQ Table \* ARABIC </w:instrText>
      </w:r>
      <w:r w:rsidRPr="000D2C16">
        <w:rPr>
          <w:rFonts w:ascii="Arial Narrow" w:eastAsiaTheme="majorEastAsia" w:hAnsi="Arial Narrow" w:cstheme="majorBidi"/>
          <w:b/>
          <w:bCs/>
          <w:sz w:val="20"/>
        </w:rPr>
        <w:fldChar w:fldCharType="separate"/>
      </w:r>
      <w:r w:rsidR="00942C22">
        <w:rPr>
          <w:rFonts w:ascii="Arial Narrow" w:eastAsiaTheme="majorEastAsia" w:hAnsi="Arial Narrow" w:cstheme="majorBidi"/>
          <w:b/>
          <w:bCs/>
          <w:noProof/>
          <w:sz w:val="20"/>
        </w:rPr>
        <w:t>8</w:t>
      </w:r>
      <w:r w:rsidRPr="000D2C16">
        <w:rPr>
          <w:rFonts w:ascii="Arial Narrow" w:eastAsiaTheme="majorEastAsia" w:hAnsi="Arial Narrow" w:cstheme="majorBidi"/>
          <w:b/>
          <w:bCs/>
          <w:noProof/>
          <w:sz w:val="20"/>
        </w:rPr>
        <w:fldChar w:fldCharType="end"/>
      </w:r>
      <w:bookmarkEnd w:id="59"/>
      <w:r w:rsidRPr="000D2C16">
        <w:rPr>
          <w:rFonts w:ascii="Arial Narrow" w:eastAsiaTheme="majorEastAsia" w:hAnsi="Arial Narrow" w:cstheme="majorBidi"/>
          <w:b/>
          <w:bCs/>
          <w:sz w:val="20"/>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2"/>
        <w:gridCol w:w="3401"/>
        <w:gridCol w:w="4344"/>
      </w:tblGrid>
      <w:tr w:rsidR="000D2C16" w:rsidRPr="00603AFC" w14:paraId="7E4FD130" w14:textId="77777777" w:rsidTr="006559CE">
        <w:trPr>
          <w:cantSplit/>
          <w:tblHeader/>
        </w:trPr>
        <w:tc>
          <w:tcPr>
            <w:tcW w:w="705" w:type="pct"/>
            <w:shd w:val="clear" w:color="auto" w:fill="auto"/>
            <w:vAlign w:val="center"/>
          </w:tcPr>
          <w:p w14:paraId="1B356B8A" w14:textId="77777777" w:rsidR="000D2C16" w:rsidRPr="00603AFC" w:rsidRDefault="000D2C16" w:rsidP="009735C9">
            <w:pPr>
              <w:jc w:val="left"/>
              <w:rPr>
                <w:rFonts w:ascii="Arial Narrow" w:eastAsiaTheme="majorEastAsia" w:hAnsi="Arial Narrow" w:cs="Times New Roman"/>
                <w:b/>
                <w:sz w:val="20"/>
              </w:rPr>
            </w:pPr>
            <w:r w:rsidRPr="00603AFC">
              <w:rPr>
                <w:rFonts w:ascii="Arial Narrow" w:eastAsiaTheme="majorEastAsia" w:hAnsi="Arial Narrow" w:cs="Times New Roman"/>
                <w:b/>
                <w:sz w:val="20"/>
              </w:rPr>
              <w:t>Description</w:t>
            </w:r>
          </w:p>
        </w:tc>
        <w:tc>
          <w:tcPr>
            <w:tcW w:w="1886" w:type="pct"/>
            <w:shd w:val="clear" w:color="auto" w:fill="auto"/>
            <w:vAlign w:val="center"/>
          </w:tcPr>
          <w:p w14:paraId="6B6B4D6B" w14:textId="708100FC" w:rsidR="000D2C16" w:rsidRPr="00603AFC" w:rsidRDefault="000D2C16" w:rsidP="009735C9">
            <w:pPr>
              <w:jc w:val="center"/>
              <w:rPr>
                <w:rFonts w:ascii="Arial Narrow" w:eastAsiaTheme="majorEastAsia" w:hAnsi="Arial Narrow" w:cs="Times New Roman"/>
                <w:b/>
                <w:sz w:val="20"/>
              </w:rPr>
            </w:pPr>
            <w:r w:rsidRPr="00603AFC">
              <w:rPr>
                <w:rFonts w:ascii="Arial Narrow" w:eastAsiaTheme="majorEastAsia" w:hAnsi="Arial Narrow" w:cs="Times New Roman"/>
                <w:b/>
                <w:sz w:val="20"/>
              </w:rPr>
              <w:t>Method/Value</w:t>
            </w:r>
            <w:r w:rsidR="00AE715E">
              <w:rPr>
                <w:rFonts w:ascii="Arial Narrow" w:eastAsiaTheme="majorEastAsia" w:hAnsi="Arial Narrow" w:cs="Times New Roman"/>
                <w:b/>
                <w:sz w:val="20"/>
              </w:rPr>
              <w:t xml:space="preserve"> in submission base case</w:t>
            </w:r>
          </w:p>
        </w:tc>
        <w:tc>
          <w:tcPr>
            <w:tcW w:w="2409" w:type="pct"/>
            <w:shd w:val="clear" w:color="auto" w:fill="auto"/>
            <w:vAlign w:val="center"/>
          </w:tcPr>
          <w:p w14:paraId="0E85FC3B" w14:textId="77777777" w:rsidR="000D2C16" w:rsidRPr="00603AFC" w:rsidRDefault="000D2C16" w:rsidP="009735C9">
            <w:pPr>
              <w:jc w:val="center"/>
              <w:rPr>
                <w:rFonts w:ascii="Arial Narrow" w:eastAsiaTheme="majorEastAsia" w:hAnsi="Arial Narrow" w:cs="Times New Roman"/>
                <w:b/>
                <w:sz w:val="20"/>
              </w:rPr>
            </w:pPr>
            <w:r w:rsidRPr="00603AFC">
              <w:rPr>
                <w:rFonts w:ascii="Arial Narrow" w:eastAsiaTheme="majorEastAsia" w:hAnsi="Arial Narrow" w:cs="Times New Roman"/>
                <w:b/>
                <w:sz w:val="20"/>
              </w:rPr>
              <w:t>Impact</w:t>
            </w:r>
          </w:p>
          <w:p w14:paraId="452A2EBD" w14:textId="11B13B9C" w:rsidR="000D2C16" w:rsidRPr="00603AFC" w:rsidRDefault="00AE715E" w:rsidP="009735C9">
            <w:pPr>
              <w:jc w:val="center"/>
              <w:rPr>
                <w:rFonts w:ascii="Arial Narrow" w:eastAsiaTheme="majorEastAsia" w:hAnsi="Arial Narrow" w:cs="Times New Roman"/>
                <w:b/>
                <w:sz w:val="20"/>
              </w:rPr>
            </w:pPr>
            <w:r>
              <w:rPr>
                <w:rFonts w:ascii="Arial Narrow" w:eastAsiaTheme="majorEastAsia" w:hAnsi="Arial Narrow"/>
                <w:b/>
                <w:sz w:val="20"/>
                <w:szCs w:val="20"/>
              </w:rPr>
              <w:t>Submission b</w:t>
            </w:r>
            <w:r w:rsidR="000D2C16" w:rsidRPr="00603AFC">
              <w:rPr>
                <w:rFonts w:ascii="Arial Narrow" w:eastAsiaTheme="majorEastAsia" w:hAnsi="Arial Narrow"/>
                <w:b/>
                <w:sz w:val="20"/>
                <w:szCs w:val="20"/>
              </w:rPr>
              <w:t>ase case: $</w:t>
            </w:r>
            <w:r w:rsidR="00164331" w:rsidRPr="005A67B5">
              <w:rPr>
                <w:rFonts w:ascii="Arial Narrow" w:eastAsiaTheme="majorEastAsia" w:hAnsi="Arial Narrow" w:hint="eastAsia"/>
                <w:b/>
                <w:color w:val="000000"/>
                <w:w w:val="15"/>
                <w:sz w:val="20"/>
                <w:szCs w:val="20"/>
                <w:shd w:val="solid" w:color="000000" w:fill="000000"/>
                <w:fitText w:val="12" w:id="-1436283135"/>
                <w14:textFill>
                  <w14:solidFill>
                    <w14:srgbClr w14:val="000000">
                      <w14:alpha w14:val="100000"/>
                    </w14:srgbClr>
                  </w14:solidFill>
                </w14:textFill>
              </w:rPr>
              <w:t xml:space="preserve">　</w:t>
            </w:r>
            <w:r w:rsidR="00164331" w:rsidRPr="005A67B5">
              <w:rPr>
                <w:rFonts w:ascii="Arial Narrow" w:eastAsiaTheme="majorEastAsia" w:hAnsi="Arial Narrow"/>
                <w:b/>
                <w:color w:val="000000"/>
                <w:w w:val="15"/>
                <w:sz w:val="20"/>
                <w:szCs w:val="20"/>
                <w:shd w:val="solid" w:color="000000" w:fill="000000"/>
                <w:fitText w:val="12" w:id="-1436283135"/>
                <w14:textFill>
                  <w14:solidFill>
                    <w14:srgbClr w14:val="000000">
                      <w14:alpha w14:val="100000"/>
                    </w14:srgbClr>
                  </w14:solidFill>
                </w14:textFill>
              </w:rPr>
              <w:t>|</w:t>
            </w:r>
            <w:r w:rsidR="00164331" w:rsidRPr="005A67B5">
              <w:rPr>
                <w:rFonts w:ascii="Arial Narrow" w:eastAsiaTheme="majorEastAsia" w:hAnsi="Arial Narrow" w:hint="eastAsia"/>
                <w:b/>
                <w:color w:val="000000"/>
                <w:spacing w:val="-54"/>
                <w:w w:val="15"/>
                <w:sz w:val="20"/>
                <w:szCs w:val="20"/>
                <w:shd w:val="solid" w:color="000000" w:fill="000000"/>
                <w:fitText w:val="12" w:id="-1436283135"/>
                <w14:textFill>
                  <w14:solidFill>
                    <w14:srgbClr w14:val="000000">
                      <w14:alpha w14:val="100000"/>
                    </w14:srgbClr>
                  </w14:solidFill>
                </w14:textFill>
              </w:rPr>
              <w:t xml:space="preserve">　</w:t>
            </w:r>
            <w:r w:rsidR="003B59ED" w:rsidRPr="003B59ED">
              <w:rPr>
                <w:rFonts w:ascii="Arial Narrow" w:eastAsiaTheme="majorEastAsia" w:hAnsi="Arial Narrow"/>
                <w:b/>
                <w:sz w:val="20"/>
                <w:szCs w:val="20"/>
                <w:vertAlign w:val="superscript"/>
              </w:rPr>
              <w:t>1</w:t>
            </w:r>
            <w:r w:rsidR="000D2C16" w:rsidRPr="00603AFC">
              <w:rPr>
                <w:rFonts w:ascii="Arial Narrow" w:eastAsiaTheme="majorEastAsia" w:hAnsi="Arial Narrow"/>
                <w:b/>
                <w:sz w:val="20"/>
                <w:szCs w:val="20"/>
              </w:rPr>
              <w:t>/QALY gained</w:t>
            </w:r>
            <w:r w:rsidR="000D2C16" w:rsidRPr="00603AFC">
              <w:rPr>
                <w:rFonts w:ascii="Arial Narrow" w:eastAsiaTheme="majorEastAsia" w:hAnsi="Arial Narrow"/>
                <w:b/>
                <w:color w:val="3366FF"/>
                <w:sz w:val="20"/>
                <w:szCs w:val="20"/>
              </w:rPr>
              <w:t>.</w:t>
            </w:r>
          </w:p>
        </w:tc>
      </w:tr>
      <w:tr w:rsidR="000D2C16" w:rsidRPr="00603AFC" w14:paraId="66D1CD00" w14:textId="77777777" w:rsidTr="006559CE">
        <w:trPr>
          <w:cantSplit/>
        </w:trPr>
        <w:tc>
          <w:tcPr>
            <w:tcW w:w="705" w:type="pct"/>
            <w:shd w:val="clear" w:color="auto" w:fill="auto"/>
            <w:vAlign w:val="center"/>
          </w:tcPr>
          <w:p w14:paraId="5719180C" w14:textId="77777777"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Time horizon</w:t>
            </w:r>
          </w:p>
        </w:tc>
        <w:tc>
          <w:tcPr>
            <w:tcW w:w="1886" w:type="pct"/>
            <w:shd w:val="clear" w:color="auto" w:fill="auto"/>
            <w:vAlign w:val="center"/>
          </w:tcPr>
          <w:p w14:paraId="78BC56B4" w14:textId="50FA6C66"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30 year</w:t>
            </w:r>
            <w:r w:rsidR="009E2EEF">
              <w:rPr>
                <w:rFonts w:ascii="Arial Narrow" w:eastAsiaTheme="majorEastAsia" w:hAnsi="Arial Narrow" w:cstheme="majorBidi"/>
                <w:bCs/>
                <w:sz w:val="20"/>
              </w:rPr>
              <w:t>s</w:t>
            </w:r>
            <w:r w:rsidRPr="00603AFC">
              <w:rPr>
                <w:rFonts w:ascii="Arial Narrow" w:eastAsiaTheme="majorEastAsia" w:hAnsi="Arial Narrow" w:cstheme="majorBidi"/>
                <w:bCs/>
                <w:sz w:val="20"/>
              </w:rPr>
              <w:t xml:space="preserve"> in base case.</w:t>
            </w:r>
          </w:p>
        </w:tc>
        <w:tc>
          <w:tcPr>
            <w:tcW w:w="2409" w:type="pct"/>
            <w:shd w:val="clear" w:color="auto" w:fill="auto"/>
            <w:vAlign w:val="center"/>
          </w:tcPr>
          <w:p w14:paraId="06753F05" w14:textId="77777777" w:rsidR="00884D0D" w:rsidRPr="00884D0D" w:rsidRDefault="000D2C16" w:rsidP="006107F0">
            <w:pPr>
              <w:pStyle w:val="ListParagraph"/>
              <w:numPr>
                <w:ilvl w:val="0"/>
                <w:numId w:val="29"/>
              </w:numPr>
              <w:ind w:left="110" w:hanging="110"/>
              <w:jc w:val="left"/>
              <w:rPr>
                <w:rFonts w:ascii="Arial Narrow" w:eastAsiaTheme="majorEastAsia" w:hAnsi="Arial Narrow" w:cstheme="majorBidi"/>
                <w:bCs/>
                <w:sz w:val="20"/>
              </w:rPr>
            </w:pPr>
            <w:r w:rsidRPr="00884D0D">
              <w:rPr>
                <w:rFonts w:ascii="Arial Narrow" w:eastAsiaTheme="majorEastAsia" w:hAnsi="Arial Narrow" w:cstheme="majorBidi"/>
                <w:bCs/>
                <w:sz w:val="20"/>
              </w:rPr>
              <w:t xml:space="preserve">High, favoured </w:t>
            </w:r>
            <w:proofErr w:type="spellStart"/>
            <w:r w:rsidRPr="00884D0D">
              <w:rPr>
                <w:rFonts w:ascii="Arial Narrow" w:eastAsiaTheme="majorEastAsia" w:hAnsi="Arial Narrow" w:cstheme="majorBidi"/>
                <w:bCs/>
                <w:sz w:val="20"/>
              </w:rPr>
              <w:t>anifrolumab</w:t>
            </w:r>
            <w:proofErr w:type="spellEnd"/>
            <w:r w:rsidRPr="00884D0D">
              <w:rPr>
                <w:rFonts w:ascii="Arial Narrow" w:eastAsiaTheme="majorEastAsia" w:hAnsi="Arial Narrow" w:cstheme="majorBidi"/>
                <w:bCs/>
                <w:sz w:val="20"/>
              </w:rPr>
              <w:t xml:space="preserve">. </w:t>
            </w:r>
          </w:p>
          <w:p w14:paraId="6C572921" w14:textId="35B2A8B1"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 xml:space="preserve">If </w:t>
            </w:r>
            <w:r w:rsidR="009735C9">
              <w:rPr>
                <w:rFonts w:ascii="Arial Narrow" w:eastAsiaTheme="majorEastAsia" w:hAnsi="Arial Narrow" w:cstheme="majorBidi"/>
                <w:bCs/>
                <w:sz w:val="20"/>
              </w:rPr>
              <w:t xml:space="preserve">the </w:t>
            </w:r>
            <w:r w:rsidRPr="00603AFC">
              <w:rPr>
                <w:rFonts w:ascii="Arial Narrow" w:eastAsiaTheme="majorEastAsia" w:hAnsi="Arial Narrow" w:cstheme="majorBidi"/>
                <w:bCs/>
                <w:sz w:val="20"/>
              </w:rPr>
              <w:t xml:space="preserve">time horizon was reduced to 20 years, </w:t>
            </w:r>
            <w:r w:rsidR="009735C9">
              <w:rPr>
                <w:rFonts w:ascii="Arial Narrow" w:eastAsiaTheme="majorEastAsia" w:hAnsi="Arial Narrow" w:cstheme="majorBidi"/>
                <w:bCs/>
                <w:sz w:val="20"/>
              </w:rPr>
              <w:t xml:space="preserve">the </w:t>
            </w:r>
            <w:r w:rsidRPr="00603AFC">
              <w:rPr>
                <w:rFonts w:ascii="Arial Narrow" w:eastAsiaTheme="majorEastAsia" w:hAnsi="Arial Narrow" w:cstheme="majorBidi"/>
                <w:bCs/>
                <w:sz w:val="20"/>
              </w:rPr>
              <w:t>ICER increased to $</w:t>
            </w:r>
            <w:r w:rsidR="00164331" w:rsidRPr="00164331">
              <w:rPr>
                <w:rFonts w:ascii="Arial Narrow" w:eastAsiaTheme="majorEastAsia" w:hAnsi="Arial Narrow" w:cstheme="majorBidi"/>
                <w:bCs/>
                <w:color w:val="000000"/>
                <w:spacing w:val="50"/>
                <w:sz w:val="20"/>
                <w:shd w:val="solid" w:color="000000" w:fill="000000"/>
                <w:fitText w:val="325" w:id="-1436283134"/>
                <w14:textFill>
                  <w14:solidFill>
                    <w14:srgbClr w14:val="000000">
                      <w14:alpha w14:val="100000"/>
                    </w14:srgbClr>
                  </w14:solidFill>
                </w14:textFill>
              </w:rPr>
              <w:t>|||</w:t>
            </w:r>
            <w:r w:rsidR="00164331" w:rsidRPr="00164331">
              <w:rPr>
                <w:rFonts w:ascii="Arial Narrow" w:eastAsiaTheme="majorEastAsia" w:hAnsi="Arial Narrow" w:cstheme="majorBidi"/>
                <w:bCs/>
                <w:color w:val="000000"/>
                <w:spacing w:val="13"/>
                <w:sz w:val="20"/>
                <w:shd w:val="solid" w:color="000000" w:fill="000000"/>
                <w:fitText w:val="325" w:id="-1436283134"/>
                <w14:textFill>
                  <w14:solidFill>
                    <w14:srgbClr w14:val="000000">
                      <w14:alpha w14:val="100000"/>
                    </w14:srgbClr>
                  </w14:solidFill>
                </w14:textFill>
              </w:rPr>
              <w:t>|</w:t>
            </w:r>
            <w:r w:rsidR="003B59ED" w:rsidRPr="003B59ED">
              <w:rPr>
                <w:rFonts w:ascii="Arial Narrow" w:eastAsiaTheme="majorEastAsia" w:hAnsi="Arial Narrow" w:cstheme="majorBidi"/>
                <w:bCs/>
                <w:sz w:val="20"/>
                <w:vertAlign w:val="superscript"/>
              </w:rPr>
              <w:t>2</w:t>
            </w:r>
            <w:r w:rsidRPr="00603AFC">
              <w:rPr>
                <w:rFonts w:ascii="Arial Narrow" w:eastAsiaTheme="majorEastAsia" w:hAnsi="Arial Narrow" w:cstheme="majorBidi"/>
                <w:bCs/>
                <w:sz w:val="20"/>
              </w:rPr>
              <w:t>/QALY gained (incremental costs similar to 30 years, but incremental QALYs reduced from 0.844 in base case to 0.609).</w:t>
            </w:r>
          </w:p>
        </w:tc>
      </w:tr>
      <w:tr w:rsidR="000D2C16" w:rsidRPr="00603AFC" w14:paraId="13B39AB9" w14:textId="77777777" w:rsidTr="006559CE">
        <w:trPr>
          <w:cantSplit/>
        </w:trPr>
        <w:tc>
          <w:tcPr>
            <w:tcW w:w="705" w:type="pct"/>
            <w:shd w:val="clear" w:color="auto" w:fill="auto"/>
            <w:vAlign w:val="center"/>
          </w:tcPr>
          <w:p w14:paraId="19B25623" w14:textId="77777777"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Flare duration</w:t>
            </w:r>
          </w:p>
        </w:tc>
        <w:tc>
          <w:tcPr>
            <w:tcW w:w="1886" w:type="pct"/>
            <w:shd w:val="clear" w:color="auto" w:fill="auto"/>
            <w:vAlign w:val="center"/>
          </w:tcPr>
          <w:p w14:paraId="699F4E16" w14:textId="77777777"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 xml:space="preserve">3.9 months for SOC arm and </w:t>
            </w:r>
            <w:proofErr w:type="spellStart"/>
            <w:r w:rsidRPr="00603AFC">
              <w:rPr>
                <w:rFonts w:ascii="Arial Narrow" w:eastAsiaTheme="majorEastAsia" w:hAnsi="Arial Narrow" w:cstheme="majorBidi"/>
                <w:bCs/>
                <w:sz w:val="20"/>
              </w:rPr>
              <w:t>anifrolumab</w:t>
            </w:r>
            <w:proofErr w:type="spellEnd"/>
            <w:r w:rsidRPr="00603AFC">
              <w:rPr>
                <w:rFonts w:ascii="Arial Narrow" w:eastAsiaTheme="majorEastAsia" w:hAnsi="Arial Narrow" w:cstheme="majorBidi"/>
                <w:bCs/>
                <w:sz w:val="20"/>
              </w:rPr>
              <w:t xml:space="preserve"> non-responders. HR 1.76 applied for </w:t>
            </w:r>
            <w:proofErr w:type="spellStart"/>
            <w:r w:rsidRPr="00603AFC">
              <w:rPr>
                <w:rFonts w:ascii="Arial Narrow" w:eastAsiaTheme="majorEastAsia" w:hAnsi="Arial Narrow" w:cstheme="majorBidi"/>
                <w:bCs/>
                <w:sz w:val="20"/>
              </w:rPr>
              <w:t>anifrolumab</w:t>
            </w:r>
            <w:proofErr w:type="spellEnd"/>
            <w:r w:rsidRPr="00603AFC">
              <w:rPr>
                <w:rFonts w:ascii="Arial Narrow" w:eastAsiaTheme="majorEastAsia" w:hAnsi="Arial Narrow" w:cstheme="majorBidi"/>
                <w:bCs/>
                <w:sz w:val="20"/>
              </w:rPr>
              <w:t xml:space="preserve"> responders.</w:t>
            </w:r>
          </w:p>
        </w:tc>
        <w:tc>
          <w:tcPr>
            <w:tcW w:w="2409" w:type="pct"/>
            <w:shd w:val="clear" w:color="auto" w:fill="auto"/>
            <w:vAlign w:val="center"/>
          </w:tcPr>
          <w:p w14:paraId="02D1720B" w14:textId="77777777" w:rsidR="00884D0D" w:rsidRPr="00884D0D" w:rsidRDefault="000D2C16" w:rsidP="006107F0">
            <w:pPr>
              <w:pStyle w:val="ListParagraph"/>
              <w:numPr>
                <w:ilvl w:val="0"/>
                <w:numId w:val="29"/>
              </w:numPr>
              <w:ind w:left="110" w:hanging="110"/>
              <w:jc w:val="left"/>
              <w:rPr>
                <w:rFonts w:ascii="Arial Narrow" w:eastAsiaTheme="majorEastAsia" w:hAnsi="Arial Narrow" w:cstheme="majorBidi"/>
                <w:bCs/>
                <w:sz w:val="20"/>
              </w:rPr>
            </w:pPr>
            <w:r w:rsidRPr="00884D0D">
              <w:rPr>
                <w:rFonts w:ascii="Arial Narrow" w:eastAsiaTheme="majorEastAsia" w:hAnsi="Arial Narrow" w:cstheme="majorBidi"/>
                <w:bCs/>
                <w:sz w:val="20"/>
              </w:rPr>
              <w:t xml:space="preserve">High, favoured </w:t>
            </w:r>
            <w:proofErr w:type="spellStart"/>
            <w:r w:rsidRPr="00884D0D">
              <w:rPr>
                <w:rFonts w:ascii="Arial Narrow" w:eastAsiaTheme="majorEastAsia" w:hAnsi="Arial Narrow" w:cstheme="majorBidi"/>
                <w:bCs/>
                <w:sz w:val="20"/>
              </w:rPr>
              <w:t>anifrolumab</w:t>
            </w:r>
            <w:proofErr w:type="spellEnd"/>
            <w:r w:rsidRPr="00884D0D">
              <w:rPr>
                <w:rFonts w:ascii="Arial Narrow" w:eastAsiaTheme="majorEastAsia" w:hAnsi="Arial Narrow" w:cstheme="majorBidi"/>
                <w:bCs/>
                <w:sz w:val="20"/>
              </w:rPr>
              <w:t xml:space="preserve">. </w:t>
            </w:r>
          </w:p>
          <w:p w14:paraId="1F8385E0" w14:textId="3D2DE55A"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 xml:space="preserve">If flare duration reduced to 3 months in SOC arm, </w:t>
            </w:r>
            <w:r w:rsidR="009735C9">
              <w:rPr>
                <w:rFonts w:ascii="Arial Narrow" w:eastAsiaTheme="majorEastAsia" w:hAnsi="Arial Narrow" w:cstheme="majorBidi"/>
                <w:bCs/>
                <w:sz w:val="20"/>
              </w:rPr>
              <w:t xml:space="preserve">the </w:t>
            </w:r>
            <w:r w:rsidRPr="00603AFC">
              <w:rPr>
                <w:rFonts w:ascii="Arial Narrow" w:eastAsiaTheme="majorEastAsia" w:hAnsi="Arial Narrow" w:cstheme="majorBidi"/>
                <w:bCs/>
                <w:sz w:val="20"/>
              </w:rPr>
              <w:t>ICER increased to $</w:t>
            </w:r>
            <w:r w:rsidR="00164331" w:rsidRPr="00164331">
              <w:rPr>
                <w:rFonts w:ascii="Arial Narrow" w:eastAsiaTheme="majorEastAsia" w:hAnsi="Arial Narrow" w:cstheme="majorBidi"/>
                <w:bCs/>
                <w:color w:val="000000"/>
                <w:spacing w:val="50"/>
                <w:sz w:val="20"/>
                <w:shd w:val="solid" w:color="000000" w:fill="000000"/>
                <w:fitText w:val="325" w:id="-1436283133"/>
                <w14:textFill>
                  <w14:solidFill>
                    <w14:srgbClr w14:val="000000">
                      <w14:alpha w14:val="100000"/>
                    </w14:srgbClr>
                  </w14:solidFill>
                </w14:textFill>
              </w:rPr>
              <w:t>|||</w:t>
            </w:r>
            <w:r w:rsidR="00164331" w:rsidRPr="00164331">
              <w:rPr>
                <w:rFonts w:ascii="Arial Narrow" w:eastAsiaTheme="majorEastAsia" w:hAnsi="Arial Narrow" w:cstheme="majorBidi"/>
                <w:bCs/>
                <w:color w:val="000000"/>
                <w:spacing w:val="13"/>
                <w:sz w:val="20"/>
                <w:shd w:val="solid" w:color="000000" w:fill="000000"/>
                <w:fitText w:val="325" w:id="-1436283133"/>
                <w14:textFill>
                  <w14:solidFill>
                    <w14:srgbClr w14:val="000000">
                      <w14:alpha w14:val="100000"/>
                    </w14:srgbClr>
                  </w14:solidFill>
                </w14:textFill>
              </w:rPr>
              <w:t>|</w:t>
            </w:r>
            <w:r w:rsidR="003B59ED">
              <w:rPr>
                <w:rFonts w:ascii="Arial Narrow" w:eastAsiaTheme="majorEastAsia" w:hAnsi="Arial Narrow" w:cstheme="majorBidi"/>
                <w:bCs/>
                <w:sz w:val="20"/>
                <w:vertAlign w:val="superscript"/>
              </w:rPr>
              <w:t>3</w:t>
            </w:r>
            <w:r w:rsidRPr="00603AFC">
              <w:rPr>
                <w:rFonts w:ascii="Arial Narrow" w:eastAsiaTheme="majorEastAsia" w:hAnsi="Arial Narrow" w:cstheme="majorBidi"/>
                <w:bCs/>
                <w:sz w:val="20"/>
              </w:rPr>
              <w:t>/QALY gained.</w:t>
            </w:r>
          </w:p>
        </w:tc>
      </w:tr>
      <w:tr w:rsidR="000D2C16" w:rsidRPr="00603AFC" w14:paraId="49839EDF" w14:textId="77777777" w:rsidTr="006559CE">
        <w:trPr>
          <w:cantSplit/>
        </w:trPr>
        <w:tc>
          <w:tcPr>
            <w:tcW w:w="705" w:type="pct"/>
            <w:shd w:val="clear" w:color="auto" w:fill="auto"/>
            <w:vAlign w:val="center"/>
          </w:tcPr>
          <w:p w14:paraId="6C437575" w14:textId="77777777"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SLEDAI-2K estimates</w:t>
            </w:r>
          </w:p>
        </w:tc>
        <w:tc>
          <w:tcPr>
            <w:tcW w:w="1886" w:type="pct"/>
            <w:shd w:val="clear" w:color="auto" w:fill="auto"/>
            <w:vAlign w:val="center"/>
          </w:tcPr>
          <w:p w14:paraId="72FE09EE" w14:textId="77777777"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 xml:space="preserve">Change in SLEDAI-2K was estimated each cycle through linear regressions, with covariates for treatment effect, previous SLEDAI-2K score, TULIP-2 </w:t>
            </w:r>
            <w:proofErr w:type="gramStart"/>
            <w:r w:rsidRPr="00603AFC">
              <w:rPr>
                <w:rFonts w:ascii="Arial Narrow" w:eastAsiaTheme="majorEastAsia" w:hAnsi="Arial Narrow" w:cstheme="majorBidi"/>
                <w:bCs/>
                <w:sz w:val="20"/>
              </w:rPr>
              <w:t>indicator</w:t>
            </w:r>
            <w:proofErr w:type="gramEnd"/>
            <w:r w:rsidRPr="00603AFC">
              <w:rPr>
                <w:rFonts w:ascii="Arial Narrow" w:eastAsiaTheme="majorEastAsia" w:hAnsi="Arial Narrow" w:cstheme="majorBidi"/>
                <w:bCs/>
                <w:sz w:val="20"/>
              </w:rPr>
              <w:t xml:space="preserve"> and flares.</w:t>
            </w:r>
          </w:p>
          <w:p w14:paraId="16CFD631" w14:textId="67152187"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SLEDAI-2K estimates contributed to estimates of flares (circular calculation), OCS, organ damage, mortality, utility and hospitali</w:t>
            </w:r>
            <w:r w:rsidR="00AE715E">
              <w:rPr>
                <w:rFonts w:ascii="Arial Narrow" w:eastAsiaTheme="majorEastAsia" w:hAnsi="Arial Narrow" w:cstheme="majorBidi"/>
                <w:bCs/>
                <w:sz w:val="20"/>
              </w:rPr>
              <w:t>s</w:t>
            </w:r>
            <w:r w:rsidRPr="00603AFC">
              <w:rPr>
                <w:rFonts w:ascii="Arial Narrow" w:eastAsiaTheme="majorEastAsia" w:hAnsi="Arial Narrow" w:cstheme="majorBidi"/>
                <w:bCs/>
                <w:sz w:val="20"/>
              </w:rPr>
              <w:t>ation rates and LOS. As many of these estimates were correlated there was a high likelihood of double counting the effect of SLEDAI-2K.</w:t>
            </w:r>
          </w:p>
        </w:tc>
        <w:tc>
          <w:tcPr>
            <w:tcW w:w="2409" w:type="pct"/>
            <w:shd w:val="clear" w:color="auto" w:fill="auto"/>
            <w:vAlign w:val="center"/>
          </w:tcPr>
          <w:p w14:paraId="19BAA6D5" w14:textId="77777777" w:rsidR="00884D0D" w:rsidRPr="00884D0D" w:rsidRDefault="000D2C16" w:rsidP="006107F0">
            <w:pPr>
              <w:pStyle w:val="ListParagraph"/>
              <w:numPr>
                <w:ilvl w:val="0"/>
                <w:numId w:val="29"/>
              </w:numPr>
              <w:ind w:left="110" w:hanging="110"/>
              <w:jc w:val="left"/>
              <w:rPr>
                <w:rFonts w:ascii="Arial Narrow" w:eastAsiaTheme="majorEastAsia" w:hAnsi="Arial Narrow" w:cstheme="majorBidi"/>
                <w:bCs/>
                <w:sz w:val="20"/>
              </w:rPr>
            </w:pPr>
            <w:r w:rsidRPr="00884D0D">
              <w:rPr>
                <w:rFonts w:ascii="Arial Narrow" w:eastAsiaTheme="majorEastAsia" w:hAnsi="Arial Narrow" w:cstheme="majorBidi"/>
                <w:bCs/>
                <w:sz w:val="20"/>
              </w:rPr>
              <w:t xml:space="preserve">High, favoured </w:t>
            </w:r>
            <w:proofErr w:type="spellStart"/>
            <w:r w:rsidRPr="00884D0D">
              <w:rPr>
                <w:rFonts w:ascii="Arial Narrow" w:eastAsiaTheme="majorEastAsia" w:hAnsi="Arial Narrow" w:cstheme="majorBidi"/>
                <w:bCs/>
                <w:sz w:val="20"/>
              </w:rPr>
              <w:t>anifrolumab</w:t>
            </w:r>
            <w:proofErr w:type="spellEnd"/>
            <w:r w:rsidRPr="00884D0D">
              <w:rPr>
                <w:rFonts w:ascii="Arial Narrow" w:eastAsiaTheme="majorEastAsia" w:hAnsi="Arial Narrow" w:cstheme="majorBidi"/>
                <w:bCs/>
                <w:sz w:val="20"/>
              </w:rPr>
              <w:t xml:space="preserve">. </w:t>
            </w:r>
          </w:p>
          <w:p w14:paraId="3E58CA7A" w14:textId="7BD0F101"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 xml:space="preserve">If SLEDAI-2K was assumed equal across arms, </w:t>
            </w:r>
            <w:proofErr w:type="spellStart"/>
            <w:r w:rsidRPr="00603AFC">
              <w:rPr>
                <w:rFonts w:ascii="Arial Narrow" w:eastAsiaTheme="majorEastAsia" w:hAnsi="Arial Narrow" w:cstheme="majorBidi"/>
                <w:bCs/>
                <w:sz w:val="20"/>
              </w:rPr>
              <w:t>anifrolumab</w:t>
            </w:r>
            <w:proofErr w:type="spellEnd"/>
            <w:r w:rsidRPr="00603AFC">
              <w:rPr>
                <w:rFonts w:ascii="Arial Narrow" w:eastAsiaTheme="majorEastAsia" w:hAnsi="Arial Narrow" w:cstheme="majorBidi"/>
                <w:bCs/>
                <w:sz w:val="20"/>
              </w:rPr>
              <w:t xml:space="preserve"> was dominated by SOC (more costly and less effective).</w:t>
            </w:r>
          </w:p>
          <w:p w14:paraId="6F5C7865" w14:textId="7896CB02"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 xml:space="preserve">If SLEDAI-2K was assumed to only impact utility, </w:t>
            </w:r>
            <w:proofErr w:type="gramStart"/>
            <w:r w:rsidRPr="00603AFC">
              <w:rPr>
                <w:rFonts w:ascii="Arial Narrow" w:eastAsiaTheme="majorEastAsia" w:hAnsi="Arial Narrow" w:cstheme="majorBidi"/>
                <w:bCs/>
                <w:sz w:val="20"/>
              </w:rPr>
              <w:t>mortality</w:t>
            </w:r>
            <w:proofErr w:type="gramEnd"/>
            <w:r w:rsidRPr="00603AFC">
              <w:rPr>
                <w:rFonts w:ascii="Arial Narrow" w:eastAsiaTheme="majorEastAsia" w:hAnsi="Arial Narrow" w:cstheme="majorBidi"/>
                <w:bCs/>
                <w:sz w:val="20"/>
              </w:rPr>
              <w:t xml:space="preserve"> and hospital visits via the impact on flares, OCS use and organ damage, the ICER increased to $</w:t>
            </w:r>
            <w:r w:rsidR="00164331" w:rsidRPr="00164331">
              <w:rPr>
                <w:rFonts w:ascii="Arial Narrow" w:eastAsiaTheme="majorEastAsia" w:hAnsi="Arial Narrow" w:cstheme="majorBidi"/>
                <w:bCs/>
                <w:color w:val="000000"/>
                <w:spacing w:val="51"/>
                <w:sz w:val="20"/>
                <w:shd w:val="solid" w:color="000000" w:fill="000000"/>
                <w:fitText w:val="326" w:id="-1436283132"/>
                <w14:textFill>
                  <w14:solidFill>
                    <w14:srgbClr w14:val="000000">
                      <w14:alpha w14:val="100000"/>
                    </w14:srgbClr>
                  </w14:solidFill>
                </w14:textFill>
              </w:rPr>
              <w:t>|||</w:t>
            </w:r>
            <w:r w:rsidR="00164331" w:rsidRPr="00164331">
              <w:rPr>
                <w:rFonts w:ascii="Arial Narrow" w:eastAsiaTheme="majorEastAsia" w:hAnsi="Arial Narrow" w:cstheme="majorBidi"/>
                <w:bCs/>
                <w:color w:val="000000"/>
                <w:spacing w:val="1"/>
                <w:sz w:val="20"/>
                <w:shd w:val="solid" w:color="000000" w:fill="000000"/>
                <w:fitText w:val="326" w:id="-1436283132"/>
                <w14:textFill>
                  <w14:solidFill>
                    <w14:srgbClr w14:val="000000">
                      <w14:alpha w14:val="100000"/>
                    </w14:srgbClr>
                  </w14:solidFill>
                </w14:textFill>
              </w:rPr>
              <w:t>|</w:t>
            </w:r>
            <w:r w:rsidR="007D568C" w:rsidRPr="007D568C">
              <w:rPr>
                <w:rFonts w:ascii="Arial Narrow" w:eastAsiaTheme="majorEastAsia" w:hAnsi="Arial Narrow" w:cstheme="majorBidi"/>
                <w:bCs/>
                <w:sz w:val="20"/>
                <w:vertAlign w:val="superscript"/>
              </w:rPr>
              <w:t>3</w:t>
            </w:r>
            <w:r w:rsidRPr="00603AFC">
              <w:rPr>
                <w:rFonts w:ascii="Arial Narrow" w:eastAsiaTheme="majorEastAsia" w:hAnsi="Arial Narrow" w:cstheme="majorBidi"/>
                <w:bCs/>
                <w:sz w:val="20"/>
              </w:rPr>
              <w:t xml:space="preserve">/QALY gained. </w:t>
            </w:r>
          </w:p>
        </w:tc>
      </w:tr>
      <w:tr w:rsidR="000D2C16" w:rsidRPr="00603AFC" w14:paraId="4083B2DB" w14:textId="77777777" w:rsidTr="006559CE">
        <w:trPr>
          <w:cantSplit/>
        </w:trPr>
        <w:tc>
          <w:tcPr>
            <w:tcW w:w="705" w:type="pct"/>
            <w:shd w:val="clear" w:color="auto" w:fill="auto"/>
            <w:vAlign w:val="center"/>
          </w:tcPr>
          <w:p w14:paraId="5972A54E" w14:textId="77777777"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Extrapolation of treatment effect</w:t>
            </w:r>
          </w:p>
        </w:tc>
        <w:tc>
          <w:tcPr>
            <w:tcW w:w="1886" w:type="pct"/>
            <w:shd w:val="clear" w:color="auto" w:fill="auto"/>
            <w:vAlign w:val="center"/>
          </w:tcPr>
          <w:p w14:paraId="1E3C8871" w14:textId="77777777"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Treatment effect was included in regressions for flares, SLEDAI-2K, OCS use and utility and the effects were assumed constant from cycle 3 onwards.</w:t>
            </w:r>
          </w:p>
        </w:tc>
        <w:tc>
          <w:tcPr>
            <w:tcW w:w="2409" w:type="pct"/>
            <w:shd w:val="clear" w:color="auto" w:fill="auto"/>
            <w:vAlign w:val="center"/>
          </w:tcPr>
          <w:p w14:paraId="5C579472" w14:textId="77777777" w:rsidR="00884D0D" w:rsidRPr="00884D0D" w:rsidRDefault="000D2C16" w:rsidP="006107F0">
            <w:pPr>
              <w:pStyle w:val="ListParagraph"/>
              <w:numPr>
                <w:ilvl w:val="0"/>
                <w:numId w:val="29"/>
              </w:numPr>
              <w:ind w:left="110" w:hanging="110"/>
              <w:jc w:val="left"/>
              <w:rPr>
                <w:rFonts w:ascii="Arial Narrow" w:eastAsiaTheme="majorEastAsia" w:hAnsi="Arial Narrow" w:cstheme="majorBidi"/>
                <w:bCs/>
                <w:sz w:val="20"/>
              </w:rPr>
            </w:pPr>
            <w:r w:rsidRPr="00884D0D">
              <w:rPr>
                <w:rFonts w:ascii="Arial Narrow" w:eastAsiaTheme="majorEastAsia" w:hAnsi="Arial Narrow" w:cstheme="majorBidi"/>
                <w:bCs/>
                <w:sz w:val="20"/>
              </w:rPr>
              <w:t xml:space="preserve">High, favoured </w:t>
            </w:r>
            <w:proofErr w:type="spellStart"/>
            <w:r w:rsidRPr="00884D0D">
              <w:rPr>
                <w:rFonts w:ascii="Arial Narrow" w:eastAsiaTheme="majorEastAsia" w:hAnsi="Arial Narrow" w:cstheme="majorBidi"/>
                <w:bCs/>
                <w:sz w:val="20"/>
              </w:rPr>
              <w:t>anifrolumab</w:t>
            </w:r>
            <w:proofErr w:type="spellEnd"/>
            <w:r w:rsidRPr="00884D0D">
              <w:rPr>
                <w:rFonts w:ascii="Arial Narrow" w:eastAsiaTheme="majorEastAsia" w:hAnsi="Arial Narrow" w:cstheme="majorBidi"/>
                <w:bCs/>
                <w:sz w:val="20"/>
              </w:rPr>
              <w:t xml:space="preserve">. </w:t>
            </w:r>
          </w:p>
          <w:p w14:paraId="134B0822" w14:textId="063C6596"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If treatment effect was assumed to converge from Year 5, the ICER increase to $</w:t>
            </w:r>
            <w:r w:rsidR="00164331" w:rsidRPr="00164331">
              <w:rPr>
                <w:rFonts w:ascii="Arial Narrow" w:eastAsiaTheme="majorEastAsia" w:hAnsi="Arial Narrow" w:cstheme="majorBidi"/>
                <w:bCs/>
                <w:color w:val="000000"/>
                <w:spacing w:val="50"/>
                <w:sz w:val="20"/>
                <w:shd w:val="solid" w:color="000000" w:fill="000000"/>
                <w:fitText w:val="325" w:id="-1436283131"/>
                <w14:textFill>
                  <w14:solidFill>
                    <w14:srgbClr w14:val="000000">
                      <w14:alpha w14:val="100000"/>
                    </w14:srgbClr>
                  </w14:solidFill>
                </w14:textFill>
              </w:rPr>
              <w:t>|||</w:t>
            </w:r>
            <w:r w:rsidR="00164331" w:rsidRPr="00164331">
              <w:rPr>
                <w:rFonts w:ascii="Arial Narrow" w:eastAsiaTheme="majorEastAsia" w:hAnsi="Arial Narrow" w:cstheme="majorBidi"/>
                <w:bCs/>
                <w:color w:val="000000"/>
                <w:spacing w:val="13"/>
                <w:sz w:val="20"/>
                <w:shd w:val="solid" w:color="000000" w:fill="000000"/>
                <w:fitText w:val="325" w:id="-1436283131"/>
                <w14:textFill>
                  <w14:solidFill>
                    <w14:srgbClr w14:val="000000">
                      <w14:alpha w14:val="100000"/>
                    </w14:srgbClr>
                  </w14:solidFill>
                </w14:textFill>
              </w:rPr>
              <w:t>|</w:t>
            </w:r>
            <w:r w:rsidR="007D568C" w:rsidRPr="007D568C">
              <w:rPr>
                <w:rFonts w:ascii="Arial Narrow" w:eastAsiaTheme="majorEastAsia" w:hAnsi="Arial Narrow" w:cstheme="majorBidi"/>
                <w:bCs/>
                <w:sz w:val="20"/>
                <w:vertAlign w:val="superscript"/>
              </w:rPr>
              <w:t>4</w:t>
            </w:r>
            <w:r w:rsidRPr="00603AFC">
              <w:rPr>
                <w:rFonts w:ascii="Arial Narrow" w:eastAsiaTheme="majorEastAsia" w:hAnsi="Arial Narrow" w:cstheme="majorBidi"/>
                <w:bCs/>
                <w:sz w:val="20"/>
              </w:rPr>
              <w:t>/QALY gained.</w:t>
            </w:r>
          </w:p>
        </w:tc>
      </w:tr>
      <w:tr w:rsidR="000D2C16" w:rsidRPr="00603AFC" w14:paraId="37897B0E" w14:textId="77777777" w:rsidTr="006559CE">
        <w:trPr>
          <w:cantSplit/>
        </w:trPr>
        <w:tc>
          <w:tcPr>
            <w:tcW w:w="705" w:type="pct"/>
            <w:shd w:val="clear" w:color="auto" w:fill="auto"/>
            <w:vAlign w:val="center"/>
          </w:tcPr>
          <w:p w14:paraId="17713F5F" w14:textId="77777777"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lastRenderedPageBreak/>
              <w:t>Mortality</w:t>
            </w:r>
          </w:p>
        </w:tc>
        <w:tc>
          <w:tcPr>
            <w:tcW w:w="1886" w:type="pct"/>
            <w:shd w:val="clear" w:color="auto" w:fill="auto"/>
            <w:vAlign w:val="center"/>
          </w:tcPr>
          <w:p w14:paraId="6E98E1BF" w14:textId="77777777"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Weibull parametric survival distribution with patient characteristics, SLEDAI-2K, OCS use, organ damage and infection as covariates.</w:t>
            </w:r>
          </w:p>
        </w:tc>
        <w:tc>
          <w:tcPr>
            <w:tcW w:w="2409" w:type="pct"/>
            <w:shd w:val="clear" w:color="auto" w:fill="auto"/>
            <w:vAlign w:val="center"/>
          </w:tcPr>
          <w:p w14:paraId="56288E18" w14:textId="77777777" w:rsidR="009735C9" w:rsidRPr="009735C9" w:rsidRDefault="000D2C16" w:rsidP="006107F0">
            <w:pPr>
              <w:pStyle w:val="ListParagraph"/>
              <w:numPr>
                <w:ilvl w:val="0"/>
                <w:numId w:val="29"/>
              </w:numPr>
              <w:ind w:left="110" w:hanging="110"/>
              <w:jc w:val="left"/>
              <w:rPr>
                <w:rFonts w:ascii="Arial Narrow" w:eastAsiaTheme="majorEastAsia" w:hAnsi="Arial Narrow" w:cstheme="majorBidi"/>
                <w:bCs/>
                <w:sz w:val="20"/>
              </w:rPr>
            </w:pPr>
            <w:r w:rsidRPr="009735C9">
              <w:rPr>
                <w:rFonts w:ascii="Arial Narrow" w:eastAsiaTheme="majorEastAsia" w:hAnsi="Arial Narrow" w:cstheme="majorBidi"/>
                <w:bCs/>
                <w:sz w:val="20"/>
              </w:rPr>
              <w:t xml:space="preserve">Moderate, favoured </w:t>
            </w:r>
            <w:proofErr w:type="spellStart"/>
            <w:r w:rsidRPr="009735C9">
              <w:rPr>
                <w:rFonts w:ascii="Arial Narrow" w:eastAsiaTheme="majorEastAsia" w:hAnsi="Arial Narrow" w:cstheme="majorBidi"/>
                <w:bCs/>
                <w:sz w:val="20"/>
              </w:rPr>
              <w:t>anifrolumab</w:t>
            </w:r>
            <w:proofErr w:type="spellEnd"/>
            <w:r w:rsidRPr="009735C9">
              <w:rPr>
                <w:rFonts w:ascii="Arial Narrow" w:eastAsiaTheme="majorEastAsia" w:hAnsi="Arial Narrow" w:cstheme="majorBidi"/>
                <w:bCs/>
                <w:sz w:val="20"/>
              </w:rPr>
              <w:t xml:space="preserve">. </w:t>
            </w:r>
          </w:p>
          <w:p w14:paraId="7A194C1A" w14:textId="64B36C69"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 xml:space="preserve">If </w:t>
            </w:r>
            <w:r w:rsidR="009735C9">
              <w:rPr>
                <w:rFonts w:ascii="Arial Narrow" w:eastAsiaTheme="majorEastAsia" w:hAnsi="Arial Narrow" w:cstheme="majorBidi"/>
                <w:bCs/>
                <w:sz w:val="20"/>
              </w:rPr>
              <w:t xml:space="preserve">the </w:t>
            </w:r>
            <w:r w:rsidRPr="00603AFC">
              <w:rPr>
                <w:rFonts w:ascii="Arial Narrow" w:eastAsiaTheme="majorEastAsia" w:hAnsi="Arial Narrow" w:cstheme="majorBidi"/>
                <w:bCs/>
                <w:sz w:val="20"/>
              </w:rPr>
              <w:t xml:space="preserve">coefficient for SLEDAI-2K was set to 0, survival in SOC was increased similar to </w:t>
            </w:r>
            <w:proofErr w:type="spellStart"/>
            <w:r w:rsidRPr="00603AFC">
              <w:rPr>
                <w:rFonts w:ascii="Arial Narrow" w:eastAsiaTheme="majorEastAsia" w:hAnsi="Arial Narrow" w:cstheme="majorBidi"/>
                <w:bCs/>
                <w:sz w:val="20"/>
              </w:rPr>
              <w:t>anifrolumab</w:t>
            </w:r>
            <w:proofErr w:type="spellEnd"/>
            <w:r w:rsidRPr="00603AFC">
              <w:rPr>
                <w:rFonts w:ascii="Arial Narrow" w:eastAsiaTheme="majorEastAsia" w:hAnsi="Arial Narrow" w:cstheme="majorBidi"/>
                <w:bCs/>
                <w:sz w:val="20"/>
              </w:rPr>
              <w:t xml:space="preserve"> arm and</w:t>
            </w:r>
            <w:r w:rsidR="009735C9">
              <w:rPr>
                <w:rFonts w:ascii="Arial Narrow" w:eastAsiaTheme="majorEastAsia" w:hAnsi="Arial Narrow" w:cstheme="majorBidi"/>
                <w:bCs/>
                <w:sz w:val="20"/>
              </w:rPr>
              <w:t xml:space="preserve"> the</w:t>
            </w:r>
            <w:r w:rsidRPr="00603AFC">
              <w:rPr>
                <w:rFonts w:ascii="Arial Narrow" w:eastAsiaTheme="majorEastAsia" w:hAnsi="Arial Narrow" w:cstheme="majorBidi"/>
                <w:bCs/>
                <w:sz w:val="20"/>
              </w:rPr>
              <w:t xml:space="preserve"> ICER increased to $</w:t>
            </w:r>
            <w:r w:rsidR="00164331" w:rsidRPr="00164331">
              <w:rPr>
                <w:rFonts w:ascii="Arial Narrow" w:eastAsiaTheme="majorEastAsia" w:hAnsi="Arial Narrow" w:cstheme="majorBidi"/>
                <w:bCs/>
                <w:color w:val="000000"/>
                <w:spacing w:val="51"/>
                <w:sz w:val="20"/>
                <w:shd w:val="solid" w:color="000000" w:fill="000000"/>
                <w:fitText w:val="325" w:id="-1436282880"/>
                <w14:textFill>
                  <w14:solidFill>
                    <w14:srgbClr w14:val="000000">
                      <w14:alpha w14:val="100000"/>
                    </w14:srgbClr>
                  </w14:solidFill>
                </w14:textFill>
              </w:rPr>
              <w:t>|||</w:t>
            </w:r>
            <w:r w:rsidR="00164331" w:rsidRPr="00164331">
              <w:rPr>
                <w:rFonts w:ascii="Arial Narrow" w:eastAsiaTheme="majorEastAsia" w:hAnsi="Arial Narrow" w:cstheme="majorBidi"/>
                <w:bCs/>
                <w:color w:val="000000"/>
                <w:spacing w:val="2"/>
                <w:sz w:val="20"/>
                <w:shd w:val="solid" w:color="000000" w:fill="000000"/>
                <w:fitText w:val="325" w:id="-1436282880"/>
                <w14:textFill>
                  <w14:solidFill>
                    <w14:srgbClr w14:val="000000">
                      <w14:alpha w14:val="100000"/>
                    </w14:srgbClr>
                  </w14:solidFill>
                </w14:textFill>
              </w:rPr>
              <w:t>|</w:t>
            </w:r>
            <w:r w:rsidR="007D568C" w:rsidRPr="007D568C">
              <w:rPr>
                <w:rFonts w:ascii="Arial Narrow" w:eastAsiaTheme="majorEastAsia" w:hAnsi="Arial Narrow" w:cstheme="majorBidi"/>
                <w:bCs/>
                <w:sz w:val="20"/>
                <w:vertAlign w:val="superscript"/>
              </w:rPr>
              <w:t>4</w:t>
            </w:r>
            <w:r w:rsidRPr="00603AFC">
              <w:rPr>
                <w:rFonts w:ascii="Arial Narrow" w:eastAsiaTheme="majorEastAsia" w:hAnsi="Arial Narrow" w:cstheme="majorBidi"/>
                <w:bCs/>
                <w:sz w:val="20"/>
              </w:rPr>
              <w:t>/QALY gained.</w:t>
            </w:r>
          </w:p>
        </w:tc>
      </w:tr>
      <w:tr w:rsidR="000D2C16" w:rsidRPr="00603AFC" w14:paraId="1E8338F4" w14:textId="77777777" w:rsidTr="006559CE">
        <w:trPr>
          <w:cantSplit/>
        </w:trPr>
        <w:tc>
          <w:tcPr>
            <w:tcW w:w="705" w:type="pct"/>
            <w:shd w:val="clear" w:color="auto" w:fill="auto"/>
            <w:vAlign w:val="center"/>
          </w:tcPr>
          <w:p w14:paraId="30429A6F" w14:textId="77777777"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Utility</w:t>
            </w:r>
          </w:p>
        </w:tc>
        <w:tc>
          <w:tcPr>
            <w:tcW w:w="1886" w:type="pct"/>
            <w:shd w:val="clear" w:color="auto" w:fill="auto"/>
            <w:vAlign w:val="center"/>
          </w:tcPr>
          <w:p w14:paraId="062B5FB5" w14:textId="77777777"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Linear regressions for utility (excluding organ damage disutility) included covariates for treatment effect, SLEDAI-2K, TULIP-2 indicator and patient characteristics.</w:t>
            </w:r>
          </w:p>
        </w:tc>
        <w:tc>
          <w:tcPr>
            <w:tcW w:w="2409" w:type="pct"/>
            <w:shd w:val="clear" w:color="auto" w:fill="auto"/>
            <w:vAlign w:val="center"/>
          </w:tcPr>
          <w:p w14:paraId="1DF872CA" w14:textId="77777777" w:rsidR="009735C9" w:rsidRPr="009735C9" w:rsidRDefault="000D2C16" w:rsidP="006107F0">
            <w:pPr>
              <w:pStyle w:val="ListParagraph"/>
              <w:numPr>
                <w:ilvl w:val="0"/>
                <w:numId w:val="29"/>
              </w:numPr>
              <w:ind w:left="110" w:hanging="110"/>
              <w:jc w:val="left"/>
              <w:rPr>
                <w:rFonts w:ascii="Arial Narrow" w:eastAsiaTheme="majorEastAsia" w:hAnsi="Arial Narrow" w:cstheme="majorBidi"/>
                <w:bCs/>
                <w:sz w:val="20"/>
              </w:rPr>
            </w:pPr>
            <w:r w:rsidRPr="009735C9">
              <w:rPr>
                <w:rFonts w:ascii="Arial Narrow" w:eastAsiaTheme="majorEastAsia" w:hAnsi="Arial Narrow" w:cstheme="majorBidi"/>
                <w:bCs/>
                <w:sz w:val="20"/>
              </w:rPr>
              <w:t xml:space="preserve">High, favoured </w:t>
            </w:r>
            <w:proofErr w:type="spellStart"/>
            <w:r w:rsidRPr="009735C9">
              <w:rPr>
                <w:rFonts w:ascii="Arial Narrow" w:eastAsiaTheme="majorEastAsia" w:hAnsi="Arial Narrow" w:cstheme="majorBidi"/>
                <w:bCs/>
                <w:sz w:val="20"/>
              </w:rPr>
              <w:t>anifrolumab</w:t>
            </w:r>
            <w:proofErr w:type="spellEnd"/>
            <w:r w:rsidRPr="009735C9">
              <w:rPr>
                <w:rFonts w:ascii="Arial Narrow" w:eastAsiaTheme="majorEastAsia" w:hAnsi="Arial Narrow" w:cstheme="majorBidi"/>
                <w:bCs/>
                <w:sz w:val="20"/>
              </w:rPr>
              <w:t xml:space="preserve">. </w:t>
            </w:r>
          </w:p>
          <w:p w14:paraId="49034BE4" w14:textId="49BA75FF"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 xml:space="preserve">Though the treatment effect for </w:t>
            </w:r>
            <w:proofErr w:type="spellStart"/>
            <w:r w:rsidRPr="00603AFC">
              <w:rPr>
                <w:rFonts w:ascii="Arial Narrow" w:eastAsiaTheme="majorEastAsia" w:hAnsi="Arial Narrow" w:cstheme="majorBidi"/>
                <w:bCs/>
                <w:sz w:val="20"/>
              </w:rPr>
              <w:t>anifrolumab</w:t>
            </w:r>
            <w:proofErr w:type="spellEnd"/>
            <w:r w:rsidRPr="00603AFC">
              <w:rPr>
                <w:rFonts w:ascii="Arial Narrow" w:eastAsiaTheme="majorEastAsia" w:hAnsi="Arial Narrow" w:cstheme="majorBidi"/>
                <w:bCs/>
                <w:sz w:val="20"/>
              </w:rPr>
              <w:t xml:space="preserve"> non-responders was negative, the SLEDAI-2K coefficient (which was driven by treatment effect) favoured the </w:t>
            </w:r>
            <w:proofErr w:type="spellStart"/>
            <w:r w:rsidRPr="00603AFC">
              <w:rPr>
                <w:rFonts w:ascii="Arial Narrow" w:eastAsiaTheme="majorEastAsia" w:hAnsi="Arial Narrow" w:cstheme="majorBidi"/>
                <w:bCs/>
                <w:sz w:val="20"/>
              </w:rPr>
              <w:t>anifrolumab</w:t>
            </w:r>
            <w:proofErr w:type="spellEnd"/>
            <w:r w:rsidRPr="00603AFC">
              <w:rPr>
                <w:rFonts w:ascii="Arial Narrow" w:eastAsiaTheme="majorEastAsia" w:hAnsi="Arial Narrow" w:cstheme="majorBidi"/>
                <w:bCs/>
                <w:sz w:val="20"/>
              </w:rPr>
              <w:t xml:space="preserve"> arm. If the SLEDAI-2K coefficient was set to 0, the ICER increased to $</w:t>
            </w:r>
            <w:r w:rsidR="00164331" w:rsidRPr="00164331">
              <w:rPr>
                <w:rFonts w:ascii="Arial Narrow" w:eastAsiaTheme="majorEastAsia" w:hAnsi="Arial Narrow" w:cstheme="majorBidi"/>
                <w:bCs/>
                <w:color w:val="000000"/>
                <w:spacing w:val="51"/>
                <w:sz w:val="20"/>
                <w:shd w:val="solid" w:color="000000" w:fill="000000"/>
                <w:fitText w:val="326" w:id="-1436282879"/>
                <w14:textFill>
                  <w14:solidFill>
                    <w14:srgbClr w14:val="000000">
                      <w14:alpha w14:val="100000"/>
                    </w14:srgbClr>
                  </w14:solidFill>
                </w14:textFill>
              </w:rPr>
              <w:t>|||</w:t>
            </w:r>
            <w:r w:rsidR="00164331" w:rsidRPr="00164331">
              <w:rPr>
                <w:rFonts w:ascii="Arial Narrow" w:eastAsiaTheme="majorEastAsia" w:hAnsi="Arial Narrow" w:cstheme="majorBidi"/>
                <w:bCs/>
                <w:color w:val="000000"/>
                <w:spacing w:val="3"/>
                <w:sz w:val="20"/>
                <w:shd w:val="solid" w:color="000000" w:fill="000000"/>
                <w:fitText w:val="326" w:id="-1436282879"/>
                <w14:textFill>
                  <w14:solidFill>
                    <w14:srgbClr w14:val="000000">
                      <w14:alpha w14:val="100000"/>
                    </w14:srgbClr>
                  </w14:solidFill>
                </w14:textFill>
              </w:rPr>
              <w:t>|</w:t>
            </w:r>
            <w:r w:rsidR="007D568C" w:rsidRPr="007D568C">
              <w:rPr>
                <w:rFonts w:ascii="Arial Narrow" w:eastAsiaTheme="majorEastAsia" w:hAnsi="Arial Narrow" w:cstheme="majorBidi"/>
                <w:bCs/>
                <w:sz w:val="20"/>
                <w:vertAlign w:val="superscript"/>
              </w:rPr>
              <w:t>4</w:t>
            </w:r>
            <w:r w:rsidRPr="00603AFC">
              <w:rPr>
                <w:rFonts w:ascii="Arial Narrow" w:eastAsiaTheme="majorEastAsia" w:hAnsi="Arial Narrow" w:cstheme="majorBidi"/>
                <w:bCs/>
                <w:sz w:val="20"/>
              </w:rPr>
              <w:t>/QALY gained.</w:t>
            </w:r>
          </w:p>
        </w:tc>
      </w:tr>
      <w:tr w:rsidR="000D2C16" w:rsidRPr="00603AFC" w14:paraId="78C00C9C" w14:textId="77777777" w:rsidTr="006559CE">
        <w:trPr>
          <w:cantSplit/>
        </w:trPr>
        <w:tc>
          <w:tcPr>
            <w:tcW w:w="705" w:type="pct"/>
            <w:shd w:val="clear" w:color="auto" w:fill="auto"/>
            <w:vAlign w:val="center"/>
          </w:tcPr>
          <w:p w14:paraId="2B2CBB4A" w14:textId="77777777"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Treatment discontinuation extrapolation</w:t>
            </w:r>
          </w:p>
        </w:tc>
        <w:tc>
          <w:tcPr>
            <w:tcW w:w="1886" w:type="pct"/>
            <w:shd w:val="clear" w:color="auto" w:fill="auto"/>
            <w:vAlign w:val="center"/>
          </w:tcPr>
          <w:p w14:paraId="6E19C6C5" w14:textId="77777777"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Treatment discontinuation was assumed to be 7.2% each cycle from cycle 3 onwards</w:t>
            </w:r>
          </w:p>
        </w:tc>
        <w:tc>
          <w:tcPr>
            <w:tcW w:w="2409" w:type="pct"/>
            <w:shd w:val="clear" w:color="auto" w:fill="auto"/>
            <w:vAlign w:val="center"/>
          </w:tcPr>
          <w:p w14:paraId="6D075507" w14:textId="77777777" w:rsidR="009735C9" w:rsidRPr="009735C9" w:rsidRDefault="000D2C16" w:rsidP="006107F0">
            <w:pPr>
              <w:pStyle w:val="ListParagraph"/>
              <w:numPr>
                <w:ilvl w:val="0"/>
                <w:numId w:val="29"/>
              </w:numPr>
              <w:ind w:left="110" w:hanging="110"/>
              <w:jc w:val="left"/>
              <w:rPr>
                <w:rFonts w:ascii="Arial Narrow" w:eastAsiaTheme="majorEastAsia" w:hAnsi="Arial Narrow" w:cstheme="majorBidi"/>
                <w:bCs/>
                <w:sz w:val="20"/>
              </w:rPr>
            </w:pPr>
            <w:r w:rsidRPr="009735C9">
              <w:rPr>
                <w:rFonts w:ascii="Arial Narrow" w:eastAsiaTheme="majorEastAsia" w:hAnsi="Arial Narrow" w:cstheme="majorBidi"/>
                <w:bCs/>
                <w:sz w:val="20"/>
              </w:rPr>
              <w:t xml:space="preserve">High, favoured </w:t>
            </w:r>
            <w:proofErr w:type="spellStart"/>
            <w:r w:rsidRPr="009735C9">
              <w:rPr>
                <w:rFonts w:ascii="Arial Narrow" w:eastAsiaTheme="majorEastAsia" w:hAnsi="Arial Narrow" w:cstheme="majorBidi"/>
                <w:bCs/>
                <w:sz w:val="20"/>
              </w:rPr>
              <w:t>anifrolumab</w:t>
            </w:r>
            <w:proofErr w:type="spellEnd"/>
            <w:r w:rsidRPr="009735C9">
              <w:rPr>
                <w:rFonts w:ascii="Arial Narrow" w:eastAsiaTheme="majorEastAsia" w:hAnsi="Arial Narrow" w:cstheme="majorBidi"/>
                <w:bCs/>
                <w:sz w:val="20"/>
              </w:rPr>
              <w:t xml:space="preserve">. </w:t>
            </w:r>
          </w:p>
          <w:p w14:paraId="6DEB58F1" w14:textId="6B44F576"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If long term discontinuation was assumed the same as SOC (i.e. 0%), the ICER increased to $</w:t>
            </w:r>
            <w:r w:rsidR="00164331" w:rsidRPr="00164331">
              <w:rPr>
                <w:rFonts w:ascii="Arial Narrow" w:eastAsiaTheme="majorEastAsia" w:hAnsi="Arial Narrow" w:cstheme="majorBidi"/>
                <w:bCs/>
                <w:color w:val="000000"/>
                <w:spacing w:val="51"/>
                <w:sz w:val="20"/>
                <w:shd w:val="solid" w:color="000000" w:fill="000000"/>
                <w:fitText w:val="326" w:id="-1436282878"/>
                <w14:textFill>
                  <w14:solidFill>
                    <w14:srgbClr w14:val="000000">
                      <w14:alpha w14:val="100000"/>
                    </w14:srgbClr>
                  </w14:solidFill>
                </w14:textFill>
              </w:rPr>
              <w:t>|||</w:t>
            </w:r>
            <w:r w:rsidR="00164331" w:rsidRPr="00164331">
              <w:rPr>
                <w:rFonts w:ascii="Arial Narrow" w:eastAsiaTheme="majorEastAsia" w:hAnsi="Arial Narrow" w:cstheme="majorBidi"/>
                <w:bCs/>
                <w:color w:val="000000"/>
                <w:spacing w:val="3"/>
                <w:sz w:val="20"/>
                <w:shd w:val="solid" w:color="000000" w:fill="000000"/>
                <w:fitText w:val="326" w:id="-1436282878"/>
                <w14:textFill>
                  <w14:solidFill>
                    <w14:srgbClr w14:val="000000">
                      <w14:alpha w14:val="100000"/>
                    </w14:srgbClr>
                  </w14:solidFill>
                </w14:textFill>
              </w:rPr>
              <w:t>|</w:t>
            </w:r>
            <w:r w:rsidR="007D568C">
              <w:rPr>
                <w:rFonts w:ascii="Arial Narrow" w:eastAsiaTheme="majorEastAsia" w:hAnsi="Arial Narrow" w:cstheme="majorBidi"/>
                <w:bCs/>
                <w:sz w:val="20"/>
                <w:vertAlign w:val="superscript"/>
              </w:rPr>
              <w:t>5</w:t>
            </w:r>
            <w:r w:rsidRPr="00603AFC">
              <w:rPr>
                <w:rFonts w:ascii="Arial Narrow" w:eastAsiaTheme="majorEastAsia" w:hAnsi="Arial Narrow" w:cstheme="majorBidi"/>
                <w:bCs/>
                <w:sz w:val="20"/>
              </w:rPr>
              <w:t xml:space="preserve">/QALY gained. While this is an unlikely clinical scenario, it is more mathematically consistent with the costing approach of SOC and the assumption of long-term benefit modelling for </w:t>
            </w:r>
            <w:proofErr w:type="spellStart"/>
            <w:r w:rsidRPr="00603AFC">
              <w:rPr>
                <w:rFonts w:ascii="Arial Narrow" w:eastAsiaTheme="majorEastAsia" w:hAnsi="Arial Narrow" w:cstheme="majorBidi"/>
                <w:bCs/>
                <w:sz w:val="20"/>
              </w:rPr>
              <w:t>anifrolumab</w:t>
            </w:r>
            <w:proofErr w:type="spellEnd"/>
            <w:r w:rsidRPr="00603AFC">
              <w:rPr>
                <w:rFonts w:ascii="Arial Narrow" w:eastAsiaTheme="majorEastAsia" w:hAnsi="Arial Narrow" w:cstheme="majorBidi"/>
                <w:bCs/>
                <w:sz w:val="20"/>
              </w:rPr>
              <w:t>.</w:t>
            </w:r>
          </w:p>
        </w:tc>
      </w:tr>
      <w:tr w:rsidR="000D2C16" w:rsidRPr="00603AFC" w14:paraId="7775AF35" w14:textId="77777777" w:rsidTr="006559CE">
        <w:trPr>
          <w:cantSplit/>
        </w:trPr>
        <w:tc>
          <w:tcPr>
            <w:tcW w:w="705" w:type="pct"/>
            <w:shd w:val="clear" w:color="auto" w:fill="auto"/>
            <w:vAlign w:val="center"/>
          </w:tcPr>
          <w:p w14:paraId="7AB0AEA2" w14:textId="77777777"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Rate of hospitalisation</w:t>
            </w:r>
          </w:p>
        </w:tc>
        <w:tc>
          <w:tcPr>
            <w:tcW w:w="1886" w:type="pct"/>
            <w:shd w:val="clear" w:color="auto" w:fill="auto"/>
            <w:vAlign w:val="center"/>
          </w:tcPr>
          <w:p w14:paraId="672887B1" w14:textId="77777777"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Hospital costs were the main driver of costs in the SOC arm and hospitalisation rates were modelled with negative binomial regression with SLEDAI-2K and flares as covariates.</w:t>
            </w:r>
          </w:p>
        </w:tc>
        <w:tc>
          <w:tcPr>
            <w:tcW w:w="2409" w:type="pct"/>
            <w:shd w:val="clear" w:color="auto" w:fill="auto"/>
            <w:vAlign w:val="center"/>
          </w:tcPr>
          <w:p w14:paraId="59B53A01" w14:textId="77777777" w:rsidR="009735C9" w:rsidRPr="009735C9" w:rsidRDefault="000D2C16" w:rsidP="006107F0">
            <w:pPr>
              <w:pStyle w:val="ListParagraph"/>
              <w:numPr>
                <w:ilvl w:val="0"/>
                <w:numId w:val="29"/>
              </w:numPr>
              <w:ind w:left="110" w:hanging="110"/>
              <w:jc w:val="left"/>
              <w:rPr>
                <w:rFonts w:ascii="Arial Narrow" w:eastAsiaTheme="majorEastAsia" w:hAnsi="Arial Narrow" w:cstheme="majorBidi"/>
                <w:bCs/>
                <w:sz w:val="20"/>
              </w:rPr>
            </w:pPr>
            <w:r w:rsidRPr="009735C9">
              <w:rPr>
                <w:rFonts w:ascii="Arial Narrow" w:eastAsiaTheme="majorEastAsia" w:hAnsi="Arial Narrow" w:cstheme="majorBidi"/>
                <w:bCs/>
                <w:sz w:val="20"/>
              </w:rPr>
              <w:t xml:space="preserve">Moderate, favoured </w:t>
            </w:r>
            <w:proofErr w:type="spellStart"/>
            <w:r w:rsidRPr="009735C9">
              <w:rPr>
                <w:rFonts w:ascii="Arial Narrow" w:eastAsiaTheme="majorEastAsia" w:hAnsi="Arial Narrow" w:cstheme="majorBidi"/>
                <w:bCs/>
                <w:sz w:val="20"/>
              </w:rPr>
              <w:t>anifrolumab</w:t>
            </w:r>
            <w:proofErr w:type="spellEnd"/>
            <w:r w:rsidRPr="009735C9">
              <w:rPr>
                <w:rFonts w:ascii="Arial Narrow" w:eastAsiaTheme="majorEastAsia" w:hAnsi="Arial Narrow" w:cstheme="majorBidi"/>
                <w:bCs/>
                <w:sz w:val="20"/>
              </w:rPr>
              <w:t xml:space="preserve">. </w:t>
            </w:r>
          </w:p>
          <w:p w14:paraId="18EA8179" w14:textId="02B8638E" w:rsidR="000D2C16" w:rsidRPr="00603AFC" w:rsidRDefault="000D2C16" w:rsidP="009735C9">
            <w:pPr>
              <w:jc w:val="left"/>
              <w:rPr>
                <w:rFonts w:ascii="Arial Narrow" w:eastAsiaTheme="majorEastAsia" w:hAnsi="Arial Narrow" w:cstheme="majorBidi"/>
                <w:bCs/>
                <w:sz w:val="20"/>
              </w:rPr>
            </w:pPr>
            <w:r w:rsidRPr="00603AFC">
              <w:rPr>
                <w:rFonts w:ascii="Arial Narrow" w:eastAsiaTheme="majorEastAsia" w:hAnsi="Arial Narrow" w:cstheme="majorBidi"/>
                <w:bCs/>
                <w:sz w:val="20"/>
              </w:rPr>
              <w:t>The flare and SLEDAI-2K coefficients were likely highly correlated (SLEDAI-2K and flares both predicted each other). When the flare coefficients were set to 0, the ICER increased to $</w:t>
            </w:r>
            <w:r w:rsidR="00164331" w:rsidRPr="00164331">
              <w:rPr>
                <w:rFonts w:ascii="Arial Narrow" w:eastAsiaTheme="majorEastAsia" w:hAnsi="Arial Narrow" w:cstheme="majorBidi"/>
                <w:bCs/>
                <w:color w:val="000000"/>
                <w:spacing w:val="51"/>
                <w:sz w:val="20"/>
                <w:shd w:val="solid" w:color="000000" w:fill="000000"/>
                <w:fitText w:val="325" w:id="-1436282877"/>
                <w14:textFill>
                  <w14:solidFill>
                    <w14:srgbClr w14:val="000000">
                      <w14:alpha w14:val="100000"/>
                    </w14:srgbClr>
                  </w14:solidFill>
                </w14:textFill>
              </w:rPr>
              <w:t>|||</w:t>
            </w:r>
            <w:r w:rsidR="00164331" w:rsidRPr="00164331">
              <w:rPr>
                <w:rFonts w:ascii="Arial Narrow" w:eastAsiaTheme="majorEastAsia" w:hAnsi="Arial Narrow" w:cstheme="majorBidi"/>
                <w:bCs/>
                <w:color w:val="000000"/>
                <w:spacing w:val="2"/>
                <w:sz w:val="20"/>
                <w:shd w:val="solid" w:color="000000" w:fill="000000"/>
                <w:fitText w:val="325" w:id="-1436282877"/>
                <w14:textFill>
                  <w14:solidFill>
                    <w14:srgbClr w14:val="000000">
                      <w14:alpha w14:val="100000"/>
                    </w14:srgbClr>
                  </w14:solidFill>
                </w14:textFill>
              </w:rPr>
              <w:t>|</w:t>
            </w:r>
            <w:r w:rsidR="007D568C" w:rsidRPr="007D568C">
              <w:rPr>
                <w:rFonts w:ascii="Arial Narrow" w:eastAsiaTheme="majorEastAsia" w:hAnsi="Arial Narrow" w:cstheme="majorBidi"/>
                <w:bCs/>
                <w:sz w:val="20"/>
                <w:vertAlign w:val="superscript"/>
              </w:rPr>
              <w:t>4</w:t>
            </w:r>
            <w:r w:rsidRPr="00603AFC">
              <w:rPr>
                <w:rFonts w:ascii="Arial Narrow" w:eastAsiaTheme="majorEastAsia" w:hAnsi="Arial Narrow" w:cstheme="majorBidi"/>
                <w:bCs/>
                <w:sz w:val="20"/>
              </w:rPr>
              <w:t>/QALY gained. When the SLEDAI-2K coefficient was set to 0, the ICER increased to $</w:t>
            </w:r>
            <w:r w:rsidR="00164331" w:rsidRPr="00164331">
              <w:rPr>
                <w:rFonts w:ascii="Arial Narrow" w:eastAsiaTheme="majorEastAsia" w:hAnsi="Arial Narrow" w:cstheme="majorBidi"/>
                <w:bCs/>
                <w:color w:val="000000"/>
                <w:spacing w:val="51"/>
                <w:sz w:val="20"/>
                <w:shd w:val="solid" w:color="000000" w:fill="000000"/>
                <w:fitText w:val="325" w:id="-1436282876"/>
                <w14:textFill>
                  <w14:solidFill>
                    <w14:srgbClr w14:val="000000">
                      <w14:alpha w14:val="100000"/>
                    </w14:srgbClr>
                  </w14:solidFill>
                </w14:textFill>
              </w:rPr>
              <w:t>|||</w:t>
            </w:r>
            <w:r w:rsidR="00164331" w:rsidRPr="00164331">
              <w:rPr>
                <w:rFonts w:ascii="Arial Narrow" w:eastAsiaTheme="majorEastAsia" w:hAnsi="Arial Narrow" w:cstheme="majorBidi"/>
                <w:bCs/>
                <w:color w:val="000000"/>
                <w:spacing w:val="2"/>
                <w:sz w:val="20"/>
                <w:shd w:val="solid" w:color="000000" w:fill="000000"/>
                <w:fitText w:val="325" w:id="-1436282876"/>
                <w14:textFill>
                  <w14:solidFill>
                    <w14:srgbClr w14:val="000000">
                      <w14:alpha w14:val="100000"/>
                    </w14:srgbClr>
                  </w14:solidFill>
                </w14:textFill>
              </w:rPr>
              <w:t>|</w:t>
            </w:r>
            <w:r w:rsidR="007D568C" w:rsidRPr="007D568C">
              <w:rPr>
                <w:rFonts w:ascii="Arial Narrow" w:eastAsiaTheme="majorEastAsia" w:hAnsi="Arial Narrow" w:cstheme="majorBidi"/>
                <w:bCs/>
                <w:sz w:val="20"/>
                <w:vertAlign w:val="superscript"/>
              </w:rPr>
              <w:t>4</w:t>
            </w:r>
            <w:r w:rsidRPr="00603AFC">
              <w:rPr>
                <w:rFonts w:ascii="Arial Narrow" w:eastAsiaTheme="majorEastAsia" w:hAnsi="Arial Narrow" w:cstheme="majorBidi"/>
                <w:bCs/>
                <w:sz w:val="20"/>
              </w:rPr>
              <w:t>/QALY gained.</w:t>
            </w:r>
          </w:p>
        </w:tc>
      </w:tr>
    </w:tbl>
    <w:p w14:paraId="78CF838E" w14:textId="77777777" w:rsidR="000D2C16" w:rsidRPr="000D2C16" w:rsidRDefault="000D2C16" w:rsidP="000D2C16">
      <w:pPr>
        <w:spacing w:after="120"/>
        <w:contextualSpacing/>
        <w:rPr>
          <w:rFonts w:ascii="Arial Narrow" w:hAnsi="Arial Narrow"/>
          <w:snapToGrid w:val="0"/>
          <w:sz w:val="18"/>
          <w:szCs w:val="22"/>
        </w:rPr>
      </w:pPr>
      <w:r w:rsidRPr="000D2C16">
        <w:rPr>
          <w:rFonts w:ascii="Arial Narrow" w:hAnsi="Arial Narrow"/>
          <w:snapToGrid w:val="0"/>
          <w:sz w:val="18"/>
          <w:szCs w:val="22"/>
        </w:rPr>
        <w:t>Source: compiled during the evaluation</w:t>
      </w:r>
    </w:p>
    <w:p w14:paraId="4BF6CFCD" w14:textId="07D9A418" w:rsidR="000D2C16" w:rsidRDefault="000D2C16" w:rsidP="000D2C16">
      <w:pPr>
        <w:spacing w:after="120"/>
        <w:contextualSpacing/>
        <w:rPr>
          <w:rFonts w:ascii="Arial Narrow" w:hAnsi="Arial Narrow"/>
          <w:snapToGrid w:val="0"/>
          <w:sz w:val="18"/>
          <w:szCs w:val="20"/>
        </w:rPr>
      </w:pPr>
      <w:r w:rsidRPr="000D2C16">
        <w:rPr>
          <w:rFonts w:ascii="Arial Narrow" w:hAnsi="Arial Narrow"/>
          <w:snapToGrid w:val="0"/>
          <w:sz w:val="18"/>
          <w:szCs w:val="20"/>
        </w:rPr>
        <w:t>ICER=incremental cost-effectiveness ratio; OCS=oral corticosteroids; LOS=length of stay; QALY=quality adjusted life year; SLE=Systemic Lupus Erythematosus; SLEDAI-2K=Systemic Lupus Erythematosus Disease Activity Index 2000; SOC=standard of care</w:t>
      </w:r>
    </w:p>
    <w:p w14:paraId="4378E3F1" w14:textId="0FCD695F" w:rsidR="003B59ED" w:rsidRDefault="003B59ED" w:rsidP="000D2C16">
      <w:pPr>
        <w:spacing w:after="120"/>
        <w:contextualSpacing/>
        <w:rPr>
          <w:rFonts w:ascii="Arial Narrow" w:hAnsi="Arial Narrow"/>
          <w:snapToGrid w:val="0"/>
          <w:sz w:val="18"/>
          <w:szCs w:val="20"/>
        </w:rPr>
      </w:pPr>
    </w:p>
    <w:p w14:paraId="5CCE56B7" w14:textId="77777777" w:rsidR="003B59ED" w:rsidRPr="00E670E0" w:rsidRDefault="003B59ED" w:rsidP="003B59ED">
      <w:pPr>
        <w:pStyle w:val="TableFigureFooter"/>
        <w:keepNext/>
        <w:spacing w:after="0"/>
        <w:contextualSpacing w:val="0"/>
        <w:rPr>
          <w:i/>
        </w:rPr>
      </w:pPr>
      <w:r w:rsidRPr="00E670E0">
        <w:rPr>
          <w:i/>
        </w:rPr>
        <w:t>The redacted values correspond to the following ranges:</w:t>
      </w:r>
    </w:p>
    <w:p w14:paraId="321665F7" w14:textId="23C0C5B4" w:rsidR="003B59ED" w:rsidRPr="007D568C" w:rsidRDefault="003B59ED" w:rsidP="003B59ED">
      <w:pPr>
        <w:ind w:right="147"/>
        <w:rPr>
          <w:rFonts w:ascii="Arial Narrow" w:hAnsi="Arial Narrow"/>
          <w:i/>
          <w:iCs/>
          <w:color w:val="333333"/>
          <w:sz w:val="18"/>
          <w:szCs w:val="18"/>
        </w:rPr>
      </w:pPr>
      <w:r w:rsidRPr="007D568C">
        <w:rPr>
          <w:rFonts w:ascii="Arial Narrow" w:hAnsi="Arial Narrow"/>
          <w:i/>
          <w:iCs/>
          <w:snapToGrid w:val="0"/>
          <w:sz w:val="18"/>
          <w:szCs w:val="18"/>
          <w:vertAlign w:val="superscript"/>
        </w:rPr>
        <w:t>1</w:t>
      </w:r>
      <w:r w:rsidRPr="007D568C">
        <w:rPr>
          <w:rFonts w:ascii="Arial Narrow" w:hAnsi="Arial Narrow"/>
          <w:i/>
          <w:iCs/>
          <w:color w:val="333333"/>
          <w:sz w:val="18"/>
          <w:szCs w:val="18"/>
        </w:rPr>
        <w:t>$</w:t>
      </w:r>
      <w:bookmarkStart w:id="60" w:name="_Hlk112839073"/>
      <w:r w:rsidRPr="007D568C">
        <w:rPr>
          <w:rFonts w:ascii="Arial Narrow" w:hAnsi="Arial Narrow"/>
          <w:i/>
          <w:iCs/>
          <w:color w:val="333333"/>
          <w:sz w:val="18"/>
          <w:szCs w:val="18"/>
        </w:rPr>
        <w:t xml:space="preserve">55,000 to &lt; $75,000 </w:t>
      </w:r>
      <w:bookmarkEnd w:id="60"/>
    </w:p>
    <w:p w14:paraId="6553BDAE" w14:textId="77777777" w:rsidR="003B59ED" w:rsidRPr="007D568C" w:rsidRDefault="003B59ED" w:rsidP="003B59ED">
      <w:pPr>
        <w:ind w:right="147"/>
        <w:rPr>
          <w:rFonts w:ascii="Arial Narrow" w:hAnsi="Arial Narrow"/>
          <w:i/>
          <w:iCs/>
          <w:color w:val="333333"/>
          <w:sz w:val="18"/>
          <w:szCs w:val="18"/>
        </w:rPr>
      </w:pPr>
      <w:r w:rsidRPr="007D568C">
        <w:rPr>
          <w:rFonts w:ascii="Arial Narrow" w:hAnsi="Arial Narrow"/>
          <w:i/>
          <w:iCs/>
          <w:color w:val="333333"/>
          <w:sz w:val="18"/>
          <w:szCs w:val="18"/>
          <w:vertAlign w:val="superscript"/>
        </w:rPr>
        <w:t>2</w:t>
      </w:r>
      <w:r w:rsidRPr="007D568C">
        <w:rPr>
          <w:rFonts w:ascii="Arial Narrow" w:hAnsi="Arial Narrow"/>
          <w:i/>
          <w:iCs/>
          <w:color w:val="333333"/>
          <w:sz w:val="18"/>
          <w:szCs w:val="18"/>
        </w:rPr>
        <w:t xml:space="preserve">$95,000 to &lt; $115,000 </w:t>
      </w:r>
    </w:p>
    <w:p w14:paraId="5BDBCFE4" w14:textId="77777777" w:rsidR="003B59ED" w:rsidRPr="007D568C" w:rsidRDefault="003B59ED" w:rsidP="003B59ED">
      <w:pPr>
        <w:ind w:right="147"/>
        <w:rPr>
          <w:rFonts w:ascii="Arial Narrow" w:hAnsi="Arial Narrow"/>
          <w:i/>
          <w:iCs/>
          <w:color w:val="333333"/>
          <w:sz w:val="18"/>
          <w:szCs w:val="18"/>
        </w:rPr>
      </w:pPr>
      <w:r w:rsidRPr="007D568C">
        <w:rPr>
          <w:rFonts w:ascii="Arial Narrow" w:hAnsi="Arial Narrow"/>
          <w:i/>
          <w:iCs/>
          <w:color w:val="333333"/>
          <w:sz w:val="18"/>
          <w:szCs w:val="18"/>
          <w:vertAlign w:val="superscript"/>
        </w:rPr>
        <w:t>3</w:t>
      </w:r>
      <w:r w:rsidRPr="007D568C">
        <w:rPr>
          <w:rFonts w:ascii="Arial Narrow" w:hAnsi="Arial Narrow"/>
          <w:i/>
          <w:iCs/>
          <w:color w:val="333333"/>
          <w:sz w:val="18"/>
          <w:szCs w:val="18"/>
        </w:rPr>
        <w:t>$</w:t>
      </w:r>
      <w:bookmarkStart w:id="61" w:name="_Hlk112834874"/>
      <w:r w:rsidRPr="007D568C">
        <w:rPr>
          <w:rFonts w:ascii="Arial Narrow" w:hAnsi="Arial Narrow"/>
          <w:i/>
          <w:iCs/>
          <w:color w:val="333333"/>
          <w:sz w:val="18"/>
          <w:szCs w:val="18"/>
        </w:rPr>
        <w:t>155,000 to &lt; $255,000</w:t>
      </w:r>
      <w:bookmarkEnd w:id="61"/>
    </w:p>
    <w:p w14:paraId="356D6222" w14:textId="4C90E31F" w:rsidR="003B59ED" w:rsidRPr="007D568C" w:rsidRDefault="007D568C" w:rsidP="003B59ED">
      <w:pPr>
        <w:ind w:right="147"/>
        <w:rPr>
          <w:rFonts w:ascii="Arial Narrow" w:hAnsi="Arial Narrow"/>
          <w:i/>
          <w:iCs/>
          <w:color w:val="333333"/>
          <w:sz w:val="18"/>
          <w:szCs w:val="18"/>
        </w:rPr>
      </w:pPr>
      <w:r w:rsidRPr="007D568C">
        <w:rPr>
          <w:rFonts w:ascii="Arial Narrow" w:hAnsi="Arial Narrow"/>
          <w:i/>
          <w:iCs/>
          <w:color w:val="333333"/>
          <w:sz w:val="18"/>
          <w:szCs w:val="18"/>
          <w:vertAlign w:val="superscript"/>
        </w:rPr>
        <w:t>4</w:t>
      </w:r>
      <w:bookmarkStart w:id="62" w:name="_Hlk112834737"/>
      <w:r w:rsidRPr="007D568C">
        <w:rPr>
          <w:rFonts w:ascii="Arial Narrow" w:hAnsi="Arial Narrow"/>
          <w:i/>
          <w:iCs/>
          <w:color w:val="333333"/>
          <w:sz w:val="18"/>
          <w:szCs w:val="18"/>
        </w:rPr>
        <w:t>$</w:t>
      </w:r>
      <w:bookmarkStart w:id="63" w:name="_Hlk112839058"/>
      <w:r w:rsidRPr="007D568C">
        <w:rPr>
          <w:rFonts w:ascii="Arial Narrow" w:hAnsi="Arial Narrow"/>
          <w:i/>
          <w:iCs/>
          <w:color w:val="333333"/>
          <w:sz w:val="18"/>
          <w:szCs w:val="18"/>
        </w:rPr>
        <w:t>75,000 to &lt; $95,000</w:t>
      </w:r>
      <w:bookmarkEnd w:id="62"/>
      <w:bookmarkEnd w:id="63"/>
    </w:p>
    <w:p w14:paraId="56C44E71" w14:textId="77777777" w:rsidR="007D568C" w:rsidRPr="007D568C" w:rsidRDefault="007D568C" w:rsidP="007D568C">
      <w:pPr>
        <w:ind w:right="147"/>
        <w:rPr>
          <w:rFonts w:ascii="Arial Narrow" w:hAnsi="Arial Narrow"/>
          <w:i/>
          <w:iCs/>
          <w:color w:val="333333"/>
          <w:sz w:val="18"/>
          <w:szCs w:val="18"/>
        </w:rPr>
      </w:pPr>
      <w:r w:rsidRPr="007D568C">
        <w:rPr>
          <w:rFonts w:ascii="Arial Narrow" w:eastAsiaTheme="majorEastAsia" w:hAnsi="Arial Narrow" w:cstheme="majorBidi"/>
          <w:bCs/>
          <w:i/>
          <w:iCs/>
          <w:sz w:val="18"/>
          <w:szCs w:val="18"/>
          <w:vertAlign w:val="superscript"/>
        </w:rPr>
        <w:t>5</w:t>
      </w:r>
      <w:r w:rsidRPr="007D568C">
        <w:rPr>
          <w:rFonts w:ascii="Arial Narrow" w:hAnsi="Arial Narrow"/>
          <w:i/>
          <w:iCs/>
          <w:color w:val="333333"/>
          <w:sz w:val="18"/>
          <w:szCs w:val="18"/>
        </w:rPr>
        <w:t>$115,000 to &lt; $135,000</w:t>
      </w:r>
    </w:p>
    <w:p w14:paraId="6D65EB15" w14:textId="440231EC" w:rsidR="007D568C" w:rsidRPr="007D568C" w:rsidRDefault="007D568C" w:rsidP="003B59ED">
      <w:pPr>
        <w:ind w:right="147"/>
        <w:rPr>
          <w:rFonts w:ascii="Arial" w:hAnsi="Arial"/>
          <w:color w:val="333333"/>
          <w:sz w:val="21"/>
          <w:szCs w:val="21"/>
        </w:rPr>
      </w:pPr>
    </w:p>
    <w:p w14:paraId="56502CAA" w14:textId="2052892D" w:rsidR="003B59ED" w:rsidRPr="003B59ED" w:rsidRDefault="003B59ED" w:rsidP="000D2C16">
      <w:pPr>
        <w:spacing w:after="120"/>
        <w:contextualSpacing/>
        <w:rPr>
          <w:rFonts w:ascii="Arial Narrow" w:hAnsi="Arial Narrow"/>
          <w:snapToGrid w:val="0"/>
          <w:sz w:val="18"/>
          <w:szCs w:val="20"/>
        </w:rPr>
      </w:pPr>
    </w:p>
    <w:p w14:paraId="54D5D615" w14:textId="77777777" w:rsidR="005F5621" w:rsidRPr="000D2C16" w:rsidRDefault="005F5621" w:rsidP="000D2C16">
      <w:pPr>
        <w:spacing w:after="120"/>
        <w:contextualSpacing/>
        <w:rPr>
          <w:rFonts w:ascii="Arial Narrow" w:hAnsi="Arial Narrow"/>
          <w:snapToGrid w:val="0"/>
          <w:sz w:val="18"/>
          <w:szCs w:val="22"/>
        </w:rPr>
      </w:pPr>
    </w:p>
    <w:p w14:paraId="568ED6FE" w14:textId="2106E30D" w:rsidR="000D2C16" w:rsidRPr="000D2C16" w:rsidRDefault="00820AB9" w:rsidP="000D2C16">
      <w:pPr>
        <w:numPr>
          <w:ilvl w:val="1"/>
          <w:numId w:val="1"/>
        </w:numPr>
        <w:spacing w:after="120"/>
        <w:rPr>
          <w:rFonts w:asciiTheme="minorHAnsi" w:hAnsiTheme="minorHAnsi"/>
          <w:snapToGrid w:val="0"/>
        </w:rPr>
      </w:pPr>
      <w:r w:rsidRPr="00820AB9">
        <w:rPr>
          <w:rFonts w:asciiTheme="minorHAnsi" w:hAnsiTheme="minorHAnsi"/>
          <w:snapToGrid w:val="0"/>
        </w:rPr>
        <w:fldChar w:fldCharType="begin"/>
      </w:r>
      <w:r w:rsidRPr="00820AB9">
        <w:rPr>
          <w:rFonts w:asciiTheme="minorHAnsi" w:hAnsiTheme="minorHAnsi"/>
          <w:snapToGrid w:val="0"/>
        </w:rPr>
        <w:instrText xml:space="preserve"> REF _Ref103773808 \h  \* MERGEFORMAT </w:instrText>
      </w:r>
      <w:r w:rsidRPr="00820AB9">
        <w:rPr>
          <w:rFonts w:asciiTheme="minorHAnsi" w:hAnsiTheme="minorHAnsi"/>
          <w:snapToGrid w:val="0"/>
        </w:rPr>
      </w:r>
      <w:r w:rsidRPr="00820AB9">
        <w:rPr>
          <w:rFonts w:asciiTheme="minorHAnsi" w:hAnsiTheme="minorHAnsi"/>
          <w:snapToGrid w:val="0"/>
        </w:rPr>
        <w:fldChar w:fldCharType="separate"/>
      </w:r>
      <w:r w:rsidR="00942C22" w:rsidRPr="00942C22">
        <w:rPr>
          <w:rFonts w:asciiTheme="minorHAnsi" w:eastAsiaTheme="majorEastAsia" w:hAnsiTheme="minorHAnsi" w:cstheme="majorBidi"/>
        </w:rPr>
        <w:t xml:space="preserve">Table </w:t>
      </w:r>
      <w:r w:rsidR="00942C22" w:rsidRPr="00942C22">
        <w:rPr>
          <w:rFonts w:asciiTheme="minorHAnsi" w:eastAsiaTheme="majorEastAsia" w:hAnsiTheme="minorHAnsi" w:cstheme="majorBidi"/>
          <w:noProof/>
        </w:rPr>
        <w:t>9</w:t>
      </w:r>
      <w:r w:rsidRPr="00820AB9">
        <w:rPr>
          <w:rFonts w:asciiTheme="minorHAnsi" w:hAnsiTheme="minorHAnsi"/>
          <w:snapToGrid w:val="0"/>
        </w:rPr>
        <w:fldChar w:fldCharType="end"/>
      </w:r>
      <w:r>
        <w:rPr>
          <w:rFonts w:asciiTheme="minorHAnsi" w:hAnsiTheme="minorHAnsi"/>
          <w:snapToGrid w:val="0"/>
        </w:rPr>
        <w:t xml:space="preserve"> </w:t>
      </w:r>
      <w:r w:rsidR="000D2C16" w:rsidRPr="00820AB9">
        <w:rPr>
          <w:rFonts w:asciiTheme="minorHAnsi" w:hAnsiTheme="minorHAnsi"/>
          <w:snapToGrid w:val="0"/>
        </w:rPr>
        <w:t>su</w:t>
      </w:r>
      <w:r w:rsidR="000D2C16" w:rsidRPr="000D2C16">
        <w:rPr>
          <w:rFonts w:asciiTheme="minorHAnsi" w:hAnsiTheme="minorHAnsi"/>
          <w:snapToGrid w:val="0"/>
        </w:rPr>
        <w:t xml:space="preserve">mmarises the stepped economic evaluation. The base case </w:t>
      </w:r>
      <w:r w:rsidR="000D2C16" w:rsidRPr="00603AFC">
        <w:rPr>
          <w:rFonts w:asciiTheme="minorHAnsi" w:hAnsiTheme="minorHAnsi"/>
          <w:snapToGrid w:val="0"/>
        </w:rPr>
        <w:t xml:space="preserve">ICER was </w:t>
      </w:r>
      <w:r w:rsidR="007D568C">
        <w:rPr>
          <w:rFonts w:asciiTheme="minorHAnsi" w:hAnsiTheme="minorHAnsi"/>
          <w:snapToGrid w:val="0"/>
        </w:rPr>
        <w:t xml:space="preserve">$55,000 to &lt; $75,000 </w:t>
      </w:r>
      <w:r w:rsidR="000D2C16" w:rsidRPr="00603AFC">
        <w:rPr>
          <w:rFonts w:asciiTheme="minorHAnsi" w:hAnsiTheme="minorHAnsi"/>
          <w:snapToGrid w:val="0"/>
        </w:rPr>
        <w:t>per QALY gained once the OCS costs were corrected (</w:t>
      </w:r>
      <w:r w:rsidR="007D568C">
        <w:rPr>
          <w:rFonts w:asciiTheme="minorHAnsi" w:hAnsiTheme="minorHAnsi"/>
          <w:snapToGrid w:val="0"/>
        </w:rPr>
        <w:t>$55,000 to &lt; $</w:t>
      </w:r>
      <w:proofErr w:type="gramStart"/>
      <w:r w:rsidR="007D568C">
        <w:rPr>
          <w:rFonts w:asciiTheme="minorHAnsi" w:hAnsiTheme="minorHAnsi"/>
          <w:snapToGrid w:val="0"/>
        </w:rPr>
        <w:t xml:space="preserve">75,000 </w:t>
      </w:r>
      <w:r w:rsidR="000D2C16" w:rsidRPr="00603AFC">
        <w:rPr>
          <w:rFonts w:asciiTheme="minorHAnsi" w:hAnsiTheme="minorHAnsi"/>
          <w:snapToGrid w:val="0"/>
        </w:rPr>
        <w:t xml:space="preserve"> per</w:t>
      </w:r>
      <w:proofErr w:type="gramEnd"/>
      <w:r w:rsidR="000D2C16" w:rsidRPr="00603AFC">
        <w:rPr>
          <w:rFonts w:asciiTheme="minorHAnsi" w:hAnsiTheme="minorHAnsi"/>
          <w:snapToGrid w:val="0"/>
        </w:rPr>
        <w:t xml:space="preserve"> QALY gained in the submitted base case). The majority of the costs and benefits were accrued</w:t>
      </w:r>
      <w:r w:rsidR="000D2C16" w:rsidRPr="000D2C16">
        <w:rPr>
          <w:rFonts w:asciiTheme="minorHAnsi" w:hAnsiTheme="minorHAnsi"/>
          <w:snapToGrid w:val="0"/>
        </w:rPr>
        <w:t xml:space="preserve"> in the extrapolation period (i.e., after Year 1 until</w:t>
      </w:r>
      <w:r w:rsidR="00A22828">
        <w:rPr>
          <w:rFonts w:asciiTheme="minorHAnsi" w:hAnsiTheme="minorHAnsi"/>
          <w:snapToGrid w:val="0"/>
        </w:rPr>
        <w:t xml:space="preserve"> the</w:t>
      </w:r>
      <w:r w:rsidR="000D2C16" w:rsidRPr="000D2C16">
        <w:rPr>
          <w:rFonts w:asciiTheme="minorHAnsi" w:hAnsiTheme="minorHAnsi"/>
          <w:snapToGrid w:val="0"/>
        </w:rPr>
        <w:t xml:space="preserve"> end of</w:t>
      </w:r>
      <w:r w:rsidR="00A22828">
        <w:rPr>
          <w:rFonts w:asciiTheme="minorHAnsi" w:hAnsiTheme="minorHAnsi"/>
          <w:snapToGrid w:val="0"/>
        </w:rPr>
        <w:t xml:space="preserve"> the</w:t>
      </w:r>
      <w:r w:rsidR="000D2C16" w:rsidRPr="000D2C16">
        <w:rPr>
          <w:rFonts w:asciiTheme="minorHAnsi" w:hAnsiTheme="minorHAnsi"/>
          <w:snapToGrid w:val="0"/>
        </w:rPr>
        <w:t xml:space="preserve"> time horizon) and an increase in survival drove the majority of the benefit of </w:t>
      </w:r>
      <w:proofErr w:type="spellStart"/>
      <w:r w:rsidR="000D2C16" w:rsidRPr="000D2C16">
        <w:rPr>
          <w:rFonts w:asciiTheme="minorHAnsi" w:hAnsiTheme="minorHAnsi"/>
          <w:snapToGrid w:val="0"/>
        </w:rPr>
        <w:t>anifrolumab</w:t>
      </w:r>
      <w:proofErr w:type="spellEnd"/>
      <w:r w:rsidR="000D2C16" w:rsidRPr="000D2C16">
        <w:rPr>
          <w:rFonts w:asciiTheme="minorHAnsi" w:hAnsiTheme="minorHAnsi"/>
          <w:snapToGrid w:val="0"/>
        </w:rPr>
        <w:t xml:space="preserve"> over the SOC arm.</w:t>
      </w:r>
    </w:p>
    <w:p w14:paraId="40DAC137" w14:textId="483EB490" w:rsidR="000D2C16" w:rsidRPr="000D2C16" w:rsidRDefault="000D2C16" w:rsidP="000D2C16">
      <w:pPr>
        <w:keepNext/>
        <w:jc w:val="left"/>
        <w:rPr>
          <w:rFonts w:ascii="Arial Narrow" w:eastAsiaTheme="majorEastAsia" w:hAnsi="Arial Narrow" w:cstheme="majorBidi"/>
          <w:b/>
          <w:bCs/>
          <w:sz w:val="20"/>
        </w:rPr>
      </w:pPr>
      <w:bookmarkStart w:id="64" w:name="_Ref103773808"/>
      <w:r w:rsidRPr="000D2C16">
        <w:rPr>
          <w:rFonts w:ascii="Arial Narrow" w:eastAsiaTheme="majorEastAsia" w:hAnsi="Arial Narrow" w:cstheme="majorBidi"/>
          <w:b/>
          <w:bCs/>
          <w:sz w:val="20"/>
        </w:rPr>
        <w:lastRenderedPageBreak/>
        <w:t xml:space="preserve">Table </w:t>
      </w:r>
      <w:r w:rsidRPr="000D2C16">
        <w:rPr>
          <w:rFonts w:ascii="Arial Narrow" w:eastAsiaTheme="majorEastAsia" w:hAnsi="Arial Narrow" w:cstheme="majorBidi"/>
          <w:b/>
          <w:bCs/>
          <w:sz w:val="20"/>
        </w:rPr>
        <w:fldChar w:fldCharType="begin"/>
      </w:r>
      <w:r w:rsidRPr="000D2C16">
        <w:rPr>
          <w:rFonts w:ascii="Arial Narrow" w:eastAsiaTheme="majorEastAsia" w:hAnsi="Arial Narrow" w:cstheme="majorBidi"/>
          <w:b/>
          <w:bCs/>
          <w:sz w:val="20"/>
        </w:rPr>
        <w:instrText xml:space="preserve"> SEQ Table \* ARABIC </w:instrText>
      </w:r>
      <w:r w:rsidRPr="000D2C16">
        <w:rPr>
          <w:rFonts w:ascii="Arial Narrow" w:eastAsiaTheme="majorEastAsia" w:hAnsi="Arial Narrow" w:cstheme="majorBidi"/>
          <w:b/>
          <w:bCs/>
          <w:sz w:val="20"/>
        </w:rPr>
        <w:fldChar w:fldCharType="separate"/>
      </w:r>
      <w:r w:rsidR="00942C22">
        <w:rPr>
          <w:rFonts w:ascii="Arial Narrow" w:eastAsiaTheme="majorEastAsia" w:hAnsi="Arial Narrow" w:cstheme="majorBidi"/>
          <w:b/>
          <w:bCs/>
          <w:noProof/>
          <w:sz w:val="20"/>
        </w:rPr>
        <w:t>9</w:t>
      </w:r>
      <w:r w:rsidRPr="000D2C16">
        <w:rPr>
          <w:rFonts w:ascii="Arial Narrow" w:eastAsiaTheme="majorEastAsia" w:hAnsi="Arial Narrow" w:cstheme="majorBidi"/>
          <w:b/>
          <w:bCs/>
          <w:noProof/>
          <w:sz w:val="20"/>
        </w:rPr>
        <w:fldChar w:fldCharType="end"/>
      </w:r>
      <w:bookmarkEnd w:id="64"/>
      <w:r w:rsidRPr="000D2C16">
        <w:rPr>
          <w:rFonts w:ascii="Arial Narrow" w:eastAsiaTheme="majorEastAsia" w:hAnsi="Arial Narrow" w:cstheme="majorBidi"/>
          <w:b/>
          <w:bCs/>
          <w:sz w:val="20"/>
        </w:rPr>
        <w:t>: Results of the stepped economic evaluation</w:t>
      </w:r>
      <w:r w:rsidR="00AE40A2">
        <w:rPr>
          <w:rFonts w:ascii="Arial Narrow" w:eastAsiaTheme="majorEastAsia" w:hAnsi="Arial Narrow" w:cstheme="majorBidi"/>
          <w:b/>
          <w:bCs/>
          <w:sz w:val="20"/>
        </w:rPr>
        <w:t xml:space="preserve"> (</w:t>
      </w:r>
      <w:r w:rsidR="00331518">
        <w:rPr>
          <w:rFonts w:ascii="Arial Narrow" w:eastAsiaTheme="majorEastAsia" w:hAnsi="Arial Narrow" w:cstheme="majorBidi"/>
          <w:b/>
          <w:bCs/>
          <w:sz w:val="20"/>
        </w:rPr>
        <w:t xml:space="preserve">corrected </w:t>
      </w:r>
      <w:r w:rsidR="00AE40A2">
        <w:rPr>
          <w:rFonts w:ascii="Arial Narrow" w:eastAsiaTheme="majorEastAsia" w:hAnsi="Arial Narrow" w:cstheme="majorBidi"/>
          <w:b/>
          <w:bCs/>
          <w:sz w:val="20"/>
        </w:rPr>
        <w:t>submission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0D2C16" w:rsidRPr="00603AFC" w14:paraId="59C95161" w14:textId="77777777" w:rsidTr="00306AFC">
        <w:trPr>
          <w:tblHeader/>
        </w:trPr>
        <w:tc>
          <w:tcPr>
            <w:tcW w:w="1529" w:type="pct"/>
            <w:vAlign w:val="center"/>
          </w:tcPr>
          <w:p w14:paraId="233326E3" w14:textId="77777777" w:rsidR="000D2C16" w:rsidRPr="00603AFC" w:rsidRDefault="000D2C16" w:rsidP="000D2C16">
            <w:pPr>
              <w:keepNext/>
              <w:jc w:val="left"/>
              <w:rPr>
                <w:rFonts w:ascii="Arial Narrow" w:eastAsiaTheme="majorEastAsia" w:hAnsi="Arial Narrow" w:cs="Times New Roman"/>
                <w:b/>
                <w:sz w:val="20"/>
              </w:rPr>
            </w:pPr>
            <w:r w:rsidRPr="00603AFC">
              <w:rPr>
                <w:rFonts w:ascii="Arial Narrow" w:eastAsiaTheme="majorEastAsia" w:hAnsi="Arial Narrow" w:cs="Times New Roman"/>
                <w:b/>
                <w:sz w:val="20"/>
              </w:rPr>
              <w:t>Step and component</w:t>
            </w:r>
          </w:p>
        </w:tc>
        <w:tc>
          <w:tcPr>
            <w:tcW w:w="1359" w:type="pct"/>
            <w:vAlign w:val="center"/>
          </w:tcPr>
          <w:p w14:paraId="7C678603" w14:textId="77777777" w:rsidR="000D2C16" w:rsidRPr="00603AFC" w:rsidRDefault="000D2C16" w:rsidP="000D2C16">
            <w:pPr>
              <w:keepNext/>
              <w:jc w:val="center"/>
              <w:rPr>
                <w:rFonts w:ascii="Arial Narrow" w:eastAsiaTheme="majorEastAsia" w:hAnsi="Arial Narrow" w:cs="Times New Roman"/>
                <w:b/>
                <w:sz w:val="20"/>
              </w:rPr>
            </w:pPr>
            <w:proofErr w:type="spellStart"/>
            <w:r w:rsidRPr="00603AFC">
              <w:rPr>
                <w:rFonts w:ascii="Arial Narrow" w:eastAsiaTheme="majorEastAsia" w:hAnsi="Arial Narrow" w:cs="Times New Roman"/>
                <w:b/>
                <w:sz w:val="20"/>
              </w:rPr>
              <w:t>Anifrolumab</w:t>
            </w:r>
            <w:proofErr w:type="spellEnd"/>
            <w:r w:rsidRPr="00603AFC">
              <w:rPr>
                <w:rFonts w:ascii="Arial Narrow" w:eastAsiaTheme="majorEastAsia" w:hAnsi="Arial Narrow" w:cs="Times New Roman"/>
                <w:b/>
                <w:sz w:val="20"/>
              </w:rPr>
              <w:t xml:space="preserve"> arm</w:t>
            </w:r>
          </w:p>
        </w:tc>
        <w:tc>
          <w:tcPr>
            <w:tcW w:w="1274" w:type="pct"/>
            <w:vAlign w:val="center"/>
          </w:tcPr>
          <w:p w14:paraId="2A8D2018" w14:textId="77777777" w:rsidR="000D2C16" w:rsidRPr="00603AFC" w:rsidRDefault="000D2C16" w:rsidP="000D2C16">
            <w:pPr>
              <w:keepNext/>
              <w:jc w:val="center"/>
              <w:rPr>
                <w:rFonts w:ascii="Arial Narrow" w:eastAsiaTheme="majorEastAsia" w:hAnsi="Arial Narrow" w:cs="Times New Roman"/>
                <w:b/>
                <w:sz w:val="20"/>
              </w:rPr>
            </w:pPr>
            <w:r w:rsidRPr="00603AFC">
              <w:rPr>
                <w:rFonts w:ascii="Arial Narrow" w:eastAsiaTheme="majorEastAsia" w:hAnsi="Arial Narrow" w:cs="Times New Roman"/>
                <w:b/>
                <w:sz w:val="20"/>
              </w:rPr>
              <w:t>SOC arm</w:t>
            </w:r>
          </w:p>
        </w:tc>
        <w:tc>
          <w:tcPr>
            <w:tcW w:w="838" w:type="pct"/>
            <w:vAlign w:val="center"/>
          </w:tcPr>
          <w:p w14:paraId="03150E11" w14:textId="77777777" w:rsidR="000D2C16" w:rsidRPr="00603AFC" w:rsidRDefault="000D2C16" w:rsidP="000D2C16">
            <w:pPr>
              <w:keepNext/>
              <w:jc w:val="center"/>
              <w:rPr>
                <w:rFonts w:ascii="Arial Narrow" w:eastAsiaTheme="majorEastAsia" w:hAnsi="Arial Narrow" w:cs="Times New Roman"/>
                <w:b/>
                <w:sz w:val="20"/>
              </w:rPr>
            </w:pPr>
            <w:r w:rsidRPr="00603AFC">
              <w:rPr>
                <w:rFonts w:ascii="Arial Narrow" w:eastAsiaTheme="majorEastAsia" w:hAnsi="Arial Narrow" w:cs="Times New Roman"/>
                <w:b/>
                <w:sz w:val="20"/>
              </w:rPr>
              <w:t>Increment</w:t>
            </w:r>
          </w:p>
        </w:tc>
      </w:tr>
      <w:tr w:rsidR="000D2C16" w:rsidRPr="00603AFC" w14:paraId="16109B3C" w14:textId="77777777" w:rsidTr="00306AFC">
        <w:tc>
          <w:tcPr>
            <w:tcW w:w="5000" w:type="pct"/>
            <w:gridSpan w:val="4"/>
            <w:vAlign w:val="center"/>
          </w:tcPr>
          <w:p w14:paraId="1B43E0B7" w14:textId="77777777" w:rsidR="000D2C16" w:rsidRPr="00603AFC" w:rsidRDefault="000D2C16" w:rsidP="000D2C16">
            <w:pPr>
              <w:keepNext/>
              <w:jc w:val="left"/>
              <w:rPr>
                <w:rFonts w:ascii="Arial Narrow" w:eastAsiaTheme="majorEastAsia" w:hAnsi="Arial Narrow" w:cstheme="majorBidi"/>
                <w:b/>
                <w:bCs/>
                <w:sz w:val="20"/>
              </w:rPr>
            </w:pPr>
            <w:r w:rsidRPr="00603AFC">
              <w:rPr>
                <w:rFonts w:ascii="Arial Narrow" w:eastAsiaTheme="majorEastAsia" w:hAnsi="Arial Narrow" w:cstheme="majorBidi"/>
                <w:b/>
                <w:bCs/>
                <w:sz w:val="20"/>
              </w:rPr>
              <w:t>Step 1: Cost per responder at 24 weeks, no discounting</w:t>
            </w:r>
          </w:p>
        </w:tc>
      </w:tr>
      <w:tr w:rsidR="000D2C16" w:rsidRPr="00603AFC" w14:paraId="078778C5" w14:textId="77777777" w:rsidTr="00306AFC">
        <w:tc>
          <w:tcPr>
            <w:tcW w:w="1529" w:type="pct"/>
            <w:vAlign w:val="center"/>
          </w:tcPr>
          <w:p w14:paraId="161FFC9B" w14:textId="77777777" w:rsidR="000D2C16" w:rsidRPr="00603AFC" w:rsidRDefault="000D2C16" w:rsidP="000D2C16">
            <w:pPr>
              <w:keepNext/>
              <w:jc w:val="left"/>
              <w:rPr>
                <w:rFonts w:ascii="Times" w:eastAsiaTheme="majorEastAsia" w:hAnsi="Times" w:cstheme="majorBidi"/>
                <w:bCs/>
                <w:sz w:val="20"/>
              </w:rPr>
            </w:pPr>
            <w:r w:rsidRPr="00603AFC">
              <w:rPr>
                <w:rFonts w:ascii="Arial Narrow" w:eastAsiaTheme="majorEastAsia" w:hAnsi="Arial Narrow" w:cstheme="majorBidi"/>
                <w:bCs/>
                <w:sz w:val="20"/>
              </w:rPr>
              <w:t>Costs (at 6 months)</w:t>
            </w:r>
          </w:p>
        </w:tc>
        <w:tc>
          <w:tcPr>
            <w:tcW w:w="1359" w:type="pct"/>
          </w:tcPr>
          <w:p w14:paraId="642A7570" w14:textId="02463F36"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w:t>
            </w:r>
            <w:r w:rsidR="00164331"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274" w:type="pct"/>
          </w:tcPr>
          <w:p w14:paraId="4BE82D31" w14:textId="77777777"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 xml:space="preserve">$0 </w:t>
            </w:r>
          </w:p>
        </w:tc>
        <w:tc>
          <w:tcPr>
            <w:tcW w:w="838" w:type="pct"/>
          </w:tcPr>
          <w:p w14:paraId="251A9309" w14:textId="304D0143"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w:t>
            </w:r>
            <w:r w:rsidR="00164331"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Pr="00603AFC">
              <w:rPr>
                <w:rFonts w:ascii="Arial Narrow" w:eastAsiaTheme="majorEastAsia" w:hAnsi="Arial Narrow" w:cstheme="majorBidi"/>
                <w:bCs/>
                <w:sz w:val="20"/>
              </w:rPr>
              <w:t xml:space="preserve"> </w:t>
            </w:r>
          </w:p>
        </w:tc>
      </w:tr>
      <w:tr w:rsidR="000D2C16" w:rsidRPr="00603AFC" w14:paraId="6C57E38F" w14:textId="77777777" w:rsidTr="00306AFC">
        <w:tc>
          <w:tcPr>
            <w:tcW w:w="1529" w:type="pct"/>
            <w:vAlign w:val="center"/>
          </w:tcPr>
          <w:p w14:paraId="7330CF64" w14:textId="77777777" w:rsidR="000D2C16" w:rsidRPr="00603AFC" w:rsidRDefault="000D2C16" w:rsidP="000D2C16">
            <w:pPr>
              <w:keepNext/>
              <w:jc w:val="left"/>
              <w:rPr>
                <w:rFonts w:ascii="Times" w:eastAsiaTheme="majorEastAsia" w:hAnsi="Times" w:cstheme="majorBidi"/>
                <w:bCs/>
                <w:sz w:val="20"/>
              </w:rPr>
            </w:pPr>
            <w:proofErr w:type="spellStart"/>
            <w:r w:rsidRPr="00603AFC">
              <w:rPr>
                <w:rFonts w:ascii="Arial Narrow" w:eastAsiaTheme="majorEastAsia" w:hAnsi="Arial Narrow" w:cstheme="majorBidi"/>
                <w:bCs/>
                <w:sz w:val="20"/>
              </w:rPr>
              <w:t>Responders</w:t>
            </w:r>
            <w:r w:rsidRPr="00603AFC">
              <w:rPr>
                <w:rFonts w:ascii="Arial Narrow" w:eastAsiaTheme="majorEastAsia" w:hAnsi="Arial Narrow" w:cstheme="majorBidi"/>
                <w:bCs/>
                <w:sz w:val="20"/>
                <w:vertAlign w:val="superscript"/>
              </w:rPr>
              <w:t>a</w:t>
            </w:r>
            <w:proofErr w:type="spellEnd"/>
          </w:p>
        </w:tc>
        <w:tc>
          <w:tcPr>
            <w:tcW w:w="1359" w:type="pct"/>
          </w:tcPr>
          <w:p w14:paraId="32912784" w14:textId="77777777"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55.4%</w:t>
            </w:r>
          </w:p>
        </w:tc>
        <w:tc>
          <w:tcPr>
            <w:tcW w:w="1274" w:type="pct"/>
          </w:tcPr>
          <w:p w14:paraId="05A5B3EB" w14:textId="77777777"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47.4%</w:t>
            </w:r>
          </w:p>
        </w:tc>
        <w:tc>
          <w:tcPr>
            <w:tcW w:w="838" w:type="pct"/>
          </w:tcPr>
          <w:p w14:paraId="40F4045B" w14:textId="77777777" w:rsidR="000D2C16" w:rsidRPr="00603AFC" w:rsidRDefault="000D2C16" w:rsidP="000D2C16">
            <w:pPr>
              <w:keepNext/>
              <w:jc w:val="center"/>
              <w:rPr>
                <w:rFonts w:ascii="Arial Narrow" w:eastAsiaTheme="majorEastAsia" w:hAnsi="Arial Narrow" w:cstheme="majorBidi"/>
                <w:bCs/>
                <w:sz w:val="20"/>
              </w:rPr>
            </w:pPr>
            <w:r w:rsidRPr="00603AFC">
              <w:rPr>
                <w:rFonts w:ascii="Arial Narrow" w:eastAsiaTheme="majorEastAsia" w:hAnsi="Arial Narrow" w:cstheme="majorBidi"/>
                <w:bCs/>
                <w:sz w:val="20"/>
              </w:rPr>
              <w:t>8.0%</w:t>
            </w:r>
          </w:p>
        </w:tc>
      </w:tr>
      <w:tr w:rsidR="000D2C16" w:rsidRPr="00603AFC" w14:paraId="329ADC01" w14:textId="77777777" w:rsidTr="00306AFC">
        <w:tc>
          <w:tcPr>
            <w:tcW w:w="4162" w:type="pct"/>
            <w:gridSpan w:val="3"/>
            <w:vAlign w:val="center"/>
          </w:tcPr>
          <w:p w14:paraId="02C1D040" w14:textId="77777777" w:rsidR="000D2C16" w:rsidRPr="00603AFC" w:rsidRDefault="000D2C16" w:rsidP="000D2C16">
            <w:pPr>
              <w:keepNext/>
              <w:jc w:val="left"/>
              <w:rPr>
                <w:rFonts w:ascii="Times" w:eastAsiaTheme="majorEastAsia" w:hAnsi="Times" w:cstheme="majorBidi"/>
                <w:bCs/>
                <w:sz w:val="20"/>
              </w:rPr>
            </w:pPr>
            <w:r w:rsidRPr="00603AFC">
              <w:rPr>
                <w:rFonts w:ascii="Arial Narrow" w:eastAsiaTheme="majorEastAsia" w:hAnsi="Arial Narrow" w:cstheme="majorBidi"/>
                <w:bCs/>
                <w:sz w:val="20"/>
              </w:rPr>
              <w:t>Incremental cost/extra responder</w:t>
            </w:r>
          </w:p>
        </w:tc>
        <w:tc>
          <w:tcPr>
            <w:tcW w:w="838" w:type="pct"/>
            <w:vAlign w:val="center"/>
          </w:tcPr>
          <w:p w14:paraId="605EDEEC" w14:textId="0CF5F4CC"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w:t>
            </w:r>
            <w:r w:rsidR="00164331"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0D2C16" w:rsidRPr="00603AFC" w14:paraId="0E5AD4E3" w14:textId="77777777" w:rsidTr="00306AFC">
        <w:tc>
          <w:tcPr>
            <w:tcW w:w="5000" w:type="pct"/>
            <w:gridSpan w:val="4"/>
            <w:vAlign w:val="center"/>
          </w:tcPr>
          <w:p w14:paraId="79F6DBCA" w14:textId="77777777" w:rsidR="000D2C16" w:rsidRPr="00603AFC" w:rsidRDefault="000D2C16" w:rsidP="000D2C16">
            <w:pPr>
              <w:keepNext/>
              <w:jc w:val="left"/>
              <w:rPr>
                <w:rFonts w:ascii="Arial Narrow" w:eastAsiaTheme="majorEastAsia" w:hAnsi="Arial Narrow" w:cs="Times New Roman"/>
                <w:b/>
                <w:sz w:val="20"/>
              </w:rPr>
            </w:pPr>
            <w:r w:rsidRPr="00603AFC">
              <w:rPr>
                <w:rFonts w:ascii="Arial Narrow" w:eastAsiaTheme="majorEastAsia" w:hAnsi="Arial Narrow" w:cs="Times New Roman"/>
                <w:b/>
                <w:sz w:val="20"/>
              </w:rPr>
              <w:t xml:space="preserve">Step 2: Cost per QALY at 1 year, </w:t>
            </w:r>
            <w:proofErr w:type="spellStart"/>
            <w:r w:rsidRPr="00603AFC">
              <w:rPr>
                <w:rFonts w:ascii="Arial Narrow" w:eastAsiaTheme="majorEastAsia" w:hAnsi="Arial Narrow" w:cs="Times New Roman"/>
                <w:b/>
                <w:sz w:val="20"/>
              </w:rPr>
              <w:t>anifrolumab</w:t>
            </w:r>
            <w:proofErr w:type="spellEnd"/>
            <w:r w:rsidRPr="00603AFC">
              <w:rPr>
                <w:rFonts w:ascii="Arial Narrow" w:eastAsiaTheme="majorEastAsia" w:hAnsi="Arial Narrow" w:cs="Times New Roman"/>
                <w:b/>
                <w:sz w:val="20"/>
              </w:rPr>
              <w:t xml:space="preserve"> costs, no discounting</w:t>
            </w:r>
          </w:p>
        </w:tc>
      </w:tr>
      <w:tr w:rsidR="000D2C16" w:rsidRPr="00603AFC" w14:paraId="17C1AEBD" w14:textId="77777777" w:rsidTr="00306AFC">
        <w:tc>
          <w:tcPr>
            <w:tcW w:w="1529" w:type="pct"/>
            <w:vAlign w:val="center"/>
          </w:tcPr>
          <w:p w14:paraId="4DA5CFB9" w14:textId="77777777" w:rsidR="000D2C16" w:rsidRPr="00603AFC" w:rsidRDefault="000D2C16" w:rsidP="000D2C16">
            <w:pPr>
              <w:keepNext/>
              <w:jc w:val="left"/>
              <w:rPr>
                <w:rFonts w:ascii="Times" w:eastAsiaTheme="majorEastAsia" w:hAnsi="Times" w:cstheme="majorBidi"/>
                <w:bCs/>
                <w:sz w:val="20"/>
              </w:rPr>
            </w:pPr>
            <w:r w:rsidRPr="00603AFC">
              <w:rPr>
                <w:rFonts w:ascii="Arial Narrow" w:eastAsiaTheme="majorEastAsia" w:hAnsi="Arial Narrow" w:cstheme="majorBidi"/>
                <w:bCs/>
                <w:sz w:val="20"/>
              </w:rPr>
              <w:t>Costs</w:t>
            </w:r>
          </w:p>
        </w:tc>
        <w:tc>
          <w:tcPr>
            <w:tcW w:w="1359" w:type="pct"/>
          </w:tcPr>
          <w:p w14:paraId="6D1EBC14" w14:textId="6A6FF370"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w:t>
            </w:r>
            <w:r w:rsidR="00164331"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274" w:type="pct"/>
          </w:tcPr>
          <w:p w14:paraId="4F223D3B" w14:textId="77777777"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 xml:space="preserve">$0 </w:t>
            </w:r>
          </w:p>
        </w:tc>
        <w:tc>
          <w:tcPr>
            <w:tcW w:w="838" w:type="pct"/>
          </w:tcPr>
          <w:p w14:paraId="6F93E4E9" w14:textId="5CB132CD"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w:t>
            </w:r>
            <w:r w:rsidR="00164331"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Pr="00603AFC">
              <w:rPr>
                <w:rFonts w:ascii="Arial Narrow" w:eastAsiaTheme="majorEastAsia" w:hAnsi="Arial Narrow" w:cstheme="majorBidi"/>
                <w:bCs/>
                <w:sz w:val="20"/>
              </w:rPr>
              <w:t xml:space="preserve"> </w:t>
            </w:r>
          </w:p>
        </w:tc>
      </w:tr>
      <w:tr w:rsidR="000D2C16" w:rsidRPr="00603AFC" w14:paraId="0309A2CD" w14:textId="77777777" w:rsidTr="00306AFC">
        <w:tc>
          <w:tcPr>
            <w:tcW w:w="1529" w:type="pct"/>
            <w:vAlign w:val="center"/>
          </w:tcPr>
          <w:p w14:paraId="7C59584E" w14:textId="77777777" w:rsidR="000D2C16" w:rsidRPr="00603AFC" w:rsidRDefault="000D2C16" w:rsidP="000D2C16">
            <w:pPr>
              <w:keepNext/>
              <w:jc w:val="left"/>
              <w:rPr>
                <w:rFonts w:ascii="Times" w:eastAsiaTheme="majorEastAsia" w:hAnsi="Times" w:cstheme="majorBidi"/>
                <w:bCs/>
                <w:sz w:val="20"/>
              </w:rPr>
            </w:pPr>
            <w:r w:rsidRPr="00603AFC">
              <w:rPr>
                <w:rFonts w:ascii="Arial Narrow" w:eastAsiaTheme="majorEastAsia" w:hAnsi="Arial Narrow" w:cstheme="majorBidi"/>
                <w:bCs/>
                <w:sz w:val="20"/>
              </w:rPr>
              <w:t>QALYs gained</w:t>
            </w:r>
          </w:p>
        </w:tc>
        <w:tc>
          <w:tcPr>
            <w:tcW w:w="1359" w:type="pct"/>
          </w:tcPr>
          <w:p w14:paraId="0A9DABC4" w14:textId="77777777"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0.818</w:t>
            </w:r>
          </w:p>
        </w:tc>
        <w:tc>
          <w:tcPr>
            <w:tcW w:w="1274" w:type="pct"/>
          </w:tcPr>
          <w:p w14:paraId="5DD32264" w14:textId="77777777"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0.785</w:t>
            </w:r>
          </w:p>
        </w:tc>
        <w:tc>
          <w:tcPr>
            <w:tcW w:w="838" w:type="pct"/>
          </w:tcPr>
          <w:p w14:paraId="07DB4C45" w14:textId="77777777" w:rsidR="000D2C16" w:rsidRPr="00603AFC" w:rsidRDefault="000D2C16" w:rsidP="000D2C16">
            <w:pPr>
              <w:keepNext/>
              <w:jc w:val="center"/>
              <w:rPr>
                <w:rFonts w:ascii="Arial Narrow" w:eastAsiaTheme="majorEastAsia" w:hAnsi="Arial Narrow" w:cstheme="majorBidi"/>
                <w:bCs/>
                <w:sz w:val="20"/>
              </w:rPr>
            </w:pPr>
            <w:r w:rsidRPr="00603AFC">
              <w:rPr>
                <w:rFonts w:ascii="Arial Narrow" w:eastAsiaTheme="majorEastAsia" w:hAnsi="Arial Narrow" w:cstheme="majorBidi"/>
                <w:bCs/>
                <w:sz w:val="20"/>
              </w:rPr>
              <w:t>0.033</w:t>
            </w:r>
          </w:p>
        </w:tc>
      </w:tr>
      <w:tr w:rsidR="000D2C16" w:rsidRPr="00603AFC" w14:paraId="1323812F" w14:textId="77777777" w:rsidTr="00306AFC">
        <w:tc>
          <w:tcPr>
            <w:tcW w:w="4162" w:type="pct"/>
            <w:gridSpan w:val="3"/>
            <w:vAlign w:val="center"/>
          </w:tcPr>
          <w:p w14:paraId="23B73AA3" w14:textId="77777777" w:rsidR="000D2C16" w:rsidRPr="00603AFC" w:rsidRDefault="000D2C16" w:rsidP="000D2C16">
            <w:pPr>
              <w:keepNext/>
              <w:jc w:val="left"/>
              <w:rPr>
                <w:rFonts w:ascii="Times" w:eastAsiaTheme="majorEastAsia" w:hAnsi="Times" w:cstheme="majorBidi"/>
                <w:bCs/>
                <w:sz w:val="20"/>
              </w:rPr>
            </w:pPr>
            <w:r w:rsidRPr="00603AFC">
              <w:rPr>
                <w:rFonts w:ascii="Arial Narrow" w:eastAsiaTheme="majorEastAsia" w:hAnsi="Arial Narrow" w:cstheme="majorBidi"/>
                <w:bCs/>
                <w:sz w:val="20"/>
              </w:rPr>
              <w:t>Incremental cost/extra QALY gained</w:t>
            </w:r>
          </w:p>
        </w:tc>
        <w:tc>
          <w:tcPr>
            <w:tcW w:w="838" w:type="pct"/>
            <w:vAlign w:val="center"/>
          </w:tcPr>
          <w:p w14:paraId="4751407B" w14:textId="72746E00"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w:t>
            </w:r>
            <w:r w:rsidR="00164331"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0D2C16" w:rsidRPr="00603AFC" w14:paraId="5B8B22CC" w14:textId="77777777" w:rsidTr="00306AFC">
        <w:tc>
          <w:tcPr>
            <w:tcW w:w="5000" w:type="pct"/>
            <w:gridSpan w:val="4"/>
            <w:vAlign w:val="center"/>
          </w:tcPr>
          <w:p w14:paraId="541F9B06" w14:textId="77777777" w:rsidR="000D2C16" w:rsidRPr="00603AFC" w:rsidRDefault="000D2C16" w:rsidP="000D2C16">
            <w:pPr>
              <w:keepNext/>
              <w:jc w:val="left"/>
              <w:rPr>
                <w:rFonts w:ascii="Arial Narrow" w:eastAsiaTheme="majorEastAsia" w:hAnsi="Arial Narrow" w:cs="Times New Roman"/>
                <w:b/>
                <w:sz w:val="20"/>
              </w:rPr>
            </w:pPr>
            <w:r w:rsidRPr="00603AFC">
              <w:rPr>
                <w:rFonts w:ascii="Arial Narrow" w:eastAsiaTheme="majorEastAsia" w:hAnsi="Arial Narrow" w:cs="Times New Roman"/>
                <w:b/>
                <w:sz w:val="20"/>
              </w:rPr>
              <w:t>Step 3: Cost per QALY at 1 year, all costs, no discounting</w:t>
            </w:r>
          </w:p>
        </w:tc>
      </w:tr>
      <w:tr w:rsidR="000D2C16" w:rsidRPr="00603AFC" w14:paraId="5FFB87EF" w14:textId="77777777" w:rsidTr="00306AFC">
        <w:tc>
          <w:tcPr>
            <w:tcW w:w="1529" w:type="pct"/>
            <w:vAlign w:val="center"/>
          </w:tcPr>
          <w:p w14:paraId="03C2E25A" w14:textId="77777777" w:rsidR="000D2C16" w:rsidRPr="00603AFC" w:rsidRDefault="000D2C16" w:rsidP="000D2C16">
            <w:pPr>
              <w:keepNext/>
              <w:jc w:val="left"/>
              <w:rPr>
                <w:rFonts w:ascii="Times" w:eastAsiaTheme="majorEastAsia" w:hAnsi="Times" w:cstheme="majorBidi"/>
                <w:bCs/>
                <w:sz w:val="20"/>
              </w:rPr>
            </w:pPr>
            <w:proofErr w:type="spellStart"/>
            <w:proofErr w:type="gramStart"/>
            <w:r w:rsidRPr="00603AFC">
              <w:rPr>
                <w:rFonts w:ascii="Arial Narrow" w:eastAsiaTheme="majorEastAsia" w:hAnsi="Arial Narrow" w:cstheme="majorBidi"/>
                <w:bCs/>
                <w:sz w:val="20"/>
              </w:rPr>
              <w:t>Costs</w:t>
            </w:r>
            <w:r w:rsidRPr="00603AFC">
              <w:rPr>
                <w:rFonts w:ascii="Arial Narrow" w:eastAsiaTheme="majorEastAsia" w:hAnsi="Arial Narrow" w:cstheme="majorBidi"/>
                <w:bCs/>
                <w:sz w:val="20"/>
                <w:vertAlign w:val="superscript"/>
              </w:rPr>
              <w:t>b,c</w:t>
            </w:r>
            <w:proofErr w:type="spellEnd"/>
            <w:proofErr w:type="gramEnd"/>
          </w:p>
        </w:tc>
        <w:tc>
          <w:tcPr>
            <w:tcW w:w="1359" w:type="pct"/>
          </w:tcPr>
          <w:p w14:paraId="66723BEF" w14:textId="243E83AF"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w:t>
            </w:r>
            <w:r w:rsidR="00164331"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Pr="00603AFC">
              <w:rPr>
                <w:rFonts w:ascii="Arial Narrow" w:eastAsiaTheme="majorEastAsia" w:hAnsi="Arial Narrow" w:cstheme="majorBidi"/>
                <w:bCs/>
                <w:sz w:val="20"/>
              </w:rPr>
              <w:t xml:space="preserve"> </w:t>
            </w:r>
          </w:p>
        </w:tc>
        <w:tc>
          <w:tcPr>
            <w:tcW w:w="1274" w:type="pct"/>
          </w:tcPr>
          <w:p w14:paraId="4772243A" w14:textId="77777777"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 xml:space="preserve">$5,530 </w:t>
            </w:r>
          </w:p>
        </w:tc>
        <w:tc>
          <w:tcPr>
            <w:tcW w:w="838" w:type="pct"/>
          </w:tcPr>
          <w:p w14:paraId="00E4AE33" w14:textId="6102C063"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w:t>
            </w:r>
            <w:r w:rsidR="00164331"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Pr="00603AFC">
              <w:rPr>
                <w:rFonts w:ascii="Arial Narrow" w:eastAsiaTheme="majorEastAsia" w:hAnsi="Arial Narrow" w:cstheme="majorBidi"/>
                <w:bCs/>
                <w:sz w:val="20"/>
              </w:rPr>
              <w:t xml:space="preserve"> </w:t>
            </w:r>
          </w:p>
        </w:tc>
      </w:tr>
      <w:tr w:rsidR="000D2C16" w:rsidRPr="00603AFC" w14:paraId="4B75EB88" w14:textId="77777777" w:rsidTr="00306AFC">
        <w:tc>
          <w:tcPr>
            <w:tcW w:w="1529" w:type="pct"/>
            <w:vAlign w:val="center"/>
          </w:tcPr>
          <w:p w14:paraId="4F9AB883" w14:textId="77777777" w:rsidR="000D2C16" w:rsidRPr="00603AFC" w:rsidRDefault="000D2C16" w:rsidP="000D2C16">
            <w:pPr>
              <w:keepNext/>
              <w:jc w:val="left"/>
              <w:rPr>
                <w:rFonts w:ascii="Times" w:eastAsiaTheme="majorEastAsia" w:hAnsi="Times" w:cstheme="majorBidi"/>
                <w:bCs/>
                <w:sz w:val="20"/>
              </w:rPr>
            </w:pPr>
            <w:r w:rsidRPr="00603AFC">
              <w:rPr>
                <w:rFonts w:ascii="Arial Narrow" w:eastAsiaTheme="majorEastAsia" w:hAnsi="Arial Narrow" w:cstheme="majorBidi"/>
                <w:bCs/>
                <w:sz w:val="20"/>
              </w:rPr>
              <w:t>QALYs gained</w:t>
            </w:r>
          </w:p>
        </w:tc>
        <w:tc>
          <w:tcPr>
            <w:tcW w:w="1359" w:type="pct"/>
          </w:tcPr>
          <w:p w14:paraId="7DA552FA" w14:textId="77777777"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0.818</w:t>
            </w:r>
          </w:p>
        </w:tc>
        <w:tc>
          <w:tcPr>
            <w:tcW w:w="1274" w:type="pct"/>
          </w:tcPr>
          <w:p w14:paraId="4A6D3569" w14:textId="77777777"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0.785</w:t>
            </w:r>
          </w:p>
        </w:tc>
        <w:tc>
          <w:tcPr>
            <w:tcW w:w="838" w:type="pct"/>
          </w:tcPr>
          <w:p w14:paraId="5AA6C8E5" w14:textId="77777777" w:rsidR="000D2C16" w:rsidRPr="00603AFC" w:rsidRDefault="000D2C16" w:rsidP="000D2C16">
            <w:pPr>
              <w:keepNext/>
              <w:jc w:val="center"/>
              <w:rPr>
                <w:rFonts w:ascii="Arial Narrow" w:eastAsiaTheme="majorEastAsia" w:hAnsi="Arial Narrow" w:cstheme="majorBidi"/>
                <w:bCs/>
                <w:sz w:val="20"/>
              </w:rPr>
            </w:pPr>
            <w:r w:rsidRPr="00603AFC">
              <w:rPr>
                <w:rFonts w:ascii="Arial Narrow" w:eastAsiaTheme="majorEastAsia" w:hAnsi="Arial Narrow" w:cstheme="majorBidi"/>
                <w:bCs/>
                <w:sz w:val="20"/>
              </w:rPr>
              <w:t>0.033</w:t>
            </w:r>
          </w:p>
        </w:tc>
      </w:tr>
      <w:tr w:rsidR="000D2C16" w:rsidRPr="00603AFC" w14:paraId="626B0D0F" w14:textId="77777777" w:rsidTr="00306AFC">
        <w:tc>
          <w:tcPr>
            <w:tcW w:w="4162" w:type="pct"/>
            <w:gridSpan w:val="3"/>
            <w:vAlign w:val="center"/>
          </w:tcPr>
          <w:p w14:paraId="05D9A14B" w14:textId="77777777" w:rsidR="000D2C16" w:rsidRPr="00603AFC" w:rsidRDefault="000D2C16" w:rsidP="000D2C16">
            <w:pPr>
              <w:keepNext/>
              <w:jc w:val="left"/>
              <w:rPr>
                <w:rFonts w:ascii="Times" w:eastAsiaTheme="majorEastAsia" w:hAnsi="Times" w:cstheme="majorBidi"/>
                <w:bCs/>
                <w:sz w:val="20"/>
              </w:rPr>
            </w:pPr>
            <w:r w:rsidRPr="00603AFC">
              <w:rPr>
                <w:rFonts w:ascii="Arial Narrow" w:eastAsiaTheme="majorEastAsia" w:hAnsi="Arial Narrow" w:cstheme="majorBidi"/>
                <w:bCs/>
                <w:sz w:val="20"/>
              </w:rPr>
              <w:t>Incremental cost/extra QALY gained</w:t>
            </w:r>
          </w:p>
        </w:tc>
        <w:tc>
          <w:tcPr>
            <w:tcW w:w="838" w:type="pct"/>
            <w:vAlign w:val="center"/>
          </w:tcPr>
          <w:p w14:paraId="090D6868" w14:textId="7044AC91"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w:t>
            </w:r>
            <w:r w:rsidR="00164331"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0D2C16" w:rsidRPr="00603AFC" w14:paraId="3279A9D1" w14:textId="77777777" w:rsidTr="00306AFC">
        <w:tc>
          <w:tcPr>
            <w:tcW w:w="5000" w:type="pct"/>
            <w:gridSpan w:val="4"/>
            <w:vAlign w:val="center"/>
          </w:tcPr>
          <w:p w14:paraId="3FE0E9E4" w14:textId="79825A82" w:rsidR="000D2C16" w:rsidRPr="00603AFC" w:rsidRDefault="000D2C16" w:rsidP="000D2C16">
            <w:pPr>
              <w:keepNext/>
              <w:jc w:val="left"/>
              <w:rPr>
                <w:rFonts w:ascii="Arial Narrow" w:eastAsiaTheme="majorEastAsia" w:hAnsi="Arial Narrow" w:cs="Times New Roman"/>
                <w:b/>
                <w:sz w:val="20"/>
              </w:rPr>
            </w:pPr>
            <w:r w:rsidRPr="00603AFC">
              <w:rPr>
                <w:rFonts w:ascii="Arial Narrow" w:eastAsiaTheme="majorEastAsia" w:hAnsi="Arial Narrow" w:cs="Times New Roman"/>
                <w:b/>
                <w:sz w:val="20"/>
              </w:rPr>
              <w:t xml:space="preserve">Step 4: Cost per </w:t>
            </w:r>
            <w:r w:rsidR="007C3155" w:rsidRPr="00603AFC">
              <w:rPr>
                <w:rFonts w:ascii="Arial Narrow" w:eastAsiaTheme="majorEastAsia" w:hAnsi="Arial Narrow" w:cs="Times New Roman"/>
                <w:b/>
                <w:sz w:val="20"/>
              </w:rPr>
              <w:t>L</w:t>
            </w:r>
            <w:r w:rsidRPr="00603AFC">
              <w:rPr>
                <w:rFonts w:ascii="Arial Narrow" w:eastAsiaTheme="majorEastAsia" w:hAnsi="Arial Narrow" w:cs="Times New Roman"/>
                <w:b/>
                <w:sz w:val="20"/>
              </w:rPr>
              <w:t>Y</w:t>
            </w:r>
            <w:r w:rsidR="007C3155" w:rsidRPr="00603AFC">
              <w:rPr>
                <w:rFonts w:ascii="Arial Narrow" w:eastAsiaTheme="majorEastAsia" w:hAnsi="Arial Narrow" w:cs="Times New Roman"/>
                <w:b/>
                <w:sz w:val="20"/>
              </w:rPr>
              <w:t>G</w:t>
            </w:r>
            <w:r w:rsidRPr="00603AFC">
              <w:rPr>
                <w:rFonts w:ascii="Arial Narrow" w:eastAsiaTheme="majorEastAsia" w:hAnsi="Arial Narrow" w:cs="Times New Roman"/>
                <w:b/>
                <w:sz w:val="20"/>
              </w:rPr>
              <w:t xml:space="preserve"> at 30 years, 5% discounting for costs and benefits (base case)</w:t>
            </w:r>
          </w:p>
        </w:tc>
      </w:tr>
      <w:tr w:rsidR="000D2C16" w:rsidRPr="00603AFC" w14:paraId="40575E50" w14:textId="77777777" w:rsidTr="00306AFC">
        <w:tc>
          <w:tcPr>
            <w:tcW w:w="1529" w:type="pct"/>
            <w:vAlign w:val="center"/>
          </w:tcPr>
          <w:p w14:paraId="0074968A" w14:textId="77777777" w:rsidR="000D2C16" w:rsidRPr="00603AFC" w:rsidRDefault="000D2C16" w:rsidP="000D2C16">
            <w:pPr>
              <w:keepNext/>
              <w:jc w:val="left"/>
              <w:rPr>
                <w:rFonts w:ascii="Times" w:eastAsiaTheme="majorEastAsia" w:hAnsi="Times" w:cstheme="majorBidi"/>
                <w:bCs/>
                <w:sz w:val="20"/>
              </w:rPr>
            </w:pPr>
            <w:proofErr w:type="spellStart"/>
            <w:r w:rsidRPr="00603AFC">
              <w:rPr>
                <w:rFonts w:ascii="Arial Narrow" w:eastAsiaTheme="majorEastAsia" w:hAnsi="Arial Narrow" w:cstheme="majorBidi"/>
                <w:bCs/>
                <w:sz w:val="20"/>
              </w:rPr>
              <w:t>Costs</w:t>
            </w:r>
            <w:r w:rsidRPr="00603AFC">
              <w:rPr>
                <w:rFonts w:ascii="Arial Narrow" w:eastAsiaTheme="majorEastAsia" w:hAnsi="Arial Narrow" w:cstheme="majorBidi"/>
                <w:bCs/>
                <w:sz w:val="20"/>
                <w:vertAlign w:val="superscript"/>
              </w:rPr>
              <w:t>c</w:t>
            </w:r>
            <w:proofErr w:type="spellEnd"/>
          </w:p>
        </w:tc>
        <w:tc>
          <w:tcPr>
            <w:tcW w:w="1359" w:type="pct"/>
          </w:tcPr>
          <w:p w14:paraId="13BFD6EB" w14:textId="023E5FC0"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w:t>
            </w:r>
            <w:r w:rsidR="00164331"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Pr="00603AFC">
              <w:rPr>
                <w:rFonts w:ascii="Arial Narrow" w:eastAsiaTheme="majorEastAsia" w:hAnsi="Arial Narrow" w:cstheme="majorBidi"/>
                <w:bCs/>
                <w:sz w:val="20"/>
              </w:rPr>
              <w:t xml:space="preserve"> </w:t>
            </w:r>
          </w:p>
        </w:tc>
        <w:tc>
          <w:tcPr>
            <w:tcW w:w="1274" w:type="pct"/>
          </w:tcPr>
          <w:p w14:paraId="41A4C459" w14:textId="77777777"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 xml:space="preserve">$98,456 </w:t>
            </w:r>
          </w:p>
        </w:tc>
        <w:tc>
          <w:tcPr>
            <w:tcW w:w="838" w:type="pct"/>
          </w:tcPr>
          <w:p w14:paraId="690D5A8A" w14:textId="4BB77AA0"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w:t>
            </w:r>
            <w:r w:rsidR="00164331"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Pr="00603AFC">
              <w:rPr>
                <w:rFonts w:ascii="Arial Narrow" w:eastAsiaTheme="majorEastAsia" w:hAnsi="Arial Narrow" w:cstheme="majorBidi"/>
                <w:bCs/>
                <w:sz w:val="20"/>
              </w:rPr>
              <w:t xml:space="preserve"> </w:t>
            </w:r>
          </w:p>
        </w:tc>
      </w:tr>
      <w:tr w:rsidR="000D2C16" w:rsidRPr="00603AFC" w14:paraId="23371215" w14:textId="77777777" w:rsidTr="00306AFC">
        <w:tc>
          <w:tcPr>
            <w:tcW w:w="1529" w:type="pct"/>
            <w:vAlign w:val="center"/>
          </w:tcPr>
          <w:p w14:paraId="72C9F867" w14:textId="77777777" w:rsidR="000D2C16" w:rsidRPr="00603AFC" w:rsidRDefault="000D2C16" w:rsidP="000D2C16">
            <w:pPr>
              <w:keepNext/>
              <w:jc w:val="left"/>
              <w:rPr>
                <w:rFonts w:ascii="Arial Narrow" w:eastAsiaTheme="majorEastAsia" w:hAnsi="Arial Narrow" w:cstheme="majorBidi"/>
                <w:bCs/>
                <w:sz w:val="20"/>
              </w:rPr>
            </w:pPr>
            <w:r w:rsidRPr="00603AFC">
              <w:rPr>
                <w:rFonts w:ascii="Arial Narrow" w:eastAsiaTheme="majorEastAsia" w:hAnsi="Arial Narrow" w:cstheme="majorBidi"/>
                <w:bCs/>
                <w:sz w:val="20"/>
              </w:rPr>
              <w:t>LYG</w:t>
            </w:r>
          </w:p>
        </w:tc>
        <w:tc>
          <w:tcPr>
            <w:tcW w:w="1359" w:type="pct"/>
          </w:tcPr>
          <w:p w14:paraId="494B8359" w14:textId="77777777" w:rsidR="000D2C16" w:rsidRPr="00603AFC" w:rsidRDefault="000D2C16" w:rsidP="000D2C16">
            <w:pPr>
              <w:keepNext/>
              <w:jc w:val="center"/>
              <w:rPr>
                <w:rFonts w:ascii="Arial Narrow" w:eastAsiaTheme="majorEastAsia" w:hAnsi="Arial Narrow" w:cstheme="majorBidi"/>
                <w:bCs/>
                <w:sz w:val="20"/>
              </w:rPr>
            </w:pPr>
            <w:r w:rsidRPr="00603AFC">
              <w:rPr>
                <w:rFonts w:ascii="Arial Narrow" w:eastAsiaTheme="majorEastAsia" w:hAnsi="Arial Narrow" w:cstheme="majorBidi"/>
                <w:bCs/>
                <w:sz w:val="20"/>
              </w:rPr>
              <w:t>13.491</w:t>
            </w:r>
          </w:p>
        </w:tc>
        <w:tc>
          <w:tcPr>
            <w:tcW w:w="1274" w:type="pct"/>
          </w:tcPr>
          <w:p w14:paraId="70FAD7F4" w14:textId="77777777" w:rsidR="000D2C16" w:rsidRPr="00603AFC" w:rsidRDefault="000D2C16" w:rsidP="000D2C16">
            <w:pPr>
              <w:keepNext/>
              <w:jc w:val="center"/>
              <w:rPr>
                <w:rFonts w:ascii="Arial Narrow" w:eastAsiaTheme="majorEastAsia" w:hAnsi="Arial Narrow" w:cstheme="majorBidi"/>
                <w:bCs/>
                <w:sz w:val="20"/>
              </w:rPr>
            </w:pPr>
            <w:r w:rsidRPr="00603AFC">
              <w:rPr>
                <w:rFonts w:ascii="Arial Narrow" w:eastAsiaTheme="majorEastAsia" w:hAnsi="Arial Narrow" w:cstheme="majorBidi"/>
                <w:bCs/>
                <w:sz w:val="20"/>
              </w:rPr>
              <w:t>12.721</w:t>
            </w:r>
          </w:p>
        </w:tc>
        <w:tc>
          <w:tcPr>
            <w:tcW w:w="838" w:type="pct"/>
          </w:tcPr>
          <w:p w14:paraId="623B97AF" w14:textId="77777777" w:rsidR="000D2C16" w:rsidRPr="00603AFC" w:rsidRDefault="000D2C16" w:rsidP="000D2C16">
            <w:pPr>
              <w:keepNext/>
              <w:jc w:val="center"/>
              <w:rPr>
                <w:rFonts w:ascii="Arial Narrow" w:eastAsiaTheme="majorEastAsia" w:hAnsi="Arial Narrow" w:cstheme="majorBidi"/>
                <w:bCs/>
                <w:sz w:val="20"/>
              </w:rPr>
            </w:pPr>
            <w:r w:rsidRPr="00603AFC">
              <w:rPr>
                <w:rFonts w:ascii="Arial Narrow" w:eastAsiaTheme="majorEastAsia" w:hAnsi="Arial Narrow" w:cstheme="majorBidi"/>
                <w:bCs/>
                <w:sz w:val="20"/>
              </w:rPr>
              <w:t>0.770</w:t>
            </w:r>
          </w:p>
        </w:tc>
      </w:tr>
      <w:tr w:rsidR="000D2C16" w:rsidRPr="00603AFC" w14:paraId="0BC5D431" w14:textId="77777777" w:rsidTr="00306AFC">
        <w:tc>
          <w:tcPr>
            <w:tcW w:w="4162" w:type="pct"/>
            <w:gridSpan w:val="3"/>
            <w:vAlign w:val="center"/>
          </w:tcPr>
          <w:p w14:paraId="12BD6CA0" w14:textId="0F13E806" w:rsidR="000D2C16" w:rsidRPr="00603AFC" w:rsidRDefault="000D2C16" w:rsidP="000D2C16">
            <w:pPr>
              <w:keepNext/>
              <w:jc w:val="left"/>
              <w:rPr>
                <w:rFonts w:ascii="Arial Narrow" w:eastAsiaTheme="majorEastAsia" w:hAnsi="Arial Narrow" w:cstheme="majorBidi"/>
                <w:b/>
                <w:bCs/>
                <w:sz w:val="20"/>
              </w:rPr>
            </w:pPr>
            <w:r w:rsidRPr="00603AFC">
              <w:rPr>
                <w:rFonts w:ascii="Arial Narrow" w:eastAsiaTheme="majorEastAsia" w:hAnsi="Arial Narrow" w:cstheme="majorBidi"/>
                <w:b/>
                <w:bCs/>
                <w:sz w:val="20"/>
              </w:rPr>
              <w:t>Incremental cost/</w:t>
            </w:r>
            <w:r w:rsidR="007C3155" w:rsidRPr="00603AFC">
              <w:rPr>
                <w:rFonts w:ascii="Arial Narrow" w:eastAsiaTheme="majorEastAsia" w:hAnsi="Arial Narrow" w:cstheme="majorBidi"/>
                <w:b/>
                <w:bCs/>
                <w:sz w:val="20"/>
              </w:rPr>
              <w:t>QALY</w:t>
            </w:r>
          </w:p>
        </w:tc>
        <w:tc>
          <w:tcPr>
            <w:tcW w:w="838" w:type="pct"/>
            <w:vAlign w:val="center"/>
          </w:tcPr>
          <w:p w14:paraId="07FCE40F" w14:textId="382EB892" w:rsidR="000D2C16" w:rsidRPr="00603AFC" w:rsidRDefault="000D2C16" w:rsidP="000D2C16">
            <w:pPr>
              <w:keepNext/>
              <w:jc w:val="center"/>
              <w:rPr>
                <w:rFonts w:ascii="Arial Narrow" w:eastAsiaTheme="majorEastAsia" w:hAnsi="Arial Narrow" w:cstheme="majorBidi"/>
                <w:b/>
                <w:bCs/>
                <w:sz w:val="20"/>
              </w:rPr>
            </w:pPr>
            <w:r w:rsidRPr="00603AFC">
              <w:rPr>
                <w:rFonts w:ascii="Arial Narrow" w:eastAsiaTheme="majorEastAsia" w:hAnsi="Arial Narrow" w:cstheme="majorBidi"/>
                <w:b/>
                <w:bCs/>
                <w:sz w:val="20"/>
              </w:rPr>
              <w:t>$</w:t>
            </w:r>
            <w:r w:rsidR="00164331" w:rsidRPr="00164331">
              <w:rPr>
                <w:rFonts w:ascii="Arial Narrow" w:eastAsiaTheme="majorEastAsia" w:hAnsi="Arial Narrow" w:cstheme="majorBidi"/>
                <w:b/>
                <w:bCs/>
                <w:color w:val="000000"/>
                <w:sz w:val="20"/>
                <w:shd w:val="solid" w:color="000000" w:fill="000000"/>
                <w14:textFill>
                  <w14:solidFill>
                    <w14:srgbClr w14:val="000000">
                      <w14:alpha w14:val="100000"/>
                    </w14:srgbClr>
                  </w14:solidFill>
                </w14:textFill>
              </w:rPr>
              <w:t>|</w:t>
            </w:r>
          </w:p>
        </w:tc>
      </w:tr>
      <w:tr w:rsidR="000D2C16" w:rsidRPr="00603AFC" w14:paraId="72556CDA" w14:textId="77777777" w:rsidTr="00306AFC">
        <w:tc>
          <w:tcPr>
            <w:tcW w:w="1529" w:type="pct"/>
            <w:vAlign w:val="center"/>
          </w:tcPr>
          <w:p w14:paraId="3F6A0CE1" w14:textId="77777777" w:rsidR="000D2C16" w:rsidRPr="00603AFC" w:rsidRDefault="000D2C16" w:rsidP="000D2C16">
            <w:pPr>
              <w:keepNext/>
              <w:jc w:val="left"/>
              <w:rPr>
                <w:rFonts w:ascii="Times" w:eastAsiaTheme="majorEastAsia" w:hAnsi="Times" w:cstheme="majorBidi"/>
                <w:bCs/>
                <w:sz w:val="20"/>
              </w:rPr>
            </w:pPr>
            <w:r w:rsidRPr="00603AFC">
              <w:rPr>
                <w:rFonts w:ascii="Arial Narrow" w:eastAsiaTheme="majorEastAsia" w:hAnsi="Arial Narrow" w:cstheme="majorBidi"/>
                <w:bCs/>
                <w:sz w:val="20"/>
              </w:rPr>
              <w:t>QALYs gained</w:t>
            </w:r>
          </w:p>
        </w:tc>
        <w:tc>
          <w:tcPr>
            <w:tcW w:w="1359" w:type="pct"/>
          </w:tcPr>
          <w:p w14:paraId="627CEC9A" w14:textId="77777777"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10.219</w:t>
            </w:r>
          </w:p>
        </w:tc>
        <w:tc>
          <w:tcPr>
            <w:tcW w:w="1274" w:type="pct"/>
          </w:tcPr>
          <w:p w14:paraId="6D8DBA1E" w14:textId="77777777" w:rsidR="000D2C16" w:rsidRPr="00603AFC" w:rsidRDefault="000D2C16" w:rsidP="000D2C16">
            <w:pPr>
              <w:keepNext/>
              <w:jc w:val="center"/>
              <w:rPr>
                <w:rFonts w:ascii="Times" w:eastAsiaTheme="majorEastAsia" w:hAnsi="Times" w:cstheme="majorBidi"/>
                <w:bCs/>
                <w:sz w:val="20"/>
              </w:rPr>
            </w:pPr>
            <w:r w:rsidRPr="00603AFC">
              <w:rPr>
                <w:rFonts w:ascii="Arial Narrow" w:eastAsiaTheme="majorEastAsia" w:hAnsi="Arial Narrow" w:cstheme="majorBidi"/>
                <w:bCs/>
                <w:sz w:val="20"/>
              </w:rPr>
              <w:t>9.375</w:t>
            </w:r>
          </w:p>
        </w:tc>
        <w:tc>
          <w:tcPr>
            <w:tcW w:w="838" w:type="pct"/>
          </w:tcPr>
          <w:p w14:paraId="7129F97F" w14:textId="77777777" w:rsidR="000D2C16" w:rsidRPr="00603AFC" w:rsidRDefault="000D2C16" w:rsidP="000D2C16">
            <w:pPr>
              <w:keepNext/>
              <w:jc w:val="center"/>
              <w:rPr>
                <w:rFonts w:ascii="Arial Narrow" w:eastAsiaTheme="majorEastAsia" w:hAnsi="Arial Narrow" w:cstheme="majorBidi"/>
                <w:bCs/>
                <w:sz w:val="20"/>
              </w:rPr>
            </w:pPr>
            <w:r w:rsidRPr="00603AFC">
              <w:rPr>
                <w:rFonts w:ascii="Arial Narrow" w:eastAsiaTheme="majorEastAsia" w:hAnsi="Arial Narrow" w:cstheme="majorBidi"/>
                <w:bCs/>
                <w:sz w:val="20"/>
              </w:rPr>
              <w:t>0.844</w:t>
            </w:r>
          </w:p>
        </w:tc>
      </w:tr>
      <w:tr w:rsidR="000D2C16" w:rsidRPr="00603AFC" w14:paraId="572E0373" w14:textId="77777777" w:rsidTr="00306AFC">
        <w:tc>
          <w:tcPr>
            <w:tcW w:w="4162" w:type="pct"/>
            <w:gridSpan w:val="3"/>
            <w:vAlign w:val="center"/>
          </w:tcPr>
          <w:p w14:paraId="523DE0CE" w14:textId="77777777" w:rsidR="000D2C16" w:rsidRPr="00603AFC" w:rsidRDefault="000D2C16" w:rsidP="000D2C16">
            <w:pPr>
              <w:keepNext/>
              <w:jc w:val="left"/>
              <w:rPr>
                <w:rFonts w:ascii="Times" w:eastAsiaTheme="majorEastAsia" w:hAnsi="Times" w:cstheme="majorBidi"/>
                <w:b/>
                <w:bCs/>
                <w:sz w:val="20"/>
              </w:rPr>
            </w:pPr>
            <w:r w:rsidRPr="00603AFC">
              <w:rPr>
                <w:rFonts w:ascii="Arial Narrow" w:eastAsiaTheme="majorEastAsia" w:hAnsi="Arial Narrow" w:cstheme="majorBidi"/>
                <w:b/>
                <w:bCs/>
                <w:sz w:val="20"/>
              </w:rPr>
              <w:t xml:space="preserve">Incremental cost/extra QALY gained (base case) </w:t>
            </w:r>
          </w:p>
        </w:tc>
        <w:tc>
          <w:tcPr>
            <w:tcW w:w="838" w:type="pct"/>
            <w:vAlign w:val="center"/>
          </w:tcPr>
          <w:p w14:paraId="2AE6112F" w14:textId="7CF7ED34" w:rsidR="000D2C16" w:rsidRPr="00603AFC" w:rsidRDefault="000D2C16" w:rsidP="000D2C16">
            <w:pPr>
              <w:keepNext/>
              <w:jc w:val="center"/>
              <w:rPr>
                <w:rFonts w:ascii="Times" w:eastAsiaTheme="majorEastAsia" w:hAnsi="Times" w:cstheme="majorBidi"/>
                <w:b/>
                <w:bCs/>
                <w:sz w:val="20"/>
              </w:rPr>
            </w:pPr>
            <w:r w:rsidRPr="00603AFC">
              <w:rPr>
                <w:rFonts w:ascii="Arial Narrow" w:eastAsiaTheme="majorEastAsia" w:hAnsi="Arial Narrow" w:cstheme="majorBidi"/>
                <w:b/>
                <w:bCs/>
                <w:sz w:val="20"/>
              </w:rPr>
              <w:t>$</w:t>
            </w:r>
            <w:r w:rsidR="00164331" w:rsidRPr="00164331">
              <w:rPr>
                <w:rFonts w:ascii="Arial Narrow" w:eastAsiaTheme="majorEastAsia" w:hAnsi="Arial Narrow" w:cstheme="majorBidi"/>
                <w:b/>
                <w:bCs/>
                <w:color w:val="000000"/>
                <w:sz w:val="20"/>
                <w:shd w:val="solid" w:color="000000" w:fill="000000"/>
                <w14:textFill>
                  <w14:solidFill>
                    <w14:srgbClr w14:val="000000">
                      <w14:alpha w14:val="100000"/>
                    </w14:srgbClr>
                  </w14:solidFill>
                </w14:textFill>
              </w:rPr>
              <w:t>|</w:t>
            </w:r>
            <w:r w:rsidRPr="00603AFC">
              <w:rPr>
                <w:rFonts w:ascii="Arial Narrow" w:eastAsiaTheme="majorEastAsia" w:hAnsi="Arial Narrow" w:cstheme="majorBidi"/>
                <w:b/>
                <w:bCs/>
                <w:sz w:val="20"/>
              </w:rPr>
              <w:t xml:space="preserve"> </w:t>
            </w:r>
          </w:p>
        </w:tc>
      </w:tr>
    </w:tbl>
    <w:p w14:paraId="1B4748A4" w14:textId="77777777" w:rsidR="000D2C16" w:rsidRPr="00603AFC" w:rsidRDefault="000D2C16" w:rsidP="000D2C16">
      <w:pPr>
        <w:spacing w:after="120"/>
        <w:contextualSpacing/>
        <w:rPr>
          <w:rFonts w:ascii="Arial Narrow" w:hAnsi="Arial Narrow"/>
          <w:iCs/>
          <w:snapToGrid w:val="0"/>
          <w:sz w:val="18"/>
          <w:szCs w:val="22"/>
        </w:rPr>
      </w:pPr>
      <w:r w:rsidRPr="000D2C16">
        <w:rPr>
          <w:rFonts w:ascii="Arial Narrow" w:hAnsi="Arial Narrow"/>
          <w:snapToGrid w:val="0"/>
          <w:sz w:val="18"/>
          <w:szCs w:val="22"/>
        </w:rPr>
        <w:t xml:space="preserve">Source: Table 3.8-1 of the submission and </w:t>
      </w:r>
      <w:r w:rsidRPr="00603AFC">
        <w:rPr>
          <w:rFonts w:ascii="Arial Narrow" w:hAnsi="Arial Narrow"/>
          <w:iCs/>
          <w:snapToGrid w:val="0"/>
          <w:sz w:val="18"/>
          <w:szCs w:val="22"/>
        </w:rPr>
        <w:t>compiled during the evaluation. LYG have been included in Step 4.</w:t>
      </w:r>
    </w:p>
    <w:p w14:paraId="18BA8AB5" w14:textId="6FFB66BA" w:rsidR="000D2C16" w:rsidRPr="000D2C16" w:rsidRDefault="00A22828" w:rsidP="000D2C16">
      <w:pPr>
        <w:spacing w:after="120"/>
        <w:contextualSpacing/>
        <w:rPr>
          <w:rFonts w:ascii="Arial Narrow" w:hAnsi="Arial Narrow"/>
          <w:snapToGrid w:val="0"/>
          <w:sz w:val="18"/>
          <w:szCs w:val="22"/>
        </w:rPr>
      </w:pPr>
      <w:r>
        <w:rPr>
          <w:rFonts w:ascii="Arial Narrow" w:hAnsi="Arial Narrow"/>
          <w:snapToGrid w:val="0"/>
          <w:sz w:val="18"/>
          <w:szCs w:val="22"/>
        </w:rPr>
        <w:t xml:space="preserve">LYG = life year gained, </w:t>
      </w:r>
      <w:r w:rsidR="000D2C16" w:rsidRPr="000D2C16">
        <w:rPr>
          <w:rFonts w:ascii="Arial Narrow" w:hAnsi="Arial Narrow"/>
          <w:snapToGrid w:val="0"/>
          <w:sz w:val="18"/>
          <w:szCs w:val="22"/>
        </w:rPr>
        <w:t>OS = overall survival, PFS = progression free survival</w:t>
      </w:r>
      <w:r>
        <w:rPr>
          <w:rFonts w:ascii="Arial Narrow" w:hAnsi="Arial Narrow"/>
          <w:snapToGrid w:val="0"/>
          <w:sz w:val="18"/>
          <w:szCs w:val="22"/>
        </w:rPr>
        <w:t>, QALY = quality adjusted life year.</w:t>
      </w:r>
    </w:p>
    <w:p w14:paraId="4767EE09" w14:textId="77777777" w:rsidR="000D2C16" w:rsidRPr="000D2C16" w:rsidRDefault="000D2C16" w:rsidP="000D2C16">
      <w:pPr>
        <w:spacing w:after="120"/>
        <w:ind w:left="165" w:hanging="165"/>
        <w:contextualSpacing/>
        <w:rPr>
          <w:rFonts w:ascii="Arial Narrow" w:hAnsi="Arial Narrow"/>
          <w:snapToGrid w:val="0"/>
          <w:sz w:val="18"/>
          <w:szCs w:val="22"/>
        </w:rPr>
      </w:pPr>
      <w:r w:rsidRPr="000D2C16">
        <w:rPr>
          <w:rFonts w:ascii="Arial Narrow" w:hAnsi="Arial Narrow"/>
          <w:snapToGrid w:val="0"/>
          <w:sz w:val="18"/>
          <w:szCs w:val="22"/>
          <w:vertAlign w:val="superscript"/>
        </w:rPr>
        <w:t>a</w:t>
      </w:r>
      <w:r w:rsidRPr="000D2C16">
        <w:rPr>
          <w:rFonts w:ascii="Arial Narrow" w:hAnsi="Arial Narrow"/>
          <w:snapToGrid w:val="0"/>
          <w:sz w:val="18"/>
          <w:szCs w:val="22"/>
        </w:rPr>
        <w:tab/>
        <w:t>Responders were hard coded into the model based on trial results. Response in the SOC arm was not modelled. Costs were based on 6 month estimates in the model.</w:t>
      </w:r>
    </w:p>
    <w:p w14:paraId="7923B684" w14:textId="41A58D62" w:rsidR="000D2C16" w:rsidRPr="000D2C16" w:rsidRDefault="000D2C16" w:rsidP="000D2C16">
      <w:pPr>
        <w:spacing w:after="120"/>
        <w:contextualSpacing/>
        <w:rPr>
          <w:rFonts w:ascii="Arial Narrow" w:hAnsi="Arial Narrow"/>
          <w:snapToGrid w:val="0"/>
          <w:sz w:val="18"/>
          <w:szCs w:val="22"/>
        </w:rPr>
      </w:pPr>
      <w:r w:rsidRPr="000D2C16">
        <w:rPr>
          <w:rFonts w:ascii="Arial Narrow" w:hAnsi="Arial Narrow"/>
          <w:snapToGrid w:val="0"/>
          <w:sz w:val="18"/>
          <w:szCs w:val="22"/>
          <w:vertAlign w:val="superscript"/>
        </w:rPr>
        <w:t>b</w:t>
      </w:r>
      <w:r w:rsidRPr="000D2C16">
        <w:rPr>
          <w:rFonts w:ascii="Arial Narrow" w:hAnsi="Arial Narrow"/>
          <w:snapToGrid w:val="0"/>
          <w:sz w:val="18"/>
          <w:szCs w:val="22"/>
        </w:rPr>
        <w:tab/>
        <w:t xml:space="preserve">Step 3 costs were incorrectly </w:t>
      </w:r>
      <w:r w:rsidR="00BD058A">
        <w:rPr>
          <w:rFonts w:ascii="Arial Narrow" w:hAnsi="Arial Narrow"/>
          <w:snapToGrid w:val="0"/>
          <w:sz w:val="18"/>
          <w:szCs w:val="22"/>
        </w:rPr>
        <w:t>copied from</w:t>
      </w:r>
      <w:r w:rsidRPr="000D2C16">
        <w:rPr>
          <w:rFonts w:ascii="Arial Narrow" w:hAnsi="Arial Narrow"/>
          <w:snapToGrid w:val="0"/>
          <w:sz w:val="18"/>
          <w:szCs w:val="22"/>
        </w:rPr>
        <w:t xml:space="preserve"> the model, and have been corrected here</w:t>
      </w:r>
    </w:p>
    <w:p w14:paraId="6A1DF1B1" w14:textId="5CE20C53" w:rsidR="000D2C16" w:rsidRDefault="000D2C16" w:rsidP="005F5621">
      <w:pPr>
        <w:spacing w:after="120"/>
        <w:contextualSpacing/>
        <w:rPr>
          <w:rFonts w:ascii="Arial Narrow" w:hAnsi="Arial Narrow"/>
          <w:snapToGrid w:val="0"/>
          <w:sz w:val="18"/>
          <w:szCs w:val="22"/>
        </w:rPr>
      </w:pPr>
      <w:r w:rsidRPr="000D2C16">
        <w:rPr>
          <w:rFonts w:ascii="Arial Narrow" w:hAnsi="Arial Narrow"/>
          <w:snapToGrid w:val="0"/>
          <w:sz w:val="18"/>
          <w:szCs w:val="22"/>
          <w:vertAlign w:val="superscript"/>
        </w:rPr>
        <w:t>c</w:t>
      </w:r>
      <w:r w:rsidRPr="000D2C16">
        <w:rPr>
          <w:rFonts w:ascii="Arial Narrow" w:hAnsi="Arial Narrow"/>
          <w:snapToGrid w:val="0"/>
          <w:sz w:val="18"/>
          <w:szCs w:val="22"/>
        </w:rPr>
        <w:tab/>
        <w:t>OCS costs corrected from those reported in Table 3.8-1 of the submission</w:t>
      </w:r>
    </w:p>
    <w:p w14:paraId="66FFB161" w14:textId="77777777" w:rsidR="005F5621" w:rsidRPr="000D2C16" w:rsidRDefault="005F5621" w:rsidP="005F5621">
      <w:pPr>
        <w:spacing w:after="120"/>
        <w:contextualSpacing/>
        <w:rPr>
          <w:rFonts w:ascii="Arial Narrow" w:hAnsi="Arial Narrow"/>
          <w:snapToGrid w:val="0"/>
          <w:sz w:val="18"/>
          <w:szCs w:val="22"/>
        </w:rPr>
      </w:pPr>
    </w:p>
    <w:p w14:paraId="10705D51" w14:textId="2E44D28B" w:rsidR="000D2C16" w:rsidRDefault="000D2C16" w:rsidP="005F5621">
      <w:pPr>
        <w:numPr>
          <w:ilvl w:val="1"/>
          <w:numId w:val="1"/>
        </w:numPr>
        <w:spacing w:after="120"/>
        <w:rPr>
          <w:rFonts w:asciiTheme="minorHAnsi" w:hAnsiTheme="minorHAnsi"/>
          <w:iCs/>
          <w:snapToGrid w:val="0"/>
        </w:rPr>
      </w:pPr>
      <w:r w:rsidRPr="000D2C16">
        <w:rPr>
          <w:rFonts w:asciiTheme="minorHAnsi" w:hAnsiTheme="minorHAnsi"/>
          <w:snapToGrid w:val="0"/>
        </w:rPr>
        <w:t xml:space="preserve">Incremental QALYs were driven by the incremental life years gained for </w:t>
      </w:r>
      <w:proofErr w:type="spellStart"/>
      <w:r w:rsidRPr="000D2C16">
        <w:rPr>
          <w:rFonts w:asciiTheme="minorHAnsi" w:hAnsiTheme="minorHAnsi"/>
          <w:snapToGrid w:val="0"/>
        </w:rPr>
        <w:t>anifrolumab</w:t>
      </w:r>
      <w:proofErr w:type="spellEnd"/>
      <w:r w:rsidRPr="000D2C16">
        <w:rPr>
          <w:rFonts w:asciiTheme="minorHAnsi" w:hAnsiTheme="minorHAnsi"/>
          <w:snapToGrid w:val="0"/>
        </w:rPr>
        <w:t xml:space="preserve"> versus SOC. </w:t>
      </w:r>
      <w:r w:rsidR="00735EEB">
        <w:rPr>
          <w:rFonts w:asciiTheme="minorHAnsi" w:hAnsiTheme="minorHAnsi"/>
          <w:snapToGrid w:val="0"/>
        </w:rPr>
        <w:t xml:space="preserve">The average </w:t>
      </w:r>
      <w:r w:rsidRPr="000D2C16">
        <w:rPr>
          <w:rFonts w:asciiTheme="minorHAnsi" w:hAnsiTheme="minorHAnsi"/>
          <w:snapToGrid w:val="0"/>
        </w:rPr>
        <w:t>SDI organ damage score</w:t>
      </w:r>
      <w:r w:rsidR="00735EEB">
        <w:rPr>
          <w:rFonts w:asciiTheme="minorHAnsi" w:hAnsiTheme="minorHAnsi"/>
          <w:snapToGrid w:val="0"/>
        </w:rPr>
        <w:t xml:space="preserve"> was </w:t>
      </w:r>
      <w:r w:rsidRPr="000D2C16">
        <w:rPr>
          <w:rFonts w:asciiTheme="minorHAnsi" w:hAnsiTheme="minorHAnsi"/>
          <w:snapToGrid w:val="0"/>
        </w:rPr>
        <w:t xml:space="preserve">0.20 </w:t>
      </w:r>
      <w:r w:rsidR="00735EEB">
        <w:rPr>
          <w:rFonts w:asciiTheme="minorHAnsi" w:hAnsiTheme="minorHAnsi"/>
          <w:snapToGrid w:val="0"/>
        </w:rPr>
        <w:t xml:space="preserve">lower </w:t>
      </w:r>
      <w:r w:rsidRPr="000D2C16">
        <w:rPr>
          <w:rFonts w:asciiTheme="minorHAnsi" w:hAnsiTheme="minorHAnsi"/>
          <w:snapToGrid w:val="0"/>
        </w:rPr>
        <w:t xml:space="preserve">in the </w:t>
      </w:r>
      <w:proofErr w:type="spellStart"/>
      <w:r w:rsidRPr="000D2C16">
        <w:rPr>
          <w:rFonts w:asciiTheme="minorHAnsi" w:hAnsiTheme="minorHAnsi"/>
          <w:snapToGrid w:val="0"/>
        </w:rPr>
        <w:t>anifrolumab</w:t>
      </w:r>
      <w:proofErr w:type="spellEnd"/>
      <w:r w:rsidRPr="000D2C16">
        <w:rPr>
          <w:rFonts w:asciiTheme="minorHAnsi" w:hAnsiTheme="minorHAnsi"/>
          <w:snapToGrid w:val="0"/>
        </w:rPr>
        <w:t xml:space="preserve"> arm versus the SOC arm</w:t>
      </w:r>
      <w:r w:rsidR="00280207">
        <w:rPr>
          <w:rFonts w:asciiTheme="minorHAnsi" w:hAnsiTheme="minorHAnsi"/>
          <w:snapToGrid w:val="0"/>
        </w:rPr>
        <w:t xml:space="preserve"> </w:t>
      </w:r>
      <w:r w:rsidR="00735EEB">
        <w:rPr>
          <w:rFonts w:asciiTheme="minorHAnsi" w:hAnsiTheme="minorHAnsi"/>
          <w:snapToGrid w:val="0"/>
        </w:rPr>
        <w:t>(i</w:t>
      </w:r>
      <w:r w:rsidR="00FD2741">
        <w:rPr>
          <w:rFonts w:asciiTheme="minorHAnsi" w:hAnsiTheme="minorHAnsi"/>
          <w:snapToGrid w:val="0"/>
        </w:rPr>
        <w:t>.</w:t>
      </w:r>
      <w:r w:rsidR="00735EEB">
        <w:rPr>
          <w:rFonts w:asciiTheme="minorHAnsi" w:hAnsiTheme="minorHAnsi"/>
          <w:snapToGrid w:val="0"/>
        </w:rPr>
        <w:t>e</w:t>
      </w:r>
      <w:r w:rsidR="00FD2741">
        <w:rPr>
          <w:rFonts w:asciiTheme="minorHAnsi" w:hAnsiTheme="minorHAnsi"/>
          <w:snapToGrid w:val="0"/>
        </w:rPr>
        <w:t>.</w:t>
      </w:r>
      <w:r w:rsidR="00735EEB">
        <w:rPr>
          <w:rFonts w:asciiTheme="minorHAnsi" w:hAnsiTheme="minorHAnsi"/>
          <w:snapToGrid w:val="0"/>
        </w:rPr>
        <w:t>, average of 3.39 and 3.58 respectively)</w:t>
      </w:r>
      <w:r w:rsidR="00280207">
        <w:rPr>
          <w:rFonts w:asciiTheme="minorHAnsi" w:hAnsiTheme="minorHAnsi"/>
          <w:snapToGrid w:val="0"/>
        </w:rPr>
        <w:t xml:space="preserve"> </w:t>
      </w:r>
      <w:r w:rsidRPr="00603AFC">
        <w:rPr>
          <w:rFonts w:asciiTheme="minorHAnsi" w:hAnsiTheme="minorHAnsi"/>
          <w:iCs/>
          <w:snapToGrid w:val="0"/>
        </w:rPr>
        <w:t>but a clinical interpretation of this number was not presented.</w:t>
      </w:r>
      <w:r w:rsidR="00B86F70">
        <w:rPr>
          <w:rFonts w:asciiTheme="minorHAnsi" w:hAnsiTheme="minorHAnsi"/>
          <w:snapToGrid w:val="0"/>
        </w:rPr>
        <w:t xml:space="preserve"> After Year 2, organ damage (as represented by </w:t>
      </w:r>
      <w:r w:rsidR="007A0FCC" w:rsidRPr="009A0782">
        <w:rPr>
          <w:rFonts w:asciiTheme="minorHAnsi" w:hAnsiTheme="minorHAnsi"/>
          <w:snapToGrid w:val="0"/>
        </w:rPr>
        <w:t>SDI</w:t>
      </w:r>
      <w:r w:rsidR="00B86F70">
        <w:rPr>
          <w:rFonts w:asciiTheme="minorHAnsi" w:hAnsiTheme="minorHAnsi"/>
          <w:snapToGrid w:val="0"/>
        </w:rPr>
        <w:t>)</w:t>
      </w:r>
      <w:r w:rsidR="007A0FCC" w:rsidRPr="009A0782">
        <w:rPr>
          <w:rFonts w:asciiTheme="minorHAnsi" w:hAnsiTheme="minorHAnsi"/>
          <w:snapToGrid w:val="0"/>
        </w:rPr>
        <w:t xml:space="preserve"> </w:t>
      </w:r>
      <w:r w:rsidR="00B86F70">
        <w:rPr>
          <w:rFonts w:asciiTheme="minorHAnsi" w:hAnsiTheme="minorHAnsi"/>
          <w:snapToGrid w:val="0"/>
        </w:rPr>
        <w:t xml:space="preserve">became </w:t>
      </w:r>
      <w:r w:rsidR="009D481C" w:rsidRPr="009A0782">
        <w:rPr>
          <w:rFonts w:asciiTheme="minorHAnsi" w:hAnsiTheme="minorHAnsi"/>
          <w:snapToGrid w:val="0"/>
        </w:rPr>
        <w:t xml:space="preserve">increasingly worse </w:t>
      </w:r>
      <w:r w:rsidR="00B86F70">
        <w:rPr>
          <w:rFonts w:asciiTheme="minorHAnsi" w:hAnsiTheme="minorHAnsi"/>
          <w:snapToGrid w:val="0"/>
        </w:rPr>
        <w:t>over the modelled time</w:t>
      </w:r>
      <w:r w:rsidR="00B86F70" w:rsidRPr="009A0782" w:rsidDel="00B86F70">
        <w:rPr>
          <w:rFonts w:asciiTheme="minorHAnsi" w:hAnsiTheme="minorHAnsi"/>
          <w:snapToGrid w:val="0"/>
        </w:rPr>
        <w:t xml:space="preserve"> </w:t>
      </w:r>
      <w:r w:rsidR="00B86F70">
        <w:rPr>
          <w:rFonts w:asciiTheme="minorHAnsi" w:hAnsiTheme="minorHAnsi"/>
          <w:snapToGrid w:val="0"/>
        </w:rPr>
        <w:t>ho</w:t>
      </w:r>
      <w:r w:rsidR="0073499A">
        <w:rPr>
          <w:rFonts w:asciiTheme="minorHAnsi" w:hAnsiTheme="minorHAnsi"/>
          <w:snapToGrid w:val="0"/>
        </w:rPr>
        <w:t>r</w:t>
      </w:r>
      <w:r w:rsidR="00B86F70">
        <w:rPr>
          <w:rFonts w:asciiTheme="minorHAnsi" w:hAnsiTheme="minorHAnsi"/>
          <w:snapToGrid w:val="0"/>
        </w:rPr>
        <w:t xml:space="preserve">izon </w:t>
      </w:r>
      <w:r w:rsidR="009D481C" w:rsidRPr="009A0782">
        <w:rPr>
          <w:rFonts w:asciiTheme="minorHAnsi" w:hAnsiTheme="minorHAnsi"/>
          <w:snapToGrid w:val="0"/>
        </w:rPr>
        <w:t>for patient</w:t>
      </w:r>
      <w:r w:rsidR="00B86F70">
        <w:rPr>
          <w:rFonts w:asciiTheme="minorHAnsi" w:hAnsiTheme="minorHAnsi"/>
          <w:snapToGrid w:val="0"/>
        </w:rPr>
        <w:t>s</w:t>
      </w:r>
      <w:r w:rsidR="009D481C" w:rsidRPr="009A0782">
        <w:rPr>
          <w:rFonts w:asciiTheme="minorHAnsi" w:hAnsiTheme="minorHAnsi"/>
          <w:snapToGrid w:val="0"/>
        </w:rPr>
        <w:t xml:space="preserve"> in the SOC arm </w:t>
      </w:r>
      <w:r w:rsidR="00B86F70">
        <w:rPr>
          <w:rFonts w:asciiTheme="minorHAnsi" w:hAnsiTheme="minorHAnsi"/>
          <w:snapToGrid w:val="0"/>
        </w:rPr>
        <w:t xml:space="preserve">versus the </w:t>
      </w:r>
      <w:proofErr w:type="spellStart"/>
      <w:r w:rsidR="00B86F70">
        <w:rPr>
          <w:rFonts w:asciiTheme="minorHAnsi" w:hAnsiTheme="minorHAnsi"/>
          <w:snapToGrid w:val="0"/>
        </w:rPr>
        <w:t>anifrolumab</w:t>
      </w:r>
      <w:proofErr w:type="spellEnd"/>
      <w:r w:rsidR="00B86F70">
        <w:rPr>
          <w:rFonts w:asciiTheme="minorHAnsi" w:hAnsiTheme="minorHAnsi"/>
          <w:snapToGrid w:val="0"/>
        </w:rPr>
        <w:t xml:space="preserve"> arm (particularly once adjusted for mortality)</w:t>
      </w:r>
      <w:r w:rsidR="009D481C" w:rsidRPr="009A0782">
        <w:rPr>
          <w:rFonts w:asciiTheme="minorHAnsi" w:hAnsiTheme="minorHAnsi"/>
          <w:snapToGrid w:val="0"/>
        </w:rPr>
        <w:t>.</w:t>
      </w:r>
      <w:r w:rsidRPr="000D2C16">
        <w:rPr>
          <w:rFonts w:asciiTheme="minorHAnsi" w:hAnsiTheme="minorHAnsi"/>
          <w:snapToGrid w:val="0"/>
        </w:rPr>
        <w:t xml:space="preserve"> </w:t>
      </w:r>
      <w:r w:rsidRPr="00603AFC">
        <w:rPr>
          <w:rFonts w:asciiTheme="minorHAnsi" w:hAnsiTheme="minorHAnsi"/>
          <w:iCs/>
          <w:snapToGrid w:val="0"/>
        </w:rPr>
        <w:t>The total number of flares experienced in each arm w</w:t>
      </w:r>
      <w:r w:rsidR="00A22828">
        <w:rPr>
          <w:rFonts w:asciiTheme="minorHAnsi" w:hAnsiTheme="minorHAnsi"/>
          <w:iCs/>
          <w:snapToGrid w:val="0"/>
        </w:rPr>
        <w:t>as</w:t>
      </w:r>
      <w:r w:rsidRPr="00603AFC">
        <w:rPr>
          <w:rFonts w:asciiTheme="minorHAnsi" w:hAnsiTheme="minorHAnsi"/>
          <w:iCs/>
          <w:snapToGrid w:val="0"/>
        </w:rPr>
        <w:t xml:space="preserve"> estimated during the evaluation. Undiscounted and unadjusted for mortality, the </w:t>
      </w:r>
      <w:proofErr w:type="spellStart"/>
      <w:r w:rsidRPr="00603AFC">
        <w:rPr>
          <w:rFonts w:asciiTheme="minorHAnsi" w:hAnsiTheme="minorHAnsi"/>
          <w:iCs/>
          <w:snapToGrid w:val="0"/>
        </w:rPr>
        <w:t>anifrolumab</w:t>
      </w:r>
      <w:proofErr w:type="spellEnd"/>
      <w:r w:rsidRPr="00603AFC">
        <w:rPr>
          <w:rFonts w:asciiTheme="minorHAnsi" w:hAnsiTheme="minorHAnsi"/>
          <w:iCs/>
          <w:snapToGrid w:val="0"/>
        </w:rPr>
        <w:t xml:space="preserve"> arm was estimated to have 7.78 fewer non-severe flares and 4.62 fewer severe flares than the SOC arm.</w:t>
      </w:r>
    </w:p>
    <w:p w14:paraId="214DED66" w14:textId="65F1DDAE" w:rsidR="00613727" w:rsidRPr="00603AFC" w:rsidRDefault="00613727" w:rsidP="005F5621">
      <w:pPr>
        <w:numPr>
          <w:ilvl w:val="1"/>
          <w:numId w:val="1"/>
        </w:numPr>
        <w:spacing w:after="120"/>
        <w:rPr>
          <w:rFonts w:asciiTheme="minorHAnsi" w:hAnsiTheme="minorHAnsi"/>
          <w:iCs/>
          <w:snapToGrid w:val="0"/>
        </w:rPr>
      </w:pPr>
      <w:r>
        <w:rPr>
          <w:rFonts w:asciiTheme="minorHAnsi" w:hAnsiTheme="minorHAnsi"/>
          <w:iCs/>
          <w:snapToGrid w:val="0"/>
        </w:rPr>
        <w:t xml:space="preserve">The economic evaluation that was considered in July 2020 for belimumab estimated there would be 0.2 incremental life years gained with belimumab (Table 14, </w:t>
      </w:r>
      <w:r w:rsidRPr="009034B5">
        <w:t>belimumab</w:t>
      </w:r>
      <w:r>
        <w:t xml:space="preserve"> </w:t>
      </w:r>
      <w:r w:rsidRPr="009034B5">
        <w:t>PSD</w:t>
      </w:r>
      <w:r>
        <w:t xml:space="preserve"> </w:t>
      </w:r>
      <w:r w:rsidRPr="009034B5">
        <w:t>July 2020 PBAC meeting</w:t>
      </w:r>
      <w:r>
        <w:rPr>
          <w:rFonts w:asciiTheme="minorHAnsi" w:hAnsiTheme="minorHAnsi"/>
          <w:iCs/>
          <w:snapToGrid w:val="0"/>
        </w:rPr>
        <w:t xml:space="preserve">). In contrast, the submission’s model estimated that there would be 0.77 incremental life years gained with </w:t>
      </w:r>
      <w:proofErr w:type="spellStart"/>
      <w:r>
        <w:rPr>
          <w:rFonts w:asciiTheme="minorHAnsi" w:hAnsiTheme="minorHAnsi"/>
          <w:iCs/>
          <w:snapToGrid w:val="0"/>
        </w:rPr>
        <w:t>anifrolumab</w:t>
      </w:r>
      <w:proofErr w:type="spellEnd"/>
      <w:r>
        <w:rPr>
          <w:rFonts w:asciiTheme="minorHAnsi" w:hAnsiTheme="minorHAnsi"/>
          <w:iCs/>
          <w:snapToGrid w:val="0"/>
        </w:rPr>
        <w:t xml:space="preserve">, </w:t>
      </w:r>
      <w:r>
        <w:t xml:space="preserve">despite a similar difference in </w:t>
      </w:r>
      <w:proofErr w:type="gramStart"/>
      <w:r>
        <w:t>SRI(</w:t>
      </w:r>
      <w:proofErr w:type="gramEnd"/>
      <w:r>
        <w:t>4) responders at 52 weeks</w:t>
      </w:r>
      <w:r w:rsidR="007D02ED">
        <w:t>.</w:t>
      </w:r>
    </w:p>
    <w:p w14:paraId="41B8A380" w14:textId="36033492" w:rsidR="000D2C16" w:rsidRPr="000D2C16" w:rsidRDefault="000D2C16" w:rsidP="000D2C16">
      <w:pPr>
        <w:numPr>
          <w:ilvl w:val="1"/>
          <w:numId w:val="1"/>
        </w:numPr>
        <w:spacing w:after="120"/>
        <w:rPr>
          <w:rFonts w:asciiTheme="minorHAnsi" w:hAnsiTheme="minorHAnsi"/>
          <w:snapToGrid w:val="0"/>
        </w:rPr>
      </w:pPr>
      <w:r w:rsidRPr="000D2C16">
        <w:rPr>
          <w:rFonts w:asciiTheme="minorHAnsi" w:hAnsiTheme="minorHAnsi"/>
          <w:snapToGrid w:val="0"/>
        </w:rPr>
        <w:t xml:space="preserve">A summary of sensitivity analyses is presented in </w:t>
      </w:r>
      <w:r w:rsidR="00A70594" w:rsidRPr="00A70594">
        <w:rPr>
          <w:rFonts w:asciiTheme="minorHAnsi" w:hAnsiTheme="minorHAnsi"/>
          <w:snapToGrid w:val="0"/>
        </w:rPr>
        <w:fldChar w:fldCharType="begin"/>
      </w:r>
      <w:r w:rsidR="00A70594" w:rsidRPr="00A70594">
        <w:rPr>
          <w:rFonts w:asciiTheme="minorHAnsi" w:hAnsiTheme="minorHAnsi"/>
          <w:snapToGrid w:val="0"/>
        </w:rPr>
        <w:instrText xml:space="preserve"> REF _Ref103773865 \h  \* MERGEFORMAT </w:instrText>
      </w:r>
      <w:r w:rsidR="00A70594" w:rsidRPr="00A70594">
        <w:rPr>
          <w:rFonts w:asciiTheme="minorHAnsi" w:hAnsiTheme="minorHAnsi"/>
          <w:snapToGrid w:val="0"/>
        </w:rPr>
      </w:r>
      <w:r w:rsidR="00A70594" w:rsidRPr="00A70594">
        <w:rPr>
          <w:rFonts w:asciiTheme="minorHAnsi" w:hAnsiTheme="minorHAnsi"/>
          <w:snapToGrid w:val="0"/>
        </w:rPr>
        <w:fldChar w:fldCharType="separate"/>
      </w:r>
      <w:r w:rsidR="00942C22" w:rsidRPr="00942C22">
        <w:rPr>
          <w:rFonts w:asciiTheme="minorHAnsi" w:eastAsiaTheme="majorEastAsia" w:hAnsiTheme="minorHAnsi" w:cstheme="majorBidi"/>
        </w:rPr>
        <w:t xml:space="preserve">Table </w:t>
      </w:r>
      <w:r w:rsidR="00942C22" w:rsidRPr="00942C22">
        <w:rPr>
          <w:rFonts w:asciiTheme="minorHAnsi" w:eastAsiaTheme="majorEastAsia" w:hAnsiTheme="minorHAnsi" w:cstheme="majorBidi"/>
          <w:noProof/>
        </w:rPr>
        <w:t>10</w:t>
      </w:r>
      <w:r w:rsidR="00A70594" w:rsidRPr="00A70594">
        <w:rPr>
          <w:rFonts w:asciiTheme="minorHAnsi" w:hAnsiTheme="minorHAnsi"/>
          <w:snapToGrid w:val="0"/>
        </w:rPr>
        <w:fldChar w:fldCharType="end"/>
      </w:r>
      <w:r w:rsidRPr="000D2C16">
        <w:rPr>
          <w:rFonts w:asciiTheme="minorHAnsi" w:hAnsiTheme="minorHAnsi"/>
          <w:snapToGrid w:val="0"/>
        </w:rPr>
        <w:t xml:space="preserve">. The ICER was most sensitive </w:t>
      </w:r>
      <w:proofErr w:type="gramStart"/>
      <w:r w:rsidRPr="000D2C16">
        <w:rPr>
          <w:rFonts w:asciiTheme="minorHAnsi" w:hAnsiTheme="minorHAnsi"/>
          <w:snapToGrid w:val="0"/>
        </w:rPr>
        <w:t>to:</w:t>
      </w:r>
      <w:proofErr w:type="gramEnd"/>
      <w:r w:rsidRPr="000D2C16">
        <w:rPr>
          <w:rFonts w:asciiTheme="minorHAnsi" w:hAnsiTheme="minorHAnsi"/>
          <w:snapToGrid w:val="0"/>
        </w:rPr>
        <w:t xml:space="preserve"> time horizon, flare intercept and duration, SLEDAI-2K regression coefficients, extrapolation of treatment effect, and the SLEDAI-2K coefficient for utility estimates.</w:t>
      </w:r>
    </w:p>
    <w:p w14:paraId="63652C61" w14:textId="201D4976" w:rsidR="000D2C16" w:rsidRPr="000D2C16" w:rsidRDefault="000D2C16" w:rsidP="00B86F70">
      <w:pPr>
        <w:keepNext/>
        <w:keepLines/>
        <w:jc w:val="left"/>
        <w:rPr>
          <w:rFonts w:ascii="Arial Narrow" w:eastAsiaTheme="majorEastAsia" w:hAnsi="Arial Narrow" w:cstheme="majorBidi"/>
          <w:b/>
          <w:bCs/>
          <w:sz w:val="20"/>
        </w:rPr>
      </w:pPr>
      <w:bookmarkStart w:id="65" w:name="_Ref103773865"/>
      <w:r w:rsidRPr="000D2C16">
        <w:rPr>
          <w:rFonts w:ascii="Arial Narrow" w:eastAsiaTheme="majorEastAsia" w:hAnsi="Arial Narrow" w:cstheme="majorBidi"/>
          <w:b/>
          <w:bCs/>
          <w:sz w:val="20"/>
        </w:rPr>
        <w:lastRenderedPageBreak/>
        <w:t xml:space="preserve">Table </w:t>
      </w:r>
      <w:r w:rsidRPr="000D2C16">
        <w:rPr>
          <w:rFonts w:ascii="Arial Narrow" w:eastAsiaTheme="majorEastAsia" w:hAnsi="Arial Narrow" w:cstheme="majorBidi"/>
          <w:b/>
          <w:bCs/>
          <w:sz w:val="20"/>
        </w:rPr>
        <w:fldChar w:fldCharType="begin"/>
      </w:r>
      <w:r w:rsidRPr="000D2C16">
        <w:rPr>
          <w:rFonts w:ascii="Arial Narrow" w:eastAsiaTheme="majorEastAsia" w:hAnsi="Arial Narrow" w:cstheme="majorBidi"/>
          <w:b/>
          <w:bCs/>
          <w:sz w:val="20"/>
        </w:rPr>
        <w:instrText xml:space="preserve"> SEQ Table \* ARABIC </w:instrText>
      </w:r>
      <w:r w:rsidRPr="000D2C16">
        <w:rPr>
          <w:rFonts w:ascii="Arial Narrow" w:eastAsiaTheme="majorEastAsia" w:hAnsi="Arial Narrow" w:cstheme="majorBidi"/>
          <w:b/>
          <w:bCs/>
          <w:sz w:val="20"/>
        </w:rPr>
        <w:fldChar w:fldCharType="separate"/>
      </w:r>
      <w:r w:rsidR="00942C22">
        <w:rPr>
          <w:rFonts w:ascii="Arial Narrow" w:eastAsiaTheme="majorEastAsia" w:hAnsi="Arial Narrow" w:cstheme="majorBidi"/>
          <w:b/>
          <w:bCs/>
          <w:noProof/>
          <w:sz w:val="20"/>
        </w:rPr>
        <w:t>10</w:t>
      </w:r>
      <w:r w:rsidRPr="000D2C16">
        <w:rPr>
          <w:rFonts w:ascii="Arial Narrow" w:eastAsiaTheme="majorEastAsia" w:hAnsi="Arial Narrow" w:cstheme="majorBidi"/>
          <w:b/>
          <w:bCs/>
          <w:noProof/>
          <w:sz w:val="20"/>
        </w:rPr>
        <w:fldChar w:fldCharType="end"/>
      </w:r>
      <w:bookmarkEnd w:id="65"/>
      <w:r w:rsidRPr="000D2C16">
        <w:rPr>
          <w:rFonts w:ascii="Arial Narrow" w:eastAsiaTheme="majorEastAsia" w:hAnsi="Arial Narrow" w:cstheme="majorBidi"/>
          <w:b/>
          <w:bCs/>
          <w:sz w:val="20"/>
        </w:rPr>
        <w:t>: Results of sensitivity analyses</w:t>
      </w:r>
      <w:r w:rsidR="00AE715E">
        <w:rPr>
          <w:rFonts w:ascii="Arial Narrow" w:eastAsiaTheme="majorEastAsia" w:hAnsi="Arial Narrow" w:cstheme="majorBidi"/>
          <w:b/>
          <w:bCs/>
          <w:sz w:val="20"/>
        </w:rPr>
        <w:t xml:space="preserve">, using the </w:t>
      </w:r>
      <w:r w:rsidR="00A43C57">
        <w:rPr>
          <w:rFonts w:ascii="Arial Narrow" w:eastAsiaTheme="majorEastAsia" w:hAnsi="Arial Narrow" w:cstheme="majorBidi"/>
          <w:b/>
          <w:bCs/>
          <w:sz w:val="20"/>
        </w:rPr>
        <w:t xml:space="preserve">corrected </w:t>
      </w:r>
      <w:r w:rsidR="00AE715E">
        <w:rPr>
          <w:rFonts w:ascii="Arial Narrow" w:eastAsiaTheme="majorEastAsia" w:hAnsi="Arial Narrow" w:cstheme="majorBidi"/>
          <w:b/>
          <w:bCs/>
          <w:sz w:val="20"/>
        </w:rPr>
        <w:t>submission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31"/>
        <w:gridCol w:w="1134"/>
        <w:gridCol w:w="1134"/>
        <w:gridCol w:w="1351"/>
        <w:gridCol w:w="867"/>
      </w:tblGrid>
      <w:tr w:rsidR="000D2C16" w:rsidRPr="000D2C16" w14:paraId="3CDE00AA" w14:textId="77777777" w:rsidTr="00164331">
        <w:trPr>
          <w:tblHeader/>
        </w:trPr>
        <w:tc>
          <w:tcPr>
            <w:tcW w:w="4531" w:type="dxa"/>
          </w:tcPr>
          <w:p w14:paraId="3B647EFF" w14:textId="77777777" w:rsidR="000D2C16" w:rsidRPr="000D2C16" w:rsidRDefault="000D2C16" w:rsidP="00B86F70">
            <w:pPr>
              <w:keepNext/>
              <w:keepLines/>
              <w:jc w:val="left"/>
              <w:rPr>
                <w:rFonts w:ascii="Arial Narrow" w:eastAsiaTheme="majorEastAsia" w:hAnsi="Arial Narrow" w:cs="Times New Roman"/>
                <w:b/>
                <w:sz w:val="20"/>
              </w:rPr>
            </w:pPr>
            <w:r w:rsidRPr="000D2C16">
              <w:rPr>
                <w:rFonts w:ascii="Arial Narrow" w:eastAsiaTheme="majorEastAsia" w:hAnsi="Arial Narrow" w:cs="Times New Roman"/>
                <w:b/>
                <w:sz w:val="20"/>
              </w:rPr>
              <w:t>Analyses</w:t>
            </w:r>
          </w:p>
        </w:tc>
        <w:tc>
          <w:tcPr>
            <w:tcW w:w="1134" w:type="dxa"/>
            <w:tcBorders>
              <w:bottom w:val="single" w:sz="4" w:space="0" w:color="auto"/>
            </w:tcBorders>
          </w:tcPr>
          <w:p w14:paraId="1968DCD9" w14:textId="53B37709" w:rsidR="000D2C16" w:rsidRPr="000D2C16" w:rsidRDefault="000D2C16" w:rsidP="00B86F70">
            <w:pPr>
              <w:keepNext/>
              <w:keepLines/>
              <w:jc w:val="center"/>
              <w:rPr>
                <w:rFonts w:ascii="Arial Narrow" w:eastAsiaTheme="majorEastAsia" w:hAnsi="Arial Narrow" w:cs="Times New Roman"/>
                <w:b/>
                <w:sz w:val="20"/>
              </w:rPr>
            </w:pPr>
            <w:r w:rsidRPr="000D2C16">
              <w:rPr>
                <w:rFonts w:ascii="Arial Narrow" w:eastAsiaTheme="majorEastAsia" w:hAnsi="Arial Narrow" w:cs="Times New Roman"/>
                <w:b/>
                <w:sz w:val="20"/>
              </w:rPr>
              <w:t>Incremental cost</w:t>
            </w:r>
            <w:r w:rsidR="00EA7B11">
              <w:rPr>
                <w:rFonts w:ascii="Arial Narrow" w:eastAsiaTheme="majorEastAsia" w:hAnsi="Arial Narrow" w:cs="Times New Roman"/>
                <w:b/>
                <w:sz w:val="20"/>
              </w:rPr>
              <w:t xml:space="preserve"> ($)</w:t>
            </w:r>
          </w:p>
        </w:tc>
        <w:tc>
          <w:tcPr>
            <w:tcW w:w="1134" w:type="dxa"/>
          </w:tcPr>
          <w:p w14:paraId="66ED2CFF" w14:textId="77777777" w:rsidR="000D2C16" w:rsidRPr="000D2C16" w:rsidRDefault="000D2C16" w:rsidP="00B86F70">
            <w:pPr>
              <w:keepNext/>
              <w:keepLines/>
              <w:jc w:val="center"/>
              <w:rPr>
                <w:rFonts w:ascii="Arial Narrow" w:eastAsiaTheme="majorEastAsia" w:hAnsi="Arial Narrow" w:cs="Times New Roman"/>
                <w:b/>
                <w:sz w:val="20"/>
              </w:rPr>
            </w:pPr>
            <w:r w:rsidRPr="000D2C16">
              <w:rPr>
                <w:rFonts w:ascii="Arial Narrow" w:eastAsiaTheme="majorEastAsia" w:hAnsi="Arial Narrow" w:cs="Times New Roman"/>
                <w:b/>
                <w:sz w:val="20"/>
              </w:rPr>
              <w:t>Incremental QALY</w:t>
            </w:r>
          </w:p>
        </w:tc>
        <w:tc>
          <w:tcPr>
            <w:tcW w:w="1351" w:type="dxa"/>
          </w:tcPr>
          <w:p w14:paraId="33E42D5F" w14:textId="224F1738" w:rsidR="000D2C16" w:rsidRPr="000D2C16" w:rsidRDefault="000D2C16" w:rsidP="00B86F70">
            <w:pPr>
              <w:keepNext/>
              <w:keepLines/>
              <w:jc w:val="center"/>
              <w:rPr>
                <w:rFonts w:ascii="Arial Narrow" w:eastAsiaTheme="majorEastAsia" w:hAnsi="Arial Narrow" w:cs="Times New Roman"/>
                <w:b/>
                <w:sz w:val="20"/>
              </w:rPr>
            </w:pPr>
            <w:r w:rsidRPr="000D2C16">
              <w:rPr>
                <w:rFonts w:ascii="Arial Narrow" w:eastAsiaTheme="majorEastAsia" w:hAnsi="Arial Narrow" w:cs="Times New Roman"/>
                <w:b/>
                <w:sz w:val="20"/>
              </w:rPr>
              <w:t>ICER</w:t>
            </w:r>
            <w:r w:rsidR="00EA7B11">
              <w:rPr>
                <w:rFonts w:ascii="Arial Narrow" w:eastAsiaTheme="majorEastAsia" w:hAnsi="Arial Narrow" w:cs="Times New Roman"/>
                <w:b/>
                <w:sz w:val="20"/>
              </w:rPr>
              <w:t xml:space="preserve"> ($)</w:t>
            </w:r>
          </w:p>
        </w:tc>
        <w:tc>
          <w:tcPr>
            <w:tcW w:w="867" w:type="dxa"/>
          </w:tcPr>
          <w:p w14:paraId="53AD5D38" w14:textId="77777777" w:rsidR="000D2C16" w:rsidRPr="000D2C16" w:rsidRDefault="000D2C16" w:rsidP="00B86F70">
            <w:pPr>
              <w:keepNext/>
              <w:keepLines/>
              <w:jc w:val="center"/>
              <w:rPr>
                <w:rFonts w:ascii="Arial Narrow" w:eastAsiaTheme="majorEastAsia" w:hAnsi="Arial Narrow" w:cs="Times New Roman"/>
                <w:b/>
                <w:sz w:val="20"/>
              </w:rPr>
            </w:pPr>
            <w:r w:rsidRPr="000D2C16">
              <w:rPr>
                <w:rFonts w:ascii="Arial Narrow" w:eastAsiaTheme="majorEastAsia" w:hAnsi="Arial Narrow" w:cs="Times New Roman"/>
                <w:b/>
                <w:sz w:val="20"/>
              </w:rPr>
              <w:t>%</w:t>
            </w:r>
            <w:proofErr w:type="gramStart"/>
            <w:r w:rsidRPr="000D2C16">
              <w:rPr>
                <w:rFonts w:ascii="Arial Narrow" w:eastAsiaTheme="majorEastAsia" w:hAnsi="Arial Narrow" w:cs="Times New Roman"/>
                <w:b/>
                <w:sz w:val="20"/>
              </w:rPr>
              <w:t>change</w:t>
            </w:r>
            <w:proofErr w:type="gramEnd"/>
          </w:p>
        </w:tc>
      </w:tr>
      <w:tr w:rsidR="000D2C16" w:rsidRPr="000D2C16" w14:paraId="5EB59E65" w14:textId="77777777" w:rsidTr="00164331">
        <w:trPr>
          <w:tblHeader/>
        </w:trPr>
        <w:tc>
          <w:tcPr>
            <w:tcW w:w="4531" w:type="dxa"/>
          </w:tcPr>
          <w:p w14:paraId="2BCC5300" w14:textId="77777777" w:rsidR="000D2C16" w:rsidRPr="000D2C16" w:rsidRDefault="000D2C16" w:rsidP="00B86F70">
            <w:pPr>
              <w:keepNext/>
              <w:keepLines/>
              <w:jc w:val="left"/>
              <w:rPr>
                <w:rFonts w:ascii="Arial Narrow" w:eastAsiaTheme="majorEastAsia" w:hAnsi="Arial Narrow" w:cstheme="majorBidi"/>
                <w:b/>
                <w:bCs/>
                <w:sz w:val="20"/>
              </w:rPr>
            </w:pPr>
            <w:r w:rsidRPr="000D2C16">
              <w:rPr>
                <w:rFonts w:ascii="Arial Narrow" w:eastAsiaTheme="majorEastAsia" w:hAnsi="Arial Narrow" w:cstheme="majorBidi"/>
                <w:b/>
                <w:bCs/>
                <w:sz w:val="20"/>
              </w:rPr>
              <w:t>Submitted base case</w:t>
            </w:r>
          </w:p>
        </w:tc>
        <w:tc>
          <w:tcPr>
            <w:tcW w:w="1134" w:type="dxa"/>
            <w:tcBorders>
              <w:bottom w:val="single" w:sz="4" w:space="0" w:color="auto"/>
            </w:tcBorders>
            <w:shd w:val="solid" w:color="000000" w:fill="000000"/>
            <w:vAlign w:val="center"/>
          </w:tcPr>
          <w:p w14:paraId="5898E74A" w14:textId="607922DF" w:rsidR="000D2C16" w:rsidRPr="00EA7B11" w:rsidRDefault="00164331" w:rsidP="00B86F70">
            <w:pPr>
              <w:keepNext/>
              <w:keepLines/>
              <w:jc w:val="center"/>
              <w:rPr>
                <w:rFonts w:ascii="Arial Narrow" w:eastAsiaTheme="majorEastAsia" w:hAnsi="Arial Narrow" w:cstheme="majorBidi"/>
                <w:b/>
                <w:bCs/>
                <w:sz w:val="20"/>
                <w:highlight w:val="lightGray"/>
              </w:rPr>
            </w:pPr>
            <w:r w:rsidRPr="00164331">
              <w:rPr>
                <w:rFonts w:ascii="Arial Narrow" w:eastAsiaTheme="majorEastAsia" w:hAnsi="Arial Narrow" w:cstheme="majorBidi" w:hint="eastAsia"/>
                <w:bCs/>
                <w:color w:val="000000"/>
                <w:w w:val="15"/>
                <w:sz w:val="20"/>
                <w:fitText w:val="38" w:id="-1436282875"/>
                <w14:textFill>
                  <w14:solidFill>
                    <w14:srgbClr w14:val="000000">
                      <w14:alpha w14:val="100000"/>
                    </w14:srgbClr>
                  </w14:solidFill>
                </w14:textFill>
              </w:rPr>
              <w:t xml:space="preserve">　</w:t>
            </w:r>
            <w:r w:rsidRPr="00164331">
              <w:rPr>
                <w:rFonts w:ascii="Arial Narrow" w:eastAsiaTheme="majorEastAsia" w:hAnsi="Arial Narrow" w:cstheme="majorBidi"/>
                <w:bCs/>
                <w:color w:val="000000"/>
                <w:w w:val="15"/>
                <w:sz w:val="20"/>
                <w:fitText w:val="38" w:id="-1436282875"/>
                <w14:textFill>
                  <w14:solidFill>
                    <w14:srgbClr w14:val="000000">
                      <w14:alpha w14:val="100000"/>
                    </w14:srgbClr>
                  </w14:solidFill>
                </w14:textFill>
              </w:rPr>
              <w:t>|</w:t>
            </w:r>
            <w:r w:rsidRPr="00164331">
              <w:rPr>
                <w:rFonts w:ascii="Arial Narrow" w:eastAsiaTheme="majorEastAsia" w:hAnsi="Arial Narrow" w:cstheme="majorBidi" w:hint="eastAsia"/>
                <w:bCs/>
                <w:color w:val="000000"/>
                <w:spacing w:val="-27"/>
                <w:w w:val="15"/>
                <w:sz w:val="20"/>
                <w:fitText w:val="38" w:id="-1436282875"/>
                <w14:textFill>
                  <w14:solidFill>
                    <w14:srgbClr w14:val="000000">
                      <w14:alpha w14:val="100000"/>
                    </w14:srgbClr>
                  </w14:solidFill>
                </w14:textFill>
              </w:rPr>
              <w:t xml:space="preserve">　</w:t>
            </w:r>
          </w:p>
        </w:tc>
        <w:tc>
          <w:tcPr>
            <w:tcW w:w="1134" w:type="dxa"/>
            <w:vAlign w:val="center"/>
          </w:tcPr>
          <w:p w14:paraId="7CEDD5E0" w14:textId="77777777" w:rsidR="000D2C16" w:rsidRPr="000D2C16" w:rsidRDefault="000D2C16" w:rsidP="00B86F70">
            <w:pPr>
              <w:keepNext/>
              <w:keepLines/>
              <w:jc w:val="center"/>
              <w:rPr>
                <w:rFonts w:ascii="Arial Narrow" w:eastAsiaTheme="majorEastAsia" w:hAnsi="Arial Narrow" w:cstheme="majorBidi"/>
                <w:b/>
                <w:bCs/>
                <w:sz w:val="20"/>
              </w:rPr>
            </w:pPr>
            <w:r w:rsidRPr="000D2C16">
              <w:rPr>
                <w:rFonts w:ascii="Arial Narrow" w:eastAsiaTheme="majorEastAsia" w:hAnsi="Arial Narrow" w:cstheme="majorBidi"/>
                <w:bCs/>
                <w:sz w:val="20"/>
              </w:rPr>
              <w:t>0.844</w:t>
            </w:r>
          </w:p>
        </w:tc>
        <w:tc>
          <w:tcPr>
            <w:tcW w:w="1351" w:type="dxa"/>
            <w:vAlign w:val="center"/>
          </w:tcPr>
          <w:p w14:paraId="4B32E3F7" w14:textId="3CD66AA8" w:rsidR="000D2C16" w:rsidRPr="00EA7B11" w:rsidRDefault="00164331" w:rsidP="00B86F70">
            <w:pPr>
              <w:keepNext/>
              <w:keepLines/>
              <w:jc w:val="center"/>
              <w:rPr>
                <w:rFonts w:ascii="Arial Narrow" w:eastAsiaTheme="majorEastAsia" w:hAnsi="Arial Narrow" w:cstheme="majorBidi"/>
                <w:b/>
                <w:bCs/>
                <w:sz w:val="20"/>
                <w:highlight w:val="lightGray"/>
              </w:rPr>
            </w:pPr>
            <w:r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155D2F" w:rsidRPr="00EA7B11">
              <w:rPr>
                <w:rFonts w:ascii="Arial Narrow" w:eastAsiaTheme="majorEastAsia" w:hAnsi="Arial Narrow" w:cstheme="majorBidi"/>
                <w:bCs/>
                <w:sz w:val="20"/>
                <w:vertAlign w:val="superscript"/>
              </w:rPr>
              <w:t>a</w:t>
            </w:r>
            <w:r w:rsidR="00201B6B">
              <w:rPr>
                <w:rFonts w:ascii="Arial Narrow" w:eastAsiaTheme="majorEastAsia" w:hAnsi="Arial Narrow" w:cstheme="majorBidi"/>
                <w:bCs/>
                <w:sz w:val="20"/>
                <w:vertAlign w:val="superscript"/>
              </w:rPr>
              <w:t>1</w:t>
            </w:r>
          </w:p>
        </w:tc>
        <w:tc>
          <w:tcPr>
            <w:tcW w:w="867" w:type="dxa"/>
            <w:vAlign w:val="center"/>
          </w:tcPr>
          <w:p w14:paraId="7A6062A7"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w:t>
            </w:r>
          </w:p>
        </w:tc>
      </w:tr>
      <w:tr w:rsidR="000D2C16" w:rsidRPr="000D2C16" w14:paraId="6E1EB908" w14:textId="77777777" w:rsidTr="00164331">
        <w:tc>
          <w:tcPr>
            <w:tcW w:w="4531" w:type="dxa"/>
            <w:tcBorders>
              <w:top w:val="nil"/>
            </w:tcBorders>
          </w:tcPr>
          <w:p w14:paraId="788A8119" w14:textId="77777777" w:rsidR="000D2C16" w:rsidRPr="00603AFC" w:rsidRDefault="000D2C16" w:rsidP="00B86F70">
            <w:pPr>
              <w:keepNext/>
              <w:keepLines/>
              <w:numPr>
                <w:ilvl w:val="0"/>
                <w:numId w:val="5"/>
              </w:numPr>
              <w:ind w:left="84" w:hanging="84"/>
              <w:jc w:val="left"/>
              <w:rPr>
                <w:rFonts w:ascii="Arial Narrow" w:eastAsiaTheme="majorEastAsia" w:hAnsi="Arial Narrow" w:cstheme="majorBidi"/>
                <w:bCs/>
                <w:iCs/>
                <w:sz w:val="20"/>
              </w:rPr>
            </w:pPr>
            <w:r w:rsidRPr="00603AFC">
              <w:rPr>
                <w:rFonts w:ascii="Arial Narrow" w:eastAsiaTheme="majorEastAsia" w:hAnsi="Arial Narrow" w:cstheme="majorBidi"/>
                <w:bCs/>
                <w:iCs/>
                <w:sz w:val="20"/>
              </w:rPr>
              <w:t>SLEDAI-2K ≥0 rounded down to nearest integer AND SDI score, OCS dose, hospital LOS cannot ≥0 AND base utility ≥0 and ≤1.</w:t>
            </w:r>
          </w:p>
        </w:tc>
        <w:tc>
          <w:tcPr>
            <w:tcW w:w="1134" w:type="dxa"/>
            <w:tcBorders>
              <w:top w:val="single" w:sz="4" w:space="0" w:color="auto"/>
            </w:tcBorders>
            <w:shd w:val="solid" w:color="000000" w:fill="000000"/>
            <w:vAlign w:val="center"/>
          </w:tcPr>
          <w:p w14:paraId="7487984F" w14:textId="39840D42" w:rsidR="000D2C16" w:rsidRPr="00EA7B11" w:rsidRDefault="00164331" w:rsidP="00B86F70">
            <w:pPr>
              <w:keepNext/>
              <w:keepLines/>
              <w:jc w:val="center"/>
              <w:rPr>
                <w:rFonts w:ascii="Arial Narrow" w:eastAsiaTheme="majorEastAsia" w:hAnsi="Arial Narrow" w:cstheme="majorBidi"/>
                <w:bCs/>
                <w:iCs/>
                <w:sz w:val="20"/>
                <w:highlight w:val="lightGray"/>
              </w:rPr>
            </w:pPr>
            <w:r w:rsidRPr="00164331">
              <w:rPr>
                <w:rFonts w:ascii="Arial Narrow" w:eastAsiaTheme="majorEastAsia" w:hAnsi="Arial Narrow" w:cstheme="majorBidi" w:hint="eastAsia"/>
                <w:bCs/>
                <w:iCs/>
                <w:color w:val="000000"/>
                <w:w w:val="15"/>
                <w:sz w:val="20"/>
                <w:fitText w:val="38" w:id="-1436282874"/>
                <w14:textFill>
                  <w14:solidFill>
                    <w14:srgbClr w14:val="000000">
                      <w14:alpha w14:val="100000"/>
                    </w14:srgbClr>
                  </w14:solidFill>
                </w14:textFill>
              </w:rPr>
              <w:t xml:space="preserve">　</w:t>
            </w:r>
            <w:r w:rsidRPr="00164331">
              <w:rPr>
                <w:rFonts w:ascii="Arial Narrow" w:eastAsiaTheme="majorEastAsia" w:hAnsi="Arial Narrow" w:cstheme="majorBidi"/>
                <w:bCs/>
                <w:iCs/>
                <w:color w:val="000000"/>
                <w:w w:val="15"/>
                <w:sz w:val="20"/>
                <w:fitText w:val="38" w:id="-1436282874"/>
                <w14:textFill>
                  <w14:solidFill>
                    <w14:srgbClr w14:val="000000">
                      <w14:alpha w14:val="100000"/>
                    </w14:srgbClr>
                  </w14:solidFill>
                </w14:textFill>
              </w:rPr>
              <w:t>|</w:t>
            </w:r>
            <w:r w:rsidRPr="00164331">
              <w:rPr>
                <w:rFonts w:ascii="Arial Narrow" w:eastAsiaTheme="majorEastAsia" w:hAnsi="Arial Narrow" w:cstheme="majorBidi" w:hint="eastAsia"/>
                <w:bCs/>
                <w:iCs/>
                <w:color w:val="000000"/>
                <w:spacing w:val="-27"/>
                <w:w w:val="15"/>
                <w:sz w:val="20"/>
                <w:fitText w:val="38" w:id="-1436282874"/>
                <w14:textFill>
                  <w14:solidFill>
                    <w14:srgbClr w14:val="000000">
                      <w14:alpha w14:val="100000"/>
                    </w14:srgbClr>
                  </w14:solidFill>
                </w14:textFill>
              </w:rPr>
              <w:t xml:space="preserve">　</w:t>
            </w:r>
          </w:p>
        </w:tc>
        <w:tc>
          <w:tcPr>
            <w:tcW w:w="1134" w:type="dxa"/>
            <w:tcBorders>
              <w:top w:val="nil"/>
            </w:tcBorders>
            <w:vAlign w:val="center"/>
          </w:tcPr>
          <w:p w14:paraId="10EB1533" w14:textId="77777777" w:rsidR="000D2C16" w:rsidRPr="00603AFC" w:rsidRDefault="000D2C16" w:rsidP="00B86F70">
            <w:pPr>
              <w:keepNext/>
              <w:keepLines/>
              <w:jc w:val="center"/>
              <w:rPr>
                <w:rFonts w:ascii="Arial Narrow" w:eastAsiaTheme="majorEastAsia" w:hAnsi="Arial Narrow" w:cstheme="majorBidi"/>
                <w:bCs/>
                <w:iCs/>
                <w:sz w:val="20"/>
              </w:rPr>
            </w:pPr>
            <w:r w:rsidRPr="00603AFC">
              <w:rPr>
                <w:rFonts w:ascii="Arial Narrow" w:eastAsiaTheme="majorEastAsia" w:hAnsi="Arial Narrow" w:cstheme="majorBidi"/>
                <w:bCs/>
                <w:iCs/>
                <w:sz w:val="20"/>
              </w:rPr>
              <w:t>0.517</w:t>
            </w:r>
          </w:p>
        </w:tc>
        <w:tc>
          <w:tcPr>
            <w:tcW w:w="1351" w:type="dxa"/>
            <w:tcBorders>
              <w:top w:val="nil"/>
            </w:tcBorders>
            <w:vAlign w:val="center"/>
          </w:tcPr>
          <w:p w14:paraId="2598FACE" w14:textId="00E75351" w:rsidR="000D2C16" w:rsidRPr="00201B6B" w:rsidRDefault="00164331" w:rsidP="00B86F70">
            <w:pPr>
              <w:keepNext/>
              <w:keepLines/>
              <w:jc w:val="center"/>
              <w:rPr>
                <w:rFonts w:ascii="Arial Narrow" w:eastAsiaTheme="majorEastAsia" w:hAnsi="Arial Narrow" w:cstheme="majorBidi"/>
                <w:bCs/>
                <w:iCs/>
                <w:sz w:val="20"/>
                <w:highlight w:val="lightGray"/>
                <w:vertAlign w:val="superscript"/>
              </w:rPr>
            </w:pPr>
            <w:r w:rsidRPr="00164331">
              <w:rPr>
                <w:rFonts w:ascii="Arial Narrow" w:eastAsiaTheme="majorEastAsia" w:hAnsi="Arial Narrow" w:cstheme="majorBidi"/>
                <w:bCs/>
                <w:iCs/>
                <w:color w:val="000000"/>
                <w:sz w:val="20"/>
                <w:shd w:val="solid" w:color="000000" w:fill="000000"/>
                <w14:textFill>
                  <w14:solidFill>
                    <w14:srgbClr w14:val="000000">
                      <w14:alpha w14:val="100000"/>
                    </w14:srgbClr>
                  </w14:solidFill>
                </w14:textFill>
              </w:rPr>
              <w:t>|</w:t>
            </w:r>
            <w:r w:rsidR="00201B6B" w:rsidRPr="00201B6B">
              <w:rPr>
                <w:rFonts w:ascii="Arial Narrow" w:eastAsiaTheme="majorEastAsia" w:hAnsi="Arial Narrow" w:cstheme="majorBidi"/>
                <w:bCs/>
                <w:iCs/>
                <w:sz w:val="20"/>
                <w:vertAlign w:val="superscript"/>
              </w:rPr>
              <w:t>2</w:t>
            </w:r>
          </w:p>
        </w:tc>
        <w:tc>
          <w:tcPr>
            <w:tcW w:w="867" w:type="dxa"/>
            <w:tcBorders>
              <w:top w:val="nil"/>
            </w:tcBorders>
            <w:vAlign w:val="center"/>
          </w:tcPr>
          <w:p w14:paraId="78DA69EE" w14:textId="77777777" w:rsidR="000D2C16" w:rsidRPr="00603AFC" w:rsidRDefault="000D2C16" w:rsidP="00B86F70">
            <w:pPr>
              <w:keepNext/>
              <w:keepLines/>
              <w:jc w:val="center"/>
              <w:rPr>
                <w:rFonts w:ascii="Arial Narrow" w:eastAsiaTheme="majorEastAsia" w:hAnsi="Arial Narrow" w:cstheme="majorBidi"/>
                <w:bCs/>
                <w:iCs/>
                <w:sz w:val="20"/>
              </w:rPr>
            </w:pPr>
            <w:r w:rsidRPr="00603AFC">
              <w:rPr>
                <w:rFonts w:ascii="Arial Narrow" w:eastAsiaTheme="majorEastAsia" w:hAnsi="Arial Narrow" w:cstheme="majorBidi"/>
                <w:bCs/>
                <w:iCs/>
                <w:sz w:val="20"/>
              </w:rPr>
              <w:t>77.4%</w:t>
            </w:r>
          </w:p>
        </w:tc>
      </w:tr>
      <w:tr w:rsidR="000D2C16" w:rsidRPr="000D2C16" w14:paraId="4C3416D3" w14:textId="77777777" w:rsidTr="00F43344">
        <w:tc>
          <w:tcPr>
            <w:tcW w:w="4531" w:type="dxa"/>
          </w:tcPr>
          <w:p w14:paraId="2BAD6590" w14:textId="77777777" w:rsidR="000D2C16" w:rsidRPr="000D2C16" w:rsidRDefault="000D2C16" w:rsidP="00B86F70">
            <w:pPr>
              <w:keepNext/>
              <w:keepLines/>
              <w:jc w:val="left"/>
              <w:rPr>
                <w:rFonts w:ascii="Arial Narrow" w:eastAsiaTheme="majorEastAsia" w:hAnsi="Arial Narrow" w:cstheme="majorBidi"/>
                <w:bCs/>
                <w:sz w:val="20"/>
              </w:rPr>
            </w:pPr>
            <w:r w:rsidRPr="000D2C16">
              <w:rPr>
                <w:rFonts w:ascii="Arial Narrow" w:eastAsiaTheme="majorEastAsia" w:hAnsi="Arial Narrow" w:cstheme="majorBidi"/>
                <w:bCs/>
                <w:sz w:val="20"/>
              </w:rPr>
              <w:t>Discount rate (base case 5% costs and outcomes)</w:t>
            </w:r>
          </w:p>
          <w:p w14:paraId="361E1051" w14:textId="77777777" w:rsidR="000D2C16" w:rsidRPr="000D2C16" w:rsidRDefault="000D2C16" w:rsidP="00B86F70">
            <w:pPr>
              <w:keepNext/>
              <w:keepLines/>
              <w:numPr>
                <w:ilvl w:val="0"/>
                <w:numId w:val="5"/>
              </w:numPr>
              <w:ind w:left="84" w:hanging="84"/>
              <w:jc w:val="left"/>
              <w:rPr>
                <w:rFonts w:ascii="Arial Narrow" w:eastAsiaTheme="majorEastAsia" w:hAnsi="Arial Narrow" w:cstheme="majorBidi"/>
                <w:bCs/>
                <w:sz w:val="20"/>
              </w:rPr>
            </w:pPr>
            <w:r w:rsidRPr="000D2C16">
              <w:rPr>
                <w:rFonts w:ascii="Arial Narrow" w:eastAsiaTheme="majorEastAsia" w:hAnsi="Arial Narrow" w:cstheme="majorBidi"/>
                <w:bCs/>
                <w:sz w:val="20"/>
              </w:rPr>
              <w:t xml:space="preserve">0% </w:t>
            </w:r>
            <w:r w:rsidRPr="00155D2F">
              <w:rPr>
                <w:rFonts w:ascii="Arial Narrow" w:eastAsiaTheme="majorEastAsia" w:hAnsi="Arial Narrow" w:cstheme="majorBidi"/>
                <w:bCs/>
                <w:iCs/>
                <w:sz w:val="20"/>
              </w:rPr>
              <w:t>costs</w:t>
            </w:r>
            <w:r w:rsidRPr="000D2C16">
              <w:rPr>
                <w:rFonts w:ascii="Arial Narrow" w:eastAsiaTheme="majorEastAsia" w:hAnsi="Arial Narrow" w:cstheme="majorBidi"/>
                <w:bCs/>
                <w:sz w:val="20"/>
              </w:rPr>
              <w:t xml:space="preserve"> and outcomes</w:t>
            </w:r>
          </w:p>
          <w:p w14:paraId="3A64C672" w14:textId="77777777" w:rsidR="000D2C16" w:rsidRPr="000D2C16" w:rsidRDefault="000D2C16" w:rsidP="00B86F70">
            <w:pPr>
              <w:keepNext/>
              <w:keepLines/>
              <w:numPr>
                <w:ilvl w:val="0"/>
                <w:numId w:val="5"/>
              </w:numPr>
              <w:ind w:left="22" w:hanging="22"/>
              <w:jc w:val="left"/>
              <w:rPr>
                <w:rFonts w:ascii="Arial Narrow" w:eastAsiaTheme="majorEastAsia" w:hAnsi="Arial Narrow" w:cstheme="majorBidi"/>
                <w:bCs/>
                <w:sz w:val="20"/>
              </w:rPr>
            </w:pPr>
            <w:r w:rsidRPr="000D2C16">
              <w:rPr>
                <w:rFonts w:ascii="Arial Narrow" w:eastAsiaTheme="majorEastAsia" w:hAnsi="Arial Narrow" w:cstheme="majorBidi"/>
                <w:bCs/>
                <w:sz w:val="20"/>
              </w:rPr>
              <w:t>3.5% costs and outcomes</w:t>
            </w:r>
          </w:p>
        </w:tc>
        <w:tc>
          <w:tcPr>
            <w:tcW w:w="1134" w:type="dxa"/>
          </w:tcPr>
          <w:p w14:paraId="41C6CF2F" w14:textId="77777777" w:rsidR="00164331" w:rsidRPr="00164331" w:rsidRDefault="00164331" w:rsidP="00B86F70">
            <w:pPr>
              <w:keepNext/>
              <w:keepLines/>
              <w:jc w:val="center"/>
              <w:rPr>
                <w:rFonts w:ascii="Arial Narrow" w:eastAsiaTheme="majorEastAsia" w:hAnsi="Arial Narrow" w:cstheme="majorBidi"/>
                <w:bCs/>
                <w:sz w:val="20"/>
              </w:rPr>
            </w:pPr>
          </w:p>
          <w:p w14:paraId="4055D2E4" w14:textId="1DD28D79" w:rsidR="00164331" w:rsidRPr="00164331" w:rsidRDefault="00164331" w:rsidP="00B86F70">
            <w:pPr>
              <w:keepNext/>
              <w:keepLines/>
              <w:jc w:val="center"/>
              <w:rPr>
                <w:rFonts w:ascii="Arial Narrow" w:eastAsiaTheme="majorEastAsia" w:hAnsi="Arial Narrow" w:cstheme="majorBidi"/>
                <w:bCs/>
                <w:sz w:val="20"/>
              </w:rPr>
            </w:pPr>
            <w:r w:rsidRPr="00164331">
              <w:rPr>
                <w:rFonts w:ascii="Arial Narrow" w:eastAsiaTheme="majorEastAsia" w:hAnsi="Arial Narrow" w:cstheme="majorBidi" w:hint="eastAsia"/>
                <w:bCs/>
                <w:color w:val="000000"/>
                <w:w w:val="15"/>
                <w:sz w:val="20"/>
                <w:shd w:val="solid" w:color="000000" w:fill="000000"/>
                <w:fitText w:val="38" w:id="-1436282873"/>
                <w14:textFill>
                  <w14:solidFill>
                    <w14:srgbClr w14:val="000000">
                      <w14:alpha w14:val="100000"/>
                    </w14:srgbClr>
                  </w14:solidFill>
                </w14:textFill>
              </w:rPr>
              <w:t xml:space="preserve">　</w:t>
            </w:r>
            <w:r w:rsidRPr="00164331">
              <w:rPr>
                <w:rFonts w:ascii="Arial Narrow" w:eastAsiaTheme="majorEastAsia" w:hAnsi="Arial Narrow" w:cstheme="majorBidi"/>
                <w:bCs/>
                <w:color w:val="000000"/>
                <w:w w:val="15"/>
                <w:sz w:val="20"/>
                <w:shd w:val="solid" w:color="000000" w:fill="000000"/>
                <w:fitText w:val="38" w:id="-1436282873"/>
                <w14:textFill>
                  <w14:solidFill>
                    <w14:srgbClr w14:val="000000">
                      <w14:alpha w14:val="100000"/>
                    </w14:srgbClr>
                  </w14:solidFill>
                </w14:textFill>
              </w:rPr>
              <w:t>|</w:t>
            </w:r>
            <w:r w:rsidRPr="00164331">
              <w:rPr>
                <w:rFonts w:ascii="Arial Narrow" w:eastAsiaTheme="majorEastAsia" w:hAnsi="Arial Narrow" w:cstheme="majorBidi" w:hint="eastAsia"/>
                <w:bCs/>
                <w:color w:val="000000"/>
                <w:spacing w:val="-27"/>
                <w:w w:val="15"/>
                <w:sz w:val="20"/>
                <w:shd w:val="solid" w:color="000000" w:fill="000000"/>
                <w:fitText w:val="38" w:id="-1436282873"/>
                <w14:textFill>
                  <w14:solidFill>
                    <w14:srgbClr w14:val="000000">
                      <w14:alpha w14:val="100000"/>
                    </w14:srgbClr>
                  </w14:solidFill>
                </w14:textFill>
              </w:rPr>
              <w:t xml:space="preserve">　</w:t>
            </w:r>
          </w:p>
          <w:p w14:paraId="6D6DDB79" w14:textId="49797CC5" w:rsidR="000D2C16" w:rsidRPr="00EA7B11"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hint="eastAsia"/>
                <w:bCs/>
                <w:color w:val="000000"/>
                <w:w w:val="15"/>
                <w:sz w:val="20"/>
                <w:shd w:val="solid" w:color="000000" w:fill="000000"/>
                <w:fitText w:val="38" w:id="-1436282872"/>
                <w14:textFill>
                  <w14:solidFill>
                    <w14:srgbClr w14:val="000000">
                      <w14:alpha w14:val="100000"/>
                    </w14:srgbClr>
                  </w14:solidFill>
                </w14:textFill>
              </w:rPr>
              <w:t xml:space="preserve">　</w:t>
            </w:r>
            <w:r w:rsidRPr="00164331">
              <w:rPr>
                <w:rFonts w:ascii="Arial Narrow" w:eastAsiaTheme="majorEastAsia" w:hAnsi="Arial Narrow" w:cstheme="majorBidi"/>
                <w:bCs/>
                <w:color w:val="000000"/>
                <w:w w:val="15"/>
                <w:sz w:val="20"/>
                <w:shd w:val="solid" w:color="000000" w:fill="000000"/>
                <w:fitText w:val="38" w:id="-1436282872"/>
                <w14:textFill>
                  <w14:solidFill>
                    <w14:srgbClr w14:val="000000">
                      <w14:alpha w14:val="100000"/>
                    </w14:srgbClr>
                  </w14:solidFill>
                </w14:textFill>
              </w:rPr>
              <w:t>|</w:t>
            </w:r>
            <w:r w:rsidRPr="00164331">
              <w:rPr>
                <w:rFonts w:ascii="Arial Narrow" w:eastAsiaTheme="majorEastAsia" w:hAnsi="Arial Narrow" w:cstheme="majorBidi" w:hint="eastAsia"/>
                <w:bCs/>
                <w:color w:val="000000"/>
                <w:spacing w:val="-27"/>
                <w:w w:val="15"/>
                <w:sz w:val="20"/>
                <w:shd w:val="solid" w:color="000000" w:fill="000000"/>
                <w:fitText w:val="38" w:id="-1436282872"/>
                <w14:textFill>
                  <w14:solidFill>
                    <w14:srgbClr w14:val="000000">
                      <w14:alpha w14:val="100000"/>
                    </w14:srgbClr>
                  </w14:solidFill>
                </w14:textFill>
              </w:rPr>
              <w:t xml:space="preserve">　</w:t>
            </w:r>
          </w:p>
        </w:tc>
        <w:tc>
          <w:tcPr>
            <w:tcW w:w="1134" w:type="dxa"/>
          </w:tcPr>
          <w:p w14:paraId="2A89B0A3" w14:textId="77777777" w:rsidR="000D2C16" w:rsidRPr="000D2C16" w:rsidRDefault="000D2C16" w:rsidP="00B86F70">
            <w:pPr>
              <w:keepNext/>
              <w:keepLines/>
              <w:jc w:val="center"/>
              <w:rPr>
                <w:rFonts w:ascii="Arial Narrow" w:eastAsiaTheme="majorEastAsia" w:hAnsi="Arial Narrow" w:cstheme="majorBidi"/>
                <w:bCs/>
                <w:sz w:val="20"/>
              </w:rPr>
            </w:pPr>
          </w:p>
          <w:p w14:paraId="7F4A2478"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1.040</w:t>
            </w:r>
          </w:p>
          <w:p w14:paraId="5A6605D4"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1.823</w:t>
            </w:r>
          </w:p>
        </w:tc>
        <w:tc>
          <w:tcPr>
            <w:tcW w:w="1351" w:type="dxa"/>
          </w:tcPr>
          <w:p w14:paraId="37883F89" w14:textId="77777777" w:rsidR="00164331" w:rsidRPr="00164331" w:rsidRDefault="00164331" w:rsidP="00B86F70">
            <w:pPr>
              <w:keepNext/>
              <w:keepLines/>
              <w:jc w:val="center"/>
              <w:rPr>
                <w:rFonts w:ascii="Arial Narrow" w:eastAsiaTheme="majorEastAsia" w:hAnsi="Arial Narrow" w:cstheme="majorBidi"/>
                <w:bCs/>
                <w:sz w:val="20"/>
              </w:rPr>
            </w:pPr>
          </w:p>
          <w:p w14:paraId="1A667A85" w14:textId="26474F90" w:rsidR="00164331" w:rsidRPr="00164331" w:rsidRDefault="00164331" w:rsidP="00B86F70">
            <w:pPr>
              <w:keepNext/>
              <w:keepLines/>
              <w:jc w:val="center"/>
              <w:rPr>
                <w:rFonts w:ascii="Arial Narrow" w:eastAsiaTheme="majorEastAsia" w:hAnsi="Arial Narrow" w:cstheme="majorBidi"/>
                <w:bCs/>
                <w:sz w:val="20"/>
              </w:rPr>
            </w:pPr>
            <w:r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F43344" w:rsidRPr="00F43344">
              <w:rPr>
                <w:rFonts w:ascii="Arial Narrow" w:eastAsiaTheme="majorEastAsia" w:hAnsi="Arial Narrow" w:cstheme="majorBidi"/>
                <w:bCs/>
                <w:sz w:val="20"/>
                <w:vertAlign w:val="superscript"/>
              </w:rPr>
              <w:t>3</w:t>
            </w:r>
          </w:p>
          <w:p w14:paraId="118E1367" w14:textId="4ED5C488" w:rsidR="000D2C16" w:rsidRPr="00201B6B" w:rsidRDefault="00164331" w:rsidP="00B86F70">
            <w:pPr>
              <w:keepNext/>
              <w:keepLines/>
              <w:jc w:val="center"/>
              <w:rPr>
                <w:rFonts w:ascii="Arial Narrow" w:eastAsiaTheme="majorEastAsia" w:hAnsi="Arial Narrow" w:cstheme="majorBidi"/>
                <w:bCs/>
                <w:sz w:val="20"/>
                <w:highlight w:val="lightGray"/>
                <w:vertAlign w:val="superscript"/>
              </w:rPr>
            </w:pPr>
            <w:r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201B6B" w:rsidRPr="00201B6B">
              <w:rPr>
                <w:rFonts w:ascii="Arial Narrow" w:eastAsiaTheme="majorEastAsia" w:hAnsi="Arial Narrow" w:cstheme="majorBidi"/>
                <w:bCs/>
                <w:sz w:val="20"/>
                <w:vertAlign w:val="superscript"/>
              </w:rPr>
              <w:t>1</w:t>
            </w:r>
          </w:p>
        </w:tc>
        <w:tc>
          <w:tcPr>
            <w:tcW w:w="867" w:type="dxa"/>
          </w:tcPr>
          <w:p w14:paraId="128B0494" w14:textId="77777777" w:rsidR="000D2C16" w:rsidRPr="000D2C16" w:rsidRDefault="000D2C16" w:rsidP="00B86F70">
            <w:pPr>
              <w:keepNext/>
              <w:keepLines/>
              <w:jc w:val="center"/>
              <w:rPr>
                <w:rFonts w:ascii="Arial Narrow" w:eastAsiaTheme="majorEastAsia" w:hAnsi="Arial Narrow" w:cstheme="majorBidi"/>
                <w:bCs/>
                <w:sz w:val="20"/>
              </w:rPr>
            </w:pPr>
          </w:p>
          <w:p w14:paraId="7A3B510B"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-14.7%</w:t>
            </w:r>
          </w:p>
          <w:p w14:paraId="50A10470"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-44.7%</w:t>
            </w:r>
          </w:p>
        </w:tc>
      </w:tr>
      <w:tr w:rsidR="000D2C16" w:rsidRPr="000D2C16" w14:paraId="0FCD7F83" w14:textId="77777777" w:rsidTr="00F43344">
        <w:tc>
          <w:tcPr>
            <w:tcW w:w="4531" w:type="dxa"/>
          </w:tcPr>
          <w:p w14:paraId="055C8A34" w14:textId="77777777" w:rsidR="000D2C16" w:rsidRPr="000D2C16" w:rsidRDefault="000D2C16" w:rsidP="00B86F70">
            <w:pPr>
              <w:keepNext/>
              <w:keepLines/>
              <w:jc w:val="left"/>
              <w:rPr>
                <w:rFonts w:ascii="Arial Narrow" w:eastAsiaTheme="majorEastAsia" w:hAnsi="Arial Narrow" w:cstheme="majorBidi"/>
                <w:bCs/>
                <w:sz w:val="20"/>
              </w:rPr>
            </w:pPr>
            <w:r w:rsidRPr="000D2C16">
              <w:rPr>
                <w:rFonts w:ascii="Arial Narrow" w:eastAsiaTheme="majorEastAsia" w:hAnsi="Arial Narrow" w:cstheme="majorBidi"/>
                <w:bCs/>
                <w:sz w:val="20"/>
              </w:rPr>
              <w:t>Time horizon (base case 30 years)</w:t>
            </w:r>
          </w:p>
          <w:p w14:paraId="4A2E8F6F" w14:textId="77777777" w:rsidR="000D2C16" w:rsidRPr="000D2C16" w:rsidRDefault="000D2C16" w:rsidP="00B86F70">
            <w:pPr>
              <w:keepNext/>
              <w:keepLines/>
              <w:numPr>
                <w:ilvl w:val="0"/>
                <w:numId w:val="6"/>
              </w:numPr>
              <w:ind w:left="22" w:hanging="22"/>
              <w:jc w:val="left"/>
              <w:rPr>
                <w:rFonts w:ascii="Arial Narrow" w:eastAsiaTheme="majorEastAsia" w:hAnsi="Arial Narrow" w:cstheme="majorBidi"/>
                <w:bCs/>
                <w:sz w:val="20"/>
              </w:rPr>
            </w:pPr>
            <w:r w:rsidRPr="000D2C16">
              <w:rPr>
                <w:rFonts w:ascii="Arial Narrow" w:eastAsiaTheme="majorEastAsia" w:hAnsi="Arial Narrow" w:cstheme="majorBidi"/>
                <w:bCs/>
                <w:sz w:val="20"/>
              </w:rPr>
              <w:t>20 years</w:t>
            </w:r>
          </w:p>
          <w:p w14:paraId="7741650B" w14:textId="77777777" w:rsidR="000D2C16" w:rsidRPr="000D2C16" w:rsidRDefault="000D2C16" w:rsidP="00B86F70">
            <w:pPr>
              <w:keepNext/>
              <w:keepLines/>
              <w:numPr>
                <w:ilvl w:val="0"/>
                <w:numId w:val="6"/>
              </w:numPr>
              <w:ind w:left="22" w:hanging="22"/>
              <w:jc w:val="left"/>
              <w:rPr>
                <w:rFonts w:ascii="Arial Narrow" w:eastAsiaTheme="majorEastAsia" w:hAnsi="Arial Narrow" w:cstheme="majorBidi"/>
                <w:bCs/>
                <w:sz w:val="20"/>
              </w:rPr>
            </w:pPr>
            <w:r w:rsidRPr="000D2C16">
              <w:rPr>
                <w:rFonts w:ascii="Arial Narrow" w:eastAsiaTheme="majorEastAsia" w:hAnsi="Arial Narrow" w:cstheme="majorBidi"/>
                <w:bCs/>
                <w:sz w:val="20"/>
              </w:rPr>
              <w:t>40 years</w:t>
            </w:r>
          </w:p>
        </w:tc>
        <w:tc>
          <w:tcPr>
            <w:tcW w:w="1134" w:type="dxa"/>
          </w:tcPr>
          <w:p w14:paraId="6877106A" w14:textId="77777777" w:rsidR="00164331" w:rsidRPr="00164331" w:rsidRDefault="00164331" w:rsidP="00B86F70">
            <w:pPr>
              <w:keepNext/>
              <w:keepLines/>
              <w:jc w:val="center"/>
              <w:rPr>
                <w:rFonts w:ascii="Arial Narrow" w:eastAsiaTheme="majorEastAsia" w:hAnsi="Arial Narrow" w:cstheme="majorBidi"/>
                <w:bCs/>
                <w:sz w:val="20"/>
              </w:rPr>
            </w:pPr>
          </w:p>
          <w:p w14:paraId="1777149C" w14:textId="077250B2" w:rsidR="00164331" w:rsidRPr="00164331" w:rsidRDefault="00164331" w:rsidP="00B86F70">
            <w:pPr>
              <w:keepNext/>
              <w:keepLines/>
              <w:jc w:val="center"/>
              <w:rPr>
                <w:rFonts w:ascii="Arial Narrow" w:eastAsiaTheme="majorEastAsia" w:hAnsi="Arial Narrow" w:cstheme="majorBidi"/>
                <w:bCs/>
                <w:sz w:val="20"/>
              </w:rPr>
            </w:pPr>
            <w:r w:rsidRPr="00164331">
              <w:rPr>
                <w:rFonts w:ascii="Arial Narrow" w:eastAsiaTheme="majorEastAsia" w:hAnsi="Arial Narrow" w:cstheme="majorBidi" w:hint="eastAsia"/>
                <w:bCs/>
                <w:color w:val="000000"/>
                <w:w w:val="15"/>
                <w:sz w:val="20"/>
                <w:shd w:val="solid" w:color="000000" w:fill="000000"/>
                <w:fitText w:val="38" w:id="-1436282871"/>
                <w14:textFill>
                  <w14:solidFill>
                    <w14:srgbClr w14:val="000000">
                      <w14:alpha w14:val="100000"/>
                    </w14:srgbClr>
                  </w14:solidFill>
                </w14:textFill>
              </w:rPr>
              <w:t xml:space="preserve">　</w:t>
            </w:r>
            <w:r w:rsidRPr="00164331">
              <w:rPr>
                <w:rFonts w:ascii="Arial Narrow" w:eastAsiaTheme="majorEastAsia" w:hAnsi="Arial Narrow" w:cstheme="majorBidi"/>
                <w:bCs/>
                <w:color w:val="000000"/>
                <w:w w:val="15"/>
                <w:sz w:val="20"/>
                <w:shd w:val="solid" w:color="000000" w:fill="000000"/>
                <w:fitText w:val="38" w:id="-1436282871"/>
                <w14:textFill>
                  <w14:solidFill>
                    <w14:srgbClr w14:val="000000">
                      <w14:alpha w14:val="100000"/>
                    </w14:srgbClr>
                  </w14:solidFill>
                </w14:textFill>
              </w:rPr>
              <w:t>|</w:t>
            </w:r>
            <w:r w:rsidRPr="00164331">
              <w:rPr>
                <w:rFonts w:ascii="Arial Narrow" w:eastAsiaTheme="majorEastAsia" w:hAnsi="Arial Narrow" w:cstheme="majorBidi" w:hint="eastAsia"/>
                <w:bCs/>
                <w:color w:val="000000"/>
                <w:spacing w:val="-27"/>
                <w:w w:val="15"/>
                <w:sz w:val="20"/>
                <w:shd w:val="solid" w:color="000000" w:fill="000000"/>
                <w:fitText w:val="38" w:id="-1436282871"/>
                <w14:textFill>
                  <w14:solidFill>
                    <w14:srgbClr w14:val="000000">
                      <w14:alpha w14:val="100000"/>
                    </w14:srgbClr>
                  </w14:solidFill>
                </w14:textFill>
              </w:rPr>
              <w:t xml:space="preserve">　</w:t>
            </w:r>
          </w:p>
          <w:p w14:paraId="23AFCBEB" w14:textId="1E15F149" w:rsidR="000D2C16" w:rsidRPr="00EA7B11"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hint="eastAsia"/>
                <w:bCs/>
                <w:color w:val="000000"/>
                <w:w w:val="15"/>
                <w:sz w:val="20"/>
                <w:shd w:val="solid" w:color="000000" w:fill="000000"/>
                <w:fitText w:val="38" w:id="-1436282870"/>
                <w14:textFill>
                  <w14:solidFill>
                    <w14:srgbClr w14:val="000000">
                      <w14:alpha w14:val="100000"/>
                    </w14:srgbClr>
                  </w14:solidFill>
                </w14:textFill>
              </w:rPr>
              <w:t xml:space="preserve">　</w:t>
            </w:r>
            <w:r w:rsidRPr="00164331">
              <w:rPr>
                <w:rFonts w:ascii="Arial Narrow" w:eastAsiaTheme="majorEastAsia" w:hAnsi="Arial Narrow" w:cstheme="majorBidi"/>
                <w:bCs/>
                <w:color w:val="000000"/>
                <w:w w:val="15"/>
                <w:sz w:val="20"/>
                <w:shd w:val="solid" w:color="000000" w:fill="000000"/>
                <w:fitText w:val="38" w:id="-1436282870"/>
                <w14:textFill>
                  <w14:solidFill>
                    <w14:srgbClr w14:val="000000">
                      <w14:alpha w14:val="100000"/>
                    </w14:srgbClr>
                  </w14:solidFill>
                </w14:textFill>
              </w:rPr>
              <w:t>|</w:t>
            </w:r>
            <w:r w:rsidRPr="00164331">
              <w:rPr>
                <w:rFonts w:ascii="Arial Narrow" w:eastAsiaTheme="majorEastAsia" w:hAnsi="Arial Narrow" w:cstheme="majorBidi" w:hint="eastAsia"/>
                <w:bCs/>
                <w:color w:val="000000"/>
                <w:spacing w:val="-27"/>
                <w:w w:val="15"/>
                <w:sz w:val="20"/>
                <w:shd w:val="solid" w:color="000000" w:fill="000000"/>
                <w:fitText w:val="38" w:id="-1436282870"/>
                <w14:textFill>
                  <w14:solidFill>
                    <w14:srgbClr w14:val="000000">
                      <w14:alpha w14:val="100000"/>
                    </w14:srgbClr>
                  </w14:solidFill>
                </w14:textFill>
              </w:rPr>
              <w:t xml:space="preserve">　</w:t>
            </w:r>
          </w:p>
        </w:tc>
        <w:tc>
          <w:tcPr>
            <w:tcW w:w="1134" w:type="dxa"/>
          </w:tcPr>
          <w:p w14:paraId="2A2ECD11" w14:textId="77777777" w:rsidR="000D2C16" w:rsidRPr="000D2C16" w:rsidRDefault="000D2C16" w:rsidP="00B86F70">
            <w:pPr>
              <w:keepNext/>
              <w:keepLines/>
              <w:jc w:val="center"/>
              <w:rPr>
                <w:rFonts w:ascii="Arial Narrow" w:eastAsiaTheme="majorEastAsia" w:hAnsi="Arial Narrow" w:cstheme="majorBidi"/>
                <w:bCs/>
                <w:sz w:val="20"/>
              </w:rPr>
            </w:pPr>
          </w:p>
          <w:p w14:paraId="607DBEB8"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0.609</w:t>
            </w:r>
          </w:p>
          <w:p w14:paraId="530A85DD"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0.979</w:t>
            </w:r>
          </w:p>
        </w:tc>
        <w:tc>
          <w:tcPr>
            <w:tcW w:w="1351" w:type="dxa"/>
          </w:tcPr>
          <w:p w14:paraId="4E5E524D" w14:textId="77777777" w:rsidR="00164331" w:rsidRPr="00164331" w:rsidRDefault="00164331" w:rsidP="00B86F70">
            <w:pPr>
              <w:keepNext/>
              <w:keepLines/>
              <w:jc w:val="center"/>
              <w:rPr>
                <w:rFonts w:ascii="Arial Narrow" w:eastAsiaTheme="majorEastAsia" w:hAnsi="Arial Narrow" w:cstheme="majorBidi"/>
                <w:bCs/>
                <w:sz w:val="20"/>
              </w:rPr>
            </w:pPr>
          </w:p>
          <w:p w14:paraId="6DE18D3C" w14:textId="69DFC90B" w:rsidR="00164331" w:rsidRPr="00164331" w:rsidRDefault="00164331" w:rsidP="00B86F70">
            <w:pPr>
              <w:keepNext/>
              <w:keepLines/>
              <w:jc w:val="center"/>
              <w:rPr>
                <w:rFonts w:ascii="Arial Narrow" w:eastAsiaTheme="majorEastAsia" w:hAnsi="Arial Narrow" w:cstheme="majorBidi"/>
                <w:bCs/>
                <w:sz w:val="20"/>
                <w:vertAlign w:val="superscript"/>
              </w:rPr>
            </w:pPr>
            <w:r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F43344" w:rsidRPr="00F43344">
              <w:rPr>
                <w:rFonts w:ascii="Arial Narrow" w:eastAsiaTheme="majorEastAsia" w:hAnsi="Arial Narrow" w:cstheme="majorBidi"/>
                <w:bCs/>
                <w:sz w:val="20"/>
                <w:vertAlign w:val="superscript"/>
              </w:rPr>
              <w:t>4</w:t>
            </w:r>
          </w:p>
          <w:p w14:paraId="258764EE" w14:textId="68240ACB" w:rsidR="000D2C16" w:rsidRPr="00EA7B11"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201B6B" w:rsidRPr="00201B6B">
              <w:rPr>
                <w:rFonts w:ascii="Arial Narrow" w:eastAsiaTheme="majorEastAsia" w:hAnsi="Arial Narrow" w:cstheme="majorBidi"/>
                <w:bCs/>
                <w:sz w:val="20"/>
                <w:vertAlign w:val="superscript"/>
              </w:rPr>
              <w:t>1</w:t>
            </w:r>
          </w:p>
        </w:tc>
        <w:tc>
          <w:tcPr>
            <w:tcW w:w="867" w:type="dxa"/>
          </w:tcPr>
          <w:p w14:paraId="5637B708" w14:textId="77777777" w:rsidR="000D2C16" w:rsidRPr="000D2C16" w:rsidRDefault="000D2C16" w:rsidP="00B86F70">
            <w:pPr>
              <w:keepNext/>
              <w:keepLines/>
              <w:jc w:val="center"/>
              <w:rPr>
                <w:rFonts w:ascii="Arial Narrow" w:eastAsiaTheme="majorEastAsia" w:hAnsi="Arial Narrow" w:cstheme="majorBidi"/>
                <w:bCs/>
                <w:sz w:val="20"/>
              </w:rPr>
            </w:pPr>
          </w:p>
          <w:p w14:paraId="3275A412"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39.0%</w:t>
            </w:r>
          </w:p>
          <w:p w14:paraId="66240B2C"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-12.8%</w:t>
            </w:r>
          </w:p>
        </w:tc>
      </w:tr>
      <w:tr w:rsidR="000D2C16" w:rsidRPr="000D2C16" w14:paraId="20109B20" w14:textId="77777777" w:rsidTr="00164331">
        <w:tc>
          <w:tcPr>
            <w:tcW w:w="4531" w:type="dxa"/>
            <w:tcBorders>
              <w:bottom w:val="nil"/>
            </w:tcBorders>
          </w:tcPr>
          <w:p w14:paraId="59A186FA" w14:textId="68CE55E3" w:rsidR="000D2C16" w:rsidRPr="000D2C16" w:rsidRDefault="000D2C16" w:rsidP="00B86F70">
            <w:pPr>
              <w:keepNext/>
              <w:keepLines/>
              <w:jc w:val="left"/>
              <w:rPr>
                <w:rFonts w:ascii="Arial Narrow" w:eastAsiaTheme="majorEastAsia" w:hAnsi="Arial Narrow" w:cstheme="majorBidi"/>
                <w:bCs/>
                <w:sz w:val="20"/>
              </w:rPr>
            </w:pPr>
            <w:r w:rsidRPr="000D2C16">
              <w:rPr>
                <w:rFonts w:ascii="Arial Narrow" w:eastAsiaTheme="majorEastAsia" w:hAnsi="Arial Narrow" w:cstheme="majorBidi"/>
                <w:bCs/>
                <w:sz w:val="20"/>
              </w:rPr>
              <w:t xml:space="preserve">Non severe flare </w:t>
            </w:r>
            <w:r w:rsidR="009643A5">
              <w:rPr>
                <w:rFonts w:ascii="Arial Narrow" w:eastAsiaTheme="majorEastAsia" w:hAnsi="Arial Narrow" w:cstheme="majorBidi"/>
                <w:bCs/>
                <w:sz w:val="20"/>
              </w:rPr>
              <w:t>rate</w:t>
            </w:r>
            <w:r w:rsidRPr="000D2C16">
              <w:rPr>
                <w:rFonts w:ascii="Arial Narrow" w:eastAsiaTheme="majorEastAsia" w:hAnsi="Arial Narrow" w:cstheme="majorBidi"/>
                <w:bCs/>
                <w:sz w:val="20"/>
              </w:rPr>
              <w:t xml:space="preserve"> </w:t>
            </w:r>
          </w:p>
        </w:tc>
        <w:tc>
          <w:tcPr>
            <w:tcW w:w="1134" w:type="dxa"/>
            <w:tcBorders>
              <w:bottom w:val="nil"/>
            </w:tcBorders>
          </w:tcPr>
          <w:p w14:paraId="24C3FC1D" w14:textId="77777777" w:rsidR="000D2C16" w:rsidRPr="00EA7B11" w:rsidRDefault="000D2C16" w:rsidP="00B86F70">
            <w:pPr>
              <w:keepNext/>
              <w:keepLines/>
              <w:jc w:val="center"/>
              <w:rPr>
                <w:rFonts w:ascii="Arial Narrow" w:eastAsiaTheme="majorEastAsia" w:hAnsi="Arial Narrow" w:cstheme="majorBidi"/>
                <w:bCs/>
                <w:sz w:val="20"/>
                <w:highlight w:val="lightGray"/>
              </w:rPr>
            </w:pPr>
          </w:p>
        </w:tc>
        <w:tc>
          <w:tcPr>
            <w:tcW w:w="1134" w:type="dxa"/>
            <w:tcBorders>
              <w:bottom w:val="nil"/>
            </w:tcBorders>
          </w:tcPr>
          <w:p w14:paraId="0DABAF78" w14:textId="77777777" w:rsidR="000D2C16" w:rsidRPr="000D2C16" w:rsidRDefault="000D2C16" w:rsidP="00B86F70">
            <w:pPr>
              <w:keepNext/>
              <w:keepLines/>
              <w:jc w:val="center"/>
              <w:rPr>
                <w:rFonts w:ascii="Arial Narrow" w:eastAsiaTheme="majorEastAsia" w:hAnsi="Arial Narrow" w:cstheme="majorBidi"/>
                <w:bCs/>
                <w:sz w:val="20"/>
              </w:rPr>
            </w:pPr>
          </w:p>
        </w:tc>
        <w:tc>
          <w:tcPr>
            <w:tcW w:w="1351" w:type="dxa"/>
            <w:tcBorders>
              <w:bottom w:val="nil"/>
            </w:tcBorders>
          </w:tcPr>
          <w:p w14:paraId="0E773449" w14:textId="77777777" w:rsidR="000D2C16" w:rsidRPr="00EA7B11" w:rsidRDefault="000D2C16" w:rsidP="00B86F70">
            <w:pPr>
              <w:keepNext/>
              <w:keepLines/>
              <w:jc w:val="center"/>
              <w:rPr>
                <w:rFonts w:ascii="Arial Narrow" w:eastAsiaTheme="majorEastAsia" w:hAnsi="Arial Narrow" w:cstheme="majorBidi"/>
                <w:bCs/>
                <w:sz w:val="20"/>
                <w:highlight w:val="lightGray"/>
              </w:rPr>
            </w:pPr>
          </w:p>
        </w:tc>
        <w:tc>
          <w:tcPr>
            <w:tcW w:w="867" w:type="dxa"/>
            <w:tcBorders>
              <w:bottom w:val="nil"/>
            </w:tcBorders>
          </w:tcPr>
          <w:p w14:paraId="0E1D9603" w14:textId="77777777" w:rsidR="000D2C16" w:rsidRPr="000D2C16" w:rsidRDefault="000D2C16" w:rsidP="00B86F70">
            <w:pPr>
              <w:keepNext/>
              <w:keepLines/>
              <w:jc w:val="center"/>
              <w:rPr>
                <w:rFonts w:ascii="Arial Narrow" w:eastAsiaTheme="majorEastAsia" w:hAnsi="Arial Narrow" w:cstheme="majorBidi"/>
                <w:bCs/>
                <w:sz w:val="20"/>
              </w:rPr>
            </w:pPr>
          </w:p>
        </w:tc>
      </w:tr>
      <w:tr w:rsidR="000D2C16" w:rsidRPr="000D2C16" w14:paraId="4A4756F2" w14:textId="77777777" w:rsidTr="00164331">
        <w:tc>
          <w:tcPr>
            <w:tcW w:w="4531" w:type="dxa"/>
            <w:tcBorders>
              <w:top w:val="nil"/>
              <w:bottom w:val="nil"/>
            </w:tcBorders>
          </w:tcPr>
          <w:p w14:paraId="381BF0A5" w14:textId="77777777" w:rsidR="000D2C16" w:rsidRPr="000D2C16" w:rsidRDefault="000D2C16" w:rsidP="00B86F70">
            <w:pPr>
              <w:keepNext/>
              <w:keepLines/>
              <w:numPr>
                <w:ilvl w:val="0"/>
                <w:numId w:val="6"/>
              </w:numPr>
              <w:ind w:left="22" w:hanging="22"/>
              <w:jc w:val="left"/>
              <w:rPr>
                <w:rFonts w:ascii="Arial Narrow" w:eastAsiaTheme="majorEastAsia" w:hAnsi="Arial Narrow" w:cstheme="majorBidi"/>
                <w:bCs/>
                <w:sz w:val="20"/>
              </w:rPr>
            </w:pPr>
            <w:r w:rsidRPr="000D2C16">
              <w:rPr>
                <w:rFonts w:ascii="Arial Narrow" w:eastAsiaTheme="majorEastAsia" w:hAnsi="Arial Narrow" w:cstheme="majorBidi"/>
                <w:bCs/>
                <w:sz w:val="20"/>
              </w:rPr>
              <w:t>Lower 95% CI (NR)</w:t>
            </w:r>
          </w:p>
        </w:tc>
        <w:tc>
          <w:tcPr>
            <w:tcW w:w="1134" w:type="dxa"/>
            <w:tcBorders>
              <w:top w:val="nil"/>
              <w:bottom w:val="nil"/>
            </w:tcBorders>
            <w:shd w:val="solid" w:color="000000" w:fill="000000"/>
          </w:tcPr>
          <w:p w14:paraId="22EBB180" w14:textId="129E6E1C" w:rsidR="000D2C16" w:rsidRPr="00EA7B11"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hint="eastAsia"/>
                <w:bCs/>
                <w:color w:val="000000"/>
                <w:w w:val="15"/>
                <w:sz w:val="20"/>
                <w:fitText w:val="38" w:id="-1436282869"/>
                <w14:textFill>
                  <w14:solidFill>
                    <w14:srgbClr w14:val="000000">
                      <w14:alpha w14:val="100000"/>
                    </w14:srgbClr>
                  </w14:solidFill>
                </w14:textFill>
              </w:rPr>
              <w:t xml:space="preserve">　</w:t>
            </w:r>
            <w:r w:rsidRPr="00164331">
              <w:rPr>
                <w:rFonts w:ascii="Arial Narrow" w:eastAsiaTheme="majorEastAsia" w:hAnsi="Arial Narrow" w:cstheme="majorBidi"/>
                <w:bCs/>
                <w:color w:val="000000"/>
                <w:w w:val="15"/>
                <w:sz w:val="20"/>
                <w:fitText w:val="38" w:id="-1436282869"/>
                <w14:textFill>
                  <w14:solidFill>
                    <w14:srgbClr w14:val="000000">
                      <w14:alpha w14:val="100000"/>
                    </w14:srgbClr>
                  </w14:solidFill>
                </w14:textFill>
              </w:rPr>
              <w:t>|</w:t>
            </w:r>
            <w:r w:rsidRPr="00164331">
              <w:rPr>
                <w:rFonts w:ascii="Arial Narrow" w:eastAsiaTheme="majorEastAsia" w:hAnsi="Arial Narrow" w:cstheme="majorBidi" w:hint="eastAsia"/>
                <w:bCs/>
                <w:color w:val="000000"/>
                <w:spacing w:val="-27"/>
                <w:w w:val="15"/>
                <w:sz w:val="20"/>
                <w:fitText w:val="38" w:id="-1436282869"/>
                <w14:textFill>
                  <w14:solidFill>
                    <w14:srgbClr w14:val="000000">
                      <w14:alpha w14:val="100000"/>
                    </w14:srgbClr>
                  </w14:solidFill>
                </w14:textFill>
              </w:rPr>
              <w:t xml:space="preserve">　</w:t>
            </w:r>
          </w:p>
        </w:tc>
        <w:tc>
          <w:tcPr>
            <w:tcW w:w="1134" w:type="dxa"/>
            <w:tcBorders>
              <w:top w:val="nil"/>
              <w:bottom w:val="nil"/>
            </w:tcBorders>
          </w:tcPr>
          <w:p w14:paraId="470540E2"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0.546</w:t>
            </w:r>
          </w:p>
        </w:tc>
        <w:tc>
          <w:tcPr>
            <w:tcW w:w="1351" w:type="dxa"/>
            <w:tcBorders>
              <w:top w:val="nil"/>
              <w:bottom w:val="nil"/>
            </w:tcBorders>
          </w:tcPr>
          <w:p w14:paraId="2F96FF96" w14:textId="6309C09A" w:rsidR="000D2C16" w:rsidRPr="00EA7B11"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F43344" w:rsidRPr="00201B6B">
              <w:rPr>
                <w:rFonts w:ascii="Arial Narrow" w:eastAsiaTheme="majorEastAsia" w:hAnsi="Arial Narrow" w:cstheme="majorBidi"/>
                <w:bCs/>
                <w:iCs/>
                <w:sz w:val="20"/>
                <w:vertAlign w:val="superscript"/>
              </w:rPr>
              <w:t>2</w:t>
            </w:r>
          </w:p>
        </w:tc>
        <w:tc>
          <w:tcPr>
            <w:tcW w:w="867" w:type="dxa"/>
            <w:tcBorders>
              <w:top w:val="nil"/>
              <w:bottom w:val="nil"/>
            </w:tcBorders>
          </w:tcPr>
          <w:p w14:paraId="4ED7DD08"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68.4%</w:t>
            </w:r>
          </w:p>
        </w:tc>
      </w:tr>
      <w:tr w:rsidR="000D2C16" w:rsidRPr="000D2C16" w14:paraId="53FC9A5E" w14:textId="77777777" w:rsidTr="00164331">
        <w:tc>
          <w:tcPr>
            <w:tcW w:w="4531" w:type="dxa"/>
            <w:tcBorders>
              <w:top w:val="nil"/>
            </w:tcBorders>
          </w:tcPr>
          <w:p w14:paraId="2DDF4FFE" w14:textId="77777777" w:rsidR="000D2C16" w:rsidRPr="000D2C16" w:rsidRDefault="000D2C16" w:rsidP="00B86F70">
            <w:pPr>
              <w:keepNext/>
              <w:keepLines/>
              <w:numPr>
                <w:ilvl w:val="0"/>
                <w:numId w:val="6"/>
              </w:numPr>
              <w:ind w:left="22" w:hanging="22"/>
              <w:jc w:val="left"/>
              <w:rPr>
                <w:rFonts w:ascii="Arial Narrow" w:eastAsiaTheme="majorEastAsia" w:hAnsi="Arial Narrow" w:cstheme="majorBidi"/>
                <w:bCs/>
                <w:sz w:val="20"/>
              </w:rPr>
            </w:pPr>
            <w:r w:rsidRPr="000D2C16">
              <w:rPr>
                <w:rFonts w:ascii="Arial Narrow" w:eastAsiaTheme="majorEastAsia" w:hAnsi="Arial Narrow" w:cstheme="majorBidi"/>
                <w:bCs/>
                <w:sz w:val="20"/>
              </w:rPr>
              <w:t>Upper 95% CI (NR)</w:t>
            </w:r>
          </w:p>
        </w:tc>
        <w:tc>
          <w:tcPr>
            <w:tcW w:w="1134" w:type="dxa"/>
            <w:tcBorders>
              <w:top w:val="nil"/>
            </w:tcBorders>
            <w:shd w:val="solid" w:color="000000" w:fill="000000"/>
          </w:tcPr>
          <w:p w14:paraId="6B0C8116" w14:textId="04D75E9C" w:rsidR="000D2C16" w:rsidRPr="00EA7B11"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hint="eastAsia"/>
                <w:bCs/>
                <w:color w:val="000000"/>
                <w:w w:val="15"/>
                <w:sz w:val="20"/>
                <w:fitText w:val="38" w:id="-1436282868"/>
                <w14:textFill>
                  <w14:solidFill>
                    <w14:srgbClr w14:val="000000">
                      <w14:alpha w14:val="100000"/>
                    </w14:srgbClr>
                  </w14:solidFill>
                </w14:textFill>
              </w:rPr>
              <w:t xml:space="preserve">　</w:t>
            </w:r>
            <w:r w:rsidRPr="00164331">
              <w:rPr>
                <w:rFonts w:ascii="Arial Narrow" w:eastAsiaTheme="majorEastAsia" w:hAnsi="Arial Narrow" w:cstheme="majorBidi"/>
                <w:bCs/>
                <w:color w:val="000000"/>
                <w:w w:val="15"/>
                <w:sz w:val="20"/>
                <w:fitText w:val="38" w:id="-1436282868"/>
                <w14:textFill>
                  <w14:solidFill>
                    <w14:srgbClr w14:val="000000">
                      <w14:alpha w14:val="100000"/>
                    </w14:srgbClr>
                  </w14:solidFill>
                </w14:textFill>
              </w:rPr>
              <w:t>|</w:t>
            </w:r>
            <w:r w:rsidRPr="00164331">
              <w:rPr>
                <w:rFonts w:ascii="Arial Narrow" w:eastAsiaTheme="majorEastAsia" w:hAnsi="Arial Narrow" w:cstheme="majorBidi" w:hint="eastAsia"/>
                <w:bCs/>
                <w:color w:val="000000"/>
                <w:spacing w:val="-27"/>
                <w:w w:val="15"/>
                <w:sz w:val="20"/>
                <w:fitText w:val="38" w:id="-1436282868"/>
                <w14:textFill>
                  <w14:solidFill>
                    <w14:srgbClr w14:val="000000">
                      <w14:alpha w14:val="100000"/>
                    </w14:srgbClr>
                  </w14:solidFill>
                </w14:textFill>
              </w:rPr>
              <w:t xml:space="preserve">　</w:t>
            </w:r>
          </w:p>
        </w:tc>
        <w:tc>
          <w:tcPr>
            <w:tcW w:w="1134" w:type="dxa"/>
            <w:tcBorders>
              <w:top w:val="nil"/>
            </w:tcBorders>
          </w:tcPr>
          <w:p w14:paraId="59C12393"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1.486</w:t>
            </w:r>
          </w:p>
        </w:tc>
        <w:tc>
          <w:tcPr>
            <w:tcW w:w="1351" w:type="dxa"/>
            <w:tcBorders>
              <w:top w:val="nil"/>
            </w:tcBorders>
          </w:tcPr>
          <w:p w14:paraId="617E9E89" w14:textId="2E37324D" w:rsidR="000D2C16" w:rsidRPr="00F43344"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F43344" w:rsidRPr="00F43344">
              <w:rPr>
                <w:rFonts w:ascii="Arial Narrow" w:eastAsiaTheme="majorEastAsia" w:hAnsi="Arial Narrow" w:cstheme="majorBidi"/>
                <w:bCs/>
                <w:sz w:val="20"/>
                <w:vertAlign w:val="superscript"/>
              </w:rPr>
              <w:t>5</w:t>
            </w:r>
          </w:p>
        </w:tc>
        <w:tc>
          <w:tcPr>
            <w:tcW w:w="867" w:type="dxa"/>
            <w:tcBorders>
              <w:top w:val="nil"/>
            </w:tcBorders>
          </w:tcPr>
          <w:p w14:paraId="5194C955"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-62.6%</w:t>
            </w:r>
          </w:p>
        </w:tc>
      </w:tr>
      <w:tr w:rsidR="000D2C16" w:rsidRPr="000D2C16" w14:paraId="7D263A6E" w14:textId="77777777" w:rsidTr="00164331">
        <w:tc>
          <w:tcPr>
            <w:tcW w:w="4531" w:type="dxa"/>
            <w:tcBorders>
              <w:bottom w:val="nil"/>
            </w:tcBorders>
          </w:tcPr>
          <w:p w14:paraId="1CBAF5D9" w14:textId="77777777" w:rsidR="000D2C16" w:rsidRPr="000D2C16" w:rsidRDefault="000D2C16" w:rsidP="00B86F70">
            <w:pPr>
              <w:keepNext/>
              <w:keepLines/>
              <w:jc w:val="left"/>
              <w:rPr>
                <w:rFonts w:ascii="Arial Narrow" w:eastAsiaTheme="majorEastAsia" w:hAnsi="Arial Narrow" w:cstheme="majorBidi"/>
                <w:bCs/>
                <w:sz w:val="20"/>
              </w:rPr>
            </w:pPr>
            <w:r w:rsidRPr="000D2C16">
              <w:rPr>
                <w:rFonts w:ascii="Arial Narrow" w:eastAsiaTheme="majorEastAsia" w:hAnsi="Arial Narrow" w:cstheme="majorBidi"/>
                <w:bCs/>
                <w:sz w:val="20"/>
              </w:rPr>
              <w:t xml:space="preserve">Severe flare rate </w:t>
            </w:r>
          </w:p>
        </w:tc>
        <w:tc>
          <w:tcPr>
            <w:tcW w:w="1134" w:type="dxa"/>
            <w:tcBorders>
              <w:bottom w:val="nil"/>
            </w:tcBorders>
          </w:tcPr>
          <w:p w14:paraId="4B76364F" w14:textId="77777777" w:rsidR="000D2C16" w:rsidRPr="00EA7B11" w:rsidRDefault="000D2C16" w:rsidP="00B86F70">
            <w:pPr>
              <w:keepNext/>
              <w:keepLines/>
              <w:jc w:val="center"/>
              <w:rPr>
                <w:rFonts w:ascii="Arial Narrow" w:eastAsiaTheme="majorEastAsia" w:hAnsi="Arial Narrow" w:cstheme="majorBidi"/>
                <w:bCs/>
                <w:sz w:val="20"/>
                <w:highlight w:val="lightGray"/>
              </w:rPr>
            </w:pPr>
          </w:p>
        </w:tc>
        <w:tc>
          <w:tcPr>
            <w:tcW w:w="1134" w:type="dxa"/>
            <w:tcBorders>
              <w:bottom w:val="nil"/>
            </w:tcBorders>
          </w:tcPr>
          <w:p w14:paraId="110E628C" w14:textId="77777777" w:rsidR="000D2C16" w:rsidRPr="000D2C16" w:rsidRDefault="000D2C16" w:rsidP="00B86F70">
            <w:pPr>
              <w:keepNext/>
              <w:keepLines/>
              <w:jc w:val="center"/>
              <w:rPr>
                <w:rFonts w:ascii="Arial Narrow" w:eastAsiaTheme="majorEastAsia" w:hAnsi="Arial Narrow" w:cstheme="majorBidi"/>
                <w:bCs/>
                <w:sz w:val="20"/>
              </w:rPr>
            </w:pPr>
          </w:p>
        </w:tc>
        <w:tc>
          <w:tcPr>
            <w:tcW w:w="1351" w:type="dxa"/>
            <w:tcBorders>
              <w:bottom w:val="nil"/>
            </w:tcBorders>
          </w:tcPr>
          <w:p w14:paraId="6FE75346" w14:textId="77777777" w:rsidR="000D2C16" w:rsidRPr="00EA7B11" w:rsidRDefault="000D2C16" w:rsidP="00B86F70">
            <w:pPr>
              <w:keepNext/>
              <w:keepLines/>
              <w:jc w:val="center"/>
              <w:rPr>
                <w:rFonts w:ascii="Arial Narrow" w:eastAsiaTheme="majorEastAsia" w:hAnsi="Arial Narrow" w:cstheme="majorBidi"/>
                <w:bCs/>
                <w:sz w:val="20"/>
                <w:highlight w:val="lightGray"/>
              </w:rPr>
            </w:pPr>
          </w:p>
        </w:tc>
        <w:tc>
          <w:tcPr>
            <w:tcW w:w="867" w:type="dxa"/>
            <w:tcBorders>
              <w:bottom w:val="nil"/>
            </w:tcBorders>
          </w:tcPr>
          <w:p w14:paraId="18728A09" w14:textId="77777777" w:rsidR="000D2C16" w:rsidRPr="000D2C16" w:rsidRDefault="000D2C16" w:rsidP="00B86F70">
            <w:pPr>
              <w:keepNext/>
              <w:keepLines/>
              <w:jc w:val="center"/>
              <w:rPr>
                <w:rFonts w:ascii="Arial Narrow" w:eastAsiaTheme="majorEastAsia" w:hAnsi="Arial Narrow" w:cstheme="majorBidi"/>
                <w:bCs/>
                <w:sz w:val="20"/>
              </w:rPr>
            </w:pPr>
          </w:p>
        </w:tc>
      </w:tr>
      <w:tr w:rsidR="000D2C16" w:rsidRPr="000D2C16" w14:paraId="75AA8FBA" w14:textId="77777777" w:rsidTr="00164331">
        <w:tc>
          <w:tcPr>
            <w:tcW w:w="4531" w:type="dxa"/>
            <w:tcBorders>
              <w:top w:val="nil"/>
              <w:bottom w:val="nil"/>
            </w:tcBorders>
          </w:tcPr>
          <w:p w14:paraId="3E9C92E2" w14:textId="77777777" w:rsidR="000D2C16" w:rsidRPr="000D2C16" w:rsidRDefault="000D2C16" w:rsidP="00B86F70">
            <w:pPr>
              <w:keepNext/>
              <w:keepLines/>
              <w:numPr>
                <w:ilvl w:val="0"/>
                <w:numId w:val="6"/>
              </w:numPr>
              <w:ind w:left="22" w:hanging="22"/>
              <w:jc w:val="left"/>
              <w:rPr>
                <w:rFonts w:ascii="Arial Narrow" w:eastAsiaTheme="majorEastAsia" w:hAnsi="Arial Narrow" w:cstheme="majorBidi"/>
                <w:bCs/>
                <w:sz w:val="20"/>
              </w:rPr>
            </w:pPr>
            <w:r w:rsidRPr="000D2C16">
              <w:rPr>
                <w:rFonts w:ascii="Arial Narrow" w:eastAsiaTheme="majorEastAsia" w:hAnsi="Arial Narrow" w:cstheme="majorBidi"/>
                <w:bCs/>
                <w:sz w:val="20"/>
              </w:rPr>
              <w:t>Lower 95% CI (NR)</w:t>
            </w:r>
          </w:p>
        </w:tc>
        <w:tc>
          <w:tcPr>
            <w:tcW w:w="1134" w:type="dxa"/>
            <w:tcBorders>
              <w:top w:val="nil"/>
              <w:bottom w:val="nil"/>
            </w:tcBorders>
            <w:shd w:val="solid" w:color="000000" w:fill="000000"/>
          </w:tcPr>
          <w:p w14:paraId="17BBCAEF" w14:textId="1DBE2829" w:rsidR="000D2C16" w:rsidRPr="00EA7B11"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hint="eastAsia"/>
                <w:bCs/>
                <w:color w:val="000000"/>
                <w:w w:val="15"/>
                <w:sz w:val="20"/>
                <w:fitText w:val="38" w:id="-1436282867"/>
                <w14:textFill>
                  <w14:solidFill>
                    <w14:srgbClr w14:val="000000">
                      <w14:alpha w14:val="100000"/>
                    </w14:srgbClr>
                  </w14:solidFill>
                </w14:textFill>
              </w:rPr>
              <w:t xml:space="preserve">　</w:t>
            </w:r>
            <w:r w:rsidRPr="00164331">
              <w:rPr>
                <w:rFonts w:ascii="Arial Narrow" w:eastAsiaTheme="majorEastAsia" w:hAnsi="Arial Narrow" w:cstheme="majorBidi"/>
                <w:bCs/>
                <w:color w:val="000000"/>
                <w:w w:val="15"/>
                <w:sz w:val="20"/>
                <w:fitText w:val="38" w:id="-1436282867"/>
                <w14:textFill>
                  <w14:solidFill>
                    <w14:srgbClr w14:val="000000">
                      <w14:alpha w14:val="100000"/>
                    </w14:srgbClr>
                  </w14:solidFill>
                </w14:textFill>
              </w:rPr>
              <w:t>|</w:t>
            </w:r>
            <w:r w:rsidRPr="00164331">
              <w:rPr>
                <w:rFonts w:ascii="Arial Narrow" w:eastAsiaTheme="majorEastAsia" w:hAnsi="Arial Narrow" w:cstheme="majorBidi" w:hint="eastAsia"/>
                <w:bCs/>
                <w:color w:val="000000"/>
                <w:spacing w:val="-27"/>
                <w:w w:val="15"/>
                <w:sz w:val="20"/>
                <w:fitText w:val="38" w:id="-1436282867"/>
                <w14:textFill>
                  <w14:solidFill>
                    <w14:srgbClr w14:val="000000">
                      <w14:alpha w14:val="100000"/>
                    </w14:srgbClr>
                  </w14:solidFill>
                </w14:textFill>
              </w:rPr>
              <w:t xml:space="preserve">　</w:t>
            </w:r>
          </w:p>
        </w:tc>
        <w:tc>
          <w:tcPr>
            <w:tcW w:w="1134" w:type="dxa"/>
            <w:tcBorders>
              <w:top w:val="nil"/>
              <w:bottom w:val="nil"/>
            </w:tcBorders>
          </w:tcPr>
          <w:p w14:paraId="1A64FCB5"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0.457</w:t>
            </w:r>
          </w:p>
        </w:tc>
        <w:tc>
          <w:tcPr>
            <w:tcW w:w="1351" w:type="dxa"/>
            <w:tcBorders>
              <w:top w:val="nil"/>
              <w:bottom w:val="nil"/>
            </w:tcBorders>
          </w:tcPr>
          <w:p w14:paraId="2F3F62FA" w14:textId="3226D2BE" w:rsidR="000D2C16" w:rsidRPr="00F43344"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F43344" w:rsidRPr="00F43344">
              <w:rPr>
                <w:rFonts w:ascii="Arial Narrow" w:eastAsiaTheme="majorEastAsia" w:hAnsi="Arial Narrow" w:cstheme="majorBidi"/>
                <w:bCs/>
                <w:sz w:val="20"/>
                <w:vertAlign w:val="superscript"/>
              </w:rPr>
              <w:t>6</w:t>
            </w:r>
          </w:p>
        </w:tc>
        <w:tc>
          <w:tcPr>
            <w:tcW w:w="867" w:type="dxa"/>
            <w:tcBorders>
              <w:top w:val="nil"/>
              <w:bottom w:val="nil"/>
            </w:tcBorders>
          </w:tcPr>
          <w:p w14:paraId="2DC4E5A4"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104.9%</w:t>
            </w:r>
          </w:p>
        </w:tc>
      </w:tr>
      <w:tr w:rsidR="000D2C16" w:rsidRPr="000D2C16" w14:paraId="2D2BE108" w14:textId="77777777" w:rsidTr="00164331">
        <w:tc>
          <w:tcPr>
            <w:tcW w:w="4531" w:type="dxa"/>
            <w:tcBorders>
              <w:top w:val="nil"/>
            </w:tcBorders>
          </w:tcPr>
          <w:p w14:paraId="2B58D9E4" w14:textId="77777777" w:rsidR="000D2C16" w:rsidRPr="000D2C16" w:rsidRDefault="000D2C16" w:rsidP="00B86F70">
            <w:pPr>
              <w:keepNext/>
              <w:keepLines/>
              <w:numPr>
                <w:ilvl w:val="0"/>
                <w:numId w:val="6"/>
              </w:numPr>
              <w:ind w:left="22" w:hanging="22"/>
              <w:jc w:val="left"/>
              <w:rPr>
                <w:rFonts w:ascii="Arial Narrow" w:eastAsiaTheme="majorEastAsia" w:hAnsi="Arial Narrow" w:cstheme="majorBidi"/>
                <w:bCs/>
                <w:sz w:val="20"/>
              </w:rPr>
            </w:pPr>
            <w:r w:rsidRPr="000D2C16">
              <w:rPr>
                <w:rFonts w:ascii="Arial Narrow" w:eastAsiaTheme="majorEastAsia" w:hAnsi="Arial Narrow" w:cstheme="majorBidi"/>
                <w:bCs/>
                <w:sz w:val="20"/>
              </w:rPr>
              <w:t>Upper 95% CI (NR)</w:t>
            </w:r>
          </w:p>
        </w:tc>
        <w:tc>
          <w:tcPr>
            <w:tcW w:w="1134" w:type="dxa"/>
            <w:tcBorders>
              <w:top w:val="nil"/>
            </w:tcBorders>
            <w:shd w:val="solid" w:color="000000" w:fill="000000"/>
          </w:tcPr>
          <w:p w14:paraId="0AABDB78" w14:textId="55D80CA1" w:rsidR="000D2C16" w:rsidRPr="00EA7B11"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hint="eastAsia"/>
                <w:bCs/>
                <w:color w:val="000000"/>
                <w:w w:val="15"/>
                <w:sz w:val="20"/>
                <w:fitText w:val="38" w:id="-1436282866"/>
                <w14:textFill>
                  <w14:solidFill>
                    <w14:srgbClr w14:val="000000">
                      <w14:alpha w14:val="100000"/>
                    </w14:srgbClr>
                  </w14:solidFill>
                </w14:textFill>
              </w:rPr>
              <w:t xml:space="preserve">　</w:t>
            </w:r>
            <w:r w:rsidRPr="00164331">
              <w:rPr>
                <w:rFonts w:ascii="Arial Narrow" w:eastAsiaTheme="majorEastAsia" w:hAnsi="Arial Narrow" w:cstheme="majorBidi"/>
                <w:bCs/>
                <w:color w:val="000000"/>
                <w:w w:val="15"/>
                <w:sz w:val="20"/>
                <w:fitText w:val="38" w:id="-1436282866"/>
                <w14:textFill>
                  <w14:solidFill>
                    <w14:srgbClr w14:val="000000">
                      <w14:alpha w14:val="100000"/>
                    </w14:srgbClr>
                  </w14:solidFill>
                </w14:textFill>
              </w:rPr>
              <w:t>|</w:t>
            </w:r>
            <w:r w:rsidRPr="00164331">
              <w:rPr>
                <w:rFonts w:ascii="Arial Narrow" w:eastAsiaTheme="majorEastAsia" w:hAnsi="Arial Narrow" w:cstheme="majorBidi" w:hint="eastAsia"/>
                <w:bCs/>
                <w:color w:val="000000"/>
                <w:spacing w:val="-27"/>
                <w:w w:val="15"/>
                <w:sz w:val="20"/>
                <w:fitText w:val="38" w:id="-1436282866"/>
                <w14:textFill>
                  <w14:solidFill>
                    <w14:srgbClr w14:val="000000">
                      <w14:alpha w14:val="100000"/>
                    </w14:srgbClr>
                  </w14:solidFill>
                </w14:textFill>
              </w:rPr>
              <w:t xml:space="preserve">　</w:t>
            </w:r>
          </w:p>
        </w:tc>
        <w:tc>
          <w:tcPr>
            <w:tcW w:w="1134" w:type="dxa"/>
            <w:tcBorders>
              <w:top w:val="nil"/>
            </w:tcBorders>
          </w:tcPr>
          <w:p w14:paraId="7E0F43B0"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2.000</w:t>
            </w:r>
          </w:p>
        </w:tc>
        <w:tc>
          <w:tcPr>
            <w:tcW w:w="1351" w:type="dxa"/>
            <w:tcBorders>
              <w:top w:val="nil"/>
            </w:tcBorders>
          </w:tcPr>
          <w:p w14:paraId="2AA4A083" w14:textId="5BBB1F47" w:rsidR="000D2C16" w:rsidRPr="00F43344"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F43344" w:rsidRPr="00F43344">
              <w:rPr>
                <w:rFonts w:ascii="Arial Narrow" w:eastAsiaTheme="majorEastAsia" w:hAnsi="Arial Narrow" w:cstheme="majorBidi"/>
                <w:bCs/>
                <w:sz w:val="20"/>
                <w:vertAlign w:val="superscript"/>
              </w:rPr>
              <w:t>7</w:t>
            </w:r>
          </w:p>
        </w:tc>
        <w:tc>
          <w:tcPr>
            <w:tcW w:w="867" w:type="dxa"/>
            <w:tcBorders>
              <w:top w:val="nil"/>
            </w:tcBorders>
          </w:tcPr>
          <w:p w14:paraId="08AE98E3"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-79.6%</w:t>
            </w:r>
          </w:p>
        </w:tc>
      </w:tr>
      <w:tr w:rsidR="000D2C16" w:rsidRPr="000D2C16" w14:paraId="4F24E80B" w14:textId="77777777" w:rsidTr="00164331">
        <w:tc>
          <w:tcPr>
            <w:tcW w:w="4531" w:type="dxa"/>
            <w:tcBorders>
              <w:bottom w:val="nil"/>
            </w:tcBorders>
          </w:tcPr>
          <w:p w14:paraId="0764BBF6" w14:textId="491E81AF" w:rsidR="000D2C16" w:rsidRPr="000D2C16" w:rsidRDefault="000D2C16" w:rsidP="00B86F70">
            <w:pPr>
              <w:keepNext/>
              <w:keepLines/>
              <w:jc w:val="left"/>
              <w:rPr>
                <w:rFonts w:ascii="Arial Narrow" w:eastAsiaTheme="majorEastAsia" w:hAnsi="Arial Narrow" w:cstheme="majorBidi"/>
                <w:bCs/>
                <w:sz w:val="20"/>
              </w:rPr>
            </w:pPr>
            <w:r w:rsidRPr="000D2C16">
              <w:rPr>
                <w:rFonts w:ascii="Arial Narrow" w:eastAsiaTheme="majorEastAsia" w:hAnsi="Arial Narrow" w:cstheme="majorBidi"/>
                <w:bCs/>
                <w:sz w:val="20"/>
              </w:rPr>
              <w:t xml:space="preserve">SLEDAI-2K </w:t>
            </w:r>
            <w:r w:rsidR="00F66231">
              <w:rPr>
                <w:rFonts w:ascii="Arial Narrow" w:eastAsiaTheme="majorEastAsia" w:hAnsi="Arial Narrow" w:cstheme="majorBidi"/>
                <w:bCs/>
                <w:sz w:val="20"/>
              </w:rPr>
              <w:t>rate</w:t>
            </w:r>
          </w:p>
        </w:tc>
        <w:tc>
          <w:tcPr>
            <w:tcW w:w="1134" w:type="dxa"/>
            <w:tcBorders>
              <w:bottom w:val="nil"/>
            </w:tcBorders>
          </w:tcPr>
          <w:p w14:paraId="3E8B8DDB" w14:textId="77777777" w:rsidR="000D2C16" w:rsidRPr="00EA7B11" w:rsidRDefault="000D2C16" w:rsidP="00B86F70">
            <w:pPr>
              <w:keepNext/>
              <w:keepLines/>
              <w:jc w:val="center"/>
              <w:rPr>
                <w:rFonts w:ascii="Arial Narrow" w:eastAsiaTheme="majorEastAsia" w:hAnsi="Arial Narrow" w:cstheme="majorBidi"/>
                <w:bCs/>
                <w:sz w:val="20"/>
                <w:highlight w:val="lightGray"/>
              </w:rPr>
            </w:pPr>
          </w:p>
        </w:tc>
        <w:tc>
          <w:tcPr>
            <w:tcW w:w="1134" w:type="dxa"/>
            <w:tcBorders>
              <w:bottom w:val="nil"/>
            </w:tcBorders>
          </w:tcPr>
          <w:p w14:paraId="0ACDDAF6" w14:textId="77777777" w:rsidR="000D2C16" w:rsidRPr="000D2C16" w:rsidRDefault="000D2C16" w:rsidP="00B86F70">
            <w:pPr>
              <w:keepNext/>
              <w:keepLines/>
              <w:jc w:val="center"/>
              <w:rPr>
                <w:rFonts w:ascii="Arial Narrow" w:eastAsiaTheme="majorEastAsia" w:hAnsi="Arial Narrow" w:cstheme="majorBidi"/>
                <w:bCs/>
                <w:sz w:val="20"/>
              </w:rPr>
            </w:pPr>
          </w:p>
        </w:tc>
        <w:tc>
          <w:tcPr>
            <w:tcW w:w="1351" w:type="dxa"/>
            <w:tcBorders>
              <w:bottom w:val="nil"/>
            </w:tcBorders>
          </w:tcPr>
          <w:p w14:paraId="1655BF06" w14:textId="77777777" w:rsidR="000D2C16" w:rsidRPr="00EA7B11" w:rsidRDefault="000D2C16" w:rsidP="00B86F70">
            <w:pPr>
              <w:keepNext/>
              <w:keepLines/>
              <w:jc w:val="center"/>
              <w:rPr>
                <w:rFonts w:ascii="Arial Narrow" w:eastAsiaTheme="majorEastAsia" w:hAnsi="Arial Narrow" w:cstheme="majorBidi"/>
                <w:bCs/>
                <w:sz w:val="20"/>
                <w:highlight w:val="lightGray"/>
              </w:rPr>
            </w:pPr>
          </w:p>
        </w:tc>
        <w:tc>
          <w:tcPr>
            <w:tcW w:w="867" w:type="dxa"/>
            <w:tcBorders>
              <w:bottom w:val="nil"/>
            </w:tcBorders>
          </w:tcPr>
          <w:p w14:paraId="728E10BC" w14:textId="77777777" w:rsidR="000D2C16" w:rsidRPr="000D2C16" w:rsidRDefault="000D2C16" w:rsidP="00B86F70">
            <w:pPr>
              <w:keepNext/>
              <w:keepLines/>
              <w:jc w:val="center"/>
              <w:rPr>
                <w:rFonts w:ascii="Arial Narrow" w:eastAsiaTheme="majorEastAsia" w:hAnsi="Arial Narrow" w:cstheme="majorBidi"/>
                <w:bCs/>
                <w:sz w:val="20"/>
              </w:rPr>
            </w:pPr>
          </w:p>
        </w:tc>
      </w:tr>
      <w:tr w:rsidR="000D2C16" w:rsidRPr="000D2C16" w14:paraId="71C34C64" w14:textId="77777777" w:rsidTr="00164331">
        <w:tc>
          <w:tcPr>
            <w:tcW w:w="4531" w:type="dxa"/>
            <w:tcBorders>
              <w:top w:val="nil"/>
              <w:bottom w:val="nil"/>
            </w:tcBorders>
          </w:tcPr>
          <w:p w14:paraId="55E6CFA0" w14:textId="77777777" w:rsidR="000D2C16" w:rsidRPr="000D2C16" w:rsidRDefault="000D2C16" w:rsidP="00B86F70">
            <w:pPr>
              <w:keepNext/>
              <w:keepLines/>
              <w:numPr>
                <w:ilvl w:val="0"/>
                <w:numId w:val="6"/>
              </w:numPr>
              <w:ind w:left="22" w:hanging="22"/>
              <w:jc w:val="left"/>
              <w:rPr>
                <w:rFonts w:ascii="Arial Narrow" w:eastAsiaTheme="majorEastAsia" w:hAnsi="Arial Narrow" w:cstheme="majorBidi"/>
                <w:bCs/>
                <w:sz w:val="20"/>
              </w:rPr>
            </w:pPr>
            <w:r w:rsidRPr="000D2C16">
              <w:rPr>
                <w:rFonts w:ascii="Arial Narrow" w:eastAsiaTheme="majorEastAsia" w:hAnsi="Arial Narrow" w:cstheme="majorBidi"/>
                <w:bCs/>
                <w:sz w:val="20"/>
              </w:rPr>
              <w:t>Lower 95% CI (NR)</w:t>
            </w:r>
          </w:p>
        </w:tc>
        <w:tc>
          <w:tcPr>
            <w:tcW w:w="1134" w:type="dxa"/>
            <w:tcBorders>
              <w:top w:val="nil"/>
              <w:bottom w:val="nil"/>
            </w:tcBorders>
            <w:shd w:val="solid" w:color="000000" w:fill="000000"/>
          </w:tcPr>
          <w:p w14:paraId="12B820F8" w14:textId="7EA43F1C" w:rsidR="000D2C16" w:rsidRPr="00EA7B11"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hint="eastAsia"/>
                <w:bCs/>
                <w:color w:val="000000"/>
                <w:w w:val="15"/>
                <w:sz w:val="20"/>
                <w:fitText w:val="38" w:id="-1436282865"/>
                <w14:textFill>
                  <w14:solidFill>
                    <w14:srgbClr w14:val="000000">
                      <w14:alpha w14:val="100000"/>
                    </w14:srgbClr>
                  </w14:solidFill>
                </w14:textFill>
              </w:rPr>
              <w:t xml:space="preserve">　</w:t>
            </w:r>
            <w:r w:rsidRPr="00164331">
              <w:rPr>
                <w:rFonts w:ascii="Arial Narrow" w:eastAsiaTheme="majorEastAsia" w:hAnsi="Arial Narrow" w:cstheme="majorBidi"/>
                <w:bCs/>
                <w:color w:val="000000"/>
                <w:w w:val="15"/>
                <w:sz w:val="20"/>
                <w:fitText w:val="38" w:id="-1436282865"/>
                <w14:textFill>
                  <w14:solidFill>
                    <w14:srgbClr w14:val="000000">
                      <w14:alpha w14:val="100000"/>
                    </w14:srgbClr>
                  </w14:solidFill>
                </w14:textFill>
              </w:rPr>
              <w:t>|</w:t>
            </w:r>
            <w:r w:rsidRPr="00164331">
              <w:rPr>
                <w:rFonts w:ascii="Arial Narrow" w:eastAsiaTheme="majorEastAsia" w:hAnsi="Arial Narrow" w:cstheme="majorBidi" w:hint="eastAsia"/>
                <w:bCs/>
                <w:color w:val="000000"/>
                <w:spacing w:val="-27"/>
                <w:w w:val="15"/>
                <w:sz w:val="20"/>
                <w:fitText w:val="38" w:id="-1436282865"/>
                <w14:textFill>
                  <w14:solidFill>
                    <w14:srgbClr w14:val="000000">
                      <w14:alpha w14:val="100000"/>
                    </w14:srgbClr>
                  </w14:solidFill>
                </w14:textFill>
              </w:rPr>
              <w:t xml:space="preserve">　</w:t>
            </w:r>
          </w:p>
        </w:tc>
        <w:tc>
          <w:tcPr>
            <w:tcW w:w="1134" w:type="dxa"/>
            <w:tcBorders>
              <w:top w:val="nil"/>
              <w:bottom w:val="nil"/>
            </w:tcBorders>
          </w:tcPr>
          <w:p w14:paraId="3CD57687"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0.769</w:t>
            </w:r>
          </w:p>
        </w:tc>
        <w:tc>
          <w:tcPr>
            <w:tcW w:w="1351" w:type="dxa"/>
            <w:tcBorders>
              <w:top w:val="nil"/>
              <w:bottom w:val="nil"/>
            </w:tcBorders>
          </w:tcPr>
          <w:p w14:paraId="6430E7DE" w14:textId="5E6EA735" w:rsidR="000D2C16" w:rsidRPr="00F43344"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F43344" w:rsidRPr="00F43344">
              <w:rPr>
                <w:rFonts w:ascii="Arial Narrow" w:eastAsiaTheme="majorEastAsia" w:hAnsi="Arial Narrow" w:cstheme="majorBidi"/>
                <w:bCs/>
                <w:sz w:val="20"/>
                <w:vertAlign w:val="superscript"/>
              </w:rPr>
              <w:t>8</w:t>
            </w:r>
          </w:p>
        </w:tc>
        <w:tc>
          <w:tcPr>
            <w:tcW w:w="867" w:type="dxa"/>
            <w:tcBorders>
              <w:top w:val="nil"/>
              <w:bottom w:val="nil"/>
            </w:tcBorders>
          </w:tcPr>
          <w:p w14:paraId="433C0CC9"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10.1%</w:t>
            </w:r>
          </w:p>
        </w:tc>
      </w:tr>
      <w:tr w:rsidR="000D2C16" w:rsidRPr="000D2C16" w14:paraId="18E967DA" w14:textId="77777777" w:rsidTr="00164331">
        <w:tc>
          <w:tcPr>
            <w:tcW w:w="4531" w:type="dxa"/>
            <w:tcBorders>
              <w:top w:val="nil"/>
            </w:tcBorders>
          </w:tcPr>
          <w:p w14:paraId="6C567C35" w14:textId="77777777" w:rsidR="000D2C16" w:rsidRPr="000D2C16" w:rsidRDefault="000D2C16" w:rsidP="00B86F70">
            <w:pPr>
              <w:keepNext/>
              <w:keepLines/>
              <w:numPr>
                <w:ilvl w:val="0"/>
                <w:numId w:val="6"/>
              </w:numPr>
              <w:ind w:left="22" w:hanging="22"/>
              <w:jc w:val="left"/>
              <w:rPr>
                <w:rFonts w:ascii="Arial Narrow" w:eastAsiaTheme="majorEastAsia" w:hAnsi="Arial Narrow" w:cstheme="majorBidi"/>
                <w:bCs/>
                <w:sz w:val="20"/>
              </w:rPr>
            </w:pPr>
            <w:r w:rsidRPr="000D2C16">
              <w:rPr>
                <w:rFonts w:ascii="Arial Narrow" w:eastAsiaTheme="majorEastAsia" w:hAnsi="Arial Narrow" w:cstheme="majorBidi"/>
                <w:bCs/>
                <w:sz w:val="20"/>
              </w:rPr>
              <w:t>Upper 95% CI (NR)</w:t>
            </w:r>
          </w:p>
        </w:tc>
        <w:tc>
          <w:tcPr>
            <w:tcW w:w="1134" w:type="dxa"/>
            <w:tcBorders>
              <w:top w:val="nil"/>
            </w:tcBorders>
            <w:shd w:val="solid" w:color="000000" w:fill="000000"/>
          </w:tcPr>
          <w:p w14:paraId="4CE7DC0A" w14:textId="4AADE405" w:rsidR="000D2C16" w:rsidRPr="00EA7B11"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hint="eastAsia"/>
                <w:bCs/>
                <w:color w:val="000000"/>
                <w:w w:val="15"/>
                <w:sz w:val="20"/>
                <w:fitText w:val="38" w:id="-1436282864"/>
                <w14:textFill>
                  <w14:solidFill>
                    <w14:srgbClr w14:val="000000">
                      <w14:alpha w14:val="100000"/>
                    </w14:srgbClr>
                  </w14:solidFill>
                </w14:textFill>
              </w:rPr>
              <w:t xml:space="preserve">　</w:t>
            </w:r>
            <w:r w:rsidRPr="00164331">
              <w:rPr>
                <w:rFonts w:ascii="Arial Narrow" w:eastAsiaTheme="majorEastAsia" w:hAnsi="Arial Narrow" w:cstheme="majorBidi"/>
                <w:bCs/>
                <w:color w:val="000000"/>
                <w:w w:val="15"/>
                <w:sz w:val="20"/>
                <w:fitText w:val="38" w:id="-1436282864"/>
                <w14:textFill>
                  <w14:solidFill>
                    <w14:srgbClr w14:val="000000">
                      <w14:alpha w14:val="100000"/>
                    </w14:srgbClr>
                  </w14:solidFill>
                </w14:textFill>
              </w:rPr>
              <w:t>|</w:t>
            </w:r>
            <w:r w:rsidRPr="00164331">
              <w:rPr>
                <w:rFonts w:ascii="Arial Narrow" w:eastAsiaTheme="majorEastAsia" w:hAnsi="Arial Narrow" w:cstheme="majorBidi" w:hint="eastAsia"/>
                <w:bCs/>
                <w:color w:val="000000"/>
                <w:spacing w:val="-27"/>
                <w:w w:val="15"/>
                <w:sz w:val="20"/>
                <w:fitText w:val="38" w:id="-1436282864"/>
                <w14:textFill>
                  <w14:solidFill>
                    <w14:srgbClr w14:val="000000">
                      <w14:alpha w14:val="100000"/>
                    </w14:srgbClr>
                  </w14:solidFill>
                </w14:textFill>
              </w:rPr>
              <w:t xml:space="preserve">　</w:t>
            </w:r>
          </w:p>
        </w:tc>
        <w:tc>
          <w:tcPr>
            <w:tcW w:w="1134" w:type="dxa"/>
            <w:tcBorders>
              <w:top w:val="nil"/>
            </w:tcBorders>
          </w:tcPr>
          <w:p w14:paraId="75F13CED"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0.964</w:t>
            </w:r>
          </w:p>
        </w:tc>
        <w:tc>
          <w:tcPr>
            <w:tcW w:w="1351" w:type="dxa"/>
            <w:tcBorders>
              <w:top w:val="nil"/>
            </w:tcBorders>
          </w:tcPr>
          <w:p w14:paraId="42BB535F" w14:textId="70F3EA86" w:rsidR="000D2C16" w:rsidRPr="00EA7B11"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201B6B" w:rsidRPr="00201B6B">
              <w:rPr>
                <w:rFonts w:ascii="Arial Narrow" w:eastAsiaTheme="majorEastAsia" w:hAnsi="Arial Narrow" w:cstheme="majorBidi"/>
                <w:bCs/>
                <w:sz w:val="20"/>
                <w:vertAlign w:val="superscript"/>
              </w:rPr>
              <w:t>1</w:t>
            </w:r>
          </w:p>
        </w:tc>
        <w:tc>
          <w:tcPr>
            <w:tcW w:w="867" w:type="dxa"/>
            <w:tcBorders>
              <w:top w:val="nil"/>
            </w:tcBorders>
          </w:tcPr>
          <w:p w14:paraId="277A4658"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-15.8%</w:t>
            </w:r>
          </w:p>
        </w:tc>
      </w:tr>
      <w:tr w:rsidR="000D2C16" w:rsidRPr="000D2C16" w14:paraId="5E9B016F" w14:textId="77777777" w:rsidTr="00164331">
        <w:tc>
          <w:tcPr>
            <w:tcW w:w="4531" w:type="dxa"/>
            <w:tcBorders>
              <w:bottom w:val="nil"/>
            </w:tcBorders>
          </w:tcPr>
          <w:p w14:paraId="37A4F1DF" w14:textId="77777777" w:rsidR="000D2C16" w:rsidRPr="000D2C16" w:rsidRDefault="000D2C16" w:rsidP="00B86F70">
            <w:pPr>
              <w:keepNext/>
              <w:keepLines/>
              <w:jc w:val="left"/>
              <w:rPr>
                <w:rFonts w:ascii="Arial Narrow" w:eastAsiaTheme="majorEastAsia" w:hAnsi="Arial Narrow" w:cstheme="majorBidi"/>
                <w:bCs/>
                <w:sz w:val="20"/>
              </w:rPr>
            </w:pPr>
            <w:r w:rsidRPr="000D2C16">
              <w:rPr>
                <w:rFonts w:ascii="Arial Narrow" w:eastAsiaTheme="majorEastAsia" w:hAnsi="Arial Narrow" w:cstheme="majorBidi"/>
                <w:bCs/>
                <w:sz w:val="20"/>
              </w:rPr>
              <w:t>Duration of flares (base case 3.9 months)</w:t>
            </w:r>
          </w:p>
        </w:tc>
        <w:tc>
          <w:tcPr>
            <w:tcW w:w="1134" w:type="dxa"/>
            <w:tcBorders>
              <w:bottom w:val="nil"/>
            </w:tcBorders>
          </w:tcPr>
          <w:p w14:paraId="4DDFC08B" w14:textId="77777777" w:rsidR="000D2C16" w:rsidRPr="00EA7B11" w:rsidRDefault="000D2C16" w:rsidP="00B86F70">
            <w:pPr>
              <w:keepNext/>
              <w:keepLines/>
              <w:jc w:val="center"/>
              <w:rPr>
                <w:rFonts w:ascii="Arial Narrow" w:eastAsiaTheme="majorEastAsia" w:hAnsi="Arial Narrow" w:cstheme="majorBidi"/>
                <w:bCs/>
                <w:sz w:val="20"/>
                <w:highlight w:val="lightGray"/>
              </w:rPr>
            </w:pPr>
          </w:p>
        </w:tc>
        <w:tc>
          <w:tcPr>
            <w:tcW w:w="1134" w:type="dxa"/>
            <w:tcBorders>
              <w:bottom w:val="nil"/>
            </w:tcBorders>
          </w:tcPr>
          <w:p w14:paraId="1BEA67BE" w14:textId="77777777" w:rsidR="000D2C16" w:rsidRPr="000D2C16" w:rsidRDefault="000D2C16" w:rsidP="00B86F70">
            <w:pPr>
              <w:keepNext/>
              <w:keepLines/>
              <w:jc w:val="center"/>
              <w:rPr>
                <w:rFonts w:ascii="Arial Narrow" w:eastAsiaTheme="majorEastAsia" w:hAnsi="Arial Narrow" w:cstheme="majorBidi"/>
                <w:bCs/>
                <w:sz w:val="20"/>
              </w:rPr>
            </w:pPr>
          </w:p>
        </w:tc>
        <w:tc>
          <w:tcPr>
            <w:tcW w:w="1351" w:type="dxa"/>
            <w:tcBorders>
              <w:bottom w:val="nil"/>
            </w:tcBorders>
          </w:tcPr>
          <w:p w14:paraId="0A9AB64C" w14:textId="77777777" w:rsidR="000D2C16" w:rsidRPr="00EA7B11" w:rsidRDefault="000D2C16" w:rsidP="00B86F70">
            <w:pPr>
              <w:keepNext/>
              <w:keepLines/>
              <w:jc w:val="center"/>
              <w:rPr>
                <w:rFonts w:ascii="Arial Narrow" w:eastAsiaTheme="majorEastAsia" w:hAnsi="Arial Narrow" w:cstheme="majorBidi"/>
                <w:bCs/>
                <w:sz w:val="20"/>
                <w:highlight w:val="lightGray"/>
              </w:rPr>
            </w:pPr>
          </w:p>
        </w:tc>
        <w:tc>
          <w:tcPr>
            <w:tcW w:w="867" w:type="dxa"/>
            <w:tcBorders>
              <w:bottom w:val="nil"/>
            </w:tcBorders>
          </w:tcPr>
          <w:p w14:paraId="6C504604" w14:textId="77777777" w:rsidR="000D2C16" w:rsidRPr="000D2C16" w:rsidRDefault="000D2C16" w:rsidP="00B86F70">
            <w:pPr>
              <w:keepNext/>
              <w:keepLines/>
              <w:jc w:val="center"/>
              <w:rPr>
                <w:rFonts w:ascii="Arial Narrow" w:eastAsiaTheme="majorEastAsia" w:hAnsi="Arial Narrow" w:cstheme="majorBidi"/>
                <w:bCs/>
                <w:sz w:val="20"/>
              </w:rPr>
            </w:pPr>
          </w:p>
        </w:tc>
      </w:tr>
      <w:tr w:rsidR="000D2C16" w:rsidRPr="000D2C16" w14:paraId="585B5AFA" w14:textId="77777777" w:rsidTr="00164331">
        <w:tc>
          <w:tcPr>
            <w:tcW w:w="4531" w:type="dxa"/>
            <w:tcBorders>
              <w:top w:val="nil"/>
              <w:bottom w:val="nil"/>
            </w:tcBorders>
          </w:tcPr>
          <w:p w14:paraId="7B92F46F" w14:textId="77777777" w:rsidR="000D2C16" w:rsidRPr="000D2C16" w:rsidRDefault="000D2C16" w:rsidP="00B86F70">
            <w:pPr>
              <w:keepNext/>
              <w:keepLines/>
              <w:numPr>
                <w:ilvl w:val="0"/>
                <w:numId w:val="6"/>
              </w:numPr>
              <w:ind w:left="22" w:hanging="22"/>
              <w:jc w:val="left"/>
              <w:rPr>
                <w:rFonts w:ascii="Arial Narrow" w:eastAsiaTheme="majorEastAsia" w:hAnsi="Arial Narrow" w:cstheme="majorBidi"/>
                <w:bCs/>
                <w:sz w:val="20"/>
              </w:rPr>
            </w:pPr>
            <w:r w:rsidRPr="000D2C16">
              <w:rPr>
                <w:rFonts w:ascii="Arial Narrow" w:eastAsiaTheme="majorEastAsia" w:hAnsi="Arial Narrow" w:cstheme="majorBidi"/>
                <w:bCs/>
                <w:sz w:val="20"/>
              </w:rPr>
              <w:t xml:space="preserve"> 3 months </w:t>
            </w:r>
          </w:p>
        </w:tc>
        <w:tc>
          <w:tcPr>
            <w:tcW w:w="1134" w:type="dxa"/>
            <w:tcBorders>
              <w:top w:val="nil"/>
              <w:bottom w:val="nil"/>
            </w:tcBorders>
            <w:shd w:val="solid" w:color="000000" w:fill="000000"/>
          </w:tcPr>
          <w:p w14:paraId="4FB842DB" w14:textId="1B5E7E6D" w:rsidR="000D2C16" w:rsidRPr="00EA7B11"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hint="eastAsia"/>
                <w:bCs/>
                <w:color w:val="000000"/>
                <w:w w:val="15"/>
                <w:sz w:val="20"/>
                <w:fitText w:val="38" w:id="-1436282880"/>
                <w14:textFill>
                  <w14:solidFill>
                    <w14:srgbClr w14:val="000000">
                      <w14:alpha w14:val="100000"/>
                    </w14:srgbClr>
                  </w14:solidFill>
                </w14:textFill>
              </w:rPr>
              <w:t xml:space="preserve">　</w:t>
            </w:r>
            <w:r w:rsidRPr="00164331">
              <w:rPr>
                <w:rFonts w:ascii="Arial Narrow" w:eastAsiaTheme="majorEastAsia" w:hAnsi="Arial Narrow" w:cstheme="majorBidi"/>
                <w:bCs/>
                <w:color w:val="000000"/>
                <w:w w:val="15"/>
                <w:sz w:val="20"/>
                <w:fitText w:val="38" w:id="-1436282880"/>
                <w14:textFill>
                  <w14:solidFill>
                    <w14:srgbClr w14:val="000000">
                      <w14:alpha w14:val="100000"/>
                    </w14:srgbClr>
                  </w14:solidFill>
                </w14:textFill>
              </w:rPr>
              <w:t>|</w:t>
            </w:r>
            <w:r w:rsidRPr="00164331">
              <w:rPr>
                <w:rFonts w:ascii="Arial Narrow" w:eastAsiaTheme="majorEastAsia" w:hAnsi="Arial Narrow" w:cstheme="majorBidi" w:hint="eastAsia"/>
                <w:bCs/>
                <w:color w:val="000000"/>
                <w:spacing w:val="-27"/>
                <w:w w:val="15"/>
                <w:sz w:val="20"/>
                <w:fitText w:val="38" w:id="-1436282880"/>
                <w14:textFill>
                  <w14:solidFill>
                    <w14:srgbClr w14:val="000000">
                      <w14:alpha w14:val="100000"/>
                    </w14:srgbClr>
                  </w14:solidFill>
                </w14:textFill>
              </w:rPr>
              <w:t xml:space="preserve">　</w:t>
            </w:r>
          </w:p>
        </w:tc>
        <w:tc>
          <w:tcPr>
            <w:tcW w:w="1134" w:type="dxa"/>
            <w:tcBorders>
              <w:top w:val="nil"/>
              <w:bottom w:val="nil"/>
            </w:tcBorders>
          </w:tcPr>
          <w:p w14:paraId="6AE9A133"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0.439</w:t>
            </w:r>
          </w:p>
        </w:tc>
        <w:tc>
          <w:tcPr>
            <w:tcW w:w="1351" w:type="dxa"/>
            <w:tcBorders>
              <w:top w:val="nil"/>
              <w:bottom w:val="nil"/>
            </w:tcBorders>
          </w:tcPr>
          <w:p w14:paraId="1FDA12F9" w14:textId="4BA07AB8" w:rsidR="000D2C16" w:rsidRPr="00F43344" w:rsidRDefault="00164331" w:rsidP="00B86F70">
            <w:pPr>
              <w:keepNext/>
              <w:keepLines/>
              <w:jc w:val="center"/>
              <w:rPr>
                <w:rFonts w:ascii="Arial Narrow" w:eastAsiaTheme="majorEastAsia" w:hAnsi="Arial Narrow" w:cstheme="majorBidi"/>
                <w:bCs/>
                <w:sz w:val="20"/>
                <w:highlight w:val="lightGray"/>
                <w:vertAlign w:val="superscript"/>
              </w:rPr>
            </w:pPr>
            <w:r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F43344" w:rsidRPr="00F43344">
              <w:rPr>
                <w:rFonts w:ascii="Arial Narrow" w:eastAsiaTheme="majorEastAsia" w:hAnsi="Arial Narrow" w:cstheme="majorBidi"/>
                <w:bCs/>
                <w:sz w:val="20"/>
                <w:vertAlign w:val="superscript"/>
              </w:rPr>
              <w:t>9</w:t>
            </w:r>
          </w:p>
        </w:tc>
        <w:tc>
          <w:tcPr>
            <w:tcW w:w="867" w:type="dxa"/>
            <w:tcBorders>
              <w:top w:val="nil"/>
              <w:bottom w:val="nil"/>
            </w:tcBorders>
          </w:tcPr>
          <w:p w14:paraId="0C168E3C"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116.8%</w:t>
            </w:r>
          </w:p>
        </w:tc>
      </w:tr>
      <w:tr w:rsidR="000D2C16" w:rsidRPr="000D2C16" w14:paraId="269BB099" w14:textId="77777777" w:rsidTr="00164331">
        <w:tc>
          <w:tcPr>
            <w:tcW w:w="4531" w:type="dxa"/>
            <w:tcBorders>
              <w:top w:val="nil"/>
            </w:tcBorders>
          </w:tcPr>
          <w:p w14:paraId="43BE1817" w14:textId="77777777" w:rsidR="000D2C16" w:rsidRPr="000D2C16" w:rsidRDefault="000D2C16" w:rsidP="00B86F70">
            <w:pPr>
              <w:keepNext/>
              <w:keepLines/>
              <w:numPr>
                <w:ilvl w:val="0"/>
                <w:numId w:val="6"/>
              </w:numPr>
              <w:ind w:left="22" w:hanging="22"/>
              <w:jc w:val="left"/>
              <w:rPr>
                <w:rFonts w:ascii="Arial Narrow" w:eastAsiaTheme="majorEastAsia" w:hAnsi="Arial Narrow" w:cstheme="majorBidi"/>
                <w:bCs/>
                <w:sz w:val="20"/>
              </w:rPr>
            </w:pPr>
            <w:r w:rsidRPr="000D2C16">
              <w:rPr>
                <w:rFonts w:ascii="Arial Narrow" w:eastAsiaTheme="majorEastAsia" w:hAnsi="Arial Narrow" w:cstheme="majorBidi"/>
                <w:bCs/>
                <w:sz w:val="20"/>
              </w:rPr>
              <w:t xml:space="preserve"> 5 months </w:t>
            </w:r>
          </w:p>
        </w:tc>
        <w:tc>
          <w:tcPr>
            <w:tcW w:w="1134" w:type="dxa"/>
            <w:tcBorders>
              <w:top w:val="nil"/>
            </w:tcBorders>
            <w:shd w:val="solid" w:color="000000" w:fill="000000"/>
          </w:tcPr>
          <w:p w14:paraId="6EAEFA14" w14:textId="7CAA0685" w:rsidR="000D2C16" w:rsidRPr="00EA7B11"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hint="eastAsia"/>
                <w:bCs/>
                <w:color w:val="000000"/>
                <w:w w:val="15"/>
                <w:sz w:val="20"/>
                <w:fitText w:val="38" w:id="-1436282879"/>
                <w14:textFill>
                  <w14:solidFill>
                    <w14:srgbClr w14:val="000000">
                      <w14:alpha w14:val="100000"/>
                    </w14:srgbClr>
                  </w14:solidFill>
                </w14:textFill>
              </w:rPr>
              <w:t xml:space="preserve">　</w:t>
            </w:r>
            <w:r w:rsidRPr="00164331">
              <w:rPr>
                <w:rFonts w:ascii="Arial Narrow" w:eastAsiaTheme="majorEastAsia" w:hAnsi="Arial Narrow" w:cstheme="majorBidi"/>
                <w:bCs/>
                <w:color w:val="000000"/>
                <w:w w:val="15"/>
                <w:sz w:val="20"/>
                <w:fitText w:val="38" w:id="-1436282879"/>
                <w14:textFill>
                  <w14:solidFill>
                    <w14:srgbClr w14:val="000000">
                      <w14:alpha w14:val="100000"/>
                    </w14:srgbClr>
                  </w14:solidFill>
                </w14:textFill>
              </w:rPr>
              <w:t>|</w:t>
            </w:r>
            <w:r w:rsidRPr="00164331">
              <w:rPr>
                <w:rFonts w:ascii="Arial Narrow" w:eastAsiaTheme="majorEastAsia" w:hAnsi="Arial Narrow" w:cstheme="majorBidi" w:hint="eastAsia"/>
                <w:bCs/>
                <w:color w:val="000000"/>
                <w:spacing w:val="-27"/>
                <w:w w:val="15"/>
                <w:sz w:val="20"/>
                <w:fitText w:val="38" w:id="-1436282879"/>
                <w14:textFill>
                  <w14:solidFill>
                    <w14:srgbClr w14:val="000000">
                      <w14:alpha w14:val="100000"/>
                    </w14:srgbClr>
                  </w14:solidFill>
                </w14:textFill>
              </w:rPr>
              <w:t xml:space="preserve">　</w:t>
            </w:r>
          </w:p>
        </w:tc>
        <w:tc>
          <w:tcPr>
            <w:tcW w:w="1134" w:type="dxa"/>
            <w:tcBorders>
              <w:top w:val="nil"/>
            </w:tcBorders>
          </w:tcPr>
          <w:p w14:paraId="49BCB54B"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1.933</w:t>
            </w:r>
          </w:p>
        </w:tc>
        <w:tc>
          <w:tcPr>
            <w:tcW w:w="1351" w:type="dxa"/>
            <w:tcBorders>
              <w:top w:val="nil"/>
            </w:tcBorders>
          </w:tcPr>
          <w:p w14:paraId="6783EAF7" w14:textId="754ED6C8" w:rsidR="000D2C16" w:rsidRPr="00EA7B11"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F43344" w:rsidRPr="00F43344">
              <w:rPr>
                <w:rFonts w:ascii="Arial Narrow" w:eastAsiaTheme="majorEastAsia" w:hAnsi="Arial Narrow" w:cstheme="majorBidi"/>
                <w:bCs/>
                <w:sz w:val="20"/>
                <w:vertAlign w:val="superscript"/>
              </w:rPr>
              <w:t>7</w:t>
            </w:r>
          </w:p>
        </w:tc>
        <w:tc>
          <w:tcPr>
            <w:tcW w:w="867" w:type="dxa"/>
            <w:tcBorders>
              <w:top w:val="nil"/>
            </w:tcBorders>
          </w:tcPr>
          <w:p w14:paraId="4AD9F513"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-77.0%</w:t>
            </w:r>
          </w:p>
        </w:tc>
      </w:tr>
      <w:tr w:rsidR="000D2C16" w:rsidRPr="000D2C16" w14:paraId="0B606F51" w14:textId="77777777" w:rsidTr="00164331">
        <w:tc>
          <w:tcPr>
            <w:tcW w:w="4531" w:type="dxa"/>
            <w:tcBorders>
              <w:bottom w:val="nil"/>
            </w:tcBorders>
          </w:tcPr>
          <w:p w14:paraId="3DD29721" w14:textId="3261EFF7" w:rsidR="000D2C16" w:rsidRPr="000D2C16" w:rsidRDefault="000D2C16" w:rsidP="00B86F70">
            <w:pPr>
              <w:keepNext/>
              <w:keepLines/>
              <w:jc w:val="left"/>
              <w:rPr>
                <w:rFonts w:ascii="Arial Narrow" w:eastAsiaTheme="majorEastAsia" w:hAnsi="Arial Narrow" w:cstheme="majorBidi"/>
                <w:bCs/>
                <w:sz w:val="20"/>
              </w:rPr>
            </w:pPr>
            <w:r w:rsidRPr="000D2C16">
              <w:rPr>
                <w:rFonts w:ascii="Arial Narrow" w:eastAsiaTheme="majorEastAsia" w:hAnsi="Arial Narrow" w:cstheme="majorBidi"/>
                <w:bCs/>
                <w:sz w:val="20"/>
              </w:rPr>
              <w:t xml:space="preserve">Long term SLEDAI-2K </w:t>
            </w:r>
            <w:r w:rsidR="00F66231">
              <w:rPr>
                <w:rFonts w:ascii="Arial Narrow" w:eastAsiaTheme="majorEastAsia" w:hAnsi="Arial Narrow" w:cstheme="majorBidi"/>
                <w:bCs/>
                <w:sz w:val="20"/>
              </w:rPr>
              <w:t>rate</w:t>
            </w:r>
            <w:r w:rsidR="00F66231" w:rsidRPr="000D2C16">
              <w:rPr>
                <w:rFonts w:ascii="Arial Narrow" w:eastAsiaTheme="majorEastAsia" w:hAnsi="Arial Narrow" w:cstheme="majorBidi"/>
                <w:bCs/>
                <w:sz w:val="20"/>
              </w:rPr>
              <w:t xml:space="preserve"> </w:t>
            </w:r>
            <w:r w:rsidRPr="000D2C16">
              <w:rPr>
                <w:rFonts w:ascii="Arial Narrow" w:eastAsiaTheme="majorEastAsia" w:hAnsi="Arial Narrow" w:cstheme="majorBidi"/>
                <w:bCs/>
                <w:sz w:val="20"/>
              </w:rPr>
              <w:t>(base case -0.45)</w:t>
            </w:r>
          </w:p>
        </w:tc>
        <w:tc>
          <w:tcPr>
            <w:tcW w:w="1134" w:type="dxa"/>
            <w:tcBorders>
              <w:bottom w:val="nil"/>
            </w:tcBorders>
          </w:tcPr>
          <w:p w14:paraId="52FC93A5" w14:textId="77777777" w:rsidR="000D2C16" w:rsidRPr="00EA7B11" w:rsidRDefault="000D2C16" w:rsidP="00B86F70">
            <w:pPr>
              <w:keepNext/>
              <w:keepLines/>
              <w:jc w:val="center"/>
              <w:rPr>
                <w:rFonts w:ascii="Arial Narrow" w:eastAsiaTheme="majorEastAsia" w:hAnsi="Arial Narrow" w:cstheme="majorBidi"/>
                <w:bCs/>
                <w:sz w:val="20"/>
                <w:highlight w:val="lightGray"/>
              </w:rPr>
            </w:pPr>
          </w:p>
        </w:tc>
        <w:tc>
          <w:tcPr>
            <w:tcW w:w="1134" w:type="dxa"/>
            <w:tcBorders>
              <w:bottom w:val="nil"/>
            </w:tcBorders>
          </w:tcPr>
          <w:p w14:paraId="3EB905CC" w14:textId="77777777" w:rsidR="000D2C16" w:rsidRPr="000D2C16" w:rsidRDefault="000D2C16" w:rsidP="00B86F70">
            <w:pPr>
              <w:keepNext/>
              <w:keepLines/>
              <w:jc w:val="center"/>
              <w:rPr>
                <w:rFonts w:ascii="Arial Narrow" w:eastAsiaTheme="majorEastAsia" w:hAnsi="Arial Narrow" w:cstheme="majorBidi"/>
                <w:bCs/>
                <w:sz w:val="20"/>
              </w:rPr>
            </w:pPr>
          </w:p>
        </w:tc>
        <w:tc>
          <w:tcPr>
            <w:tcW w:w="1351" w:type="dxa"/>
            <w:tcBorders>
              <w:bottom w:val="nil"/>
            </w:tcBorders>
          </w:tcPr>
          <w:p w14:paraId="5B202951" w14:textId="77777777" w:rsidR="000D2C16" w:rsidRPr="00EA7B11" w:rsidRDefault="000D2C16" w:rsidP="00B86F70">
            <w:pPr>
              <w:keepNext/>
              <w:keepLines/>
              <w:jc w:val="center"/>
              <w:rPr>
                <w:rFonts w:ascii="Arial Narrow" w:eastAsiaTheme="majorEastAsia" w:hAnsi="Arial Narrow" w:cstheme="majorBidi"/>
                <w:bCs/>
                <w:sz w:val="20"/>
                <w:highlight w:val="lightGray"/>
              </w:rPr>
            </w:pPr>
          </w:p>
        </w:tc>
        <w:tc>
          <w:tcPr>
            <w:tcW w:w="867" w:type="dxa"/>
            <w:tcBorders>
              <w:bottom w:val="nil"/>
            </w:tcBorders>
          </w:tcPr>
          <w:p w14:paraId="7BDDE9D4" w14:textId="77777777" w:rsidR="000D2C16" w:rsidRPr="000D2C16" w:rsidRDefault="000D2C16" w:rsidP="00B86F70">
            <w:pPr>
              <w:keepNext/>
              <w:keepLines/>
              <w:jc w:val="center"/>
              <w:rPr>
                <w:rFonts w:ascii="Arial Narrow" w:eastAsiaTheme="majorEastAsia" w:hAnsi="Arial Narrow" w:cstheme="majorBidi"/>
                <w:bCs/>
                <w:sz w:val="20"/>
              </w:rPr>
            </w:pPr>
          </w:p>
        </w:tc>
      </w:tr>
      <w:tr w:rsidR="000D2C16" w:rsidRPr="000D2C16" w14:paraId="678C351F" w14:textId="77777777" w:rsidTr="00164331">
        <w:tc>
          <w:tcPr>
            <w:tcW w:w="4531" w:type="dxa"/>
            <w:tcBorders>
              <w:top w:val="nil"/>
              <w:bottom w:val="nil"/>
            </w:tcBorders>
          </w:tcPr>
          <w:p w14:paraId="0D9B2F4D" w14:textId="77777777" w:rsidR="000D2C16" w:rsidRPr="000D2C16" w:rsidRDefault="000D2C16" w:rsidP="00B86F70">
            <w:pPr>
              <w:keepNext/>
              <w:keepLines/>
              <w:numPr>
                <w:ilvl w:val="0"/>
                <w:numId w:val="6"/>
              </w:numPr>
              <w:ind w:left="22" w:hanging="22"/>
              <w:jc w:val="left"/>
              <w:rPr>
                <w:rFonts w:ascii="Arial Narrow" w:eastAsiaTheme="majorEastAsia" w:hAnsi="Arial Narrow" w:cstheme="majorBidi"/>
                <w:bCs/>
                <w:sz w:val="20"/>
              </w:rPr>
            </w:pPr>
            <w:r w:rsidRPr="000D2C16">
              <w:rPr>
                <w:rFonts w:ascii="Arial Narrow" w:eastAsiaTheme="majorEastAsia" w:hAnsi="Arial Narrow" w:cstheme="majorBidi"/>
                <w:bCs/>
                <w:sz w:val="20"/>
              </w:rPr>
              <w:t>1.28</w:t>
            </w:r>
          </w:p>
        </w:tc>
        <w:tc>
          <w:tcPr>
            <w:tcW w:w="1134" w:type="dxa"/>
            <w:tcBorders>
              <w:top w:val="nil"/>
              <w:bottom w:val="nil"/>
            </w:tcBorders>
            <w:shd w:val="solid" w:color="000000" w:fill="000000"/>
          </w:tcPr>
          <w:p w14:paraId="15724B48" w14:textId="3F5E941E" w:rsidR="000D2C16" w:rsidRPr="00EA7B11"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hint="eastAsia"/>
                <w:bCs/>
                <w:color w:val="000000"/>
                <w:w w:val="15"/>
                <w:sz w:val="20"/>
                <w:fitText w:val="38" w:id="-1436282878"/>
                <w14:textFill>
                  <w14:solidFill>
                    <w14:srgbClr w14:val="000000">
                      <w14:alpha w14:val="100000"/>
                    </w14:srgbClr>
                  </w14:solidFill>
                </w14:textFill>
              </w:rPr>
              <w:t xml:space="preserve">　</w:t>
            </w:r>
            <w:r w:rsidRPr="00164331">
              <w:rPr>
                <w:rFonts w:ascii="Arial Narrow" w:eastAsiaTheme="majorEastAsia" w:hAnsi="Arial Narrow" w:cstheme="majorBidi"/>
                <w:bCs/>
                <w:color w:val="000000"/>
                <w:w w:val="15"/>
                <w:sz w:val="20"/>
                <w:fitText w:val="38" w:id="-1436282878"/>
                <w14:textFill>
                  <w14:solidFill>
                    <w14:srgbClr w14:val="000000">
                      <w14:alpha w14:val="100000"/>
                    </w14:srgbClr>
                  </w14:solidFill>
                </w14:textFill>
              </w:rPr>
              <w:t>|</w:t>
            </w:r>
            <w:r w:rsidRPr="00164331">
              <w:rPr>
                <w:rFonts w:ascii="Arial Narrow" w:eastAsiaTheme="majorEastAsia" w:hAnsi="Arial Narrow" w:cstheme="majorBidi" w:hint="eastAsia"/>
                <w:bCs/>
                <w:color w:val="000000"/>
                <w:spacing w:val="-27"/>
                <w:w w:val="15"/>
                <w:sz w:val="20"/>
                <w:fitText w:val="38" w:id="-1436282878"/>
                <w14:textFill>
                  <w14:solidFill>
                    <w14:srgbClr w14:val="000000">
                      <w14:alpha w14:val="100000"/>
                    </w14:srgbClr>
                  </w14:solidFill>
                </w14:textFill>
              </w:rPr>
              <w:t xml:space="preserve">　</w:t>
            </w:r>
          </w:p>
        </w:tc>
        <w:tc>
          <w:tcPr>
            <w:tcW w:w="1134" w:type="dxa"/>
            <w:tcBorders>
              <w:top w:val="nil"/>
              <w:bottom w:val="nil"/>
            </w:tcBorders>
          </w:tcPr>
          <w:p w14:paraId="5CBEC65F"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1.724</w:t>
            </w:r>
          </w:p>
        </w:tc>
        <w:tc>
          <w:tcPr>
            <w:tcW w:w="1351" w:type="dxa"/>
            <w:tcBorders>
              <w:top w:val="nil"/>
              <w:bottom w:val="nil"/>
            </w:tcBorders>
          </w:tcPr>
          <w:p w14:paraId="1DCD13B7" w14:textId="46AF5BBE" w:rsidR="000D2C16" w:rsidRPr="00EA7B11"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F43344" w:rsidRPr="00F43344">
              <w:rPr>
                <w:rFonts w:ascii="Arial Narrow" w:eastAsiaTheme="majorEastAsia" w:hAnsi="Arial Narrow" w:cstheme="majorBidi"/>
                <w:bCs/>
                <w:sz w:val="20"/>
                <w:vertAlign w:val="superscript"/>
              </w:rPr>
              <w:t>7</w:t>
            </w:r>
          </w:p>
        </w:tc>
        <w:tc>
          <w:tcPr>
            <w:tcW w:w="867" w:type="dxa"/>
            <w:tcBorders>
              <w:top w:val="nil"/>
              <w:bottom w:val="nil"/>
            </w:tcBorders>
          </w:tcPr>
          <w:p w14:paraId="5F7A07DB"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-67.5%</w:t>
            </w:r>
          </w:p>
        </w:tc>
      </w:tr>
      <w:tr w:rsidR="000D2C16" w:rsidRPr="000D2C16" w14:paraId="13547595" w14:textId="77777777" w:rsidTr="00164331">
        <w:tc>
          <w:tcPr>
            <w:tcW w:w="4531" w:type="dxa"/>
            <w:tcBorders>
              <w:top w:val="nil"/>
            </w:tcBorders>
          </w:tcPr>
          <w:p w14:paraId="08DEDAEE" w14:textId="77777777" w:rsidR="000D2C16" w:rsidRPr="000D2C16" w:rsidRDefault="000D2C16" w:rsidP="00B86F70">
            <w:pPr>
              <w:keepNext/>
              <w:keepLines/>
              <w:numPr>
                <w:ilvl w:val="0"/>
                <w:numId w:val="6"/>
              </w:numPr>
              <w:ind w:left="22" w:hanging="22"/>
              <w:jc w:val="left"/>
              <w:rPr>
                <w:rFonts w:ascii="Arial Narrow" w:eastAsiaTheme="majorEastAsia" w:hAnsi="Arial Narrow" w:cstheme="majorBidi"/>
                <w:bCs/>
                <w:sz w:val="20"/>
              </w:rPr>
            </w:pPr>
            <w:r w:rsidRPr="000D2C16">
              <w:rPr>
                <w:rFonts w:ascii="Arial Narrow" w:eastAsiaTheme="majorEastAsia" w:hAnsi="Arial Narrow" w:cstheme="majorBidi"/>
                <w:bCs/>
                <w:sz w:val="20"/>
              </w:rPr>
              <w:t>-2.18</w:t>
            </w:r>
          </w:p>
        </w:tc>
        <w:tc>
          <w:tcPr>
            <w:tcW w:w="1134" w:type="dxa"/>
            <w:tcBorders>
              <w:top w:val="nil"/>
            </w:tcBorders>
            <w:shd w:val="solid" w:color="000000" w:fill="000000"/>
          </w:tcPr>
          <w:p w14:paraId="688188D1" w14:textId="5C2769FC" w:rsidR="000D2C16" w:rsidRPr="00EA7B11"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hint="eastAsia"/>
                <w:bCs/>
                <w:color w:val="000000"/>
                <w:w w:val="15"/>
                <w:sz w:val="20"/>
                <w:fitText w:val="38" w:id="-1436282877"/>
                <w14:textFill>
                  <w14:solidFill>
                    <w14:srgbClr w14:val="000000">
                      <w14:alpha w14:val="100000"/>
                    </w14:srgbClr>
                  </w14:solidFill>
                </w14:textFill>
              </w:rPr>
              <w:t xml:space="preserve">　</w:t>
            </w:r>
            <w:r w:rsidRPr="00164331">
              <w:rPr>
                <w:rFonts w:ascii="Arial Narrow" w:eastAsiaTheme="majorEastAsia" w:hAnsi="Arial Narrow" w:cstheme="majorBidi"/>
                <w:bCs/>
                <w:color w:val="000000"/>
                <w:w w:val="15"/>
                <w:sz w:val="20"/>
                <w:fitText w:val="38" w:id="-1436282877"/>
                <w14:textFill>
                  <w14:solidFill>
                    <w14:srgbClr w14:val="000000">
                      <w14:alpha w14:val="100000"/>
                    </w14:srgbClr>
                  </w14:solidFill>
                </w14:textFill>
              </w:rPr>
              <w:t>|</w:t>
            </w:r>
            <w:r w:rsidRPr="00164331">
              <w:rPr>
                <w:rFonts w:ascii="Arial Narrow" w:eastAsiaTheme="majorEastAsia" w:hAnsi="Arial Narrow" w:cstheme="majorBidi" w:hint="eastAsia"/>
                <w:bCs/>
                <w:color w:val="000000"/>
                <w:spacing w:val="-27"/>
                <w:w w:val="15"/>
                <w:sz w:val="20"/>
                <w:fitText w:val="38" w:id="-1436282877"/>
                <w14:textFill>
                  <w14:solidFill>
                    <w14:srgbClr w14:val="000000">
                      <w14:alpha w14:val="100000"/>
                    </w14:srgbClr>
                  </w14:solidFill>
                </w14:textFill>
              </w:rPr>
              <w:t xml:space="preserve">　</w:t>
            </w:r>
          </w:p>
        </w:tc>
        <w:tc>
          <w:tcPr>
            <w:tcW w:w="1134" w:type="dxa"/>
            <w:tcBorders>
              <w:top w:val="nil"/>
            </w:tcBorders>
          </w:tcPr>
          <w:p w14:paraId="4C6AA825"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0.382</w:t>
            </w:r>
          </w:p>
        </w:tc>
        <w:tc>
          <w:tcPr>
            <w:tcW w:w="1351" w:type="dxa"/>
            <w:tcBorders>
              <w:top w:val="nil"/>
            </w:tcBorders>
          </w:tcPr>
          <w:p w14:paraId="32C174B3" w14:textId="118CCDE7" w:rsidR="000D2C16" w:rsidRPr="00EA7B11" w:rsidRDefault="00164331" w:rsidP="00B86F70">
            <w:pPr>
              <w:keepNext/>
              <w:keepLines/>
              <w:jc w:val="center"/>
              <w:rPr>
                <w:rFonts w:ascii="Arial Narrow" w:eastAsiaTheme="majorEastAsia" w:hAnsi="Arial Narrow" w:cstheme="majorBidi"/>
                <w:bCs/>
                <w:sz w:val="20"/>
                <w:highlight w:val="lightGray"/>
              </w:rPr>
            </w:pPr>
            <w:r w:rsidRPr="0016433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F43344" w:rsidRPr="00F43344">
              <w:rPr>
                <w:rFonts w:ascii="Arial Narrow" w:eastAsiaTheme="majorEastAsia" w:hAnsi="Arial Narrow" w:cstheme="majorBidi"/>
                <w:bCs/>
                <w:sz w:val="20"/>
                <w:vertAlign w:val="superscript"/>
              </w:rPr>
              <w:t>9</w:t>
            </w:r>
          </w:p>
        </w:tc>
        <w:tc>
          <w:tcPr>
            <w:tcW w:w="867" w:type="dxa"/>
            <w:tcBorders>
              <w:top w:val="nil"/>
            </w:tcBorders>
          </w:tcPr>
          <w:p w14:paraId="42A6C806" w14:textId="77777777" w:rsidR="000D2C16" w:rsidRPr="000D2C16" w:rsidRDefault="000D2C16" w:rsidP="00B86F70">
            <w:pPr>
              <w:keepNext/>
              <w:keepLines/>
              <w:jc w:val="center"/>
              <w:rPr>
                <w:rFonts w:ascii="Arial Narrow" w:eastAsiaTheme="majorEastAsia" w:hAnsi="Arial Narrow" w:cstheme="majorBidi"/>
                <w:bCs/>
                <w:sz w:val="20"/>
              </w:rPr>
            </w:pPr>
            <w:r w:rsidRPr="000D2C16">
              <w:rPr>
                <w:rFonts w:ascii="Arial Narrow" w:eastAsiaTheme="majorEastAsia" w:hAnsi="Arial Narrow" w:cstheme="majorBidi"/>
                <w:bCs/>
                <w:sz w:val="20"/>
              </w:rPr>
              <w:t>147.7%</w:t>
            </w:r>
          </w:p>
        </w:tc>
      </w:tr>
      <w:tr w:rsidR="000D2C16" w:rsidRPr="000D2C16" w14:paraId="320203DC" w14:textId="77777777" w:rsidTr="00164331">
        <w:tc>
          <w:tcPr>
            <w:tcW w:w="4531" w:type="dxa"/>
            <w:tcBorders>
              <w:bottom w:val="nil"/>
            </w:tcBorders>
          </w:tcPr>
          <w:p w14:paraId="2A2FA215" w14:textId="77777777" w:rsidR="000D2C16" w:rsidRPr="00603AFC" w:rsidRDefault="000D2C16" w:rsidP="00B86F70">
            <w:pPr>
              <w:keepNext/>
              <w:keepLines/>
              <w:jc w:val="left"/>
              <w:rPr>
                <w:rFonts w:ascii="Arial Narrow" w:eastAsiaTheme="majorEastAsia" w:hAnsi="Arial Narrow" w:cstheme="majorBidi"/>
                <w:bCs/>
                <w:iCs/>
                <w:sz w:val="20"/>
              </w:rPr>
            </w:pPr>
            <w:r w:rsidRPr="00603AFC">
              <w:rPr>
                <w:rFonts w:ascii="Arial Narrow" w:eastAsiaTheme="majorEastAsia" w:hAnsi="Arial Narrow" w:cstheme="majorBidi"/>
                <w:bCs/>
                <w:iCs/>
                <w:sz w:val="20"/>
              </w:rPr>
              <w:t>Treatment effect for entire time horizon</w:t>
            </w:r>
          </w:p>
        </w:tc>
        <w:tc>
          <w:tcPr>
            <w:tcW w:w="1134" w:type="dxa"/>
            <w:tcBorders>
              <w:bottom w:val="nil"/>
            </w:tcBorders>
          </w:tcPr>
          <w:p w14:paraId="0069C804" w14:textId="77777777" w:rsidR="000D2C16" w:rsidRPr="00EA7B11" w:rsidRDefault="000D2C16" w:rsidP="00B86F70">
            <w:pPr>
              <w:keepNext/>
              <w:keepLines/>
              <w:jc w:val="center"/>
              <w:rPr>
                <w:rFonts w:ascii="Arial Narrow" w:eastAsiaTheme="majorEastAsia" w:hAnsi="Arial Narrow" w:cstheme="majorBidi"/>
                <w:bCs/>
                <w:iCs/>
                <w:sz w:val="20"/>
                <w:highlight w:val="lightGray"/>
              </w:rPr>
            </w:pPr>
          </w:p>
        </w:tc>
        <w:tc>
          <w:tcPr>
            <w:tcW w:w="1134" w:type="dxa"/>
            <w:tcBorders>
              <w:bottom w:val="nil"/>
            </w:tcBorders>
          </w:tcPr>
          <w:p w14:paraId="752AE065" w14:textId="77777777" w:rsidR="000D2C16" w:rsidRPr="00603AFC" w:rsidRDefault="000D2C16" w:rsidP="00B86F70">
            <w:pPr>
              <w:keepNext/>
              <w:keepLines/>
              <w:jc w:val="center"/>
              <w:rPr>
                <w:rFonts w:ascii="Arial Narrow" w:eastAsiaTheme="majorEastAsia" w:hAnsi="Arial Narrow" w:cstheme="majorBidi"/>
                <w:bCs/>
                <w:iCs/>
                <w:sz w:val="20"/>
              </w:rPr>
            </w:pPr>
          </w:p>
        </w:tc>
        <w:tc>
          <w:tcPr>
            <w:tcW w:w="1351" w:type="dxa"/>
            <w:tcBorders>
              <w:bottom w:val="nil"/>
            </w:tcBorders>
          </w:tcPr>
          <w:p w14:paraId="08EF8393" w14:textId="77777777" w:rsidR="000D2C16" w:rsidRPr="00EA7B11" w:rsidRDefault="000D2C16" w:rsidP="00B86F70">
            <w:pPr>
              <w:keepNext/>
              <w:keepLines/>
              <w:jc w:val="center"/>
              <w:rPr>
                <w:rFonts w:ascii="Arial Narrow" w:eastAsiaTheme="majorEastAsia" w:hAnsi="Arial Narrow" w:cstheme="majorBidi"/>
                <w:bCs/>
                <w:iCs/>
                <w:sz w:val="20"/>
                <w:highlight w:val="lightGray"/>
              </w:rPr>
            </w:pPr>
          </w:p>
        </w:tc>
        <w:tc>
          <w:tcPr>
            <w:tcW w:w="867" w:type="dxa"/>
            <w:tcBorders>
              <w:bottom w:val="nil"/>
            </w:tcBorders>
          </w:tcPr>
          <w:p w14:paraId="67974A15" w14:textId="77777777" w:rsidR="000D2C16" w:rsidRPr="00603AFC" w:rsidRDefault="000D2C16" w:rsidP="00B86F70">
            <w:pPr>
              <w:keepNext/>
              <w:keepLines/>
              <w:jc w:val="center"/>
              <w:rPr>
                <w:rFonts w:ascii="Arial Narrow" w:eastAsiaTheme="majorEastAsia" w:hAnsi="Arial Narrow" w:cstheme="majorBidi"/>
                <w:bCs/>
                <w:iCs/>
                <w:sz w:val="20"/>
              </w:rPr>
            </w:pPr>
          </w:p>
        </w:tc>
      </w:tr>
      <w:tr w:rsidR="000D2C16" w:rsidRPr="000D2C16" w14:paraId="06C013DD" w14:textId="77777777" w:rsidTr="00164331">
        <w:tc>
          <w:tcPr>
            <w:tcW w:w="4531" w:type="dxa"/>
            <w:tcBorders>
              <w:top w:val="nil"/>
            </w:tcBorders>
          </w:tcPr>
          <w:p w14:paraId="125AEEE8" w14:textId="3A5C0E02" w:rsidR="000D2C16" w:rsidRPr="00DC5E23" w:rsidRDefault="000D2C16" w:rsidP="00B86F70">
            <w:pPr>
              <w:keepNext/>
              <w:keepLines/>
              <w:numPr>
                <w:ilvl w:val="0"/>
                <w:numId w:val="5"/>
              </w:numPr>
              <w:ind w:left="84" w:hanging="84"/>
              <w:jc w:val="left"/>
              <w:rPr>
                <w:rFonts w:ascii="Arial Narrow" w:eastAsiaTheme="majorEastAsia" w:hAnsi="Arial Narrow" w:cstheme="majorBidi"/>
                <w:bCs/>
                <w:iCs/>
                <w:sz w:val="20"/>
              </w:rPr>
            </w:pPr>
            <w:r w:rsidRPr="00DC5E23">
              <w:rPr>
                <w:rFonts w:ascii="Arial Narrow" w:eastAsiaTheme="majorEastAsia" w:hAnsi="Arial Narrow" w:cstheme="majorBidi"/>
                <w:bCs/>
                <w:iCs/>
                <w:sz w:val="20"/>
              </w:rPr>
              <w:t xml:space="preserve">Remove treatment </w:t>
            </w:r>
            <w:r w:rsidR="00BF5386" w:rsidRPr="00DC5E23">
              <w:rPr>
                <w:rFonts w:ascii="Arial Narrow" w:eastAsiaTheme="majorEastAsia" w:hAnsi="Arial Narrow" w:cstheme="majorBidi"/>
                <w:bCs/>
                <w:iCs/>
                <w:sz w:val="20"/>
              </w:rPr>
              <w:t>effect (i</w:t>
            </w:r>
            <w:r w:rsidR="00FD2741" w:rsidRPr="00DC5E23">
              <w:rPr>
                <w:rFonts w:ascii="Arial Narrow" w:eastAsiaTheme="majorEastAsia" w:hAnsi="Arial Narrow" w:cstheme="majorBidi"/>
                <w:bCs/>
                <w:iCs/>
                <w:sz w:val="20"/>
              </w:rPr>
              <w:t>.</w:t>
            </w:r>
            <w:r w:rsidR="00BF5386" w:rsidRPr="00DC5E23">
              <w:rPr>
                <w:rFonts w:ascii="Arial Narrow" w:eastAsiaTheme="majorEastAsia" w:hAnsi="Arial Narrow" w:cstheme="majorBidi"/>
                <w:bCs/>
                <w:iCs/>
                <w:sz w:val="20"/>
              </w:rPr>
              <w:t>e</w:t>
            </w:r>
            <w:r w:rsidR="00FD2741" w:rsidRPr="00DC5E23">
              <w:rPr>
                <w:rFonts w:ascii="Arial Narrow" w:eastAsiaTheme="majorEastAsia" w:hAnsi="Arial Narrow" w:cstheme="majorBidi"/>
                <w:bCs/>
                <w:iCs/>
                <w:sz w:val="20"/>
              </w:rPr>
              <w:t>.</w:t>
            </w:r>
            <w:r w:rsidR="00BF5386" w:rsidRPr="00DC5E23">
              <w:rPr>
                <w:rFonts w:ascii="Arial Narrow" w:eastAsiaTheme="majorEastAsia" w:hAnsi="Arial Narrow" w:cstheme="majorBidi"/>
                <w:bCs/>
                <w:iCs/>
                <w:sz w:val="20"/>
              </w:rPr>
              <w:t xml:space="preserve"> transition probabilities for </w:t>
            </w:r>
            <w:proofErr w:type="spellStart"/>
            <w:r w:rsidR="00BF5386" w:rsidRPr="00DC5E23">
              <w:rPr>
                <w:rFonts w:ascii="Arial Narrow" w:eastAsiaTheme="majorEastAsia" w:hAnsi="Arial Narrow" w:cstheme="majorBidi"/>
                <w:bCs/>
                <w:iCs/>
                <w:sz w:val="20"/>
              </w:rPr>
              <w:t>anifrolumab</w:t>
            </w:r>
            <w:proofErr w:type="spellEnd"/>
            <w:r w:rsidR="00BF5386" w:rsidRPr="00DC5E23">
              <w:rPr>
                <w:rFonts w:ascii="Arial Narrow" w:eastAsiaTheme="majorEastAsia" w:hAnsi="Arial Narrow" w:cstheme="majorBidi"/>
                <w:bCs/>
                <w:iCs/>
                <w:sz w:val="20"/>
              </w:rPr>
              <w:t xml:space="preserve"> ≡ SOC) </w:t>
            </w:r>
            <w:r w:rsidRPr="00DC5E23">
              <w:rPr>
                <w:rFonts w:ascii="Arial Narrow" w:eastAsiaTheme="majorEastAsia" w:hAnsi="Arial Narrow" w:cstheme="majorBidi"/>
                <w:bCs/>
                <w:iCs/>
                <w:sz w:val="20"/>
              </w:rPr>
              <w:t xml:space="preserve">from year 5. </w:t>
            </w:r>
            <w:r w:rsidR="009643A5" w:rsidRPr="00DC5E23">
              <w:rPr>
                <w:rFonts w:ascii="Arial Narrow" w:eastAsiaTheme="majorEastAsia" w:hAnsi="Arial Narrow" w:cstheme="majorBidi"/>
                <w:bCs/>
                <w:iCs/>
                <w:sz w:val="20"/>
              </w:rPr>
              <w:t xml:space="preserve"> </w:t>
            </w:r>
            <w:r w:rsidRPr="00DC5E23">
              <w:rPr>
                <w:rFonts w:ascii="Arial Narrow" w:eastAsiaTheme="majorEastAsia" w:hAnsi="Arial Narrow" w:cstheme="majorBidi"/>
                <w:bCs/>
                <w:iCs/>
                <w:sz w:val="20"/>
              </w:rPr>
              <w:t>Affects flares, OCS, SLEDAI-2K and utility regressions.</w:t>
            </w:r>
          </w:p>
        </w:tc>
        <w:tc>
          <w:tcPr>
            <w:tcW w:w="1134" w:type="dxa"/>
            <w:tcBorders>
              <w:top w:val="nil"/>
            </w:tcBorders>
            <w:shd w:val="solid" w:color="000000" w:fill="000000"/>
          </w:tcPr>
          <w:p w14:paraId="458C07E8" w14:textId="1A3373EC" w:rsidR="000D2C16" w:rsidRPr="00EA7B11" w:rsidRDefault="00164331" w:rsidP="00B86F70">
            <w:pPr>
              <w:keepNext/>
              <w:keepLines/>
              <w:jc w:val="center"/>
              <w:rPr>
                <w:rFonts w:ascii="Arial Narrow" w:eastAsiaTheme="majorEastAsia" w:hAnsi="Arial Narrow" w:cstheme="majorBidi"/>
                <w:bCs/>
                <w:iCs/>
                <w:sz w:val="20"/>
                <w:highlight w:val="lightGray"/>
              </w:rPr>
            </w:pPr>
            <w:r w:rsidRPr="00164331">
              <w:rPr>
                <w:rFonts w:ascii="Arial Narrow" w:eastAsiaTheme="majorEastAsia" w:hAnsi="Arial Narrow" w:cstheme="majorBidi" w:hint="eastAsia"/>
                <w:bCs/>
                <w:iCs/>
                <w:color w:val="000000"/>
                <w:w w:val="15"/>
                <w:sz w:val="20"/>
                <w:fitText w:val="38" w:id="-1436282876"/>
                <w14:textFill>
                  <w14:solidFill>
                    <w14:srgbClr w14:val="000000">
                      <w14:alpha w14:val="100000"/>
                    </w14:srgbClr>
                  </w14:solidFill>
                </w14:textFill>
              </w:rPr>
              <w:t xml:space="preserve">　</w:t>
            </w:r>
            <w:r w:rsidRPr="00164331">
              <w:rPr>
                <w:rFonts w:ascii="Arial Narrow" w:eastAsiaTheme="majorEastAsia" w:hAnsi="Arial Narrow" w:cstheme="majorBidi"/>
                <w:bCs/>
                <w:iCs/>
                <w:color w:val="000000"/>
                <w:w w:val="15"/>
                <w:sz w:val="20"/>
                <w:fitText w:val="38" w:id="-1436282876"/>
                <w14:textFill>
                  <w14:solidFill>
                    <w14:srgbClr w14:val="000000">
                      <w14:alpha w14:val="100000"/>
                    </w14:srgbClr>
                  </w14:solidFill>
                </w14:textFill>
              </w:rPr>
              <w:t>|</w:t>
            </w:r>
            <w:r w:rsidRPr="00164331">
              <w:rPr>
                <w:rFonts w:ascii="Arial Narrow" w:eastAsiaTheme="majorEastAsia" w:hAnsi="Arial Narrow" w:cstheme="majorBidi" w:hint="eastAsia"/>
                <w:bCs/>
                <w:iCs/>
                <w:color w:val="000000"/>
                <w:spacing w:val="-27"/>
                <w:w w:val="15"/>
                <w:sz w:val="20"/>
                <w:fitText w:val="38" w:id="-1436282876"/>
                <w14:textFill>
                  <w14:solidFill>
                    <w14:srgbClr w14:val="000000">
                      <w14:alpha w14:val="100000"/>
                    </w14:srgbClr>
                  </w14:solidFill>
                </w14:textFill>
              </w:rPr>
              <w:t xml:space="preserve">　</w:t>
            </w:r>
          </w:p>
        </w:tc>
        <w:tc>
          <w:tcPr>
            <w:tcW w:w="1134" w:type="dxa"/>
            <w:tcBorders>
              <w:top w:val="nil"/>
            </w:tcBorders>
          </w:tcPr>
          <w:p w14:paraId="28183004" w14:textId="77777777" w:rsidR="000D2C16" w:rsidRPr="00DC5E23" w:rsidRDefault="000D2C16" w:rsidP="00B86F70">
            <w:pPr>
              <w:keepNext/>
              <w:keepLines/>
              <w:jc w:val="center"/>
              <w:rPr>
                <w:rFonts w:ascii="Arial Narrow" w:eastAsiaTheme="majorEastAsia" w:hAnsi="Arial Narrow" w:cstheme="majorBidi"/>
                <w:bCs/>
                <w:iCs/>
                <w:sz w:val="20"/>
              </w:rPr>
            </w:pPr>
            <w:r w:rsidRPr="00DC5E23">
              <w:rPr>
                <w:rFonts w:ascii="Arial Narrow" w:eastAsiaTheme="majorEastAsia" w:hAnsi="Arial Narrow" w:cstheme="majorBidi"/>
                <w:bCs/>
                <w:iCs/>
                <w:sz w:val="20"/>
              </w:rPr>
              <w:t>0.756</w:t>
            </w:r>
          </w:p>
        </w:tc>
        <w:tc>
          <w:tcPr>
            <w:tcW w:w="1351" w:type="dxa"/>
            <w:tcBorders>
              <w:top w:val="nil"/>
            </w:tcBorders>
          </w:tcPr>
          <w:p w14:paraId="42F6D009" w14:textId="5BD89EFB" w:rsidR="000D2C16" w:rsidRPr="00EA7B11" w:rsidRDefault="00164331" w:rsidP="00B86F70">
            <w:pPr>
              <w:keepNext/>
              <w:keepLines/>
              <w:jc w:val="center"/>
              <w:rPr>
                <w:rFonts w:ascii="Arial Narrow" w:eastAsiaTheme="majorEastAsia" w:hAnsi="Arial Narrow" w:cstheme="majorBidi"/>
                <w:bCs/>
                <w:iCs/>
                <w:sz w:val="20"/>
                <w:highlight w:val="lightGray"/>
              </w:rPr>
            </w:pPr>
            <w:r w:rsidRPr="00164331">
              <w:rPr>
                <w:rFonts w:ascii="Arial Narrow" w:eastAsiaTheme="majorEastAsia" w:hAnsi="Arial Narrow" w:cstheme="majorBidi"/>
                <w:bCs/>
                <w:iCs/>
                <w:color w:val="000000"/>
                <w:sz w:val="20"/>
                <w:shd w:val="solid" w:color="000000" w:fill="000000"/>
                <w14:textFill>
                  <w14:solidFill>
                    <w14:srgbClr w14:val="000000">
                      <w14:alpha w14:val="100000"/>
                    </w14:srgbClr>
                  </w14:solidFill>
                </w14:textFill>
              </w:rPr>
              <w:t>|</w:t>
            </w:r>
            <w:r w:rsidR="00F43344" w:rsidRPr="00F43344">
              <w:rPr>
                <w:rFonts w:ascii="Arial Narrow" w:eastAsiaTheme="majorEastAsia" w:hAnsi="Arial Narrow" w:cstheme="majorBidi"/>
                <w:bCs/>
                <w:sz w:val="20"/>
                <w:vertAlign w:val="superscript"/>
              </w:rPr>
              <w:t>8</w:t>
            </w:r>
          </w:p>
        </w:tc>
        <w:tc>
          <w:tcPr>
            <w:tcW w:w="867" w:type="dxa"/>
            <w:tcBorders>
              <w:top w:val="nil"/>
            </w:tcBorders>
          </w:tcPr>
          <w:p w14:paraId="1197C728" w14:textId="77777777" w:rsidR="000D2C16" w:rsidRPr="00DC5E23" w:rsidRDefault="000D2C16" w:rsidP="00B86F70">
            <w:pPr>
              <w:keepNext/>
              <w:keepLines/>
              <w:jc w:val="center"/>
              <w:rPr>
                <w:rFonts w:ascii="Arial Narrow" w:eastAsiaTheme="majorEastAsia" w:hAnsi="Arial Narrow" w:cstheme="majorBidi"/>
                <w:bCs/>
                <w:iCs/>
                <w:sz w:val="20"/>
              </w:rPr>
            </w:pPr>
            <w:r w:rsidRPr="00DC5E23">
              <w:rPr>
                <w:rFonts w:ascii="Arial Narrow" w:eastAsiaTheme="majorEastAsia" w:hAnsi="Arial Narrow" w:cstheme="majorBidi"/>
                <w:bCs/>
                <w:iCs/>
                <w:sz w:val="20"/>
              </w:rPr>
              <w:t>21.9%</w:t>
            </w:r>
          </w:p>
        </w:tc>
      </w:tr>
      <w:tr w:rsidR="000D2C16" w:rsidRPr="000D2C16" w14:paraId="10BED61A" w14:textId="77777777" w:rsidTr="007F770C">
        <w:trPr>
          <w:trHeight w:val="199"/>
        </w:trPr>
        <w:tc>
          <w:tcPr>
            <w:tcW w:w="9017" w:type="dxa"/>
            <w:gridSpan w:val="5"/>
            <w:tcBorders>
              <w:top w:val="single" w:sz="4" w:space="0" w:color="auto"/>
              <w:bottom w:val="nil"/>
            </w:tcBorders>
          </w:tcPr>
          <w:p w14:paraId="11C6BFF5" w14:textId="77777777" w:rsidR="000D2C16" w:rsidRPr="00DC5E23" w:rsidRDefault="000D2C16" w:rsidP="00B86F70">
            <w:pPr>
              <w:keepNext/>
              <w:keepLines/>
              <w:jc w:val="left"/>
              <w:rPr>
                <w:rFonts w:ascii="Arial Narrow" w:eastAsiaTheme="majorEastAsia" w:hAnsi="Arial Narrow" w:cstheme="majorBidi"/>
                <w:bCs/>
                <w:iCs/>
                <w:sz w:val="20"/>
              </w:rPr>
            </w:pPr>
            <w:r w:rsidRPr="00DC5E23">
              <w:rPr>
                <w:rFonts w:ascii="Arial Narrow" w:eastAsiaTheme="majorEastAsia" w:hAnsi="Arial Narrow" w:cstheme="majorBidi"/>
                <w:bCs/>
                <w:iCs/>
                <w:sz w:val="20"/>
              </w:rPr>
              <w:t xml:space="preserve">Utility regression coefficients (base: </w:t>
            </w:r>
            <w:proofErr w:type="spellStart"/>
            <w:r w:rsidRPr="00DC5E23">
              <w:rPr>
                <w:rFonts w:ascii="Arial Narrow" w:eastAsiaTheme="majorEastAsia" w:hAnsi="Arial Narrow" w:cstheme="majorBidi"/>
                <w:bCs/>
                <w:iCs/>
                <w:sz w:val="20"/>
              </w:rPr>
              <w:t>anifrolumab</w:t>
            </w:r>
            <w:proofErr w:type="spellEnd"/>
            <w:r w:rsidRPr="00DC5E23">
              <w:rPr>
                <w:rFonts w:ascii="Arial Narrow" w:eastAsiaTheme="majorEastAsia" w:hAnsi="Arial Narrow" w:cstheme="majorBidi"/>
                <w:bCs/>
                <w:iCs/>
                <w:sz w:val="20"/>
              </w:rPr>
              <w:t xml:space="preserve"> responder 0.076, </w:t>
            </w:r>
            <w:proofErr w:type="spellStart"/>
            <w:r w:rsidRPr="00DC5E23">
              <w:rPr>
                <w:rFonts w:ascii="Arial Narrow" w:eastAsiaTheme="majorEastAsia" w:hAnsi="Arial Narrow" w:cstheme="majorBidi"/>
                <w:bCs/>
                <w:iCs/>
                <w:sz w:val="20"/>
              </w:rPr>
              <w:t>anifrolumab</w:t>
            </w:r>
            <w:proofErr w:type="spellEnd"/>
            <w:r w:rsidRPr="00DC5E23">
              <w:rPr>
                <w:rFonts w:ascii="Arial Narrow" w:eastAsiaTheme="majorEastAsia" w:hAnsi="Arial Narrow" w:cstheme="majorBidi"/>
                <w:bCs/>
                <w:iCs/>
                <w:sz w:val="20"/>
              </w:rPr>
              <w:t xml:space="preserve"> non-responder -0.029, AMS -0.009)</w:t>
            </w:r>
          </w:p>
        </w:tc>
      </w:tr>
      <w:tr w:rsidR="000D2C16" w:rsidRPr="000D2C16" w14:paraId="64A25B18" w14:textId="77777777" w:rsidTr="00164331">
        <w:trPr>
          <w:trHeight w:val="199"/>
        </w:trPr>
        <w:tc>
          <w:tcPr>
            <w:tcW w:w="4531" w:type="dxa"/>
            <w:tcBorders>
              <w:top w:val="nil"/>
              <w:bottom w:val="single" w:sz="4" w:space="0" w:color="auto"/>
            </w:tcBorders>
          </w:tcPr>
          <w:p w14:paraId="04284A7D" w14:textId="77777777" w:rsidR="000D2C16" w:rsidRPr="00DC5E23" w:rsidRDefault="000D2C16" w:rsidP="00B86F70">
            <w:pPr>
              <w:keepNext/>
              <w:keepLines/>
              <w:numPr>
                <w:ilvl w:val="0"/>
                <w:numId w:val="5"/>
              </w:numPr>
              <w:ind w:left="84" w:hanging="84"/>
              <w:jc w:val="left"/>
              <w:rPr>
                <w:rFonts w:ascii="Arial Narrow" w:eastAsiaTheme="majorEastAsia" w:hAnsi="Arial Narrow" w:cstheme="majorBidi"/>
                <w:bCs/>
                <w:iCs/>
                <w:sz w:val="20"/>
              </w:rPr>
            </w:pPr>
            <w:r w:rsidRPr="00DC5E23">
              <w:rPr>
                <w:rFonts w:ascii="Arial Narrow" w:eastAsiaTheme="majorEastAsia" w:hAnsi="Arial Narrow" w:cstheme="majorBidi"/>
                <w:bCs/>
                <w:iCs/>
                <w:sz w:val="20"/>
              </w:rPr>
              <w:t>No SLEDAI-2K effect (AMS 0)</w:t>
            </w:r>
          </w:p>
        </w:tc>
        <w:tc>
          <w:tcPr>
            <w:tcW w:w="1134" w:type="dxa"/>
            <w:tcBorders>
              <w:top w:val="nil"/>
              <w:bottom w:val="single" w:sz="4" w:space="0" w:color="auto"/>
            </w:tcBorders>
            <w:shd w:val="solid" w:color="000000" w:fill="000000"/>
          </w:tcPr>
          <w:p w14:paraId="18BE42E1" w14:textId="45D80E71" w:rsidR="000D2C16" w:rsidRPr="00DC5E23" w:rsidRDefault="00164331" w:rsidP="00B86F70">
            <w:pPr>
              <w:keepNext/>
              <w:keepLines/>
              <w:jc w:val="center"/>
              <w:rPr>
                <w:rFonts w:ascii="Arial Narrow" w:eastAsiaTheme="majorEastAsia" w:hAnsi="Arial Narrow" w:cstheme="majorBidi"/>
                <w:bCs/>
                <w:iCs/>
                <w:sz w:val="20"/>
              </w:rPr>
            </w:pPr>
            <w:r w:rsidRPr="00164331">
              <w:rPr>
                <w:rFonts w:ascii="Arial Narrow" w:eastAsiaTheme="majorEastAsia" w:hAnsi="Arial Narrow" w:cstheme="majorBidi" w:hint="eastAsia"/>
                <w:bCs/>
                <w:iCs/>
                <w:color w:val="000000"/>
                <w:w w:val="15"/>
                <w:sz w:val="20"/>
                <w:fitText w:val="38" w:id="-1436282875"/>
                <w14:textFill>
                  <w14:solidFill>
                    <w14:srgbClr w14:val="000000">
                      <w14:alpha w14:val="100000"/>
                    </w14:srgbClr>
                  </w14:solidFill>
                </w14:textFill>
              </w:rPr>
              <w:t xml:space="preserve">　</w:t>
            </w:r>
            <w:r w:rsidRPr="00164331">
              <w:rPr>
                <w:rFonts w:ascii="Arial Narrow" w:eastAsiaTheme="majorEastAsia" w:hAnsi="Arial Narrow" w:cstheme="majorBidi"/>
                <w:bCs/>
                <w:iCs/>
                <w:color w:val="000000"/>
                <w:w w:val="15"/>
                <w:sz w:val="20"/>
                <w:fitText w:val="38" w:id="-1436282875"/>
                <w14:textFill>
                  <w14:solidFill>
                    <w14:srgbClr w14:val="000000">
                      <w14:alpha w14:val="100000"/>
                    </w14:srgbClr>
                  </w14:solidFill>
                </w14:textFill>
              </w:rPr>
              <w:t>|</w:t>
            </w:r>
            <w:r w:rsidRPr="00164331">
              <w:rPr>
                <w:rFonts w:ascii="Arial Narrow" w:eastAsiaTheme="majorEastAsia" w:hAnsi="Arial Narrow" w:cstheme="majorBidi" w:hint="eastAsia"/>
                <w:bCs/>
                <w:iCs/>
                <w:color w:val="000000"/>
                <w:spacing w:val="-27"/>
                <w:w w:val="15"/>
                <w:sz w:val="20"/>
                <w:fitText w:val="38" w:id="-1436282875"/>
                <w14:textFill>
                  <w14:solidFill>
                    <w14:srgbClr w14:val="000000">
                      <w14:alpha w14:val="100000"/>
                    </w14:srgbClr>
                  </w14:solidFill>
                </w14:textFill>
              </w:rPr>
              <w:t xml:space="preserve">　</w:t>
            </w:r>
          </w:p>
        </w:tc>
        <w:tc>
          <w:tcPr>
            <w:tcW w:w="1134" w:type="dxa"/>
            <w:tcBorders>
              <w:top w:val="nil"/>
              <w:bottom w:val="single" w:sz="4" w:space="0" w:color="auto"/>
            </w:tcBorders>
          </w:tcPr>
          <w:p w14:paraId="56185E52" w14:textId="77777777" w:rsidR="000D2C16" w:rsidRPr="00DC5E23" w:rsidRDefault="000D2C16" w:rsidP="00B86F70">
            <w:pPr>
              <w:keepNext/>
              <w:keepLines/>
              <w:jc w:val="center"/>
              <w:rPr>
                <w:rFonts w:ascii="Arial Narrow" w:eastAsiaTheme="majorEastAsia" w:hAnsi="Arial Narrow" w:cstheme="majorBidi"/>
                <w:bCs/>
                <w:iCs/>
                <w:sz w:val="20"/>
              </w:rPr>
            </w:pPr>
            <w:r w:rsidRPr="00DC5E23">
              <w:rPr>
                <w:rFonts w:ascii="Arial Narrow" w:eastAsiaTheme="majorEastAsia" w:hAnsi="Arial Narrow" w:cstheme="majorBidi"/>
                <w:bCs/>
                <w:iCs/>
                <w:sz w:val="20"/>
              </w:rPr>
              <w:t>0.676</w:t>
            </w:r>
          </w:p>
        </w:tc>
        <w:tc>
          <w:tcPr>
            <w:tcW w:w="1351" w:type="dxa"/>
            <w:tcBorders>
              <w:top w:val="nil"/>
              <w:bottom w:val="single" w:sz="4" w:space="0" w:color="auto"/>
            </w:tcBorders>
          </w:tcPr>
          <w:p w14:paraId="7FE74C8C" w14:textId="75C7DA90" w:rsidR="000D2C16" w:rsidRPr="00DC5E23" w:rsidRDefault="00164331" w:rsidP="00B86F70">
            <w:pPr>
              <w:keepNext/>
              <w:keepLines/>
              <w:jc w:val="center"/>
              <w:rPr>
                <w:rFonts w:ascii="Arial Narrow" w:eastAsiaTheme="majorEastAsia" w:hAnsi="Arial Narrow" w:cstheme="majorBidi"/>
                <w:bCs/>
                <w:iCs/>
                <w:sz w:val="20"/>
              </w:rPr>
            </w:pPr>
            <w:r w:rsidRPr="00164331">
              <w:rPr>
                <w:rFonts w:ascii="Arial Narrow" w:eastAsiaTheme="majorEastAsia" w:hAnsi="Arial Narrow" w:cstheme="majorBidi"/>
                <w:bCs/>
                <w:iCs/>
                <w:color w:val="000000"/>
                <w:sz w:val="20"/>
                <w:shd w:val="solid" w:color="000000" w:fill="000000"/>
                <w14:textFill>
                  <w14:solidFill>
                    <w14:srgbClr w14:val="000000">
                      <w14:alpha w14:val="100000"/>
                    </w14:srgbClr>
                  </w14:solidFill>
                </w14:textFill>
              </w:rPr>
              <w:t>|</w:t>
            </w:r>
            <w:r w:rsidR="00F43344" w:rsidRPr="00F43344">
              <w:rPr>
                <w:rFonts w:ascii="Arial Narrow" w:eastAsiaTheme="majorEastAsia" w:hAnsi="Arial Narrow" w:cstheme="majorBidi"/>
                <w:bCs/>
                <w:sz w:val="20"/>
                <w:vertAlign w:val="superscript"/>
              </w:rPr>
              <w:t>8</w:t>
            </w:r>
          </w:p>
        </w:tc>
        <w:tc>
          <w:tcPr>
            <w:tcW w:w="867" w:type="dxa"/>
            <w:tcBorders>
              <w:top w:val="nil"/>
              <w:bottom w:val="single" w:sz="4" w:space="0" w:color="auto"/>
            </w:tcBorders>
          </w:tcPr>
          <w:p w14:paraId="6770921D" w14:textId="77777777" w:rsidR="000D2C16" w:rsidRPr="00DC5E23" w:rsidRDefault="000D2C16" w:rsidP="00B86F70">
            <w:pPr>
              <w:keepNext/>
              <w:keepLines/>
              <w:jc w:val="center"/>
              <w:rPr>
                <w:rFonts w:ascii="Arial Narrow" w:eastAsiaTheme="majorEastAsia" w:hAnsi="Arial Narrow" w:cstheme="majorBidi"/>
                <w:bCs/>
                <w:iCs/>
                <w:sz w:val="20"/>
              </w:rPr>
            </w:pPr>
            <w:r w:rsidRPr="00DC5E23">
              <w:rPr>
                <w:rFonts w:ascii="Arial Narrow" w:eastAsiaTheme="majorEastAsia" w:hAnsi="Arial Narrow" w:cstheme="majorBidi"/>
                <w:bCs/>
                <w:iCs/>
                <w:sz w:val="20"/>
              </w:rPr>
              <w:t>24.9%</w:t>
            </w:r>
          </w:p>
        </w:tc>
      </w:tr>
      <w:tr w:rsidR="000D2C16" w:rsidRPr="000D2C16" w14:paraId="282E6B6C" w14:textId="77777777" w:rsidTr="007F770C">
        <w:trPr>
          <w:trHeight w:val="199"/>
        </w:trPr>
        <w:tc>
          <w:tcPr>
            <w:tcW w:w="9017" w:type="dxa"/>
            <w:gridSpan w:val="5"/>
            <w:tcBorders>
              <w:top w:val="single" w:sz="4" w:space="0" w:color="auto"/>
              <w:bottom w:val="nil"/>
            </w:tcBorders>
          </w:tcPr>
          <w:p w14:paraId="438D8B86" w14:textId="77777777" w:rsidR="000D2C16" w:rsidRPr="00DC5E23" w:rsidRDefault="000D2C16" w:rsidP="00B86F70">
            <w:pPr>
              <w:keepNext/>
              <w:keepLines/>
              <w:jc w:val="left"/>
              <w:rPr>
                <w:rFonts w:ascii="Arial Narrow" w:eastAsiaTheme="majorEastAsia" w:hAnsi="Arial Narrow" w:cstheme="majorBidi"/>
                <w:bCs/>
                <w:iCs/>
                <w:sz w:val="20"/>
              </w:rPr>
            </w:pPr>
            <w:r w:rsidRPr="00DC5E23">
              <w:rPr>
                <w:rFonts w:ascii="Arial Narrow" w:eastAsiaTheme="majorEastAsia" w:hAnsi="Arial Narrow" w:cstheme="majorBidi"/>
                <w:bCs/>
                <w:iCs/>
                <w:sz w:val="20"/>
              </w:rPr>
              <w:t>Number of hospital visits regression coefficients (base: non-severe flares 0.13, severe flares 0.11, SLEDAI-2K 0.09)</w:t>
            </w:r>
          </w:p>
        </w:tc>
      </w:tr>
      <w:tr w:rsidR="000D2C16" w:rsidRPr="000D2C16" w14:paraId="3D2BC5E9" w14:textId="77777777" w:rsidTr="00164331">
        <w:trPr>
          <w:trHeight w:val="199"/>
        </w:trPr>
        <w:tc>
          <w:tcPr>
            <w:tcW w:w="4531" w:type="dxa"/>
            <w:tcBorders>
              <w:top w:val="nil"/>
              <w:bottom w:val="single" w:sz="4" w:space="0" w:color="auto"/>
            </w:tcBorders>
          </w:tcPr>
          <w:p w14:paraId="17DBDC9D" w14:textId="77777777" w:rsidR="000D2C16" w:rsidRPr="00603AFC" w:rsidRDefault="000D2C16" w:rsidP="00B86F70">
            <w:pPr>
              <w:keepNext/>
              <w:keepLines/>
              <w:numPr>
                <w:ilvl w:val="0"/>
                <w:numId w:val="5"/>
              </w:numPr>
              <w:ind w:left="84" w:hanging="84"/>
              <w:jc w:val="left"/>
              <w:rPr>
                <w:rFonts w:ascii="Arial Narrow" w:eastAsiaTheme="majorEastAsia" w:hAnsi="Arial Narrow" w:cstheme="majorBidi"/>
                <w:bCs/>
                <w:iCs/>
                <w:sz w:val="20"/>
              </w:rPr>
            </w:pPr>
            <w:r w:rsidRPr="00603AFC">
              <w:rPr>
                <w:rFonts w:ascii="Arial Narrow" w:eastAsiaTheme="majorEastAsia" w:hAnsi="Arial Narrow" w:cstheme="majorBidi"/>
                <w:bCs/>
                <w:iCs/>
                <w:sz w:val="20"/>
              </w:rPr>
              <w:t>SLEDAI-2K coefficient 0</w:t>
            </w:r>
          </w:p>
        </w:tc>
        <w:tc>
          <w:tcPr>
            <w:tcW w:w="1134" w:type="dxa"/>
            <w:tcBorders>
              <w:top w:val="nil"/>
              <w:bottom w:val="single" w:sz="4" w:space="0" w:color="auto"/>
            </w:tcBorders>
            <w:shd w:val="solid" w:color="000000" w:fill="000000"/>
          </w:tcPr>
          <w:p w14:paraId="68AB265C" w14:textId="2A3D9DA9" w:rsidR="000D2C16" w:rsidRPr="00EA7B11" w:rsidRDefault="00164331" w:rsidP="00B86F70">
            <w:pPr>
              <w:keepNext/>
              <w:keepLines/>
              <w:jc w:val="center"/>
              <w:rPr>
                <w:rFonts w:ascii="Arial Narrow" w:eastAsiaTheme="majorEastAsia" w:hAnsi="Arial Narrow" w:cstheme="majorBidi"/>
                <w:bCs/>
                <w:iCs/>
                <w:sz w:val="20"/>
                <w:highlight w:val="lightGray"/>
              </w:rPr>
            </w:pPr>
            <w:r w:rsidRPr="00164331">
              <w:rPr>
                <w:rFonts w:ascii="Arial Narrow" w:eastAsiaTheme="majorEastAsia" w:hAnsi="Arial Narrow" w:cstheme="majorBidi" w:hint="eastAsia"/>
                <w:bCs/>
                <w:iCs/>
                <w:color w:val="000000"/>
                <w:w w:val="15"/>
                <w:sz w:val="20"/>
                <w:fitText w:val="38" w:id="-1436282874"/>
                <w14:textFill>
                  <w14:solidFill>
                    <w14:srgbClr w14:val="000000">
                      <w14:alpha w14:val="100000"/>
                    </w14:srgbClr>
                  </w14:solidFill>
                </w14:textFill>
              </w:rPr>
              <w:t xml:space="preserve">　</w:t>
            </w:r>
            <w:r w:rsidRPr="00164331">
              <w:rPr>
                <w:rFonts w:ascii="Arial Narrow" w:eastAsiaTheme="majorEastAsia" w:hAnsi="Arial Narrow" w:cstheme="majorBidi"/>
                <w:bCs/>
                <w:iCs/>
                <w:color w:val="000000"/>
                <w:w w:val="15"/>
                <w:sz w:val="20"/>
                <w:fitText w:val="38" w:id="-1436282874"/>
                <w14:textFill>
                  <w14:solidFill>
                    <w14:srgbClr w14:val="000000">
                      <w14:alpha w14:val="100000"/>
                    </w14:srgbClr>
                  </w14:solidFill>
                </w14:textFill>
              </w:rPr>
              <w:t>|</w:t>
            </w:r>
            <w:r w:rsidRPr="00164331">
              <w:rPr>
                <w:rFonts w:ascii="Arial Narrow" w:eastAsiaTheme="majorEastAsia" w:hAnsi="Arial Narrow" w:cstheme="majorBidi" w:hint="eastAsia"/>
                <w:bCs/>
                <w:iCs/>
                <w:color w:val="000000"/>
                <w:spacing w:val="-27"/>
                <w:w w:val="15"/>
                <w:sz w:val="20"/>
                <w:fitText w:val="38" w:id="-1436282874"/>
                <w14:textFill>
                  <w14:solidFill>
                    <w14:srgbClr w14:val="000000">
                      <w14:alpha w14:val="100000"/>
                    </w14:srgbClr>
                  </w14:solidFill>
                </w14:textFill>
              </w:rPr>
              <w:t xml:space="preserve">　</w:t>
            </w:r>
          </w:p>
        </w:tc>
        <w:tc>
          <w:tcPr>
            <w:tcW w:w="1134" w:type="dxa"/>
            <w:tcBorders>
              <w:top w:val="nil"/>
              <w:bottom w:val="single" w:sz="4" w:space="0" w:color="auto"/>
            </w:tcBorders>
          </w:tcPr>
          <w:p w14:paraId="08EB8186" w14:textId="77777777" w:rsidR="000D2C16" w:rsidRPr="00603AFC" w:rsidRDefault="000D2C16" w:rsidP="00B86F70">
            <w:pPr>
              <w:keepNext/>
              <w:keepLines/>
              <w:jc w:val="center"/>
              <w:rPr>
                <w:rFonts w:ascii="Arial Narrow" w:eastAsiaTheme="majorEastAsia" w:hAnsi="Arial Narrow" w:cstheme="majorBidi"/>
                <w:bCs/>
                <w:iCs/>
                <w:sz w:val="20"/>
              </w:rPr>
            </w:pPr>
            <w:r w:rsidRPr="00603AFC">
              <w:rPr>
                <w:rFonts w:ascii="Arial Narrow" w:eastAsiaTheme="majorEastAsia" w:hAnsi="Arial Narrow" w:cstheme="majorBidi"/>
                <w:bCs/>
                <w:iCs/>
                <w:sz w:val="20"/>
              </w:rPr>
              <w:t>0.844</w:t>
            </w:r>
          </w:p>
        </w:tc>
        <w:tc>
          <w:tcPr>
            <w:tcW w:w="1351" w:type="dxa"/>
            <w:tcBorders>
              <w:top w:val="nil"/>
              <w:bottom w:val="single" w:sz="4" w:space="0" w:color="auto"/>
            </w:tcBorders>
          </w:tcPr>
          <w:p w14:paraId="4DD4ACF3" w14:textId="435E0A20" w:rsidR="000D2C16" w:rsidRPr="00EA7B11" w:rsidRDefault="00164331" w:rsidP="00B86F70">
            <w:pPr>
              <w:keepNext/>
              <w:keepLines/>
              <w:jc w:val="center"/>
              <w:rPr>
                <w:rFonts w:ascii="Arial Narrow" w:eastAsiaTheme="majorEastAsia" w:hAnsi="Arial Narrow" w:cstheme="majorBidi"/>
                <w:bCs/>
                <w:iCs/>
                <w:sz w:val="20"/>
                <w:highlight w:val="lightGray"/>
              </w:rPr>
            </w:pPr>
            <w:r w:rsidRPr="00164331">
              <w:rPr>
                <w:rFonts w:ascii="Arial Narrow" w:eastAsiaTheme="majorEastAsia" w:hAnsi="Arial Narrow" w:cstheme="majorBidi"/>
                <w:bCs/>
                <w:iCs/>
                <w:color w:val="000000"/>
                <w:sz w:val="20"/>
                <w:shd w:val="solid" w:color="000000" w:fill="000000"/>
                <w14:textFill>
                  <w14:solidFill>
                    <w14:srgbClr w14:val="000000">
                      <w14:alpha w14:val="100000"/>
                    </w14:srgbClr>
                  </w14:solidFill>
                </w14:textFill>
              </w:rPr>
              <w:t>|</w:t>
            </w:r>
            <w:r w:rsidR="00F43344" w:rsidRPr="00F43344">
              <w:rPr>
                <w:rFonts w:ascii="Arial Narrow" w:eastAsiaTheme="majorEastAsia" w:hAnsi="Arial Narrow" w:cstheme="majorBidi"/>
                <w:bCs/>
                <w:sz w:val="20"/>
                <w:vertAlign w:val="superscript"/>
              </w:rPr>
              <w:t>8</w:t>
            </w:r>
          </w:p>
        </w:tc>
        <w:tc>
          <w:tcPr>
            <w:tcW w:w="867" w:type="dxa"/>
            <w:tcBorders>
              <w:top w:val="nil"/>
              <w:bottom w:val="single" w:sz="4" w:space="0" w:color="auto"/>
            </w:tcBorders>
          </w:tcPr>
          <w:p w14:paraId="72FBB3C0" w14:textId="77777777" w:rsidR="000D2C16" w:rsidRPr="00603AFC" w:rsidRDefault="000D2C16" w:rsidP="00B86F70">
            <w:pPr>
              <w:keepNext/>
              <w:keepLines/>
              <w:jc w:val="center"/>
              <w:rPr>
                <w:rFonts w:ascii="Arial Narrow" w:eastAsiaTheme="majorEastAsia" w:hAnsi="Arial Narrow" w:cstheme="majorBidi"/>
                <w:bCs/>
                <w:iCs/>
                <w:sz w:val="20"/>
              </w:rPr>
            </w:pPr>
            <w:r w:rsidRPr="00603AFC">
              <w:rPr>
                <w:rFonts w:ascii="Arial Narrow" w:eastAsiaTheme="majorEastAsia" w:hAnsi="Arial Narrow" w:cstheme="majorBidi"/>
                <w:bCs/>
                <w:iCs/>
                <w:sz w:val="20"/>
              </w:rPr>
              <w:t>13.8%</w:t>
            </w:r>
          </w:p>
        </w:tc>
      </w:tr>
      <w:tr w:rsidR="007F770C" w:rsidRPr="000D2C16" w14:paraId="5E30C0CE" w14:textId="77777777" w:rsidTr="00164331">
        <w:trPr>
          <w:trHeight w:val="199"/>
        </w:trPr>
        <w:tc>
          <w:tcPr>
            <w:tcW w:w="4531" w:type="dxa"/>
            <w:tcBorders>
              <w:top w:val="nil"/>
              <w:bottom w:val="nil"/>
            </w:tcBorders>
          </w:tcPr>
          <w:p w14:paraId="459A8BE5" w14:textId="00468F2C" w:rsidR="007F770C" w:rsidRPr="00603AFC" w:rsidRDefault="007F770C" w:rsidP="007F770C">
            <w:pPr>
              <w:keepNext/>
              <w:keepLines/>
              <w:jc w:val="left"/>
              <w:rPr>
                <w:rFonts w:ascii="Arial Narrow" w:eastAsiaTheme="majorEastAsia" w:hAnsi="Arial Narrow" w:cstheme="majorBidi"/>
                <w:bCs/>
                <w:iCs/>
                <w:sz w:val="20"/>
              </w:rPr>
            </w:pPr>
            <w:r w:rsidRPr="007F770C">
              <w:rPr>
                <w:rFonts w:ascii="Arial Narrow" w:eastAsiaTheme="majorEastAsia" w:hAnsi="Arial Narrow" w:cstheme="majorBidi"/>
                <w:bCs/>
                <w:iCs/>
                <w:sz w:val="20"/>
              </w:rPr>
              <w:t>Mortality regression AMS coefficient (base: 0.214)</w:t>
            </w:r>
          </w:p>
        </w:tc>
        <w:tc>
          <w:tcPr>
            <w:tcW w:w="1134" w:type="dxa"/>
            <w:tcBorders>
              <w:top w:val="nil"/>
              <w:bottom w:val="nil"/>
            </w:tcBorders>
          </w:tcPr>
          <w:p w14:paraId="54F598B9" w14:textId="77777777" w:rsidR="007F770C" w:rsidRPr="00EA7B11" w:rsidRDefault="007F770C" w:rsidP="007F770C">
            <w:pPr>
              <w:keepNext/>
              <w:keepLines/>
              <w:jc w:val="center"/>
              <w:rPr>
                <w:rFonts w:ascii="Arial Narrow" w:eastAsiaTheme="majorEastAsia" w:hAnsi="Arial Narrow" w:cstheme="majorBidi"/>
                <w:bCs/>
                <w:iCs/>
                <w:sz w:val="20"/>
                <w:highlight w:val="lightGray"/>
              </w:rPr>
            </w:pPr>
          </w:p>
        </w:tc>
        <w:tc>
          <w:tcPr>
            <w:tcW w:w="1134" w:type="dxa"/>
            <w:tcBorders>
              <w:top w:val="nil"/>
              <w:bottom w:val="nil"/>
            </w:tcBorders>
          </w:tcPr>
          <w:p w14:paraId="6CF0C473" w14:textId="77777777" w:rsidR="007F770C" w:rsidRPr="00603AFC" w:rsidRDefault="007F770C" w:rsidP="007F770C">
            <w:pPr>
              <w:keepNext/>
              <w:keepLines/>
              <w:jc w:val="center"/>
              <w:rPr>
                <w:rFonts w:ascii="Arial Narrow" w:eastAsiaTheme="majorEastAsia" w:hAnsi="Arial Narrow" w:cstheme="majorBidi"/>
                <w:bCs/>
                <w:iCs/>
                <w:sz w:val="20"/>
              </w:rPr>
            </w:pPr>
          </w:p>
        </w:tc>
        <w:tc>
          <w:tcPr>
            <w:tcW w:w="1351" w:type="dxa"/>
            <w:tcBorders>
              <w:top w:val="nil"/>
              <w:bottom w:val="nil"/>
            </w:tcBorders>
          </w:tcPr>
          <w:p w14:paraId="6BAD6869" w14:textId="77777777" w:rsidR="007F770C" w:rsidRPr="00EA7B11" w:rsidRDefault="007F770C" w:rsidP="007F770C">
            <w:pPr>
              <w:keepNext/>
              <w:keepLines/>
              <w:jc w:val="center"/>
              <w:rPr>
                <w:rFonts w:ascii="Arial Narrow" w:eastAsiaTheme="majorEastAsia" w:hAnsi="Arial Narrow" w:cstheme="majorBidi"/>
                <w:bCs/>
                <w:iCs/>
                <w:sz w:val="20"/>
                <w:highlight w:val="lightGray"/>
              </w:rPr>
            </w:pPr>
          </w:p>
        </w:tc>
        <w:tc>
          <w:tcPr>
            <w:tcW w:w="867" w:type="dxa"/>
            <w:tcBorders>
              <w:top w:val="nil"/>
              <w:bottom w:val="nil"/>
            </w:tcBorders>
          </w:tcPr>
          <w:p w14:paraId="768B6F10" w14:textId="77777777" w:rsidR="007F770C" w:rsidRPr="00603AFC" w:rsidRDefault="007F770C" w:rsidP="007F770C">
            <w:pPr>
              <w:keepNext/>
              <w:keepLines/>
              <w:jc w:val="center"/>
              <w:rPr>
                <w:rFonts w:ascii="Arial Narrow" w:eastAsiaTheme="majorEastAsia" w:hAnsi="Arial Narrow" w:cstheme="majorBidi"/>
                <w:bCs/>
                <w:iCs/>
                <w:sz w:val="20"/>
              </w:rPr>
            </w:pPr>
          </w:p>
        </w:tc>
      </w:tr>
      <w:tr w:rsidR="007F770C" w:rsidRPr="000D2C16" w14:paraId="0CD0AC9C" w14:textId="77777777" w:rsidTr="00164331">
        <w:trPr>
          <w:trHeight w:val="199"/>
        </w:trPr>
        <w:tc>
          <w:tcPr>
            <w:tcW w:w="4531" w:type="dxa"/>
            <w:tcBorders>
              <w:top w:val="nil"/>
              <w:bottom w:val="single" w:sz="4" w:space="0" w:color="auto"/>
            </w:tcBorders>
          </w:tcPr>
          <w:p w14:paraId="0F6192C1" w14:textId="2DEF3C70" w:rsidR="007F770C" w:rsidRPr="00603AFC" w:rsidRDefault="007F770C" w:rsidP="007F770C">
            <w:pPr>
              <w:keepNext/>
              <w:keepLines/>
              <w:numPr>
                <w:ilvl w:val="0"/>
                <w:numId w:val="5"/>
              </w:numPr>
              <w:ind w:left="84" w:hanging="84"/>
              <w:jc w:val="left"/>
              <w:rPr>
                <w:rFonts w:ascii="Arial Narrow" w:eastAsiaTheme="majorEastAsia" w:hAnsi="Arial Narrow" w:cstheme="majorBidi"/>
                <w:bCs/>
                <w:iCs/>
                <w:sz w:val="20"/>
              </w:rPr>
            </w:pPr>
            <w:r w:rsidRPr="007F770C">
              <w:rPr>
                <w:rFonts w:ascii="Arial Narrow" w:eastAsiaTheme="majorEastAsia" w:hAnsi="Arial Narrow" w:cstheme="majorBidi"/>
                <w:bCs/>
                <w:iCs/>
                <w:sz w:val="20"/>
              </w:rPr>
              <w:t>AMS coefficient 0</w:t>
            </w:r>
          </w:p>
        </w:tc>
        <w:tc>
          <w:tcPr>
            <w:tcW w:w="1134" w:type="dxa"/>
            <w:tcBorders>
              <w:top w:val="nil"/>
              <w:bottom w:val="single" w:sz="4" w:space="0" w:color="auto"/>
            </w:tcBorders>
            <w:shd w:val="solid" w:color="000000" w:fill="000000"/>
          </w:tcPr>
          <w:p w14:paraId="2D47A984" w14:textId="0F4841F1" w:rsidR="007F770C" w:rsidRPr="00EA7B11" w:rsidRDefault="00164331" w:rsidP="007F770C">
            <w:pPr>
              <w:keepNext/>
              <w:keepLines/>
              <w:jc w:val="center"/>
              <w:rPr>
                <w:rFonts w:ascii="Arial Narrow" w:eastAsiaTheme="majorEastAsia" w:hAnsi="Arial Narrow" w:cstheme="majorBidi"/>
                <w:bCs/>
                <w:iCs/>
                <w:sz w:val="20"/>
                <w:highlight w:val="lightGray"/>
              </w:rPr>
            </w:pPr>
            <w:r w:rsidRPr="00164331">
              <w:rPr>
                <w:rFonts w:ascii="Arial Narrow" w:eastAsiaTheme="majorEastAsia" w:hAnsi="Arial Narrow" w:cstheme="majorBidi" w:hint="eastAsia"/>
                <w:bCs/>
                <w:iCs/>
                <w:color w:val="000000"/>
                <w:w w:val="15"/>
                <w:sz w:val="20"/>
                <w:fitText w:val="38" w:id="-1436282873"/>
                <w14:textFill>
                  <w14:solidFill>
                    <w14:srgbClr w14:val="000000">
                      <w14:alpha w14:val="100000"/>
                    </w14:srgbClr>
                  </w14:solidFill>
                </w14:textFill>
              </w:rPr>
              <w:t xml:space="preserve">　</w:t>
            </w:r>
            <w:r w:rsidRPr="00164331">
              <w:rPr>
                <w:rFonts w:ascii="Arial Narrow" w:eastAsiaTheme="majorEastAsia" w:hAnsi="Arial Narrow" w:cstheme="majorBidi"/>
                <w:bCs/>
                <w:iCs/>
                <w:color w:val="000000"/>
                <w:w w:val="15"/>
                <w:sz w:val="20"/>
                <w:fitText w:val="38" w:id="-1436282873"/>
                <w14:textFill>
                  <w14:solidFill>
                    <w14:srgbClr w14:val="000000">
                      <w14:alpha w14:val="100000"/>
                    </w14:srgbClr>
                  </w14:solidFill>
                </w14:textFill>
              </w:rPr>
              <w:t>|</w:t>
            </w:r>
            <w:r w:rsidRPr="00164331">
              <w:rPr>
                <w:rFonts w:ascii="Arial Narrow" w:eastAsiaTheme="majorEastAsia" w:hAnsi="Arial Narrow" w:cstheme="majorBidi" w:hint="eastAsia"/>
                <w:bCs/>
                <w:iCs/>
                <w:color w:val="000000"/>
                <w:spacing w:val="-27"/>
                <w:w w:val="15"/>
                <w:sz w:val="20"/>
                <w:fitText w:val="38" w:id="-1436282873"/>
                <w14:textFill>
                  <w14:solidFill>
                    <w14:srgbClr w14:val="000000">
                      <w14:alpha w14:val="100000"/>
                    </w14:srgbClr>
                  </w14:solidFill>
                </w14:textFill>
              </w:rPr>
              <w:t xml:space="preserve">　</w:t>
            </w:r>
          </w:p>
        </w:tc>
        <w:tc>
          <w:tcPr>
            <w:tcW w:w="1134" w:type="dxa"/>
            <w:tcBorders>
              <w:top w:val="nil"/>
              <w:bottom w:val="single" w:sz="4" w:space="0" w:color="auto"/>
            </w:tcBorders>
          </w:tcPr>
          <w:p w14:paraId="313EF7A8" w14:textId="4E6698DC" w:rsidR="007F770C" w:rsidRPr="00603AFC" w:rsidRDefault="007F770C" w:rsidP="007F770C">
            <w:pPr>
              <w:keepNext/>
              <w:keepLines/>
              <w:jc w:val="center"/>
              <w:rPr>
                <w:rFonts w:ascii="Arial Narrow" w:eastAsiaTheme="majorEastAsia" w:hAnsi="Arial Narrow" w:cstheme="majorBidi"/>
                <w:bCs/>
                <w:iCs/>
                <w:sz w:val="20"/>
              </w:rPr>
            </w:pPr>
            <w:r w:rsidRPr="007F770C">
              <w:rPr>
                <w:rFonts w:ascii="Arial Narrow" w:eastAsiaTheme="majorEastAsia" w:hAnsi="Arial Narrow" w:cstheme="majorBidi"/>
                <w:bCs/>
                <w:iCs/>
                <w:sz w:val="20"/>
              </w:rPr>
              <w:t>0.505</w:t>
            </w:r>
          </w:p>
        </w:tc>
        <w:tc>
          <w:tcPr>
            <w:tcW w:w="1351" w:type="dxa"/>
            <w:tcBorders>
              <w:top w:val="nil"/>
              <w:bottom w:val="single" w:sz="4" w:space="0" w:color="auto"/>
            </w:tcBorders>
          </w:tcPr>
          <w:p w14:paraId="57AFC58A" w14:textId="408F11F7" w:rsidR="007F770C" w:rsidRPr="00EA7B11" w:rsidRDefault="00164331" w:rsidP="007F770C">
            <w:pPr>
              <w:keepNext/>
              <w:keepLines/>
              <w:jc w:val="center"/>
              <w:rPr>
                <w:rFonts w:ascii="Arial Narrow" w:eastAsiaTheme="majorEastAsia" w:hAnsi="Arial Narrow" w:cstheme="majorBidi"/>
                <w:bCs/>
                <w:iCs/>
                <w:sz w:val="20"/>
                <w:highlight w:val="lightGray"/>
              </w:rPr>
            </w:pPr>
            <w:r w:rsidRPr="00164331">
              <w:rPr>
                <w:rFonts w:ascii="Arial Narrow" w:eastAsiaTheme="majorEastAsia" w:hAnsi="Arial Narrow" w:cstheme="majorBidi"/>
                <w:bCs/>
                <w:iCs/>
                <w:color w:val="000000"/>
                <w:sz w:val="20"/>
                <w:shd w:val="solid" w:color="000000" w:fill="000000"/>
                <w14:textFill>
                  <w14:solidFill>
                    <w14:srgbClr w14:val="000000">
                      <w14:alpha w14:val="100000"/>
                    </w14:srgbClr>
                  </w14:solidFill>
                </w14:textFill>
              </w:rPr>
              <w:t>|</w:t>
            </w:r>
            <w:r w:rsidR="00F43344" w:rsidRPr="00F43344">
              <w:rPr>
                <w:rFonts w:ascii="Arial Narrow" w:eastAsiaTheme="majorEastAsia" w:hAnsi="Arial Narrow" w:cstheme="majorBidi"/>
                <w:bCs/>
                <w:sz w:val="20"/>
                <w:vertAlign w:val="superscript"/>
              </w:rPr>
              <w:t>8</w:t>
            </w:r>
          </w:p>
        </w:tc>
        <w:tc>
          <w:tcPr>
            <w:tcW w:w="867" w:type="dxa"/>
            <w:tcBorders>
              <w:top w:val="nil"/>
              <w:bottom w:val="single" w:sz="4" w:space="0" w:color="auto"/>
            </w:tcBorders>
          </w:tcPr>
          <w:p w14:paraId="0D3A335A" w14:textId="7E607B13" w:rsidR="007F770C" w:rsidRPr="00603AFC" w:rsidRDefault="007F770C" w:rsidP="007F770C">
            <w:pPr>
              <w:keepNext/>
              <w:keepLines/>
              <w:jc w:val="center"/>
              <w:rPr>
                <w:rFonts w:ascii="Arial Narrow" w:eastAsiaTheme="majorEastAsia" w:hAnsi="Arial Narrow" w:cstheme="majorBidi"/>
                <w:bCs/>
                <w:iCs/>
                <w:sz w:val="20"/>
              </w:rPr>
            </w:pPr>
            <w:r w:rsidRPr="007F770C">
              <w:rPr>
                <w:rFonts w:ascii="Arial Narrow" w:eastAsiaTheme="majorEastAsia" w:hAnsi="Arial Narrow" w:cstheme="majorBidi"/>
                <w:bCs/>
                <w:iCs/>
                <w:sz w:val="20"/>
              </w:rPr>
              <w:t>7.4%</w:t>
            </w:r>
          </w:p>
        </w:tc>
      </w:tr>
      <w:tr w:rsidR="000D2C16" w:rsidRPr="000D2C16" w14:paraId="3D2C0076" w14:textId="77777777" w:rsidTr="00164331">
        <w:trPr>
          <w:trHeight w:val="199"/>
        </w:trPr>
        <w:tc>
          <w:tcPr>
            <w:tcW w:w="4531" w:type="dxa"/>
            <w:tcBorders>
              <w:top w:val="single" w:sz="4" w:space="0" w:color="auto"/>
              <w:bottom w:val="nil"/>
            </w:tcBorders>
          </w:tcPr>
          <w:p w14:paraId="53544A8B" w14:textId="77777777" w:rsidR="000D2C16" w:rsidRPr="00603AFC" w:rsidRDefault="000D2C16" w:rsidP="00B86F70">
            <w:pPr>
              <w:keepNext/>
              <w:keepLines/>
              <w:jc w:val="left"/>
              <w:rPr>
                <w:rFonts w:ascii="Arial Narrow" w:eastAsiaTheme="majorEastAsia" w:hAnsi="Arial Narrow" w:cstheme="majorBidi"/>
                <w:bCs/>
                <w:iCs/>
                <w:sz w:val="20"/>
              </w:rPr>
            </w:pPr>
            <w:r w:rsidRPr="00603AFC">
              <w:rPr>
                <w:rFonts w:ascii="Arial Narrow" w:eastAsiaTheme="majorEastAsia" w:hAnsi="Arial Narrow" w:cstheme="majorBidi"/>
                <w:bCs/>
                <w:iCs/>
                <w:sz w:val="20"/>
              </w:rPr>
              <w:t>Multivariate analyses</w:t>
            </w:r>
          </w:p>
        </w:tc>
        <w:tc>
          <w:tcPr>
            <w:tcW w:w="1134" w:type="dxa"/>
            <w:tcBorders>
              <w:top w:val="single" w:sz="4" w:space="0" w:color="auto"/>
              <w:bottom w:val="nil"/>
            </w:tcBorders>
          </w:tcPr>
          <w:p w14:paraId="63BC9A99" w14:textId="77777777" w:rsidR="000D2C16" w:rsidRPr="00EA7B11" w:rsidRDefault="000D2C16" w:rsidP="00B86F70">
            <w:pPr>
              <w:keepNext/>
              <w:keepLines/>
              <w:jc w:val="center"/>
              <w:rPr>
                <w:rFonts w:ascii="Arial Narrow" w:eastAsiaTheme="majorEastAsia" w:hAnsi="Arial Narrow" w:cstheme="majorBidi"/>
                <w:bCs/>
                <w:iCs/>
                <w:sz w:val="20"/>
                <w:highlight w:val="lightGray"/>
              </w:rPr>
            </w:pPr>
          </w:p>
        </w:tc>
        <w:tc>
          <w:tcPr>
            <w:tcW w:w="1134" w:type="dxa"/>
            <w:tcBorders>
              <w:top w:val="single" w:sz="4" w:space="0" w:color="auto"/>
              <w:bottom w:val="nil"/>
            </w:tcBorders>
          </w:tcPr>
          <w:p w14:paraId="5583D332" w14:textId="77777777" w:rsidR="000D2C16" w:rsidRPr="00603AFC" w:rsidRDefault="000D2C16" w:rsidP="00B86F70">
            <w:pPr>
              <w:keepNext/>
              <w:keepLines/>
              <w:jc w:val="center"/>
              <w:rPr>
                <w:rFonts w:ascii="Arial Narrow" w:eastAsiaTheme="majorEastAsia" w:hAnsi="Arial Narrow" w:cstheme="majorBidi"/>
                <w:bCs/>
                <w:iCs/>
                <w:sz w:val="20"/>
              </w:rPr>
            </w:pPr>
          </w:p>
        </w:tc>
        <w:tc>
          <w:tcPr>
            <w:tcW w:w="1351" w:type="dxa"/>
            <w:tcBorders>
              <w:top w:val="single" w:sz="4" w:space="0" w:color="auto"/>
              <w:bottom w:val="nil"/>
            </w:tcBorders>
          </w:tcPr>
          <w:p w14:paraId="3D4A096B" w14:textId="77777777" w:rsidR="000D2C16" w:rsidRPr="00EA7B11" w:rsidRDefault="000D2C16" w:rsidP="00B86F70">
            <w:pPr>
              <w:keepNext/>
              <w:keepLines/>
              <w:jc w:val="center"/>
              <w:rPr>
                <w:rFonts w:ascii="Arial Narrow" w:eastAsiaTheme="majorEastAsia" w:hAnsi="Arial Narrow" w:cstheme="majorBidi"/>
                <w:bCs/>
                <w:iCs/>
                <w:sz w:val="20"/>
                <w:highlight w:val="lightGray"/>
              </w:rPr>
            </w:pPr>
          </w:p>
        </w:tc>
        <w:tc>
          <w:tcPr>
            <w:tcW w:w="867" w:type="dxa"/>
            <w:tcBorders>
              <w:top w:val="single" w:sz="4" w:space="0" w:color="auto"/>
              <w:bottom w:val="nil"/>
            </w:tcBorders>
          </w:tcPr>
          <w:p w14:paraId="5C58290F" w14:textId="77777777" w:rsidR="000D2C16" w:rsidRPr="00603AFC" w:rsidRDefault="000D2C16" w:rsidP="00B86F70">
            <w:pPr>
              <w:keepNext/>
              <w:keepLines/>
              <w:jc w:val="center"/>
              <w:rPr>
                <w:rFonts w:ascii="Arial Narrow" w:eastAsiaTheme="majorEastAsia" w:hAnsi="Arial Narrow" w:cstheme="majorBidi"/>
                <w:bCs/>
                <w:iCs/>
                <w:sz w:val="20"/>
              </w:rPr>
            </w:pPr>
          </w:p>
        </w:tc>
      </w:tr>
      <w:tr w:rsidR="000D2C16" w:rsidRPr="000D2C16" w14:paraId="6B3E8E2A" w14:textId="77777777" w:rsidTr="00164331">
        <w:trPr>
          <w:trHeight w:val="199"/>
        </w:trPr>
        <w:tc>
          <w:tcPr>
            <w:tcW w:w="4531" w:type="dxa"/>
            <w:tcBorders>
              <w:top w:val="nil"/>
              <w:bottom w:val="nil"/>
            </w:tcBorders>
          </w:tcPr>
          <w:p w14:paraId="5C1A8ACE" w14:textId="77777777" w:rsidR="000D2C16" w:rsidRPr="00603AFC" w:rsidRDefault="000D2C16" w:rsidP="00B86F70">
            <w:pPr>
              <w:keepNext/>
              <w:keepLines/>
              <w:numPr>
                <w:ilvl w:val="0"/>
                <w:numId w:val="5"/>
              </w:numPr>
              <w:ind w:left="84" w:hanging="84"/>
              <w:jc w:val="left"/>
              <w:rPr>
                <w:rFonts w:ascii="Arial Narrow" w:eastAsiaTheme="majorEastAsia" w:hAnsi="Arial Narrow" w:cstheme="majorBidi"/>
                <w:bCs/>
                <w:iCs/>
                <w:sz w:val="20"/>
              </w:rPr>
            </w:pPr>
            <w:r w:rsidRPr="00603AFC">
              <w:rPr>
                <w:rFonts w:ascii="Arial Narrow" w:eastAsiaTheme="majorEastAsia" w:hAnsi="Arial Narrow" w:cstheme="majorBidi"/>
                <w:bCs/>
                <w:iCs/>
                <w:sz w:val="20"/>
              </w:rPr>
              <w:t xml:space="preserve">M1: SLEDAI-2K </w:t>
            </w:r>
            <w:proofErr w:type="spellStart"/>
            <w:r w:rsidRPr="00603AFC">
              <w:rPr>
                <w:rFonts w:ascii="Arial Narrow" w:eastAsiaTheme="majorEastAsia" w:hAnsi="Arial Narrow" w:cstheme="majorBidi"/>
                <w:bCs/>
                <w:iCs/>
                <w:sz w:val="20"/>
              </w:rPr>
              <w:t>coeff</w:t>
            </w:r>
            <w:proofErr w:type="spellEnd"/>
            <w:r w:rsidRPr="00603AFC">
              <w:rPr>
                <w:rFonts w:ascii="Arial Narrow" w:eastAsiaTheme="majorEastAsia" w:hAnsi="Arial Narrow" w:cstheme="majorBidi"/>
                <w:bCs/>
                <w:iCs/>
                <w:sz w:val="20"/>
              </w:rPr>
              <w:t>. 0 in mortality and utility regressions</w:t>
            </w:r>
          </w:p>
        </w:tc>
        <w:tc>
          <w:tcPr>
            <w:tcW w:w="1134" w:type="dxa"/>
            <w:tcBorders>
              <w:top w:val="nil"/>
              <w:bottom w:val="nil"/>
            </w:tcBorders>
            <w:shd w:val="solid" w:color="000000" w:fill="000000"/>
          </w:tcPr>
          <w:p w14:paraId="014BD5CF" w14:textId="05BA0CD3" w:rsidR="000D2C16" w:rsidRPr="00EA7B11" w:rsidRDefault="00164331" w:rsidP="00B86F70">
            <w:pPr>
              <w:keepNext/>
              <w:keepLines/>
              <w:jc w:val="center"/>
              <w:rPr>
                <w:rFonts w:ascii="Arial Narrow" w:eastAsiaTheme="majorEastAsia" w:hAnsi="Arial Narrow" w:cstheme="majorBidi"/>
                <w:bCs/>
                <w:iCs/>
                <w:sz w:val="20"/>
                <w:highlight w:val="lightGray"/>
              </w:rPr>
            </w:pPr>
            <w:r w:rsidRPr="00164331">
              <w:rPr>
                <w:rFonts w:ascii="Arial Narrow" w:eastAsiaTheme="majorEastAsia" w:hAnsi="Arial Narrow" w:cstheme="majorBidi" w:hint="eastAsia"/>
                <w:bCs/>
                <w:iCs/>
                <w:color w:val="000000"/>
                <w:w w:val="15"/>
                <w:sz w:val="20"/>
                <w:fitText w:val="38" w:id="-1436282872"/>
                <w14:textFill>
                  <w14:solidFill>
                    <w14:srgbClr w14:val="000000">
                      <w14:alpha w14:val="100000"/>
                    </w14:srgbClr>
                  </w14:solidFill>
                </w14:textFill>
              </w:rPr>
              <w:t xml:space="preserve">　</w:t>
            </w:r>
            <w:r w:rsidRPr="00164331">
              <w:rPr>
                <w:rFonts w:ascii="Arial Narrow" w:eastAsiaTheme="majorEastAsia" w:hAnsi="Arial Narrow" w:cstheme="majorBidi"/>
                <w:bCs/>
                <w:iCs/>
                <w:color w:val="000000"/>
                <w:w w:val="15"/>
                <w:sz w:val="20"/>
                <w:fitText w:val="38" w:id="-1436282872"/>
                <w14:textFill>
                  <w14:solidFill>
                    <w14:srgbClr w14:val="000000">
                      <w14:alpha w14:val="100000"/>
                    </w14:srgbClr>
                  </w14:solidFill>
                </w14:textFill>
              </w:rPr>
              <w:t>|</w:t>
            </w:r>
            <w:r w:rsidRPr="00164331">
              <w:rPr>
                <w:rFonts w:ascii="Arial Narrow" w:eastAsiaTheme="majorEastAsia" w:hAnsi="Arial Narrow" w:cstheme="majorBidi" w:hint="eastAsia"/>
                <w:bCs/>
                <w:iCs/>
                <w:color w:val="000000"/>
                <w:spacing w:val="-27"/>
                <w:w w:val="15"/>
                <w:sz w:val="20"/>
                <w:fitText w:val="38" w:id="-1436282872"/>
                <w14:textFill>
                  <w14:solidFill>
                    <w14:srgbClr w14:val="000000">
                      <w14:alpha w14:val="100000"/>
                    </w14:srgbClr>
                  </w14:solidFill>
                </w14:textFill>
              </w:rPr>
              <w:t xml:space="preserve">　</w:t>
            </w:r>
          </w:p>
        </w:tc>
        <w:tc>
          <w:tcPr>
            <w:tcW w:w="1134" w:type="dxa"/>
            <w:tcBorders>
              <w:top w:val="nil"/>
              <w:bottom w:val="nil"/>
            </w:tcBorders>
          </w:tcPr>
          <w:p w14:paraId="555618ED" w14:textId="77777777" w:rsidR="000D2C16" w:rsidRPr="00603AFC" w:rsidRDefault="000D2C16" w:rsidP="00B86F70">
            <w:pPr>
              <w:keepNext/>
              <w:keepLines/>
              <w:jc w:val="center"/>
              <w:rPr>
                <w:rFonts w:ascii="Arial Narrow" w:eastAsiaTheme="majorEastAsia" w:hAnsi="Arial Narrow" w:cstheme="majorBidi"/>
                <w:bCs/>
                <w:iCs/>
                <w:sz w:val="20"/>
              </w:rPr>
            </w:pPr>
            <w:r w:rsidRPr="00603AFC">
              <w:rPr>
                <w:rFonts w:ascii="Arial Narrow" w:eastAsiaTheme="majorEastAsia" w:hAnsi="Arial Narrow" w:cstheme="majorBidi"/>
                <w:bCs/>
                <w:iCs/>
                <w:sz w:val="20"/>
              </w:rPr>
              <w:t>0.289</w:t>
            </w:r>
          </w:p>
        </w:tc>
        <w:tc>
          <w:tcPr>
            <w:tcW w:w="1351" w:type="dxa"/>
            <w:tcBorders>
              <w:top w:val="nil"/>
              <w:bottom w:val="nil"/>
            </w:tcBorders>
          </w:tcPr>
          <w:p w14:paraId="630714D0" w14:textId="6F8EDF46" w:rsidR="000D2C16" w:rsidRPr="00EA7B11" w:rsidRDefault="00164331" w:rsidP="00B86F70">
            <w:pPr>
              <w:keepNext/>
              <w:keepLines/>
              <w:jc w:val="center"/>
              <w:rPr>
                <w:rFonts w:ascii="Arial Narrow" w:eastAsiaTheme="majorEastAsia" w:hAnsi="Arial Narrow" w:cstheme="majorBidi"/>
                <w:bCs/>
                <w:iCs/>
                <w:sz w:val="20"/>
                <w:highlight w:val="lightGray"/>
              </w:rPr>
            </w:pPr>
            <w:r w:rsidRPr="00164331">
              <w:rPr>
                <w:rFonts w:ascii="Arial Narrow" w:eastAsiaTheme="majorEastAsia" w:hAnsi="Arial Narrow" w:cstheme="majorBidi"/>
                <w:bCs/>
                <w:iCs/>
                <w:color w:val="000000"/>
                <w:sz w:val="20"/>
                <w:shd w:val="solid" w:color="000000" w:fill="000000"/>
                <w14:textFill>
                  <w14:solidFill>
                    <w14:srgbClr w14:val="000000">
                      <w14:alpha w14:val="100000"/>
                    </w14:srgbClr>
                  </w14:solidFill>
                </w14:textFill>
              </w:rPr>
              <w:t>|</w:t>
            </w:r>
            <w:r w:rsidR="00F43344" w:rsidRPr="00F43344">
              <w:rPr>
                <w:rFonts w:ascii="Arial Narrow" w:eastAsiaTheme="majorEastAsia" w:hAnsi="Arial Narrow" w:cstheme="majorBidi"/>
                <w:bCs/>
                <w:sz w:val="20"/>
                <w:vertAlign w:val="superscript"/>
              </w:rPr>
              <w:t>6</w:t>
            </w:r>
          </w:p>
        </w:tc>
        <w:tc>
          <w:tcPr>
            <w:tcW w:w="867" w:type="dxa"/>
            <w:tcBorders>
              <w:top w:val="nil"/>
              <w:bottom w:val="nil"/>
            </w:tcBorders>
          </w:tcPr>
          <w:p w14:paraId="21B65744" w14:textId="77777777" w:rsidR="000D2C16" w:rsidRPr="00603AFC" w:rsidRDefault="000D2C16" w:rsidP="00B86F70">
            <w:pPr>
              <w:keepNext/>
              <w:keepLines/>
              <w:jc w:val="center"/>
              <w:rPr>
                <w:rFonts w:ascii="Arial Narrow" w:eastAsiaTheme="majorEastAsia" w:hAnsi="Arial Narrow" w:cstheme="majorBidi"/>
                <w:bCs/>
                <w:iCs/>
                <w:sz w:val="20"/>
              </w:rPr>
            </w:pPr>
            <w:r w:rsidRPr="00603AFC">
              <w:rPr>
                <w:rFonts w:ascii="Arial Narrow" w:eastAsiaTheme="majorEastAsia" w:hAnsi="Arial Narrow" w:cstheme="majorBidi"/>
                <w:bCs/>
                <w:iCs/>
                <w:sz w:val="20"/>
              </w:rPr>
              <w:t>87.6%</w:t>
            </w:r>
          </w:p>
        </w:tc>
      </w:tr>
      <w:tr w:rsidR="000D2C16" w:rsidRPr="000D2C16" w14:paraId="5CA0A15E" w14:textId="77777777" w:rsidTr="00164331">
        <w:trPr>
          <w:trHeight w:val="199"/>
        </w:trPr>
        <w:tc>
          <w:tcPr>
            <w:tcW w:w="4531" w:type="dxa"/>
            <w:tcBorders>
              <w:top w:val="nil"/>
            </w:tcBorders>
          </w:tcPr>
          <w:p w14:paraId="59E0BF84" w14:textId="77777777" w:rsidR="000D2C16" w:rsidRPr="00603AFC" w:rsidRDefault="000D2C16" w:rsidP="00B86F70">
            <w:pPr>
              <w:keepNext/>
              <w:keepLines/>
              <w:numPr>
                <w:ilvl w:val="0"/>
                <w:numId w:val="5"/>
              </w:numPr>
              <w:ind w:left="84" w:hanging="84"/>
              <w:jc w:val="left"/>
              <w:rPr>
                <w:rFonts w:ascii="Arial Narrow" w:eastAsiaTheme="majorEastAsia" w:hAnsi="Arial Narrow" w:cstheme="majorBidi"/>
                <w:bCs/>
                <w:iCs/>
                <w:sz w:val="20"/>
              </w:rPr>
            </w:pPr>
            <w:r w:rsidRPr="00603AFC">
              <w:rPr>
                <w:rFonts w:ascii="Arial Narrow" w:eastAsiaTheme="majorEastAsia" w:hAnsi="Arial Narrow" w:cstheme="majorBidi"/>
                <w:bCs/>
                <w:iCs/>
                <w:sz w:val="20"/>
              </w:rPr>
              <w:t xml:space="preserve">M2: M1 + SLEDAI-2K </w:t>
            </w:r>
            <w:proofErr w:type="spellStart"/>
            <w:r w:rsidRPr="00603AFC">
              <w:rPr>
                <w:rFonts w:ascii="Arial Narrow" w:eastAsiaTheme="majorEastAsia" w:hAnsi="Arial Narrow" w:cstheme="majorBidi"/>
                <w:bCs/>
                <w:iCs/>
                <w:sz w:val="20"/>
              </w:rPr>
              <w:t>coeff</w:t>
            </w:r>
            <w:proofErr w:type="spellEnd"/>
            <w:r w:rsidRPr="00603AFC">
              <w:rPr>
                <w:rFonts w:ascii="Arial Narrow" w:eastAsiaTheme="majorEastAsia" w:hAnsi="Arial Narrow" w:cstheme="majorBidi"/>
                <w:bCs/>
                <w:iCs/>
                <w:sz w:val="20"/>
              </w:rPr>
              <w:t>. 0 in no. of hospital visits regression</w:t>
            </w:r>
          </w:p>
        </w:tc>
        <w:tc>
          <w:tcPr>
            <w:tcW w:w="1134" w:type="dxa"/>
            <w:tcBorders>
              <w:top w:val="nil"/>
            </w:tcBorders>
            <w:shd w:val="solid" w:color="000000" w:fill="000000"/>
          </w:tcPr>
          <w:p w14:paraId="1E201847" w14:textId="396B9170" w:rsidR="000D2C16" w:rsidRPr="00EA7B11" w:rsidRDefault="00164331" w:rsidP="00B86F70">
            <w:pPr>
              <w:keepNext/>
              <w:keepLines/>
              <w:jc w:val="center"/>
              <w:rPr>
                <w:rFonts w:ascii="Arial Narrow" w:eastAsiaTheme="majorEastAsia" w:hAnsi="Arial Narrow" w:cstheme="majorBidi"/>
                <w:bCs/>
                <w:iCs/>
                <w:sz w:val="20"/>
                <w:highlight w:val="lightGray"/>
              </w:rPr>
            </w:pPr>
            <w:r w:rsidRPr="00164331">
              <w:rPr>
                <w:rFonts w:ascii="Arial Narrow" w:eastAsiaTheme="majorEastAsia" w:hAnsi="Arial Narrow" w:cstheme="majorBidi" w:hint="eastAsia"/>
                <w:bCs/>
                <w:iCs/>
                <w:color w:val="000000"/>
                <w:w w:val="15"/>
                <w:sz w:val="20"/>
                <w:fitText w:val="38" w:id="-1436282871"/>
                <w14:textFill>
                  <w14:solidFill>
                    <w14:srgbClr w14:val="000000">
                      <w14:alpha w14:val="100000"/>
                    </w14:srgbClr>
                  </w14:solidFill>
                </w14:textFill>
              </w:rPr>
              <w:t xml:space="preserve">　</w:t>
            </w:r>
            <w:r w:rsidRPr="00164331">
              <w:rPr>
                <w:rFonts w:ascii="Arial Narrow" w:eastAsiaTheme="majorEastAsia" w:hAnsi="Arial Narrow" w:cstheme="majorBidi"/>
                <w:bCs/>
                <w:iCs/>
                <w:color w:val="000000"/>
                <w:w w:val="15"/>
                <w:sz w:val="20"/>
                <w:fitText w:val="38" w:id="-1436282871"/>
                <w14:textFill>
                  <w14:solidFill>
                    <w14:srgbClr w14:val="000000">
                      <w14:alpha w14:val="100000"/>
                    </w14:srgbClr>
                  </w14:solidFill>
                </w14:textFill>
              </w:rPr>
              <w:t>|</w:t>
            </w:r>
            <w:r w:rsidRPr="00164331">
              <w:rPr>
                <w:rFonts w:ascii="Arial Narrow" w:eastAsiaTheme="majorEastAsia" w:hAnsi="Arial Narrow" w:cstheme="majorBidi" w:hint="eastAsia"/>
                <w:bCs/>
                <w:iCs/>
                <w:color w:val="000000"/>
                <w:spacing w:val="-27"/>
                <w:w w:val="15"/>
                <w:sz w:val="20"/>
                <w:fitText w:val="38" w:id="-1436282871"/>
                <w14:textFill>
                  <w14:solidFill>
                    <w14:srgbClr w14:val="000000">
                      <w14:alpha w14:val="100000"/>
                    </w14:srgbClr>
                  </w14:solidFill>
                </w14:textFill>
              </w:rPr>
              <w:t xml:space="preserve">　</w:t>
            </w:r>
          </w:p>
        </w:tc>
        <w:tc>
          <w:tcPr>
            <w:tcW w:w="1134" w:type="dxa"/>
            <w:tcBorders>
              <w:top w:val="nil"/>
            </w:tcBorders>
          </w:tcPr>
          <w:p w14:paraId="50500FCB" w14:textId="77777777" w:rsidR="000D2C16" w:rsidRPr="00603AFC" w:rsidRDefault="000D2C16" w:rsidP="00B86F70">
            <w:pPr>
              <w:keepNext/>
              <w:keepLines/>
              <w:jc w:val="center"/>
              <w:rPr>
                <w:rFonts w:ascii="Arial Narrow" w:eastAsiaTheme="majorEastAsia" w:hAnsi="Arial Narrow" w:cstheme="majorBidi"/>
                <w:bCs/>
                <w:iCs/>
                <w:sz w:val="20"/>
              </w:rPr>
            </w:pPr>
            <w:r w:rsidRPr="00603AFC">
              <w:rPr>
                <w:rFonts w:ascii="Arial Narrow" w:eastAsiaTheme="majorEastAsia" w:hAnsi="Arial Narrow" w:cstheme="majorBidi"/>
                <w:bCs/>
                <w:iCs/>
                <w:sz w:val="20"/>
              </w:rPr>
              <w:t>0.289</w:t>
            </w:r>
          </w:p>
        </w:tc>
        <w:tc>
          <w:tcPr>
            <w:tcW w:w="1351" w:type="dxa"/>
            <w:tcBorders>
              <w:top w:val="nil"/>
            </w:tcBorders>
          </w:tcPr>
          <w:p w14:paraId="2A7ABAD6" w14:textId="19141C28" w:rsidR="000D2C16" w:rsidRPr="00EA7B11" w:rsidRDefault="00164331" w:rsidP="00B86F70">
            <w:pPr>
              <w:keepNext/>
              <w:keepLines/>
              <w:jc w:val="center"/>
              <w:rPr>
                <w:rFonts w:ascii="Arial Narrow" w:eastAsiaTheme="majorEastAsia" w:hAnsi="Arial Narrow" w:cstheme="majorBidi"/>
                <w:bCs/>
                <w:iCs/>
                <w:sz w:val="20"/>
                <w:highlight w:val="lightGray"/>
              </w:rPr>
            </w:pPr>
            <w:r w:rsidRPr="00164331">
              <w:rPr>
                <w:rFonts w:ascii="Arial Narrow" w:eastAsiaTheme="majorEastAsia" w:hAnsi="Arial Narrow" w:cstheme="majorBidi"/>
                <w:bCs/>
                <w:iCs/>
                <w:color w:val="000000"/>
                <w:sz w:val="20"/>
                <w:shd w:val="solid" w:color="000000" w:fill="000000"/>
                <w14:textFill>
                  <w14:solidFill>
                    <w14:srgbClr w14:val="000000">
                      <w14:alpha w14:val="100000"/>
                    </w14:srgbClr>
                  </w14:solidFill>
                </w14:textFill>
              </w:rPr>
              <w:t>|</w:t>
            </w:r>
            <w:r w:rsidR="00F43344" w:rsidRPr="00F43344">
              <w:rPr>
                <w:rFonts w:ascii="Arial Narrow" w:eastAsiaTheme="majorEastAsia" w:hAnsi="Arial Narrow" w:cstheme="majorBidi"/>
                <w:bCs/>
                <w:sz w:val="20"/>
                <w:vertAlign w:val="superscript"/>
              </w:rPr>
              <w:t>9</w:t>
            </w:r>
          </w:p>
        </w:tc>
        <w:tc>
          <w:tcPr>
            <w:tcW w:w="867" w:type="dxa"/>
            <w:tcBorders>
              <w:top w:val="nil"/>
            </w:tcBorders>
          </w:tcPr>
          <w:p w14:paraId="415E6049" w14:textId="77777777" w:rsidR="000D2C16" w:rsidRPr="00603AFC" w:rsidRDefault="000D2C16" w:rsidP="00B86F70">
            <w:pPr>
              <w:keepNext/>
              <w:keepLines/>
              <w:jc w:val="center"/>
              <w:rPr>
                <w:rFonts w:ascii="Arial Narrow" w:eastAsiaTheme="majorEastAsia" w:hAnsi="Arial Narrow" w:cstheme="majorBidi"/>
                <w:bCs/>
                <w:iCs/>
                <w:sz w:val="20"/>
              </w:rPr>
            </w:pPr>
            <w:r w:rsidRPr="00603AFC">
              <w:rPr>
                <w:rFonts w:ascii="Arial Narrow" w:eastAsiaTheme="majorEastAsia" w:hAnsi="Arial Narrow" w:cstheme="majorBidi"/>
                <w:bCs/>
                <w:iCs/>
                <w:sz w:val="20"/>
              </w:rPr>
              <w:t>157.6%</w:t>
            </w:r>
          </w:p>
        </w:tc>
      </w:tr>
    </w:tbl>
    <w:p w14:paraId="195B6C9E" w14:textId="4FC7693F" w:rsidR="000D2C16" w:rsidRPr="000D2C16" w:rsidRDefault="000D2C16" w:rsidP="00B86F70">
      <w:pPr>
        <w:keepNext/>
        <w:keepLines/>
        <w:spacing w:after="120"/>
        <w:contextualSpacing/>
        <w:rPr>
          <w:rFonts w:ascii="Arial Narrow" w:hAnsi="Arial Narrow"/>
          <w:i/>
          <w:snapToGrid w:val="0"/>
          <w:sz w:val="18"/>
          <w:szCs w:val="22"/>
        </w:rPr>
      </w:pPr>
      <w:r w:rsidRPr="000D2C16">
        <w:rPr>
          <w:rFonts w:ascii="Arial Narrow" w:hAnsi="Arial Narrow"/>
          <w:snapToGrid w:val="0"/>
          <w:sz w:val="18"/>
          <w:szCs w:val="22"/>
        </w:rPr>
        <w:t xml:space="preserve">Source: Table 3.9-1 of the submission and </w:t>
      </w:r>
      <w:r w:rsidRPr="008545F3">
        <w:rPr>
          <w:rFonts w:ascii="Arial Narrow" w:hAnsi="Arial Narrow"/>
          <w:iCs/>
          <w:snapToGrid w:val="0"/>
          <w:sz w:val="18"/>
          <w:szCs w:val="22"/>
        </w:rPr>
        <w:t>compiled during the evaluation</w:t>
      </w:r>
      <w:r w:rsidR="008545F3">
        <w:rPr>
          <w:rFonts w:ascii="Arial Narrow" w:hAnsi="Arial Narrow"/>
          <w:iCs/>
          <w:snapToGrid w:val="0"/>
          <w:sz w:val="18"/>
          <w:szCs w:val="22"/>
        </w:rPr>
        <w:t>.</w:t>
      </w:r>
    </w:p>
    <w:p w14:paraId="6362983A" w14:textId="4BCE2F63" w:rsidR="000D2C16" w:rsidRDefault="000D2C16" w:rsidP="00B86F70">
      <w:pPr>
        <w:keepNext/>
        <w:keepLines/>
        <w:spacing w:after="120"/>
        <w:contextualSpacing/>
        <w:rPr>
          <w:rFonts w:ascii="Arial Narrow" w:hAnsi="Arial Narrow"/>
          <w:snapToGrid w:val="0"/>
          <w:sz w:val="18"/>
          <w:szCs w:val="22"/>
        </w:rPr>
      </w:pPr>
      <w:r w:rsidRPr="000D2C16">
        <w:rPr>
          <w:rFonts w:ascii="Arial Narrow" w:hAnsi="Arial Narrow"/>
          <w:snapToGrid w:val="0"/>
          <w:sz w:val="18"/>
          <w:szCs w:val="22"/>
        </w:rPr>
        <w:t>AMS = adjusted mean SLEDAI; OCS = oral corticosteroids; HR = hazard ratio; CI = confidence interval; NR =</w:t>
      </w:r>
      <w:r w:rsidR="00BF5386">
        <w:rPr>
          <w:rFonts w:ascii="Arial Narrow" w:hAnsi="Arial Narrow"/>
          <w:snapToGrid w:val="0"/>
          <w:sz w:val="18"/>
          <w:szCs w:val="22"/>
        </w:rPr>
        <w:t xml:space="preserve"> this value was</w:t>
      </w:r>
      <w:r w:rsidRPr="000D2C16">
        <w:rPr>
          <w:rFonts w:ascii="Arial Narrow" w:hAnsi="Arial Narrow"/>
          <w:snapToGrid w:val="0"/>
          <w:sz w:val="18"/>
          <w:szCs w:val="22"/>
        </w:rPr>
        <w:t xml:space="preserve"> not reported</w:t>
      </w:r>
      <w:r w:rsidR="00BF5386">
        <w:rPr>
          <w:rFonts w:ascii="Arial Narrow" w:hAnsi="Arial Narrow"/>
          <w:snapToGrid w:val="0"/>
          <w:sz w:val="18"/>
          <w:szCs w:val="22"/>
        </w:rPr>
        <w:t xml:space="preserve"> in the submission</w:t>
      </w:r>
      <w:r w:rsidRPr="000D2C16">
        <w:rPr>
          <w:rFonts w:ascii="Arial Narrow" w:hAnsi="Arial Narrow"/>
          <w:snapToGrid w:val="0"/>
          <w:sz w:val="18"/>
          <w:szCs w:val="22"/>
        </w:rPr>
        <w:t xml:space="preserve">; LOS = length of stay; </w:t>
      </w:r>
      <w:proofErr w:type="spellStart"/>
      <w:r w:rsidRPr="000D2C16">
        <w:rPr>
          <w:rFonts w:ascii="Arial Narrow" w:hAnsi="Arial Narrow"/>
          <w:snapToGrid w:val="0"/>
          <w:sz w:val="18"/>
          <w:szCs w:val="22"/>
        </w:rPr>
        <w:t>yr</w:t>
      </w:r>
      <w:proofErr w:type="spellEnd"/>
      <w:r w:rsidRPr="000D2C16">
        <w:rPr>
          <w:rFonts w:ascii="Arial Narrow" w:hAnsi="Arial Narrow"/>
          <w:snapToGrid w:val="0"/>
          <w:sz w:val="18"/>
          <w:szCs w:val="22"/>
        </w:rPr>
        <w:t xml:space="preserve"> = year; SOC = standard of care; QALY = quality adjusted life year; ICER = incremental cost-effectiveness ratio; SDI = SLICC damage index</w:t>
      </w:r>
    </w:p>
    <w:p w14:paraId="3FFCCF9E" w14:textId="4F3A7FDB" w:rsidR="00155D2F" w:rsidRDefault="00155D2F" w:rsidP="00B86F70">
      <w:pPr>
        <w:keepNext/>
        <w:keepLines/>
        <w:spacing w:after="120"/>
        <w:contextualSpacing/>
        <w:rPr>
          <w:rFonts w:ascii="Arial Narrow" w:hAnsi="Arial Narrow"/>
          <w:snapToGrid w:val="0"/>
          <w:sz w:val="18"/>
          <w:szCs w:val="22"/>
        </w:rPr>
      </w:pPr>
      <w:proofErr w:type="gramStart"/>
      <w:r w:rsidRPr="00155D2F">
        <w:rPr>
          <w:rFonts w:ascii="Arial Narrow" w:hAnsi="Arial Narrow"/>
          <w:snapToGrid w:val="0"/>
          <w:sz w:val="18"/>
          <w:szCs w:val="22"/>
        </w:rPr>
        <w:t>a</w:t>
      </w:r>
      <w:r>
        <w:rPr>
          <w:rFonts w:ascii="Arial Narrow" w:hAnsi="Arial Narrow"/>
          <w:snapToGrid w:val="0"/>
          <w:sz w:val="18"/>
          <w:szCs w:val="22"/>
        </w:rPr>
        <w:t xml:space="preserve">  Corrected</w:t>
      </w:r>
      <w:proofErr w:type="gramEnd"/>
      <w:r>
        <w:rPr>
          <w:rFonts w:ascii="Arial Narrow" w:hAnsi="Arial Narrow"/>
          <w:snapToGrid w:val="0"/>
          <w:sz w:val="18"/>
          <w:szCs w:val="22"/>
        </w:rPr>
        <w:t xml:space="preserve"> for OCS costs during the evaluation.</w:t>
      </w:r>
    </w:p>
    <w:p w14:paraId="1247DD76" w14:textId="6A07B6BB" w:rsidR="00EA7B11" w:rsidRDefault="00EA7B11" w:rsidP="00B86F70">
      <w:pPr>
        <w:keepNext/>
        <w:keepLines/>
        <w:spacing w:after="120"/>
        <w:contextualSpacing/>
        <w:rPr>
          <w:rFonts w:ascii="Arial Narrow" w:hAnsi="Arial Narrow"/>
          <w:snapToGrid w:val="0"/>
          <w:sz w:val="18"/>
          <w:szCs w:val="22"/>
        </w:rPr>
      </w:pPr>
    </w:p>
    <w:p w14:paraId="7AD45B50" w14:textId="6D9E8DD9" w:rsidR="00EA7B11" w:rsidRDefault="00EA7B11" w:rsidP="00EA7B11">
      <w:pPr>
        <w:pStyle w:val="TableFigureFooter"/>
        <w:keepNext/>
        <w:spacing w:after="0"/>
        <w:contextualSpacing w:val="0"/>
        <w:rPr>
          <w:i/>
        </w:rPr>
      </w:pPr>
      <w:bookmarkStart w:id="66" w:name="_Hlk112839435"/>
      <w:r w:rsidRPr="00E670E0">
        <w:rPr>
          <w:i/>
        </w:rPr>
        <w:t>The redacted values correspond to the following ranges:</w:t>
      </w:r>
    </w:p>
    <w:p w14:paraId="32CA3F7C" w14:textId="16F0DC01" w:rsidR="00F43344" w:rsidRPr="00646959" w:rsidRDefault="00F43344" w:rsidP="00F43344">
      <w:pPr>
        <w:ind w:right="147"/>
        <w:rPr>
          <w:rFonts w:ascii="Arial Narrow" w:hAnsi="Arial Narrow"/>
          <w:i/>
          <w:color w:val="333333"/>
          <w:sz w:val="18"/>
          <w:szCs w:val="18"/>
        </w:rPr>
      </w:pPr>
      <w:r w:rsidRPr="00646959">
        <w:rPr>
          <w:rFonts w:ascii="Arial Narrow" w:hAnsi="Arial Narrow"/>
          <w:i/>
          <w:sz w:val="18"/>
          <w:szCs w:val="18"/>
          <w:vertAlign w:val="superscript"/>
        </w:rPr>
        <w:t>1</w:t>
      </w:r>
      <w:bookmarkStart w:id="67" w:name="_Hlk112839449"/>
      <w:r w:rsidRPr="00646959">
        <w:rPr>
          <w:rFonts w:ascii="Arial Narrow" w:hAnsi="Arial Narrow"/>
          <w:i/>
          <w:color w:val="333333"/>
          <w:sz w:val="18"/>
          <w:szCs w:val="18"/>
        </w:rPr>
        <w:t xml:space="preserve">$55,000 to &lt; $75,000 </w:t>
      </w:r>
    </w:p>
    <w:p w14:paraId="45DFF597" w14:textId="77777777" w:rsidR="00F43344" w:rsidRPr="00646959" w:rsidRDefault="00F43344" w:rsidP="00F43344">
      <w:pPr>
        <w:ind w:right="147"/>
        <w:rPr>
          <w:rFonts w:ascii="Arial Narrow" w:hAnsi="Arial Narrow"/>
          <w:i/>
          <w:color w:val="333333"/>
          <w:sz w:val="18"/>
          <w:szCs w:val="18"/>
        </w:rPr>
      </w:pPr>
      <w:r w:rsidRPr="00646959">
        <w:rPr>
          <w:rFonts w:ascii="Arial Narrow" w:hAnsi="Arial Narrow"/>
          <w:i/>
          <w:color w:val="333333"/>
          <w:sz w:val="18"/>
          <w:szCs w:val="18"/>
          <w:vertAlign w:val="superscript"/>
        </w:rPr>
        <w:t>2</w:t>
      </w:r>
      <w:bookmarkStart w:id="68" w:name="_Hlk112839779"/>
      <w:r w:rsidRPr="00646959">
        <w:rPr>
          <w:rFonts w:ascii="Arial Narrow" w:hAnsi="Arial Narrow"/>
          <w:i/>
          <w:color w:val="333333"/>
          <w:sz w:val="18"/>
          <w:szCs w:val="18"/>
        </w:rPr>
        <w:t>$115,000 to &lt; $135,000</w:t>
      </w:r>
    </w:p>
    <w:bookmarkEnd w:id="68"/>
    <w:p w14:paraId="096218D1" w14:textId="4058CF35" w:rsidR="00F43344" w:rsidRPr="00646959" w:rsidRDefault="00F43344" w:rsidP="00F43344">
      <w:pPr>
        <w:ind w:right="147"/>
        <w:rPr>
          <w:rFonts w:ascii="Arial Narrow" w:hAnsi="Arial Narrow"/>
          <w:i/>
          <w:color w:val="333333"/>
          <w:sz w:val="18"/>
          <w:szCs w:val="18"/>
        </w:rPr>
      </w:pPr>
      <w:r w:rsidRPr="00646959">
        <w:rPr>
          <w:rFonts w:ascii="Arial Narrow" w:hAnsi="Arial Narrow"/>
          <w:i/>
          <w:color w:val="333333"/>
          <w:sz w:val="18"/>
          <w:szCs w:val="18"/>
          <w:vertAlign w:val="superscript"/>
        </w:rPr>
        <w:t>3</w:t>
      </w:r>
      <w:r w:rsidRPr="00646959">
        <w:rPr>
          <w:rFonts w:ascii="Arial Narrow" w:hAnsi="Arial Narrow"/>
          <w:i/>
          <w:color w:val="333333"/>
          <w:sz w:val="18"/>
          <w:szCs w:val="18"/>
        </w:rPr>
        <w:t>$35,000 to &lt; $45,000</w:t>
      </w:r>
    </w:p>
    <w:p w14:paraId="14F47FE8" w14:textId="77777777" w:rsidR="00F43344" w:rsidRPr="00646959" w:rsidRDefault="00F43344" w:rsidP="00F43344">
      <w:pPr>
        <w:ind w:right="147"/>
        <w:rPr>
          <w:rFonts w:ascii="Arial Narrow" w:hAnsi="Arial Narrow"/>
          <w:i/>
          <w:color w:val="333333"/>
          <w:sz w:val="18"/>
          <w:szCs w:val="18"/>
        </w:rPr>
      </w:pPr>
      <w:r w:rsidRPr="00646959">
        <w:rPr>
          <w:rFonts w:ascii="Arial Narrow" w:hAnsi="Arial Narrow"/>
          <w:i/>
          <w:color w:val="333333"/>
          <w:sz w:val="18"/>
          <w:szCs w:val="18"/>
          <w:vertAlign w:val="superscript"/>
        </w:rPr>
        <w:t>4</w:t>
      </w:r>
      <w:bookmarkStart w:id="69" w:name="_Hlk112839481"/>
      <w:r w:rsidRPr="00646959">
        <w:rPr>
          <w:rFonts w:ascii="Arial Narrow" w:hAnsi="Arial Narrow"/>
          <w:i/>
          <w:color w:val="333333"/>
          <w:sz w:val="18"/>
          <w:szCs w:val="18"/>
        </w:rPr>
        <w:t xml:space="preserve">$95,000 to &lt; $115,000 </w:t>
      </w:r>
    </w:p>
    <w:bookmarkEnd w:id="69"/>
    <w:p w14:paraId="2746DA12" w14:textId="77777777" w:rsidR="00F43344" w:rsidRPr="00646959" w:rsidRDefault="00F43344" w:rsidP="00F43344">
      <w:pPr>
        <w:ind w:right="147"/>
        <w:rPr>
          <w:rFonts w:ascii="Arial Narrow" w:hAnsi="Arial Narrow"/>
          <w:i/>
          <w:color w:val="333333"/>
          <w:sz w:val="18"/>
          <w:szCs w:val="18"/>
        </w:rPr>
      </w:pPr>
      <w:r w:rsidRPr="00646959">
        <w:rPr>
          <w:rFonts w:ascii="Arial Narrow" w:hAnsi="Arial Narrow"/>
          <w:i/>
          <w:color w:val="333333"/>
          <w:sz w:val="18"/>
          <w:szCs w:val="18"/>
          <w:vertAlign w:val="superscript"/>
        </w:rPr>
        <w:t>5</w:t>
      </w:r>
      <w:r w:rsidRPr="00646959">
        <w:rPr>
          <w:rFonts w:ascii="Arial Narrow" w:hAnsi="Arial Narrow"/>
          <w:i/>
          <w:color w:val="333333"/>
          <w:sz w:val="18"/>
          <w:szCs w:val="18"/>
        </w:rPr>
        <w:t>$25,000 to &lt; $35,000</w:t>
      </w:r>
    </w:p>
    <w:p w14:paraId="2D7F90F0" w14:textId="77777777" w:rsidR="00F43344" w:rsidRPr="00646959" w:rsidRDefault="00F43344" w:rsidP="00F43344">
      <w:pPr>
        <w:ind w:right="147"/>
        <w:rPr>
          <w:rFonts w:ascii="Arial Narrow" w:hAnsi="Arial Narrow"/>
          <w:i/>
          <w:color w:val="333333"/>
          <w:sz w:val="18"/>
          <w:szCs w:val="18"/>
        </w:rPr>
      </w:pPr>
      <w:r w:rsidRPr="00646959">
        <w:rPr>
          <w:rFonts w:ascii="Arial Narrow" w:hAnsi="Arial Narrow"/>
          <w:i/>
          <w:color w:val="333333"/>
          <w:sz w:val="18"/>
          <w:szCs w:val="18"/>
          <w:vertAlign w:val="superscript"/>
        </w:rPr>
        <w:lastRenderedPageBreak/>
        <w:t>6</w:t>
      </w:r>
      <w:r w:rsidRPr="00646959">
        <w:rPr>
          <w:rFonts w:ascii="Arial Narrow" w:hAnsi="Arial Narrow"/>
          <w:i/>
          <w:color w:val="333333"/>
          <w:sz w:val="18"/>
          <w:szCs w:val="18"/>
        </w:rPr>
        <w:t>$135,000 to &lt; $155,000</w:t>
      </w:r>
    </w:p>
    <w:p w14:paraId="07814AB8" w14:textId="77777777" w:rsidR="00F43344" w:rsidRPr="00646959" w:rsidRDefault="00F43344" w:rsidP="00F43344">
      <w:pPr>
        <w:ind w:right="147"/>
        <w:rPr>
          <w:rFonts w:ascii="Arial Narrow" w:hAnsi="Arial Narrow"/>
          <w:i/>
          <w:color w:val="333333"/>
          <w:sz w:val="18"/>
          <w:szCs w:val="18"/>
        </w:rPr>
      </w:pPr>
      <w:r w:rsidRPr="00646959">
        <w:rPr>
          <w:rFonts w:ascii="Arial Narrow" w:hAnsi="Arial Narrow"/>
          <w:i/>
          <w:color w:val="333333"/>
          <w:sz w:val="18"/>
          <w:szCs w:val="18"/>
          <w:vertAlign w:val="superscript"/>
        </w:rPr>
        <w:t>7</w:t>
      </w:r>
      <w:r w:rsidRPr="00646959">
        <w:rPr>
          <w:rFonts w:ascii="Arial Narrow" w:hAnsi="Arial Narrow"/>
          <w:i/>
          <w:color w:val="333333"/>
          <w:sz w:val="18"/>
          <w:szCs w:val="18"/>
        </w:rPr>
        <w:t>$15,000 to &lt; $25,000</w:t>
      </w:r>
    </w:p>
    <w:p w14:paraId="1693F01C" w14:textId="77777777" w:rsidR="00F43344" w:rsidRPr="00646959" w:rsidRDefault="00F43344" w:rsidP="00F43344">
      <w:pPr>
        <w:ind w:right="147"/>
        <w:rPr>
          <w:rFonts w:ascii="Arial Narrow" w:hAnsi="Arial Narrow"/>
          <w:i/>
          <w:color w:val="333333"/>
          <w:sz w:val="18"/>
          <w:szCs w:val="18"/>
        </w:rPr>
      </w:pPr>
      <w:r w:rsidRPr="00646959">
        <w:rPr>
          <w:rFonts w:ascii="Arial Narrow" w:hAnsi="Arial Narrow"/>
          <w:i/>
          <w:color w:val="333333"/>
          <w:sz w:val="18"/>
          <w:szCs w:val="18"/>
          <w:vertAlign w:val="superscript"/>
        </w:rPr>
        <w:t>8</w:t>
      </w:r>
      <w:r w:rsidRPr="00646959">
        <w:rPr>
          <w:rFonts w:ascii="Arial Narrow" w:hAnsi="Arial Narrow"/>
          <w:i/>
          <w:color w:val="333333"/>
          <w:sz w:val="18"/>
          <w:szCs w:val="18"/>
        </w:rPr>
        <w:t>$75,000 to &lt; $95,000</w:t>
      </w:r>
    </w:p>
    <w:p w14:paraId="7B4291DD" w14:textId="77777777" w:rsidR="00F43344" w:rsidRPr="00646959" w:rsidRDefault="00F43344" w:rsidP="00F43344">
      <w:pPr>
        <w:ind w:right="147"/>
        <w:rPr>
          <w:rFonts w:ascii="Arial Narrow" w:hAnsi="Arial Narrow"/>
          <w:i/>
          <w:color w:val="333333"/>
          <w:sz w:val="18"/>
          <w:szCs w:val="18"/>
        </w:rPr>
      </w:pPr>
      <w:r w:rsidRPr="00646959">
        <w:rPr>
          <w:rFonts w:ascii="Arial Narrow" w:hAnsi="Arial Narrow"/>
          <w:i/>
          <w:color w:val="333333"/>
          <w:sz w:val="18"/>
          <w:szCs w:val="18"/>
          <w:vertAlign w:val="superscript"/>
        </w:rPr>
        <w:t>9</w:t>
      </w:r>
      <w:bookmarkStart w:id="70" w:name="_Hlk112839499"/>
      <w:r w:rsidRPr="00646959">
        <w:rPr>
          <w:rFonts w:ascii="Arial Narrow" w:hAnsi="Arial Narrow"/>
          <w:i/>
          <w:color w:val="333333"/>
          <w:sz w:val="18"/>
          <w:szCs w:val="18"/>
        </w:rPr>
        <w:t>$155,000 to &lt; $255,000</w:t>
      </w:r>
    </w:p>
    <w:bookmarkEnd w:id="67"/>
    <w:bookmarkEnd w:id="70"/>
    <w:p w14:paraId="76B4B14B" w14:textId="13F24B98" w:rsidR="00201B6B" w:rsidRPr="00F43344" w:rsidRDefault="00201B6B" w:rsidP="00EA7B11">
      <w:pPr>
        <w:pStyle w:val="TableFigureFooter"/>
        <w:keepNext/>
        <w:spacing w:after="0"/>
        <w:contextualSpacing w:val="0"/>
        <w:rPr>
          <w:i/>
        </w:rPr>
      </w:pPr>
    </w:p>
    <w:bookmarkEnd w:id="66"/>
    <w:p w14:paraId="44FA0CFC" w14:textId="77777777" w:rsidR="00EA7B11" w:rsidRPr="000D2C16" w:rsidRDefault="00EA7B11" w:rsidP="00B86F70">
      <w:pPr>
        <w:keepNext/>
        <w:keepLines/>
        <w:spacing w:after="120"/>
        <w:contextualSpacing/>
        <w:rPr>
          <w:rFonts w:ascii="Arial Narrow" w:hAnsi="Arial Narrow"/>
          <w:snapToGrid w:val="0"/>
          <w:sz w:val="18"/>
          <w:szCs w:val="22"/>
        </w:rPr>
      </w:pPr>
    </w:p>
    <w:p w14:paraId="29DFE911" w14:textId="08D0E940" w:rsidR="005E1E9F" w:rsidRDefault="005E1E9F" w:rsidP="005E1E9F">
      <w:pPr>
        <w:pStyle w:val="3-BodyText"/>
        <w:rPr>
          <w:lang w:val="en-US"/>
        </w:rPr>
      </w:pPr>
      <w:bookmarkStart w:id="71" w:name="_Ref109840884"/>
      <w:r>
        <w:rPr>
          <w:lang w:val="en-US"/>
        </w:rPr>
        <w:t>The pre-PBAC response</w:t>
      </w:r>
      <w:r w:rsidR="00A8653C">
        <w:rPr>
          <w:lang w:val="en-US"/>
        </w:rPr>
        <w:t xml:space="preserve"> (p3)</w:t>
      </w:r>
      <w:r>
        <w:rPr>
          <w:lang w:val="en-US"/>
        </w:rPr>
        <w:t xml:space="preserve"> provided a revised base case with the following </w:t>
      </w:r>
      <w:r w:rsidR="00333D96">
        <w:rPr>
          <w:lang w:val="en-US"/>
        </w:rPr>
        <w:t>changes</w:t>
      </w:r>
      <w:r>
        <w:rPr>
          <w:lang w:val="en-US"/>
        </w:rPr>
        <w:t>:</w:t>
      </w:r>
      <w:bookmarkEnd w:id="71"/>
    </w:p>
    <w:p w14:paraId="5AE6802F" w14:textId="2BDE400A" w:rsidR="00067CDA" w:rsidRDefault="005E1E9F" w:rsidP="00A80DA9">
      <w:pPr>
        <w:pStyle w:val="3-BodyText"/>
        <w:numPr>
          <w:ilvl w:val="0"/>
          <w:numId w:val="5"/>
        </w:numPr>
        <w:spacing w:after="0"/>
        <w:ind w:left="1135" w:hanging="284"/>
        <w:rPr>
          <w:lang w:val="en-US"/>
        </w:rPr>
      </w:pPr>
      <w:r w:rsidRPr="00067CDA">
        <w:rPr>
          <w:lang w:val="en-US"/>
        </w:rPr>
        <w:t>the SLEDAI</w:t>
      </w:r>
      <w:r w:rsidR="00067CDA">
        <w:rPr>
          <w:lang w:val="en-US"/>
        </w:rPr>
        <w:t>-2K</w:t>
      </w:r>
      <w:r w:rsidRPr="00067CDA">
        <w:rPr>
          <w:lang w:val="en-US"/>
        </w:rPr>
        <w:t xml:space="preserve"> effect coefficient in the utility regression </w:t>
      </w:r>
      <w:r w:rsidR="00F641D8">
        <w:rPr>
          <w:lang w:val="en-US"/>
        </w:rPr>
        <w:t xml:space="preserve">was changed </w:t>
      </w:r>
      <w:r w:rsidRPr="00067CDA">
        <w:rPr>
          <w:lang w:val="en-US"/>
        </w:rPr>
        <w:t xml:space="preserve">to </w:t>
      </w:r>
      <w:proofErr w:type="gramStart"/>
      <w:r w:rsidRPr="00067CDA">
        <w:rPr>
          <w:lang w:val="en-US"/>
        </w:rPr>
        <w:t>zero</w:t>
      </w:r>
      <w:r w:rsidR="00067CDA">
        <w:rPr>
          <w:lang w:val="en-US"/>
        </w:rPr>
        <w:t>;</w:t>
      </w:r>
      <w:proofErr w:type="gramEnd"/>
    </w:p>
    <w:p w14:paraId="3281952D" w14:textId="3AF35D33" w:rsidR="00067CDA" w:rsidRDefault="005E1E9F" w:rsidP="00A80DA9">
      <w:pPr>
        <w:pStyle w:val="3-BodyText"/>
        <w:numPr>
          <w:ilvl w:val="0"/>
          <w:numId w:val="5"/>
        </w:numPr>
        <w:spacing w:after="0"/>
        <w:ind w:left="1135" w:hanging="284"/>
        <w:rPr>
          <w:lang w:val="en-US"/>
        </w:rPr>
      </w:pPr>
      <w:r w:rsidRPr="00067CDA">
        <w:rPr>
          <w:lang w:val="en-US"/>
        </w:rPr>
        <w:t>the coefficient for SLEDAI</w:t>
      </w:r>
      <w:r w:rsidR="00067CDA">
        <w:rPr>
          <w:lang w:val="en-US"/>
        </w:rPr>
        <w:t>-2K</w:t>
      </w:r>
      <w:r w:rsidRPr="00067CDA">
        <w:rPr>
          <w:lang w:val="en-US"/>
        </w:rPr>
        <w:t xml:space="preserve"> on </w:t>
      </w:r>
      <w:proofErr w:type="spellStart"/>
      <w:r w:rsidRPr="00067CDA">
        <w:rPr>
          <w:lang w:val="en-US"/>
        </w:rPr>
        <w:t>hospitalisation</w:t>
      </w:r>
      <w:proofErr w:type="spellEnd"/>
      <w:r w:rsidRPr="00067CDA">
        <w:rPr>
          <w:lang w:val="en-US"/>
        </w:rPr>
        <w:t xml:space="preserve"> </w:t>
      </w:r>
      <w:r w:rsidR="00F641D8">
        <w:rPr>
          <w:lang w:val="en-US"/>
        </w:rPr>
        <w:t xml:space="preserve">was changed </w:t>
      </w:r>
      <w:r w:rsidRPr="00067CDA">
        <w:rPr>
          <w:lang w:val="en-US"/>
        </w:rPr>
        <w:t xml:space="preserve">to zero (which assumes that all </w:t>
      </w:r>
      <w:proofErr w:type="spellStart"/>
      <w:r w:rsidRPr="00067CDA">
        <w:rPr>
          <w:lang w:val="en-US"/>
        </w:rPr>
        <w:t>hospitalisations</w:t>
      </w:r>
      <w:proofErr w:type="spellEnd"/>
      <w:r w:rsidRPr="00067CDA">
        <w:rPr>
          <w:lang w:val="en-US"/>
        </w:rPr>
        <w:t xml:space="preserve"> are due to flares and organ damage).</w:t>
      </w:r>
    </w:p>
    <w:p w14:paraId="6E851E58" w14:textId="00E45FD5" w:rsidR="000D2C16" w:rsidRDefault="00067CDA" w:rsidP="00DC5E23">
      <w:pPr>
        <w:pStyle w:val="3-BodyText"/>
        <w:numPr>
          <w:ilvl w:val="0"/>
          <w:numId w:val="5"/>
        </w:numPr>
        <w:ind w:left="1134" w:hanging="283"/>
        <w:rPr>
          <w:lang w:val="en-US"/>
        </w:rPr>
      </w:pPr>
      <w:r w:rsidRPr="00067CDA">
        <w:rPr>
          <w:lang w:val="en-US"/>
        </w:rPr>
        <w:t>an</w:t>
      </w:r>
      <w:r>
        <w:rPr>
          <w:lang w:val="en-US"/>
        </w:rPr>
        <w:t xml:space="preserve"> </w:t>
      </w:r>
      <w:r w:rsidR="005E1E9F" w:rsidRPr="00067CDA">
        <w:rPr>
          <w:lang w:val="en-US"/>
        </w:rPr>
        <w:t xml:space="preserve">effective </w:t>
      </w:r>
      <w:r w:rsidR="00AE40A2">
        <w:rPr>
          <w:lang w:val="en-US"/>
        </w:rPr>
        <w:t>DPMQ</w:t>
      </w:r>
      <w:r w:rsidR="005E1E9F" w:rsidRPr="00067CDA">
        <w:rPr>
          <w:lang w:val="en-US"/>
        </w:rPr>
        <w:t xml:space="preserve"> of $</w:t>
      </w:r>
      <w:proofErr w:type="gramStart"/>
      <w:r w:rsidR="00164331" w:rsidRPr="005A67B5">
        <w:rPr>
          <w:color w:val="000000"/>
          <w:w w:val="15"/>
          <w:shd w:val="solid" w:color="000000" w:fill="000000"/>
          <w:fitText w:val="-20" w:id="-1436282870"/>
          <w:lang w:val="en-US"/>
          <w14:textFill>
            <w14:solidFill>
              <w14:srgbClr w14:val="000000">
                <w14:alpha w14:val="100000"/>
              </w14:srgbClr>
            </w14:solidFill>
          </w14:textFill>
        </w:rPr>
        <w:t xml:space="preserve">|  </w:t>
      </w:r>
      <w:r w:rsidR="00164331" w:rsidRPr="005A67B5">
        <w:rPr>
          <w:color w:val="000000"/>
          <w:spacing w:val="-69"/>
          <w:w w:val="15"/>
          <w:shd w:val="solid" w:color="000000" w:fill="000000"/>
          <w:fitText w:val="-20" w:id="-1436282870"/>
          <w:lang w:val="en-US"/>
          <w14:textFill>
            <w14:solidFill>
              <w14:srgbClr w14:val="000000">
                <w14:alpha w14:val="100000"/>
              </w14:srgbClr>
            </w14:solidFill>
          </w14:textFill>
        </w:rPr>
        <w:t>|</w:t>
      </w:r>
      <w:proofErr w:type="gramEnd"/>
      <w:r w:rsidR="00F641D8">
        <w:rPr>
          <w:lang w:val="en-US"/>
        </w:rPr>
        <w:t xml:space="preserve"> was applied</w:t>
      </w:r>
      <w:r>
        <w:rPr>
          <w:lang w:val="en-US"/>
        </w:rPr>
        <w:t xml:space="preserve">, corresponding to a </w:t>
      </w:r>
      <w:r w:rsidR="00164331" w:rsidRPr="005A67B5">
        <w:rPr>
          <w:color w:val="000000"/>
          <w:w w:val="15"/>
          <w:shd w:val="solid" w:color="000000" w:fill="000000"/>
          <w:fitText w:val="-20" w:id="-1436282869"/>
          <w:lang w:val="en-US"/>
          <w14:textFill>
            <w14:solidFill>
              <w14:srgbClr w14:val="000000">
                <w14:alpha w14:val="100000"/>
              </w14:srgbClr>
            </w14:solidFill>
          </w14:textFill>
        </w:rPr>
        <w:t xml:space="preserve">|  </w:t>
      </w:r>
      <w:r w:rsidR="00164331" w:rsidRPr="005A67B5">
        <w:rPr>
          <w:color w:val="000000"/>
          <w:spacing w:val="-69"/>
          <w:w w:val="15"/>
          <w:shd w:val="solid" w:color="000000" w:fill="000000"/>
          <w:fitText w:val="-20" w:id="-1436282869"/>
          <w:lang w:val="en-US"/>
          <w14:textFill>
            <w14:solidFill>
              <w14:srgbClr w14:val="000000">
                <w14:alpha w14:val="100000"/>
              </w14:srgbClr>
            </w14:solidFill>
          </w14:textFill>
        </w:rPr>
        <w:t>|</w:t>
      </w:r>
      <w:r w:rsidRPr="00DA3FF8">
        <w:rPr>
          <w:lang w:val="en-US"/>
        </w:rPr>
        <w:t>%</w:t>
      </w:r>
      <w:r>
        <w:rPr>
          <w:lang w:val="en-US"/>
        </w:rPr>
        <w:t xml:space="preserve"> price reduction compared to the price</w:t>
      </w:r>
      <w:r w:rsidR="006559CE" w:rsidRPr="006559CE">
        <w:rPr>
          <w:lang w:val="en-US"/>
        </w:rPr>
        <w:t xml:space="preserve"> </w:t>
      </w:r>
      <w:r w:rsidR="006559CE">
        <w:rPr>
          <w:lang w:val="en-US"/>
        </w:rPr>
        <w:t>proposed in the submission</w:t>
      </w:r>
      <w:r>
        <w:rPr>
          <w:lang w:val="en-US"/>
        </w:rPr>
        <w:t>.</w:t>
      </w:r>
    </w:p>
    <w:p w14:paraId="2870BB5A" w14:textId="0C63D715" w:rsidR="00AE715E" w:rsidRPr="00067CDA" w:rsidRDefault="00A8653C" w:rsidP="00A8653C">
      <w:pPr>
        <w:pStyle w:val="3-BodyText"/>
        <w:numPr>
          <w:ilvl w:val="0"/>
          <w:numId w:val="0"/>
        </w:numPr>
        <w:spacing w:after="240"/>
        <w:ind w:left="709"/>
        <w:rPr>
          <w:lang w:val="en-US"/>
        </w:rPr>
      </w:pPr>
      <w:r>
        <w:rPr>
          <w:lang w:val="en-US"/>
        </w:rPr>
        <w:t xml:space="preserve">With these changes, the pre-PBAC response calculated a revised ICER of </w:t>
      </w:r>
      <w:r w:rsidR="00D720A4">
        <w:rPr>
          <w:lang w:val="en-US"/>
        </w:rPr>
        <w:t xml:space="preserve">$55,000 to &lt;$75,000 </w:t>
      </w:r>
      <w:r w:rsidRPr="00A8653C">
        <w:rPr>
          <w:lang w:val="en-US"/>
        </w:rPr>
        <w:t xml:space="preserve">per QALY over </w:t>
      </w:r>
      <w:r w:rsidR="00A80DA9">
        <w:rPr>
          <w:lang w:val="en-US"/>
        </w:rPr>
        <w:t xml:space="preserve">a </w:t>
      </w:r>
      <w:proofErr w:type="gramStart"/>
      <w:r w:rsidRPr="00A8653C">
        <w:rPr>
          <w:lang w:val="en-US"/>
        </w:rPr>
        <w:t>30 year</w:t>
      </w:r>
      <w:proofErr w:type="gramEnd"/>
      <w:r w:rsidR="00A80DA9">
        <w:rPr>
          <w:lang w:val="en-US"/>
        </w:rPr>
        <w:t xml:space="preserve"> time horizon</w:t>
      </w:r>
      <w:r>
        <w:rPr>
          <w:lang w:val="en-US"/>
        </w:rPr>
        <w:t xml:space="preserve">.  </w:t>
      </w:r>
    </w:p>
    <w:p w14:paraId="00264F83" w14:textId="268130E1" w:rsidR="000D2C16" w:rsidRPr="0049552D" w:rsidRDefault="000D2C16" w:rsidP="000D2C16">
      <w:pPr>
        <w:pStyle w:val="4-SubsectionHeading"/>
      </w:pPr>
      <w:bookmarkStart w:id="72" w:name="_Toc102831368"/>
      <w:bookmarkStart w:id="73" w:name="_Toc103015539"/>
      <w:proofErr w:type="spellStart"/>
      <w:r w:rsidRPr="0049552D">
        <w:t>Anifrolumab</w:t>
      </w:r>
      <w:proofErr w:type="spellEnd"/>
      <w:r w:rsidRPr="0049552D">
        <w:t xml:space="preserve"> cost/patient/year</w:t>
      </w:r>
      <w:bookmarkEnd w:id="72"/>
      <w:bookmarkEnd w:id="73"/>
    </w:p>
    <w:p w14:paraId="61558F0D" w14:textId="28A2083E" w:rsidR="00AE40A2" w:rsidRDefault="00AE40A2" w:rsidP="00AE40A2">
      <w:pPr>
        <w:pStyle w:val="3-BodyText"/>
        <w:rPr>
          <w:lang w:val="en-US"/>
        </w:rPr>
      </w:pPr>
      <w:r>
        <w:rPr>
          <w:lang w:val="en-US"/>
        </w:rPr>
        <w:fldChar w:fldCharType="begin"/>
      </w:r>
      <w:r>
        <w:rPr>
          <w:lang w:val="en-US"/>
        </w:rPr>
        <w:instrText xml:space="preserve"> REF _Ref110264758 \h </w:instrText>
      </w:r>
      <w:r>
        <w:rPr>
          <w:lang w:val="en-US"/>
        </w:rPr>
      </w:r>
      <w:r>
        <w:rPr>
          <w:lang w:val="en-US"/>
        </w:rPr>
        <w:fldChar w:fldCharType="separate"/>
      </w:r>
      <w:r w:rsidR="00942C22" w:rsidRPr="0049552D">
        <w:t xml:space="preserve">Table </w:t>
      </w:r>
      <w:r w:rsidR="00942C22">
        <w:rPr>
          <w:noProof/>
        </w:rPr>
        <w:t>11</w:t>
      </w:r>
      <w:r>
        <w:rPr>
          <w:lang w:val="en-US"/>
        </w:rPr>
        <w:fldChar w:fldCharType="end"/>
      </w:r>
      <w:r>
        <w:rPr>
          <w:lang w:val="en-US"/>
        </w:rPr>
        <w:t xml:space="preserve"> presents the drug cost per patient for </w:t>
      </w:r>
      <w:proofErr w:type="spellStart"/>
      <w:r>
        <w:rPr>
          <w:lang w:val="en-US"/>
        </w:rPr>
        <w:t>anifrolumab</w:t>
      </w:r>
      <w:proofErr w:type="spellEnd"/>
      <w:r>
        <w:rPr>
          <w:lang w:val="en-US"/>
        </w:rPr>
        <w:t xml:space="preserve"> based on the price proposed in the submission. Note that the pre-PBAC response proposed a lower price.</w:t>
      </w:r>
    </w:p>
    <w:p w14:paraId="007B43A8" w14:textId="1A039F5A" w:rsidR="000D2C16" w:rsidRPr="0049552D" w:rsidRDefault="000D2C16" w:rsidP="000D2C16">
      <w:pPr>
        <w:pStyle w:val="TableFigureHeading"/>
        <w:rPr>
          <w:rStyle w:val="CommentReference"/>
          <w:b/>
          <w:szCs w:val="24"/>
        </w:rPr>
      </w:pPr>
      <w:bookmarkStart w:id="74" w:name="_Ref110264758"/>
      <w:r w:rsidRPr="0049552D">
        <w:t xml:space="preserve">Table </w:t>
      </w:r>
      <w:r>
        <w:fldChar w:fldCharType="begin"/>
      </w:r>
      <w:r>
        <w:instrText>SEQ Table \* ARABIC</w:instrText>
      </w:r>
      <w:r>
        <w:fldChar w:fldCharType="separate"/>
      </w:r>
      <w:r w:rsidR="00942C22">
        <w:rPr>
          <w:noProof/>
        </w:rPr>
        <w:t>11</w:t>
      </w:r>
      <w:r>
        <w:fldChar w:fldCharType="end"/>
      </w:r>
      <w:bookmarkEnd w:id="74"/>
      <w:r w:rsidRPr="0049552D">
        <w:t>:</w:t>
      </w:r>
      <w:r w:rsidRPr="0049552D">
        <w:rPr>
          <w:rStyle w:val="CommentReference"/>
          <w:b/>
          <w:szCs w:val="24"/>
        </w:rPr>
        <w:t xml:space="preserve"> Drug cost per patient for </w:t>
      </w:r>
      <w:proofErr w:type="spellStart"/>
      <w:r w:rsidRPr="0049552D">
        <w:rPr>
          <w:rStyle w:val="CommentReference"/>
          <w:b/>
          <w:szCs w:val="24"/>
        </w:rPr>
        <w:t>anifrolumab</w:t>
      </w:r>
      <w:proofErr w:type="spellEnd"/>
      <w:r w:rsidRPr="0049552D">
        <w:rPr>
          <w:rStyle w:val="CommentReference"/>
          <w:b/>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28"/>
        <w:gridCol w:w="2163"/>
        <w:gridCol w:w="2160"/>
        <w:gridCol w:w="2166"/>
      </w:tblGrid>
      <w:tr w:rsidR="000D2C16" w:rsidRPr="0049552D" w14:paraId="100AEBB2" w14:textId="77777777" w:rsidTr="00306AFC">
        <w:trPr>
          <w:cantSplit/>
          <w:tblHeader/>
          <w:jc w:val="center"/>
        </w:trPr>
        <w:tc>
          <w:tcPr>
            <w:tcW w:w="1401" w:type="pct"/>
            <w:shd w:val="clear" w:color="auto" w:fill="auto"/>
            <w:vAlign w:val="center"/>
          </w:tcPr>
          <w:p w14:paraId="13DF2D18" w14:textId="77777777" w:rsidR="000D2C16" w:rsidRPr="0049552D" w:rsidRDefault="000D2C16" w:rsidP="00306AFC">
            <w:pPr>
              <w:pStyle w:val="In-tableHeading"/>
              <w:jc w:val="center"/>
              <w:rPr>
                <w:lang w:val="en-AU"/>
              </w:rPr>
            </w:pPr>
          </w:p>
        </w:tc>
        <w:tc>
          <w:tcPr>
            <w:tcW w:w="1199" w:type="pct"/>
            <w:shd w:val="clear" w:color="auto" w:fill="auto"/>
            <w:vAlign w:val="center"/>
          </w:tcPr>
          <w:p w14:paraId="73D1B9DF" w14:textId="77777777" w:rsidR="000D2C16" w:rsidRPr="0049552D" w:rsidRDefault="000D2C16" w:rsidP="00306AFC">
            <w:pPr>
              <w:pStyle w:val="In-tableHeading"/>
              <w:jc w:val="center"/>
              <w:rPr>
                <w:lang w:val="en-AU"/>
              </w:rPr>
            </w:pPr>
            <w:r w:rsidRPr="0049552D">
              <w:rPr>
                <w:lang w:val="en-AU"/>
              </w:rPr>
              <w:t>Trial dose and duration</w:t>
            </w:r>
          </w:p>
        </w:tc>
        <w:tc>
          <w:tcPr>
            <w:tcW w:w="1198" w:type="pct"/>
            <w:shd w:val="clear" w:color="auto" w:fill="auto"/>
            <w:vAlign w:val="center"/>
          </w:tcPr>
          <w:p w14:paraId="4FD4A8A5" w14:textId="77777777" w:rsidR="000D2C16" w:rsidRPr="0049552D" w:rsidRDefault="000D2C16" w:rsidP="00306AFC">
            <w:pPr>
              <w:pStyle w:val="In-tableHeading"/>
              <w:jc w:val="center"/>
              <w:rPr>
                <w:lang w:val="en-AU"/>
              </w:rPr>
            </w:pPr>
            <w:r w:rsidRPr="0049552D">
              <w:rPr>
                <w:lang w:val="en-AU"/>
              </w:rPr>
              <w:t>Model</w:t>
            </w:r>
          </w:p>
        </w:tc>
        <w:tc>
          <w:tcPr>
            <w:tcW w:w="1201" w:type="pct"/>
            <w:shd w:val="clear" w:color="auto" w:fill="auto"/>
            <w:vAlign w:val="center"/>
          </w:tcPr>
          <w:p w14:paraId="2C569124" w14:textId="77777777" w:rsidR="000D2C16" w:rsidRPr="0049552D" w:rsidRDefault="000D2C16" w:rsidP="00306AFC">
            <w:pPr>
              <w:pStyle w:val="In-tableHeading"/>
              <w:jc w:val="center"/>
              <w:rPr>
                <w:lang w:val="en-AU"/>
              </w:rPr>
            </w:pPr>
            <w:r w:rsidRPr="0049552D">
              <w:rPr>
                <w:lang w:val="en-AU"/>
              </w:rPr>
              <w:t>Financial estimates</w:t>
            </w:r>
          </w:p>
        </w:tc>
      </w:tr>
      <w:tr w:rsidR="000D2C16" w:rsidRPr="0049552D" w14:paraId="684028D7" w14:textId="77777777" w:rsidTr="00164331">
        <w:trPr>
          <w:cantSplit/>
          <w:jc w:val="center"/>
        </w:trPr>
        <w:tc>
          <w:tcPr>
            <w:tcW w:w="1401" w:type="pct"/>
            <w:shd w:val="clear" w:color="auto" w:fill="auto"/>
            <w:vAlign w:val="center"/>
          </w:tcPr>
          <w:p w14:paraId="0E00C86F" w14:textId="77777777" w:rsidR="000D2C16" w:rsidRPr="0049552D" w:rsidRDefault="000D2C16" w:rsidP="00306AFC">
            <w:pPr>
              <w:pStyle w:val="TableText0"/>
            </w:pPr>
            <w:r w:rsidRPr="0049552D">
              <w:t xml:space="preserve">Mean dose </w:t>
            </w:r>
            <w:proofErr w:type="spellStart"/>
            <w:r w:rsidRPr="0049552D">
              <w:t>anifrolumab</w:t>
            </w:r>
            <w:proofErr w:type="spellEnd"/>
          </w:p>
        </w:tc>
        <w:tc>
          <w:tcPr>
            <w:tcW w:w="1199" w:type="pct"/>
            <w:tcBorders>
              <w:bottom w:val="single" w:sz="4" w:space="0" w:color="auto"/>
            </w:tcBorders>
            <w:shd w:val="clear" w:color="auto" w:fill="auto"/>
            <w:vAlign w:val="center"/>
          </w:tcPr>
          <w:p w14:paraId="4F1609B7" w14:textId="301D7DE3" w:rsidR="000D2C16" w:rsidRPr="0082469E" w:rsidRDefault="000D2C16" w:rsidP="00306AFC">
            <w:pPr>
              <w:pStyle w:val="TableText0"/>
              <w:jc w:val="center"/>
            </w:pPr>
            <w:r w:rsidRPr="0082469E">
              <w:t>300</w:t>
            </w:r>
            <w:r w:rsidR="008545F3">
              <w:t xml:space="preserve"> </w:t>
            </w:r>
            <w:r w:rsidRPr="0082469E">
              <w:t>mg</w:t>
            </w:r>
          </w:p>
        </w:tc>
        <w:tc>
          <w:tcPr>
            <w:tcW w:w="1198" w:type="pct"/>
            <w:tcBorders>
              <w:bottom w:val="single" w:sz="4" w:space="0" w:color="auto"/>
            </w:tcBorders>
            <w:shd w:val="clear" w:color="auto" w:fill="auto"/>
            <w:vAlign w:val="center"/>
          </w:tcPr>
          <w:p w14:paraId="1B7F7E96" w14:textId="76734BCC" w:rsidR="000D2C16" w:rsidRPr="0082469E" w:rsidRDefault="000D2C16" w:rsidP="00306AFC">
            <w:pPr>
              <w:pStyle w:val="TableText0"/>
              <w:jc w:val="center"/>
            </w:pPr>
            <w:r w:rsidRPr="0082469E">
              <w:t>300</w:t>
            </w:r>
            <w:r w:rsidR="008545F3">
              <w:t xml:space="preserve"> </w:t>
            </w:r>
            <w:r w:rsidRPr="0082469E">
              <w:t xml:space="preserve">mg </w:t>
            </w:r>
          </w:p>
        </w:tc>
        <w:tc>
          <w:tcPr>
            <w:tcW w:w="1201" w:type="pct"/>
            <w:tcBorders>
              <w:bottom w:val="single" w:sz="4" w:space="0" w:color="auto"/>
            </w:tcBorders>
            <w:shd w:val="clear" w:color="auto" w:fill="auto"/>
            <w:vAlign w:val="center"/>
          </w:tcPr>
          <w:p w14:paraId="0527F073" w14:textId="402FC540" w:rsidR="000D2C16" w:rsidRPr="0082469E" w:rsidRDefault="000D2C16" w:rsidP="00306AFC">
            <w:pPr>
              <w:pStyle w:val="TableText0"/>
              <w:jc w:val="center"/>
            </w:pPr>
            <w:r w:rsidRPr="0082469E">
              <w:t>300</w:t>
            </w:r>
            <w:r w:rsidR="008545F3">
              <w:t xml:space="preserve"> </w:t>
            </w:r>
            <w:r w:rsidRPr="0082469E">
              <w:t>mg</w:t>
            </w:r>
          </w:p>
        </w:tc>
      </w:tr>
      <w:tr w:rsidR="000D2C16" w:rsidRPr="0049552D" w14:paraId="6BB3E06A" w14:textId="77777777" w:rsidTr="00164331">
        <w:trPr>
          <w:cantSplit/>
          <w:jc w:val="center"/>
        </w:trPr>
        <w:tc>
          <w:tcPr>
            <w:tcW w:w="1401" w:type="pct"/>
            <w:shd w:val="clear" w:color="auto" w:fill="auto"/>
            <w:vAlign w:val="center"/>
          </w:tcPr>
          <w:p w14:paraId="006BC1BC" w14:textId="77777777" w:rsidR="000D2C16" w:rsidRPr="0049552D" w:rsidRDefault="000D2C16" w:rsidP="00306AFC">
            <w:pPr>
              <w:pStyle w:val="TableText0"/>
            </w:pPr>
            <w:r w:rsidRPr="0049552D">
              <w:t>Mean number of administrations per year</w:t>
            </w:r>
          </w:p>
        </w:tc>
        <w:tc>
          <w:tcPr>
            <w:tcW w:w="1199" w:type="pct"/>
            <w:shd w:val="solid" w:color="000000" w:fill="000000"/>
            <w:vAlign w:val="center"/>
          </w:tcPr>
          <w:p w14:paraId="40F405EA" w14:textId="3ED51DEA" w:rsidR="000D2C16" w:rsidRPr="003C6454" w:rsidRDefault="00164331" w:rsidP="00306AFC">
            <w:pPr>
              <w:pStyle w:val="TableText0"/>
              <w:jc w:val="center"/>
              <w:rPr>
                <w:highlight w:val="lightGray"/>
                <w:vertAlign w:val="superscript"/>
              </w:rPr>
            </w:pPr>
            <w:r w:rsidRPr="00164331">
              <w:rPr>
                <w:color w:val="000000"/>
                <w14:textFill>
                  <w14:solidFill>
                    <w14:srgbClr w14:val="000000">
                      <w14:alpha w14:val="100000"/>
                    </w14:srgbClr>
                  </w14:solidFill>
                </w14:textFill>
              </w:rPr>
              <w:t>|</w:t>
            </w:r>
          </w:p>
        </w:tc>
        <w:tc>
          <w:tcPr>
            <w:tcW w:w="1198" w:type="pct"/>
            <w:shd w:val="solid" w:color="000000" w:fill="000000"/>
            <w:vAlign w:val="center"/>
          </w:tcPr>
          <w:p w14:paraId="6C93B9D3" w14:textId="236C33BD" w:rsidR="000D2C16" w:rsidRPr="003C6454" w:rsidRDefault="00164331" w:rsidP="00306AFC">
            <w:pPr>
              <w:pStyle w:val="TableText0"/>
              <w:jc w:val="center"/>
              <w:rPr>
                <w:highlight w:val="lightGray"/>
              </w:rPr>
            </w:pPr>
            <w:r w:rsidRPr="00164331">
              <w:rPr>
                <w:color w:val="000000"/>
                <w14:textFill>
                  <w14:solidFill>
                    <w14:srgbClr w14:val="000000">
                      <w14:alpha w14:val="100000"/>
                    </w14:srgbClr>
                  </w14:solidFill>
                </w14:textFill>
              </w:rPr>
              <w:t>|</w:t>
            </w:r>
          </w:p>
        </w:tc>
        <w:tc>
          <w:tcPr>
            <w:tcW w:w="1201" w:type="pct"/>
            <w:shd w:val="solid" w:color="000000" w:fill="000000"/>
            <w:vAlign w:val="center"/>
          </w:tcPr>
          <w:p w14:paraId="7A4CB475" w14:textId="7C058681" w:rsidR="000D2C16" w:rsidRPr="003C6454" w:rsidRDefault="00164331" w:rsidP="00306AFC">
            <w:pPr>
              <w:pStyle w:val="TableText0"/>
              <w:jc w:val="center"/>
              <w:rPr>
                <w:highlight w:val="lightGray"/>
              </w:rPr>
            </w:pPr>
            <w:r w:rsidRPr="00164331">
              <w:rPr>
                <w:color w:val="000000"/>
                <w14:textFill>
                  <w14:solidFill>
                    <w14:srgbClr w14:val="000000">
                      <w14:alpha w14:val="100000"/>
                    </w14:srgbClr>
                  </w14:solidFill>
                </w14:textFill>
              </w:rPr>
              <w:t>|</w:t>
            </w:r>
          </w:p>
        </w:tc>
      </w:tr>
      <w:tr w:rsidR="000D2C16" w:rsidRPr="0049552D" w14:paraId="414F864B" w14:textId="77777777" w:rsidTr="00306AFC">
        <w:trPr>
          <w:cantSplit/>
          <w:jc w:val="center"/>
        </w:trPr>
        <w:tc>
          <w:tcPr>
            <w:tcW w:w="1401" w:type="pct"/>
            <w:shd w:val="clear" w:color="auto" w:fill="auto"/>
            <w:vAlign w:val="center"/>
          </w:tcPr>
          <w:p w14:paraId="6EB542B5" w14:textId="77777777" w:rsidR="000D2C16" w:rsidRPr="0049552D" w:rsidRDefault="000D2C16" w:rsidP="00306AFC">
            <w:pPr>
              <w:pStyle w:val="TableText0"/>
            </w:pPr>
            <w:r w:rsidRPr="0049552D">
              <w:t xml:space="preserve">Mean duration </w:t>
            </w:r>
            <w:proofErr w:type="spellStart"/>
            <w:r w:rsidRPr="0049552D">
              <w:t>anifrolumab</w:t>
            </w:r>
            <w:proofErr w:type="spellEnd"/>
          </w:p>
        </w:tc>
        <w:tc>
          <w:tcPr>
            <w:tcW w:w="1199" w:type="pct"/>
            <w:shd w:val="clear" w:color="auto" w:fill="auto"/>
            <w:vAlign w:val="center"/>
          </w:tcPr>
          <w:p w14:paraId="3ACD11DD" w14:textId="04D90357" w:rsidR="000D2C16" w:rsidRPr="0082469E" w:rsidRDefault="000D2C16" w:rsidP="00306AFC">
            <w:pPr>
              <w:pStyle w:val="TableText0"/>
              <w:jc w:val="center"/>
            </w:pPr>
            <w:proofErr w:type="spellStart"/>
            <w:r w:rsidRPr="009A10D1">
              <w:t>NR</w:t>
            </w:r>
            <w:r w:rsidR="009A10D1" w:rsidRPr="009A10D1">
              <w:rPr>
                <w:vertAlign w:val="superscript"/>
              </w:rPr>
              <w:t>a</w:t>
            </w:r>
            <w:proofErr w:type="spellEnd"/>
          </w:p>
        </w:tc>
        <w:tc>
          <w:tcPr>
            <w:tcW w:w="1198" w:type="pct"/>
            <w:shd w:val="clear" w:color="auto" w:fill="auto"/>
            <w:vAlign w:val="center"/>
          </w:tcPr>
          <w:p w14:paraId="68332BB7" w14:textId="77777777" w:rsidR="000D2C16" w:rsidRPr="00603AFC" w:rsidRDefault="000D2C16" w:rsidP="00306AFC">
            <w:pPr>
              <w:pStyle w:val="TableText0"/>
              <w:jc w:val="center"/>
              <w:rPr>
                <w:iCs/>
              </w:rPr>
            </w:pPr>
            <w:r w:rsidRPr="00603AFC">
              <w:rPr>
                <w:iCs/>
              </w:rPr>
              <w:t>4.21 years</w:t>
            </w:r>
          </w:p>
          <w:p w14:paraId="0E2102EB" w14:textId="77777777" w:rsidR="000D2C16" w:rsidRPr="00603AFC" w:rsidRDefault="000D2C16" w:rsidP="00306AFC">
            <w:pPr>
              <w:pStyle w:val="TableText0"/>
              <w:jc w:val="center"/>
              <w:rPr>
                <w:iCs/>
              </w:rPr>
            </w:pPr>
            <w:r w:rsidRPr="00603AFC">
              <w:rPr>
                <w:iCs/>
              </w:rPr>
              <w:t>(</w:t>
            </w:r>
            <w:proofErr w:type="gramStart"/>
            <w:r w:rsidRPr="00603AFC">
              <w:rPr>
                <w:iCs/>
              </w:rPr>
              <w:t>30 year</w:t>
            </w:r>
            <w:proofErr w:type="gramEnd"/>
            <w:r w:rsidRPr="00603AFC">
              <w:rPr>
                <w:iCs/>
              </w:rPr>
              <w:t xml:space="preserve"> time horizon)</w:t>
            </w:r>
          </w:p>
        </w:tc>
        <w:tc>
          <w:tcPr>
            <w:tcW w:w="1201" w:type="pct"/>
            <w:shd w:val="clear" w:color="auto" w:fill="auto"/>
            <w:vAlign w:val="center"/>
          </w:tcPr>
          <w:p w14:paraId="2379B961" w14:textId="77777777" w:rsidR="000D2C16" w:rsidRPr="00603AFC" w:rsidRDefault="000D2C16" w:rsidP="00306AFC">
            <w:pPr>
              <w:pStyle w:val="TableText0"/>
              <w:jc w:val="center"/>
              <w:rPr>
                <w:iCs/>
              </w:rPr>
            </w:pPr>
            <w:r w:rsidRPr="00603AFC">
              <w:rPr>
                <w:iCs/>
              </w:rPr>
              <w:t xml:space="preserve">3.14 years </w:t>
            </w:r>
          </w:p>
          <w:p w14:paraId="0FC98712" w14:textId="77777777" w:rsidR="000D2C16" w:rsidRPr="00603AFC" w:rsidRDefault="000D2C16" w:rsidP="00306AFC">
            <w:pPr>
              <w:pStyle w:val="TableText0"/>
              <w:jc w:val="center"/>
              <w:rPr>
                <w:iCs/>
              </w:rPr>
            </w:pPr>
            <w:r w:rsidRPr="00603AFC">
              <w:rPr>
                <w:iCs/>
              </w:rPr>
              <w:t>(</w:t>
            </w:r>
            <w:proofErr w:type="gramStart"/>
            <w:r w:rsidRPr="00603AFC">
              <w:rPr>
                <w:iCs/>
              </w:rPr>
              <w:t>6 year</w:t>
            </w:r>
            <w:proofErr w:type="gramEnd"/>
            <w:r w:rsidRPr="00603AFC">
              <w:rPr>
                <w:iCs/>
              </w:rPr>
              <w:t xml:space="preserve"> time horizon) </w:t>
            </w:r>
          </w:p>
        </w:tc>
      </w:tr>
      <w:tr w:rsidR="000D2C16" w:rsidRPr="0049552D" w14:paraId="5110BF23" w14:textId="77777777" w:rsidTr="00164331">
        <w:trPr>
          <w:cantSplit/>
          <w:jc w:val="center"/>
        </w:trPr>
        <w:tc>
          <w:tcPr>
            <w:tcW w:w="1401" w:type="pct"/>
            <w:shd w:val="clear" w:color="auto" w:fill="auto"/>
            <w:vAlign w:val="center"/>
          </w:tcPr>
          <w:p w14:paraId="22DFD366" w14:textId="4FD06282" w:rsidR="000D2C16" w:rsidRPr="0049552D" w:rsidRDefault="000D2C16" w:rsidP="00306AFC">
            <w:pPr>
              <w:pStyle w:val="TableText0"/>
            </w:pPr>
            <w:r w:rsidRPr="0049552D">
              <w:t>Cost/patient/month</w:t>
            </w:r>
            <w:r w:rsidR="00646959">
              <w:t xml:space="preserve"> ($)</w:t>
            </w:r>
          </w:p>
        </w:tc>
        <w:tc>
          <w:tcPr>
            <w:tcW w:w="1199" w:type="pct"/>
            <w:shd w:val="clear" w:color="auto" w:fill="auto"/>
            <w:vAlign w:val="center"/>
          </w:tcPr>
          <w:p w14:paraId="7FBDB5F6" w14:textId="77777777" w:rsidR="000D2C16" w:rsidRPr="0049552D" w:rsidRDefault="000D2C16" w:rsidP="00306AFC">
            <w:pPr>
              <w:pStyle w:val="TableText0"/>
              <w:jc w:val="center"/>
            </w:pPr>
            <w:r w:rsidRPr="0049552D">
              <w:t>NA</w:t>
            </w:r>
          </w:p>
        </w:tc>
        <w:tc>
          <w:tcPr>
            <w:tcW w:w="1198" w:type="pct"/>
            <w:tcBorders>
              <w:bottom w:val="single" w:sz="4" w:space="0" w:color="auto"/>
            </w:tcBorders>
            <w:shd w:val="clear" w:color="auto" w:fill="auto"/>
            <w:vAlign w:val="center"/>
          </w:tcPr>
          <w:p w14:paraId="2BFA8A44" w14:textId="53FA6A15" w:rsidR="000D2C16" w:rsidRPr="00603AFC" w:rsidRDefault="00164331" w:rsidP="00306AFC">
            <w:pPr>
              <w:pStyle w:val="TableText0"/>
              <w:jc w:val="center"/>
              <w:rPr>
                <w:iCs/>
              </w:rPr>
            </w:pPr>
            <w:r w:rsidRPr="00164331">
              <w:rPr>
                <w:iCs/>
                <w:color w:val="000000"/>
                <w:shd w:val="solid" w:color="000000" w:fill="000000"/>
                <w14:textFill>
                  <w14:solidFill>
                    <w14:srgbClr w14:val="000000">
                      <w14:alpha w14:val="100000"/>
                    </w14:srgbClr>
                  </w14:solidFill>
                </w14:textFill>
              </w:rPr>
              <w:t>|</w:t>
            </w:r>
            <w:r w:rsidR="00F55FF5" w:rsidRPr="00F55FF5">
              <w:rPr>
                <w:iCs/>
                <w:vertAlign w:val="superscript"/>
              </w:rPr>
              <w:t>b</w:t>
            </w:r>
          </w:p>
        </w:tc>
        <w:tc>
          <w:tcPr>
            <w:tcW w:w="1201" w:type="pct"/>
            <w:tcBorders>
              <w:bottom w:val="single" w:sz="4" w:space="0" w:color="auto"/>
            </w:tcBorders>
            <w:shd w:val="clear" w:color="auto" w:fill="auto"/>
            <w:vAlign w:val="center"/>
          </w:tcPr>
          <w:p w14:paraId="45971BC2" w14:textId="041F98DC" w:rsidR="000D2C16" w:rsidRPr="00603AFC" w:rsidRDefault="00164331" w:rsidP="00306AFC">
            <w:pPr>
              <w:pStyle w:val="TableText0"/>
              <w:jc w:val="center"/>
              <w:rPr>
                <w:iCs/>
              </w:rPr>
            </w:pPr>
            <w:r w:rsidRPr="00164331">
              <w:rPr>
                <w:iCs/>
                <w:color w:val="000000"/>
                <w:shd w:val="solid" w:color="000000" w:fill="000000"/>
                <w14:textFill>
                  <w14:solidFill>
                    <w14:srgbClr w14:val="000000">
                      <w14:alpha w14:val="100000"/>
                    </w14:srgbClr>
                  </w14:solidFill>
                </w14:textFill>
              </w:rPr>
              <w:t>|</w:t>
            </w:r>
            <w:r w:rsidR="00F55FF5" w:rsidRPr="00F55FF5">
              <w:rPr>
                <w:iCs/>
                <w:vertAlign w:val="superscript"/>
              </w:rPr>
              <w:t>b</w:t>
            </w:r>
          </w:p>
        </w:tc>
      </w:tr>
      <w:tr w:rsidR="000D2C16" w:rsidRPr="0049552D" w14:paraId="01D62F3A" w14:textId="77777777" w:rsidTr="00164331">
        <w:trPr>
          <w:cantSplit/>
          <w:jc w:val="center"/>
        </w:trPr>
        <w:tc>
          <w:tcPr>
            <w:tcW w:w="1401" w:type="pct"/>
            <w:shd w:val="clear" w:color="auto" w:fill="auto"/>
            <w:vAlign w:val="center"/>
          </w:tcPr>
          <w:p w14:paraId="0A817D81" w14:textId="094A935C" w:rsidR="000D2C16" w:rsidRPr="0049552D" w:rsidRDefault="000D2C16" w:rsidP="00306AFC">
            <w:pPr>
              <w:pStyle w:val="TableText0"/>
            </w:pPr>
            <w:r w:rsidRPr="0049552D">
              <w:t>Cost/patient/year</w:t>
            </w:r>
            <w:r w:rsidR="00646959">
              <w:t xml:space="preserve"> ($)</w:t>
            </w:r>
          </w:p>
        </w:tc>
        <w:tc>
          <w:tcPr>
            <w:tcW w:w="1199" w:type="pct"/>
            <w:shd w:val="clear" w:color="auto" w:fill="auto"/>
            <w:vAlign w:val="center"/>
          </w:tcPr>
          <w:p w14:paraId="24B884E6" w14:textId="77777777" w:rsidR="000D2C16" w:rsidRPr="0049552D" w:rsidRDefault="000D2C16" w:rsidP="00306AFC">
            <w:pPr>
              <w:pStyle w:val="TableText0"/>
              <w:jc w:val="center"/>
            </w:pPr>
            <w:r w:rsidRPr="0049552D">
              <w:t>NA</w:t>
            </w:r>
          </w:p>
        </w:tc>
        <w:tc>
          <w:tcPr>
            <w:tcW w:w="1198" w:type="pct"/>
            <w:shd w:val="solid" w:color="000000" w:fill="000000"/>
            <w:vAlign w:val="center"/>
          </w:tcPr>
          <w:p w14:paraId="55CF2686" w14:textId="6B9BB3D0" w:rsidR="000D2C16" w:rsidRPr="00603AFC" w:rsidRDefault="00164331" w:rsidP="00306AFC">
            <w:pPr>
              <w:pStyle w:val="TableText0"/>
              <w:jc w:val="center"/>
              <w:rPr>
                <w:iCs/>
              </w:rPr>
            </w:pPr>
            <w:r w:rsidRPr="00164331">
              <w:rPr>
                <w:iCs/>
                <w:color w:val="000000"/>
                <w14:textFill>
                  <w14:solidFill>
                    <w14:srgbClr w14:val="000000">
                      <w14:alpha w14:val="100000"/>
                    </w14:srgbClr>
                  </w14:solidFill>
                </w14:textFill>
              </w:rPr>
              <w:t>|</w:t>
            </w:r>
          </w:p>
        </w:tc>
        <w:tc>
          <w:tcPr>
            <w:tcW w:w="1201" w:type="pct"/>
            <w:shd w:val="solid" w:color="000000" w:fill="000000"/>
            <w:vAlign w:val="center"/>
          </w:tcPr>
          <w:p w14:paraId="0705BAA6" w14:textId="06CE252A" w:rsidR="000D2C16" w:rsidRPr="00603AFC" w:rsidRDefault="00164331" w:rsidP="00306AFC">
            <w:pPr>
              <w:pStyle w:val="TableText0"/>
              <w:jc w:val="center"/>
              <w:rPr>
                <w:iCs/>
              </w:rPr>
            </w:pPr>
            <w:r w:rsidRPr="00164331">
              <w:rPr>
                <w:iCs/>
                <w:color w:val="000000"/>
                <w14:textFill>
                  <w14:solidFill>
                    <w14:srgbClr w14:val="000000">
                      <w14:alpha w14:val="100000"/>
                    </w14:srgbClr>
                  </w14:solidFill>
                </w14:textFill>
              </w:rPr>
              <w:t>|</w:t>
            </w:r>
          </w:p>
        </w:tc>
      </w:tr>
    </w:tbl>
    <w:p w14:paraId="10DE6B09" w14:textId="77777777" w:rsidR="000D2C16" w:rsidRPr="0049552D" w:rsidRDefault="000D2C16" w:rsidP="000D2C16">
      <w:pPr>
        <w:pStyle w:val="TableFigureFooter"/>
      </w:pPr>
      <w:r w:rsidRPr="0049552D">
        <w:t>Source: compiled during the evaluation</w:t>
      </w:r>
    </w:p>
    <w:p w14:paraId="3FBCFD22" w14:textId="77777777" w:rsidR="000D2C16" w:rsidRPr="0049552D" w:rsidRDefault="000D2C16" w:rsidP="000D2C16">
      <w:pPr>
        <w:pStyle w:val="TableFigureFooter"/>
      </w:pPr>
      <w:r w:rsidRPr="0049552D">
        <w:t xml:space="preserve">SOC costs not included as </w:t>
      </w:r>
      <w:proofErr w:type="spellStart"/>
      <w:r w:rsidRPr="0049552D">
        <w:t>anifrolumab</w:t>
      </w:r>
      <w:proofErr w:type="spellEnd"/>
      <w:r w:rsidRPr="0049552D">
        <w:t xml:space="preserve"> used in addition to SOC. In the financial estimates no SOC costs were included. In the model OCS costs differed between the </w:t>
      </w:r>
      <w:proofErr w:type="spellStart"/>
      <w:r w:rsidRPr="0049552D">
        <w:t>anifrolumab</w:t>
      </w:r>
      <w:proofErr w:type="spellEnd"/>
      <w:r w:rsidRPr="0049552D">
        <w:t xml:space="preserve"> and SOC arms but was not vastly different</w:t>
      </w:r>
    </w:p>
    <w:p w14:paraId="5047C90F" w14:textId="77777777" w:rsidR="000D2C16" w:rsidRPr="0049552D" w:rsidRDefault="000D2C16" w:rsidP="000D2C16">
      <w:pPr>
        <w:pStyle w:val="TableFigureFooter"/>
      </w:pPr>
      <w:r w:rsidRPr="0049552D">
        <w:t xml:space="preserve">Financial estimates used weighted public/private cost. </w:t>
      </w:r>
    </w:p>
    <w:p w14:paraId="6CF917C4" w14:textId="77777777" w:rsidR="000D2C16" w:rsidRDefault="000D2C16" w:rsidP="000D2C16">
      <w:pPr>
        <w:pStyle w:val="TableFigureFooter"/>
      </w:pPr>
      <w:r w:rsidRPr="0049552D">
        <w:t>Mean duration multiplied by per year cost does not give total cost reported in the model as model assumed half a cycle treatment costs for patients who discontinued treatment during that cycle.</w:t>
      </w:r>
    </w:p>
    <w:p w14:paraId="2B11B9CF" w14:textId="1461CFE3" w:rsidR="000D2C16" w:rsidRDefault="009A10D1" w:rsidP="000D2C16">
      <w:pPr>
        <w:pStyle w:val="TableFigureFooter"/>
      </w:pPr>
      <w:proofErr w:type="spellStart"/>
      <w:r w:rsidRPr="00295149">
        <w:t>a</w:t>
      </w:r>
      <w:proofErr w:type="spellEnd"/>
      <w:r w:rsidR="000D2C16" w:rsidRPr="009A10D1">
        <w:tab/>
      </w:r>
      <w:proofErr w:type="gramStart"/>
      <w:r w:rsidR="000D2C16" w:rsidRPr="009A10D1">
        <w:t>The</w:t>
      </w:r>
      <w:proofErr w:type="gramEnd"/>
      <w:r w:rsidR="000D2C16" w:rsidRPr="009A10D1">
        <w:t xml:space="preserve"> proportions of patients with at least 48 weeks of treatment was 81.1% in TULIP-1, 85.6% in TULIP-2 and 87.9% in MUSE.</w:t>
      </w:r>
    </w:p>
    <w:p w14:paraId="4B4DE6FA" w14:textId="212703BA" w:rsidR="00F55FF5" w:rsidRDefault="00295149" w:rsidP="000D2C16">
      <w:pPr>
        <w:pStyle w:val="TableFigureFooter"/>
      </w:pPr>
      <w:proofErr w:type="gramStart"/>
      <w:r>
        <w:t>b  The</w:t>
      </w:r>
      <w:proofErr w:type="gramEnd"/>
      <w:r>
        <w:t xml:space="preserve"> pre-PBAC response reduced the effective DPMQ (S100 HSD public) for </w:t>
      </w:r>
      <w:proofErr w:type="spellStart"/>
      <w:r>
        <w:t>anifrolumab</w:t>
      </w:r>
      <w:proofErr w:type="spellEnd"/>
      <w:r>
        <w:t xml:space="preserve"> from $</w:t>
      </w:r>
      <w:r w:rsidR="00164331" w:rsidRPr="00164331">
        <w:rPr>
          <w:color w:val="000000"/>
          <w:spacing w:val="9"/>
          <w:shd w:val="solid" w:color="000000" w:fill="000000"/>
          <w:fitText w:val="281" w:id="-1436282868"/>
          <w14:textFill>
            <w14:solidFill>
              <w14:srgbClr w14:val="000000">
                <w14:alpha w14:val="100000"/>
              </w14:srgbClr>
            </w14:solidFill>
          </w14:textFill>
        </w:rPr>
        <w:t>||  |</w:t>
      </w:r>
      <w:r w:rsidR="00164331" w:rsidRPr="00164331">
        <w:rPr>
          <w:color w:val="000000"/>
          <w:spacing w:val="1"/>
          <w:shd w:val="solid" w:color="000000" w:fill="000000"/>
          <w:fitText w:val="281" w:id="-1436282868"/>
          <w14:textFill>
            <w14:solidFill>
              <w14:srgbClr w14:val="000000">
                <w14:alpha w14:val="100000"/>
              </w14:srgbClr>
            </w14:solidFill>
          </w14:textFill>
        </w:rPr>
        <w:t>|</w:t>
      </w:r>
      <w:r>
        <w:t xml:space="preserve"> to $</w:t>
      </w:r>
      <w:r w:rsidR="00164331" w:rsidRPr="00164331">
        <w:rPr>
          <w:color w:val="000000"/>
          <w:spacing w:val="36"/>
          <w:shd w:val="solid" w:color="000000" w:fill="000000"/>
          <w:fitText w:val="268" w:id="-1436282867"/>
          <w14:textFill>
            <w14:solidFill>
              <w14:srgbClr w14:val="000000">
                <w14:alpha w14:val="100000"/>
              </w14:srgbClr>
            </w14:solidFill>
          </w14:textFill>
        </w:rPr>
        <w:t xml:space="preserve">|  </w:t>
      </w:r>
      <w:r w:rsidR="00164331" w:rsidRPr="00164331">
        <w:rPr>
          <w:color w:val="000000"/>
          <w:spacing w:val="2"/>
          <w:shd w:val="solid" w:color="000000" w:fill="000000"/>
          <w:fitText w:val="268" w:id="-1436282867"/>
          <w14:textFill>
            <w14:solidFill>
              <w14:srgbClr w14:val="000000">
                <w14:alpha w14:val="100000"/>
              </w14:srgbClr>
            </w14:solidFill>
          </w14:textFill>
        </w:rPr>
        <w:t>|</w:t>
      </w:r>
      <w:r>
        <w:t>.</w:t>
      </w:r>
    </w:p>
    <w:p w14:paraId="3A506797" w14:textId="39A2D057" w:rsidR="003C6454" w:rsidRDefault="003C6454" w:rsidP="000D2C16">
      <w:pPr>
        <w:pStyle w:val="TableFigureFooter"/>
      </w:pPr>
    </w:p>
    <w:p w14:paraId="16ECAEEF" w14:textId="77777777" w:rsidR="003C6454" w:rsidRDefault="003C6454" w:rsidP="003C6454">
      <w:pPr>
        <w:pStyle w:val="TableFigureFooter"/>
        <w:keepNext/>
        <w:spacing w:after="0"/>
        <w:contextualSpacing w:val="0"/>
        <w:rPr>
          <w:i/>
        </w:rPr>
      </w:pPr>
      <w:r w:rsidRPr="00E670E0">
        <w:rPr>
          <w:i/>
        </w:rPr>
        <w:t>The redacted values correspond to the following ranges:</w:t>
      </w:r>
    </w:p>
    <w:p w14:paraId="361F7432" w14:textId="52695DD0" w:rsidR="003C6454" w:rsidRPr="003C6454" w:rsidRDefault="003C6454" w:rsidP="000D2C16">
      <w:pPr>
        <w:pStyle w:val="TableFigureFooter"/>
      </w:pPr>
      <w:r>
        <w:rPr>
          <w:vertAlign w:val="superscript"/>
        </w:rPr>
        <w:t>1</w:t>
      </w:r>
      <w:r>
        <w:t>&lt; 500</w:t>
      </w:r>
    </w:p>
    <w:p w14:paraId="268768EF" w14:textId="3626F292" w:rsidR="00B60939" w:rsidRPr="00C9624D" w:rsidRDefault="00B60939" w:rsidP="002B05A1">
      <w:pPr>
        <w:pStyle w:val="4-SubsectionHeading"/>
      </w:pPr>
      <w:bookmarkStart w:id="75" w:name="_Toc22897647"/>
      <w:bookmarkStart w:id="76" w:name="_Toc103015540"/>
      <w:r w:rsidRPr="00C9624D">
        <w:t>Estimated PBS usage &amp; financial implications</w:t>
      </w:r>
      <w:bookmarkEnd w:id="75"/>
      <w:bookmarkEnd w:id="76"/>
    </w:p>
    <w:p w14:paraId="7F2E8238" w14:textId="3D0081AD" w:rsidR="008E6D28" w:rsidRPr="008E6D28" w:rsidRDefault="00567A68" w:rsidP="00567A68">
      <w:pPr>
        <w:pStyle w:val="3-BodyText"/>
        <w:rPr>
          <w:rFonts w:cstheme="minorHAnsi"/>
        </w:rPr>
      </w:pPr>
      <w:r w:rsidRPr="005B0FC8">
        <w:t xml:space="preserve">This submission </w:t>
      </w:r>
      <w:r w:rsidR="008E6D28">
        <w:t>was</w:t>
      </w:r>
      <w:r w:rsidRPr="005B0FC8">
        <w:t xml:space="preserve"> considered by DUSC. </w:t>
      </w:r>
    </w:p>
    <w:p w14:paraId="578F4358" w14:textId="77777777" w:rsidR="00942C22" w:rsidRPr="00942C22" w:rsidRDefault="00567A68" w:rsidP="00567A68">
      <w:pPr>
        <w:pStyle w:val="3-BodyText"/>
        <w:rPr>
          <w:rFonts w:cstheme="minorHAnsi"/>
        </w:rPr>
      </w:pPr>
      <w:r w:rsidRPr="0049552D">
        <w:t xml:space="preserve">The </w:t>
      </w:r>
      <w:r>
        <w:t xml:space="preserve">submission </w:t>
      </w:r>
      <w:r w:rsidRPr="0049552D">
        <w:t xml:space="preserve">used an epidemiological approach to estimate the financial impact of listing </w:t>
      </w:r>
      <w:proofErr w:type="spellStart"/>
      <w:r w:rsidRPr="0049552D">
        <w:t>anifrolumab</w:t>
      </w:r>
      <w:proofErr w:type="spellEnd"/>
      <w:r w:rsidRPr="0049552D">
        <w:t xml:space="preserve"> on the PBS. </w:t>
      </w:r>
      <w:r w:rsidRPr="008E6D28">
        <w:rPr>
          <w:rFonts w:cstheme="minorHAnsi"/>
        </w:rPr>
        <w:fldChar w:fldCharType="begin"/>
      </w:r>
      <w:r w:rsidRPr="008E6D28">
        <w:rPr>
          <w:rFonts w:cstheme="minorHAnsi"/>
        </w:rPr>
        <w:instrText xml:space="preserve"> REF _Ref102831111 </w:instrText>
      </w:r>
      <w:r w:rsidR="008E6D28" w:rsidRPr="008E6D28">
        <w:rPr>
          <w:rFonts w:cstheme="minorHAnsi"/>
        </w:rPr>
        <w:instrText xml:space="preserve"> \* MERGEFORMAT </w:instrText>
      </w:r>
      <w:r w:rsidRPr="008E6D28">
        <w:rPr>
          <w:rFonts w:cstheme="minorHAnsi"/>
        </w:rPr>
        <w:fldChar w:fldCharType="separate"/>
      </w:r>
    </w:p>
    <w:p w14:paraId="4A5B3424" w14:textId="5492F838" w:rsidR="00567A68" w:rsidRPr="009A0782" w:rsidRDefault="00942C22" w:rsidP="00567A68">
      <w:pPr>
        <w:pStyle w:val="3-BodyText"/>
        <w:rPr>
          <w:rFonts w:ascii="Arial Narrow" w:hAnsi="Arial Narrow"/>
          <w:b/>
          <w:sz w:val="20"/>
        </w:rPr>
      </w:pPr>
      <w:r w:rsidRPr="00942C22">
        <w:rPr>
          <w:rFonts w:cstheme="minorHAnsi"/>
        </w:rPr>
        <w:t xml:space="preserve">Table </w:t>
      </w:r>
      <w:r w:rsidRPr="00942C22">
        <w:rPr>
          <w:rFonts w:cstheme="minorHAnsi"/>
          <w:noProof/>
        </w:rPr>
        <w:t>12</w:t>
      </w:r>
      <w:r w:rsidR="00567A68" w:rsidRPr="008E6D28">
        <w:rPr>
          <w:rFonts w:cstheme="minorHAnsi"/>
          <w:noProof/>
        </w:rPr>
        <w:fldChar w:fldCharType="end"/>
      </w:r>
      <w:r w:rsidR="00567A68" w:rsidRPr="008E6D28">
        <w:rPr>
          <w:rFonts w:cstheme="minorHAnsi"/>
        </w:rPr>
        <w:t xml:space="preserve"> </w:t>
      </w:r>
      <w:r w:rsidR="00567A68" w:rsidRPr="0049552D">
        <w:t xml:space="preserve">summarises the sources of data and assumptions used in the financial estimates. No </w:t>
      </w:r>
      <w:r w:rsidR="003A7A0B">
        <w:t>offsets were included for reduced use of other PBS-listed medicines for SLE</w:t>
      </w:r>
      <w:r w:rsidR="00567A68" w:rsidRPr="0049552D">
        <w:t xml:space="preserve"> </w:t>
      </w:r>
      <w:r w:rsidR="00567A68" w:rsidRPr="00567A68">
        <w:rPr>
          <w:iCs/>
        </w:rPr>
        <w:t xml:space="preserve">which was reasonable as </w:t>
      </w:r>
      <w:proofErr w:type="spellStart"/>
      <w:r w:rsidR="00567A68" w:rsidRPr="00567A68">
        <w:rPr>
          <w:iCs/>
        </w:rPr>
        <w:t>anifrolumab</w:t>
      </w:r>
      <w:proofErr w:type="spellEnd"/>
      <w:r w:rsidR="00567A68" w:rsidRPr="00567A68">
        <w:rPr>
          <w:iCs/>
        </w:rPr>
        <w:t xml:space="preserve"> is expected to be used in addition to SOC, rather than replace it.</w:t>
      </w:r>
      <w:r w:rsidR="00567A68" w:rsidRPr="0049552D">
        <w:t xml:space="preserve"> </w:t>
      </w:r>
      <w:bookmarkStart w:id="77" w:name="_Ref102831111"/>
    </w:p>
    <w:p w14:paraId="27EC17FB" w14:textId="67754FEA" w:rsidR="00567A68" w:rsidRPr="005F5621" w:rsidRDefault="00567A68" w:rsidP="00567A68">
      <w:pPr>
        <w:pStyle w:val="3-BodyText"/>
        <w:keepNext/>
        <w:keepLines/>
        <w:numPr>
          <w:ilvl w:val="0"/>
          <w:numId w:val="0"/>
        </w:numPr>
        <w:spacing w:after="0"/>
        <w:rPr>
          <w:rStyle w:val="CommentReference"/>
          <w:szCs w:val="24"/>
        </w:rPr>
      </w:pPr>
      <w:r w:rsidRPr="009A0782">
        <w:rPr>
          <w:rFonts w:ascii="Arial Narrow" w:hAnsi="Arial Narrow"/>
          <w:b/>
          <w:bCs/>
          <w:sz w:val="20"/>
          <w:szCs w:val="20"/>
        </w:rPr>
        <w:lastRenderedPageBreak/>
        <w:t xml:space="preserve">Table </w:t>
      </w:r>
      <w:r w:rsidRPr="009A0782">
        <w:rPr>
          <w:rFonts w:ascii="Arial Narrow" w:hAnsi="Arial Narrow"/>
          <w:b/>
          <w:bCs/>
          <w:sz w:val="20"/>
          <w:szCs w:val="20"/>
        </w:rPr>
        <w:fldChar w:fldCharType="begin"/>
      </w:r>
      <w:r w:rsidRPr="009A0782">
        <w:rPr>
          <w:rFonts w:ascii="Arial Narrow" w:hAnsi="Arial Narrow"/>
          <w:b/>
          <w:bCs/>
          <w:sz w:val="20"/>
          <w:szCs w:val="20"/>
        </w:rPr>
        <w:instrText xml:space="preserve"> SEQ Table \* ARABIC </w:instrText>
      </w:r>
      <w:r w:rsidRPr="009A0782">
        <w:rPr>
          <w:rFonts w:ascii="Arial Narrow" w:hAnsi="Arial Narrow"/>
          <w:b/>
          <w:bCs/>
          <w:sz w:val="20"/>
          <w:szCs w:val="20"/>
        </w:rPr>
        <w:fldChar w:fldCharType="separate"/>
      </w:r>
      <w:r w:rsidR="00942C22">
        <w:rPr>
          <w:rFonts w:ascii="Arial Narrow" w:hAnsi="Arial Narrow"/>
          <w:b/>
          <w:bCs/>
          <w:noProof/>
          <w:sz w:val="20"/>
          <w:szCs w:val="20"/>
        </w:rPr>
        <w:t>12</w:t>
      </w:r>
      <w:r w:rsidRPr="009A0782">
        <w:rPr>
          <w:rFonts w:ascii="Arial Narrow" w:hAnsi="Arial Narrow"/>
          <w:b/>
          <w:bCs/>
          <w:noProof/>
          <w:sz w:val="20"/>
          <w:szCs w:val="20"/>
        </w:rPr>
        <w:fldChar w:fldCharType="end"/>
      </w:r>
      <w:bookmarkEnd w:id="77"/>
      <w:r w:rsidRPr="009A0782">
        <w:rPr>
          <w:rFonts w:ascii="Arial Narrow" w:hAnsi="Arial Narrow"/>
          <w:b/>
          <w:bCs/>
          <w:sz w:val="20"/>
          <w:szCs w:val="20"/>
        </w:rPr>
        <w:t>:</w:t>
      </w:r>
      <w:r w:rsidRPr="009A0782">
        <w:rPr>
          <w:rStyle w:val="CommentReference"/>
          <w:b w:val="0"/>
          <w:bCs/>
          <w:szCs w:val="20"/>
        </w:rPr>
        <w:t xml:space="preserve"> </w:t>
      </w:r>
      <w:r w:rsidRPr="005F5621">
        <w:rPr>
          <w:rStyle w:val="CommentReference"/>
          <w:szCs w:val="24"/>
        </w:rPr>
        <w:t>Data sources and parameter values applied in the utilisation and financial estimates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27"/>
        <w:gridCol w:w="2779"/>
        <w:gridCol w:w="4961"/>
      </w:tblGrid>
      <w:tr w:rsidR="00567A68" w:rsidRPr="00567A68" w14:paraId="4D4E89AE" w14:textId="77777777" w:rsidTr="00BA75BD">
        <w:trPr>
          <w:tblHeader/>
        </w:trPr>
        <w:tc>
          <w:tcPr>
            <w:tcW w:w="1327" w:type="dxa"/>
            <w:vAlign w:val="center"/>
          </w:tcPr>
          <w:p w14:paraId="2760B5ED" w14:textId="77777777" w:rsidR="00567A68" w:rsidRPr="00567A68" w:rsidRDefault="00567A68" w:rsidP="00BA75BD">
            <w:pPr>
              <w:pStyle w:val="In-tableHeading"/>
              <w:keepLines/>
            </w:pPr>
            <w:r w:rsidRPr="00567A68">
              <w:t>Data</w:t>
            </w:r>
          </w:p>
        </w:tc>
        <w:tc>
          <w:tcPr>
            <w:tcW w:w="2779" w:type="dxa"/>
            <w:vAlign w:val="center"/>
          </w:tcPr>
          <w:p w14:paraId="44301259" w14:textId="77777777" w:rsidR="00567A68" w:rsidRPr="00567A68" w:rsidRDefault="00567A68" w:rsidP="00BA75BD">
            <w:pPr>
              <w:pStyle w:val="In-tableHeading"/>
              <w:keepLines/>
              <w:jc w:val="center"/>
            </w:pPr>
            <w:r w:rsidRPr="00567A68">
              <w:t>Source</w:t>
            </w:r>
          </w:p>
        </w:tc>
        <w:tc>
          <w:tcPr>
            <w:tcW w:w="4961" w:type="dxa"/>
            <w:vAlign w:val="center"/>
          </w:tcPr>
          <w:p w14:paraId="033CC497" w14:textId="77777777" w:rsidR="00567A68" w:rsidRPr="00567A68" w:rsidRDefault="00567A68" w:rsidP="00BA75BD">
            <w:pPr>
              <w:pStyle w:val="In-tableHeading"/>
              <w:keepLines/>
              <w:jc w:val="center"/>
            </w:pPr>
            <w:r w:rsidRPr="00567A68">
              <w:t>Comment</w:t>
            </w:r>
          </w:p>
        </w:tc>
      </w:tr>
      <w:tr w:rsidR="00567A68" w:rsidRPr="00567A68" w14:paraId="2482E1A6" w14:textId="77777777" w:rsidTr="00BA75BD">
        <w:tc>
          <w:tcPr>
            <w:tcW w:w="9067" w:type="dxa"/>
            <w:gridSpan w:val="3"/>
            <w:vAlign w:val="center"/>
          </w:tcPr>
          <w:p w14:paraId="5904B439" w14:textId="77777777" w:rsidR="00567A68" w:rsidRPr="00567A68" w:rsidRDefault="00567A68" w:rsidP="00BA75BD">
            <w:pPr>
              <w:pStyle w:val="In-tableHeading"/>
              <w:keepLines/>
            </w:pPr>
            <w:r w:rsidRPr="00567A68">
              <w:t>Eligible population</w:t>
            </w:r>
          </w:p>
        </w:tc>
      </w:tr>
      <w:tr w:rsidR="00567A68" w:rsidRPr="00567A68" w14:paraId="31C4319C" w14:textId="77777777" w:rsidTr="00BA75BD">
        <w:tc>
          <w:tcPr>
            <w:tcW w:w="1327" w:type="dxa"/>
            <w:vAlign w:val="center"/>
          </w:tcPr>
          <w:p w14:paraId="4C176935" w14:textId="77777777" w:rsidR="00567A68" w:rsidRPr="00567A68" w:rsidRDefault="00567A68" w:rsidP="00BA75BD">
            <w:pPr>
              <w:pStyle w:val="TableText0"/>
              <w:keepLines/>
            </w:pPr>
            <w:r w:rsidRPr="00567A68">
              <w:t>Prevalent patients with SLE</w:t>
            </w:r>
          </w:p>
        </w:tc>
        <w:tc>
          <w:tcPr>
            <w:tcW w:w="2779" w:type="dxa"/>
            <w:vAlign w:val="center"/>
          </w:tcPr>
          <w:p w14:paraId="392BF02B" w14:textId="3277CA2E" w:rsidR="00567A68" w:rsidRPr="00567A68" w:rsidRDefault="00567A68" w:rsidP="00BA75BD">
            <w:pPr>
              <w:pStyle w:val="TableText0"/>
              <w:keepLines/>
            </w:pPr>
            <w:r w:rsidRPr="00567A68">
              <w:t>Australian adult population estimates (2023-2028) multiplied by prevalence of 9</w:t>
            </w:r>
            <w:r w:rsidR="00AC7D48">
              <w:t>4</w:t>
            </w:r>
            <w:r w:rsidR="001F6197">
              <w:t>.3</w:t>
            </w:r>
            <w:r w:rsidRPr="00567A68">
              <w:t xml:space="preserve"> in 100,000 based on Australian estimates. </w:t>
            </w:r>
          </w:p>
        </w:tc>
        <w:tc>
          <w:tcPr>
            <w:tcW w:w="4961" w:type="dxa"/>
            <w:vAlign w:val="center"/>
          </w:tcPr>
          <w:p w14:paraId="65A97A42" w14:textId="2410C5A6" w:rsidR="00567A68" w:rsidRPr="00567A68" w:rsidRDefault="00567A68" w:rsidP="00BA75BD">
            <w:pPr>
              <w:pStyle w:val="TableText0"/>
              <w:keepLines/>
            </w:pPr>
            <w:r w:rsidRPr="00567A68">
              <w:t xml:space="preserve">Prevalence was estimated from multiple literature sources with inverse weighted variance adjustment which inflated the estimated prevalence rate. </w:t>
            </w:r>
          </w:p>
        </w:tc>
      </w:tr>
      <w:tr w:rsidR="00567A68" w:rsidRPr="00567A68" w14:paraId="4BBDBABE" w14:textId="77777777" w:rsidTr="00BA75BD">
        <w:tc>
          <w:tcPr>
            <w:tcW w:w="1327" w:type="dxa"/>
            <w:vAlign w:val="center"/>
          </w:tcPr>
          <w:p w14:paraId="4EAFFC45" w14:textId="024E097B" w:rsidR="00567A68" w:rsidRPr="00567A68" w:rsidRDefault="00567A68" w:rsidP="00BA75BD">
            <w:pPr>
              <w:pStyle w:val="TableText0"/>
              <w:keepLines/>
            </w:pPr>
            <w:r w:rsidRPr="00567A68">
              <w:t>Eligible population: patients with SLEDAI-2K</w:t>
            </w:r>
            <w:r w:rsidR="008A5304">
              <w:t xml:space="preserve"> </w:t>
            </w:r>
            <w:r w:rsidRPr="00567A68">
              <w:t>≥10</w:t>
            </w:r>
          </w:p>
        </w:tc>
        <w:tc>
          <w:tcPr>
            <w:tcW w:w="2779" w:type="dxa"/>
            <w:vAlign w:val="center"/>
          </w:tcPr>
          <w:p w14:paraId="07B2B385" w14:textId="77777777" w:rsidR="00567A68" w:rsidRDefault="00567A68" w:rsidP="00BA75BD">
            <w:pPr>
              <w:pStyle w:val="TableText0"/>
              <w:keepLines/>
            </w:pPr>
            <w:r w:rsidRPr="00567A68">
              <w:t>Prevalent patients multiplied by 32.12% from ALRB data. This value could not be verified but appeared to correspond to 32.1% with at least one episode of SLEDAI-2K</w:t>
            </w:r>
            <w:r w:rsidR="001E20ED">
              <w:t xml:space="preserve"> </w:t>
            </w:r>
            <w:r w:rsidRPr="00567A68">
              <w:t xml:space="preserve">≥10 in the ALRB.  </w:t>
            </w:r>
          </w:p>
          <w:p w14:paraId="506DD1A9" w14:textId="353A574D" w:rsidR="001F6197" w:rsidRPr="00567A68" w:rsidRDefault="001F6197" w:rsidP="00BA75BD">
            <w:pPr>
              <w:pStyle w:val="TableText0"/>
              <w:keepLines/>
            </w:pPr>
            <w:r>
              <w:t xml:space="preserve">This was revised to 15.83% in the pre-PBAC response, which was stated to be </w:t>
            </w:r>
            <w:r w:rsidRPr="001F6197">
              <w:t>adapted from the IQVIA report</w:t>
            </w:r>
            <w:r>
              <w:t>.</w:t>
            </w:r>
          </w:p>
        </w:tc>
        <w:tc>
          <w:tcPr>
            <w:tcW w:w="4961" w:type="dxa"/>
            <w:vAlign w:val="center"/>
          </w:tcPr>
          <w:p w14:paraId="20111E22" w14:textId="3961A04F" w:rsidR="00567A68" w:rsidRPr="00567A68" w:rsidRDefault="00567A68" w:rsidP="00BA75BD">
            <w:pPr>
              <w:pStyle w:val="TableText0"/>
              <w:keepLines/>
            </w:pPr>
            <w:r w:rsidRPr="00567A68">
              <w:t>Th</w:t>
            </w:r>
            <w:r w:rsidR="001F6197">
              <w:t xml:space="preserve">e submission’s estimate of 32.12% was based on a </w:t>
            </w:r>
            <w:r w:rsidRPr="00567A68">
              <w:t xml:space="preserve">population </w:t>
            </w:r>
            <w:r w:rsidR="001F6197">
              <w:t>that did</w:t>
            </w:r>
            <w:r w:rsidR="001F6197" w:rsidRPr="00567A68">
              <w:t xml:space="preserve"> </w:t>
            </w:r>
            <w:r w:rsidRPr="00567A68">
              <w:t>not match the restriction criteria which also requires patients to be receiving triple therapy (incl OCS</w:t>
            </w:r>
            <w:r w:rsidR="001E20ED">
              <w:t xml:space="preserve"> </w:t>
            </w:r>
            <w:r w:rsidRPr="00567A68">
              <w:t xml:space="preserve">≥7.5mg/day). </w:t>
            </w:r>
            <w:bookmarkStart w:id="78" w:name="_Hlk110327781"/>
            <w:r w:rsidRPr="00567A68">
              <w:t xml:space="preserve">In the TULIP trials and ALRB data this subgroup was small (&lt;16% in TULIP and 14.42% in ALRB). In its consideration of belimumab for SLE, the PBAC </w:t>
            </w:r>
            <w:r w:rsidR="001F6197">
              <w:t xml:space="preserve">considered </w:t>
            </w:r>
            <w:r w:rsidRPr="00567A68">
              <w:t>the estimate of 15.36% may be an overestimate</w:t>
            </w:r>
            <w:r w:rsidR="008A5304">
              <w:t>,</w:t>
            </w:r>
            <w:r w:rsidRPr="00567A68">
              <w:t xml:space="preserve"> as two of the four experts’ opinions presented in the submission</w:t>
            </w:r>
            <w:r w:rsidR="001E20ED">
              <w:t xml:space="preserve"> were</w:t>
            </w:r>
            <w:r w:rsidRPr="00567A68">
              <w:t xml:space="preserve"> that 5% of all SLE patients may be considered for a biologic (para 6.63, belimumab PSD, November 2019).</w:t>
            </w:r>
            <w:r w:rsidR="001F6197">
              <w:t xml:space="preserve"> </w:t>
            </w:r>
            <w:bookmarkEnd w:id="78"/>
            <w:r w:rsidR="001F6197">
              <w:t xml:space="preserve">The pre-PBAC response argued </w:t>
            </w:r>
            <w:r w:rsidR="001F6197" w:rsidRPr="001F6197">
              <w:t xml:space="preserve">the PBS population proposed </w:t>
            </w:r>
            <w:r w:rsidR="001F6197">
              <w:t xml:space="preserve">for belimumab was </w:t>
            </w:r>
            <w:r w:rsidR="001F6197" w:rsidRPr="001F6197">
              <w:t xml:space="preserve">more restrictive than </w:t>
            </w:r>
            <w:proofErr w:type="spellStart"/>
            <w:r w:rsidR="001F6197" w:rsidRPr="001F6197">
              <w:t>anifrolumab</w:t>
            </w:r>
            <w:proofErr w:type="spellEnd"/>
            <w:r w:rsidR="001F6197" w:rsidRPr="001F6197">
              <w:t xml:space="preserve"> due to inclusion of serological restrictions.</w:t>
            </w:r>
          </w:p>
        </w:tc>
      </w:tr>
      <w:tr w:rsidR="00567A68" w:rsidRPr="00567A68" w14:paraId="6DF5E950" w14:textId="77777777" w:rsidTr="00BA75BD">
        <w:tc>
          <w:tcPr>
            <w:tcW w:w="9067" w:type="dxa"/>
            <w:gridSpan w:val="3"/>
            <w:vAlign w:val="center"/>
          </w:tcPr>
          <w:p w14:paraId="48B1F44C" w14:textId="77777777" w:rsidR="00567A68" w:rsidRPr="00567A68" w:rsidRDefault="00567A68" w:rsidP="00BA75BD">
            <w:pPr>
              <w:pStyle w:val="TableText0"/>
              <w:keepLines/>
              <w:rPr>
                <w:b/>
              </w:rPr>
            </w:pPr>
            <w:r w:rsidRPr="00567A68">
              <w:rPr>
                <w:b/>
              </w:rPr>
              <w:t>Treatment utilisation</w:t>
            </w:r>
          </w:p>
        </w:tc>
      </w:tr>
      <w:tr w:rsidR="00567A68" w:rsidRPr="00567A68" w14:paraId="29E56239" w14:textId="77777777" w:rsidTr="00BA75BD">
        <w:tc>
          <w:tcPr>
            <w:tcW w:w="1327" w:type="dxa"/>
            <w:vAlign w:val="center"/>
          </w:tcPr>
          <w:p w14:paraId="0E049CE0" w14:textId="77777777" w:rsidR="00567A68" w:rsidRPr="00567A68" w:rsidRDefault="00567A68" w:rsidP="00BA75BD">
            <w:pPr>
              <w:pStyle w:val="TableText0"/>
              <w:keepLines/>
            </w:pPr>
            <w:r w:rsidRPr="00567A68">
              <w:t>Uptake rate</w:t>
            </w:r>
          </w:p>
        </w:tc>
        <w:tc>
          <w:tcPr>
            <w:tcW w:w="2779" w:type="dxa"/>
            <w:vAlign w:val="center"/>
          </w:tcPr>
          <w:p w14:paraId="1F46D03A" w14:textId="13379BD5" w:rsidR="00567A68" w:rsidRDefault="00567A68" w:rsidP="00BA75BD">
            <w:pPr>
              <w:pStyle w:val="TableText0"/>
              <w:keepLines/>
            </w:pPr>
            <w:r w:rsidRPr="00567A68">
              <w:t>Assumption</w:t>
            </w:r>
            <w:r w:rsidR="00382031">
              <w:t xml:space="preserve">. Submission: </w:t>
            </w:r>
            <w:r w:rsidR="00164331" w:rsidRPr="00164331">
              <w:rPr>
                <w:color w:val="000000"/>
                <w:spacing w:val="55"/>
                <w:shd w:val="solid" w:color="000000" w:fill="000000"/>
                <w:fitText w:val="338" w:id="-1436282866"/>
                <w14:textFill>
                  <w14:solidFill>
                    <w14:srgbClr w14:val="000000">
                      <w14:alpha w14:val="100000"/>
                    </w14:srgbClr>
                  </w14:solidFill>
                </w14:textFill>
              </w:rPr>
              <w:t>|||</w:t>
            </w:r>
            <w:r w:rsidR="00164331" w:rsidRPr="00164331">
              <w:rPr>
                <w:color w:val="000000"/>
                <w:spacing w:val="3"/>
                <w:shd w:val="solid" w:color="000000" w:fill="000000"/>
                <w:fitText w:val="338" w:id="-1436282866"/>
                <w14:textFill>
                  <w14:solidFill>
                    <w14:srgbClr w14:val="000000">
                      <w14:alpha w14:val="100000"/>
                    </w14:srgbClr>
                  </w14:solidFill>
                </w14:textFill>
              </w:rPr>
              <w:t>|</w:t>
            </w:r>
            <w:r w:rsidRPr="00567A68">
              <w:t>% in Yr1</w:t>
            </w:r>
            <w:r w:rsidR="00382031">
              <w:t xml:space="preserve"> increasing</w:t>
            </w:r>
            <w:r w:rsidRPr="00567A68">
              <w:t xml:space="preserve"> to </w:t>
            </w:r>
            <w:r w:rsidR="00164331" w:rsidRPr="00164331">
              <w:rPr>
                <w:color w:val="000000"/>
                <w:spacing w:val="51"/>
                <w:shd w:val="solid" w:color="000000" w:fill="000000"/>
                <w:fitText w:val="325" w:id="-1436282865"/>
                <w14:textFill>
                  <w14:solidFill>
                    <w14:srgbClr w14:val="000000">
                      <w14:alpha w14:val="100000"/>
                    </w14:srgbClr>
                  </w14:solidFill>
                </w14:textFill>
              </w:rPr>
              <w:t>|||</w:t>
            </w:r>
            <w:r w:rsidR="00164331" w:rsidRPr="00164331">
              <w:rPr>
                <w:color w:val="000000"/>
                <w:spacing w:val="2"/>
                <w:shd w:val="solid" w:color="000000" w:fill="000000"/>
                <w:fitText w:val="325" w:id="-1436282865"/>
                <w14:textFill>
                  <w14:solidFill>
                    <w14:srgbClr w14:val="000000">
                      <w14:alpha w14:val="100000"/>
                    </w14:srgbClr>
                  </w14:solidFill>
                </w14:textFill>
              </w:rPr>
              <w:t>|</w:t>
            </w:r>
            <w:r w:rsidRPr="00567A68">
              <w:t>% in Yr6, similar to those suggested in para 6.72, belimumab PSD, July 2020.</w:t>
            </w:r>
          </w:p>
          <w:p w14:paraId="6202E5C2" w14:textId="59B0DE5E" w:rsidR="00382031" w:rsidRPr="00567A68" w:rsidRDefault="00382031" w:rsidP="00BA75BD">
            <w:pPr>
              <w:pStyle w:val="TableText0"/>
              <w:keepLines/>
            </w:pPr>
            <w:r>
              <w:t xml:space="preserve">Pre-PBAC response: </w:t>
            </w:r>
            <w:r w:rsidR="00164331" w:rsidRPr="00164331">
              <w:rPr>
                <w:color w:val="000000"/>
                <w:spacing w:val="51"/>
                <w:shd w:val="solid" w:color="000000" w:fill="000000"/>
                <w:fitText w:val="325" w:id="-1436282864"/>
                <w14:textFill>
                  <w14:solidFill>
                    <w14:srgbClr w14:val="000000">
                      <w14:alpha w14:val="100000"/>
                    </w14:srgbClr>
                  </w14:solidFill>
                </w14:textFill>
              </w:rPr>
              <w:t>|||</w:t>
            </w:r>
            <w:r w:rsidR="00164331" w:rsidRPr="00164331">
              <w:rPr>
                <w:color w:val="000000"/>
                <w:spacing w:val="2"/>
                <w:shd w:val="solid" w:color="000000" w:fill="000000"/>
                <w:fitText w:val="325" w:id="-1436282864"/>
                <w14:textFill>
                  <w14:solidFill>
                    <w14:srgbClr w14:val="000000">
                      <w14:alpha w14:val="100000"/>
                    </w14:srgbClr>
                  </w14:solidFill>
                </w14:textFill>
              </w:rPr>
              <w:t>|</w:t>
            </w:r>
            <w:r>
              <w:t xml:space="preserve">% in Yr1 increasing to </w:t>
            </w:r>
            <w:r w:rsidR="00164331" w:rsidRPr="00164331">
              <w:rPr>
                <w:color w:val="000000"/>
                <w:spacing w:val="51"/>
                <w:shd w:val="solid" w:color="000000" w:fill="000000"/>
                <w:fitText w:val="326" w:id="-1436282880"/>
                <w14:textFill>
                  <w14:solidFill>
                    <w14:srgbClr w14:val="000000">
                      <w14:alpha w14:val="100000"/>
                    </w14:srgbClr>
                  </w14:solidFill>
                </w14:textFill>
              </w:rPr>
              <w:t>|||</w:t>
            </w:r>
            <w:r w:rsidR="00164331" w:rsidRPr="00164331">
              <w:rPr>
                <w:color w:val="000000"/>
                <w:spacing w:val="3"/>
                <w:shd w:val="solid" w:color="000000" w:fill="000000"/>
                <w:fitText w:val="326" w:id="-1436282880"/>
                <w14:textFill>
                  <w14:solidFill>
                    <w14:srgbClr w14:val="000000">
                      <w14:alpha w14:val="100000"/>
                    </w14:srgbClr>
                  </w14:solidFill>
                </w14:textFill>
              </w:rPr>
              <w:t>|</w:t>
            </w:r>
            <w:r>
              <w:t>% in Yr6.</w:t>
            </w:r>
          </w:p>
        </w:tc>
        <w:tc>
          <w:tcPr>
            <w:tcW w:w="4961" w:type="dxa"/>
            <w:vAlign w:val="center"/>
          </w:tcPr>
          <w:p w14:paraId="24354002" w14:textId="4DF4E7FC" w:rsidR="00567A68" w:rsidRPr="00567A68" w:rsidRDefault="007D02ED" w:rsidP="00BA75BD">
            <w:pPr>
              <w:pStyle w:val="TableText0"/>
              <w:keepLines/>
            </w:pPr>
            <w:r w:rsidRPr="007D02ED">
              <w:t xml:space="preserve">DUSC considered that the static uptake rate of </w:t>
            </w:r>
            <w:r w:rsidR="00164331" w:rsidRPr="00164331">
              <w:rPr>
                <w:color w:val="000000"/>
                <w:spacing w:val="51"/>
                <w:shd w:val="solid" w:color="000000" w:fill="000000"/>
                <w:fitText w:val="326" w:id="-1436282879"/>
                <w14:textFill>
                  <w14:solidFill>
                    <w14:srgbClr w14:val="000000">
                      <w14:alpha w14:val="100000"/>
                    </w14:srgbClr>
                  </w14:solidFill>
                </w14:textFill>
              </w:rPr>
              <w:t>|||</w:t>
            </w:r>
            <w:r w:rsidR="00164331" w:rsidRPr="00164331">
              <w:rPr>
                <w:color w:val="000000"/>
                <w:spacing w:val="3"/>
                <w:shd w:val="solid" w:color="000000" w:fill="000000"/>
                <w:fitText w:val="326" w:id="-1436282879"/>
                <w14:textFill>
                  <w14:solidFill>
                    <w14:srgbClr w14:val="000000">
                      <w14:alpha w14:val="100000"/>
                    </w14:srgbClr>
                  </w14:solidFill>
                </w14:textFill>
              </w:rPr>
              <w:t>|</w:t>
            </w:r>
            <w:r w:rsidRPr="007D02ED">
              <w:t>% applied beyond Year 3 was unlikely to occur in practice</w:t>
            </w:r>
            <w:r>
              <w:t>.</w:t>
            </w:r>
          </w:p>
        </w:tc>
      </w:tr>
      <w:tr w:rsidR="00567A68" w:rsidRPr="00567A68" w14:paraId="3E76FC7C" w14:textId="77777777" w:rsidTr="00BA75BD">
        <w:tc>
          <w:tcPr>
            <w:tcW w:w="1327" w:type="dxa"/>
            <w:vAlign w:val="center"/>
          </w:tcPr>
          <w:p w14:paraId="5FF5E1D9" w14:textId="77777777" w:rsidR="00567A68" w:rsidRPr="00567A68" w:rsidRDefault="00567A68" w:rsidP="00BA75BD">
            <w:pPr>
              <w:pStyle w:val="TableText0"/>
              <w:keepLines/>
            </w:pPr>
            <w:r w:rsidRPr="00567A68">
              <w:t>Continuing patients 6-12 months</w:t>
            </w:r>
          </w:p>
        </w:tc>
        <w:tc>
          <w:tcPr>
            <w:tcW w:w="2779" w:type="dxa"/>
            <w:vAlign w:val="center"/>
          </w:tcPr>
          <w:p w14:paraId="76E6240F" w14:textId="77777777" w:rsidR="00567A68" w:rsidRPr="00567A68" w:rsidRDefault="00567A68" w:rsidP="00BA75BD">
            <w:pPr>
              <w:pStyle w:val="TableText0"/>
              <w:keepLines/>
            </w:pPr>
            <w:r w:rsidRPr="00567A68">
              <w:t xml:space="preserve">Initiating patients x 55.4% </w:t>
            </w:r>
          </w:p>
          <w:p w14:paraId="760258AB" w14:textId="77777777" w:rsidR="00567A68" w:rsidRPr="00567A68" w:rsidRDefault="00567A68" w:rsidP="00BA75BD">
            <w:pPr>
              <w:pStyle w:val="TableText0"/>
              <w:keepLines/>
            </w:pPr>
            <w:r w:rsidRPr="00567A68">
              <w:t>(44.6% initiating patients receive only 6 months of treatment)</w:t>
            </w:r>
          </w:p>
        </w:tc>
        <w:tc>
          <w:tcPr>
            <w:tcW w:w="4961" w:type="dxa"/>
            <w:vAlign w:val="center"/>
          </w:tcPr>
          <w:p w14:paraId="531096D3" w14:textId="264CF568" w:rsidR="00567A68" w:rsidRPr="00567A68" w:rsidRDefault="00567A68" w:rsidP="00BA75BD">
            <w:pPr>
              <w:pStyle w:val="TableText0"/>
              <w:keepLines/>
            </w:pPr>
            <w:r w:rsidRPr="00567A68">
              <w:t xml:space="preserve">Continuation at 6 months was lower than in the economic model. 100% </w:t>
            </w:r>
            <w:r w:rsidR="00474F3A">
              <w:t xml:space="preserve">of </w:t>
            </w:r>
            <w:r w:rsidRPr="00567A68">
              <w:t xml:space="preserve">patients who continued past 6 months of treatment received full year of treatment, </w:t>
            </w:r>
            <w:r w:rsidR="00474F3A">
              <w:t xml:space="preserve">which was </w:t>
            </w:r>
            <w:r w:rsidRPr="00567A68">
              <w:t>higher than estimated in the model (92.4%)</w:t>
            </w:r>
          </w:p>
        </w:tc>
      </w:tr>
      <w:tr w:rsidR="00567A68" w:rsidRPr="00567A68" w14:paraId="6DA66AF4" w14:textId="77777777" w:rsidTr="00BA75BD">
        <w:tc>
          <w:tcPr>
            <w:tcW w:w="1327" w:type="dxa"/>
            <w:vAlign w:val="center"/>
          </w:tcPr>
          <w:p w14:paraId="75C10719" w14:textId="77777777" w:rsidR="00567A68" w:rsidRPr="00567A68" w:rsidRDefault="00567A68" w:rsidP="00BA75BD">
            <w:pPr>
              <w:pStyle w:val="TableText0"/>
              <w:keepLines/>
            </w:pPr>
            <w:r w:rsidRPr="00567A68">
              <w:t>Continuing patients beyond 12 months</w:t>
            </w:r>
          </w:p>
        </w:tc>
        <w:tc>
          <w:tcPr>
            <w:tcW w:w="2779" w:type="dxa"/>
            <w:vAlign w:val="center"/>
          </w:tcPr>
          <w:p w14:paraId="093A330F" w14:textId="77777777" w:rsidR="00567A68" w:rsidRPr="00567A68" w:rsidRDefault="00567A68" w:rsidP="00BA75BD">
            <w:pPr>
              <w:pStyle w:val="TableText0"/>
              <w:keepLines/>
            </w:pPr>
            <w:r w:rsidRPr="00567A68">
              <w:t>Annual continuation rate 86.1% applied based on 3-year data from MUSE LTE.</w:t>
            </w:r>
          </w:p>
        </w:tc>
        <w:tc>
          <w:tcPr>
            <w:tcW w:w="4961" w:type="dxa"/>
            <w:vAlign w:val="center"/>
          </w:tcPr>
          <w:p w14:paraId="18C58C5C" w14:textId="4A4E3074" w:rsidR="00567A68" w:rsidRPr="00567A68" w:rsidRDefault="00567A68" w:rsidP="00BA75BD">
            <w:pPr>
              <w:pStyle w:val="TableText0"/>
              <w:keepLines/>
            </w:pPr>
            <w:r w:rsidRPr="00567A68">
              <w:t xml:space="preserve">Calculations matched </w:t>
            </w:r>
            <w:r w:rsidR="00924D77">
              <w:t xml:space="preserve">the </w:t>
            </w:r>
            <w:r w:rsidRPr="00567A68">
              <w:t>model calculations.</w:t>
            </w:r>
          </w:p>
        </w:tc>
      </w:tr>
      <w:tr w:rsidR="00567A68" w:rsidRPr="00567A68" w14:paraId="5E58964A" w14:textId="77777777" w:rsidTr="00BA75BD">
        <w:tc>
          <w:tcPr>
            <w:tcW w:w="1327" w:type="dxa"/>
            <w:vAlign w:val="center"/>
          </w:tcPr>
          <w:p w14:paraId="24620210" w14:textId="77777777" w:rsidR="00567A68" w:rsidRPr="00567A68" w:rsidRDefault="00567A68" w:rsidP="00BA75BD">
            <w:pPr>
              <w:pStyle w:val="TableText0"/>
              <w:keepLines/>
            </w:pPr>
            <w:r w:rsidRPr="00567A68">
              <w:t>Scripts dispensed</w:t>
            </w:r>
          </w:p>
        </w:tc>
        <w:tc>
          <w:tcPr>
            <w:tcW w:w="2779" w:type="dxa"/>
            <w:vAlign w:val="center"/>
          </w:tcPr>
          <w:p w14:paraId="5EF5D72F" w14:textId="5A2AE03B" w:rsidR="00567A68" w:rsidRPr="00567A68" w:rsidRDefault="00164331" w:rsidP="00BA75BD">
            <w:pPr>
              <w:pStyle w:val="TableText0"/>
              <w:keepLines/>
            </w:pPr>
            <w:r w:rsidRPr="00164331">
              <w:rPr>
                <w:color w:val="000000"/>
                <w:spacing w:val="51"/>
                <w:shd w:val="solid" w:color="000000" w:fill="000000"/>
                <w:fitText w:val="325" w:id="-1436282878"/>
                <w14:textFill>
                  <w14:solidFill>
                    <w14:srgbClr w14:val="000000">
                      <w14:alpha w14:val="100000"/>
                    </w14:srgbClr>
                  </w14:solidFill>
                </w14:textFill>
              </w:rPr>
              <w:t>|||</w:t>
            </w:r>
            <w:r w:rsidRPr="00164331">
              <w:rPr>
                <w:color w:val="000000"/>
                <w:spacing w:val="2"/>
                <w:shd w:val="solid" w:color="000000" w:fill="000000"/>
                <w:fitText w:val="325" w:id="-1436282878"/>
                <w14:textFill>
                  <w14:solidFill>
                    <w14:srgbClr w14:val="000000">
                      <w14:alpha w14:val="100000"/>
                    </w14:srgbClr>
                  </w14:solidFill>
                </w14:textFill>
              </w:rPr>
              <w:t>|</w:t>
            </w:r>
            <w:r w:rsidR="00D720A4">
              <w:rPr>
                <w:vertAlign w:val="superscript"/>
              </w:rPr>
              <w:t>1</w:t>
            </w:r>
            <w:r w:rsidR="00567A68" w:rsidRPr="00567A68">
              <w:t xml:space="preserve"> scripts per patient-year. 100% compliance assumed</w:t>
            </w:r>
          </w:p>
        </w:tc>
        <w:tc>
          <w:tcPr>
            <w:tcW w:w="4961" w:type="dxa"/>
            <w:vAlign w:val="center"/>
          </w:tcPr>
          <w:p w14:paraId="184D08D5" w14:textId="1653B796" w:rsidR="00567A68" w:rsidRPr="00567A68" w:rsidRDefault="00164331" w:rsidP="00BA75BD">
            <w:pPr>
              <w:pStyle w:val="TableText0"/>
              <w:keepLines/>
            </w:pPr>
            <w:r w:rsidRPr="00164331">
              <w:rPr>
                <w:color w:val="000000"/>
                <w:spacing w:val="51"/>
                <w:shd w:val="solid" w:color="000000" w:fill="000000"/>
                <w:fitText w:val="326" w:id="-1436282877"/>
                <w14:textFill>
                  <w14:solidFill>
                    <w14:srgbClr w14:val="000000">
                      <w14:alpha w14:val="100000"/>
                    </w14:srgbClr>
                  </w14:solidFill>
                </w14:textFill>
              </w:rPr>
              <w:t>|||</w:t>
            </w:r>
            <w:r w:rsidRPr="00164331">
              <w:rPr>
                <w:color w:val="000000"/>
                <w:spacing w:val="3"/>
                <w:shd w:val="solid" w:color="000000" w:fill="000000"/>
                <w:fitText w:val="326" w:id="-1436282877"/>
                <w14:textFill>
                  <w14:solidFill>
                    <w14:srgbClr w14:val="000000">
                      <w14:alpha w14:val="100000"/>
                    </w14:srgbClr>
                  </w14:solidFill>
                </w14:textFill>
              </w:rPr>
              <w:t>|</w:t>
            </w:r>
            <w:r w:rsidR="00D720A4">
              <w:rPr>
                <w:vertAlign w:val="superscript"/>
              </w:rPr>
              <w:t>1</w:t>
            </w:r>
            <w:r w:rsidR="00567A68" w:rsidRPr="00567A68">
              <w:t xml:space="preserve"> scripts per year used in the economic model</w:t>
            </w:r>
          </w:p>
        </w:tc>
      </w:tr>
      <w:tr w:rsidR="00567A68" w:rsidRPr="00567A68" w14:paraId="65F4534C" w14:textId="77777777" w:rsidTr="00BA75BD">
        <w:tc>
          <w:tcPr>
            <w:tcW w:w="9067" w:type="dxa"/>
            <w:gridSpan w:val="3"/>
            <w:vAlign w:val="center"/>
          </w:tcPr>
          <w:p w14:paraId="078A7698" w14:textId="77777777" w:rsidR="00567A68" w:rsidRPr="00567A68" w:rsidRDefault="00567A68" w:rsidP="00BA75BD">
            <w:pPr>
              <w:pStyle w:val="TableText0"/>
              <w:keepLines/>
              <w:rPr>
                <w:b/>
              </w:rPr>
            </w:pPr>
            <w:r w:rsidRPr="00567A68">
              <w:rPr>
                <w:b/>
              </w:rPr>
              <w:t>Costs</w:t>
            </w:r>
          </w:p>
        </w:tc>
      </w:tr>
      <w:tr w:rsidR="00567A68" w:rsidRPr="00567A68" w14:paraId="6E83C373" w14:textId="77777777" w:rsidTr="00BA75BD">
        <w:tc>
          <w:tcPr>
            <w:tcW w:w="1327" w:type="dxa"/>
            <w:vAlign w:val="center"/>
          </w:tcPr>
          <w:p w14:paraId="692C7FA5" w14:textId="77777777" w:rsidR="00567A68" w:rsidRPr="00567A68" w:rsidRDefault="00567A68" w:rsidP="00BA75BD">
            <w:pPr>
              <w:pStyle w:val="TableText0"/>
              <w:keepLines/>
            </w:pPr>
            <w:r w:rsidRPr="00567A68">
              <w:t>MBS costs</w:t>
            </w:r>
          </w:p>
        </w:tc>
        <w:tc>
          <w:tcPr>
            <w:tcW w:w="2779" w:type="dxa"/>
            <w:vAlign w:val="center"/>
          </w:tcPr>
          <w:p w14:paraId="6B29D280" w14:textId="77777777" w:rsidR="00567A68" w:rsidRPr="00567A68" w:rsidRDefault="00567A68" w:rsidP="00BA75BD">
            <w:pPr>
              <w:pStyle w:val="TableText0"/>
              <w:keepLines/>
            </w:pPr>
            <w:r w:rsidRPr="00567A68">
              <w:t>$81.52 based on MBS item 14245 (infusion cost for immunotherapy) at 80% rebate ($101.90 full fee)</w:t>
            </w:r>
          </w:p>
        </w:tc>
        <w:tc>
          <w:tcPr>
            <w:tcW w:w="4961" w:type="dxa"/>
            <w:vAlign w:val="center"/>
          </w:tcPr>
          <w:p w14:paraId="3E7D787A" w14:textId="77777777" w:rsidR="00567A68" w:rsidRPr="00567A68" w:rsidRDefault="00567A68" w:rsidP="00BA75BD">
            <w:pPr>
              <w:pStyle w:val="TableText0"/>
              <w:keepLines/>
            </w:pPr>
            <w:r w:rsidRPr="00567A68">
              <w:t>Reasonable</w:t>
            </w:r>
          </w:p>
        </w:tc>
      </w:tr>
    </w:tbl>
    <w:p w14:paraId="4FEDF888" w14:textId="77777777" w:rsidR="00567A68" w:rsidRPr="00567A68" w:rsidRDefault="00567A68" w:rsidP="00567A68">
      <w:pPr>
        <w:pStyle w:val="TableFigureFooter"/>
        <w:keepNext/>
        <w:keepLines/>
        <w:rPr>
          <w:iCs/>
        </w:rPr>
      </w:pPr>
      <w:r w:rsidRPr="0049552D">
        <w:t xml:space="preserve">Source: Tables 4.1-1, 4.1-4, 4.2-1, 4.2-2, 4.2-4, 4.2-5, 4.2-6, 4.2-7, 4.2-9 and Section 4.2.2, p172 of the submission and </w:t>
      </w:r>
      <w:r w:rsidRPr="00567A68">
        <w:rPr>
          <w:iCs/>
        </w:rPr>
        <w:t>complied during the evaluation</w:t>
      </w:r>
    </w:p>
    <w:p w14:paraId="776446A7" w14:textId="48E4E250" w:rsidR="00567A68" w:rsidRDefault="00567A68" w:rsidP="00567A68">
      <w:pPr>
        <w:pStyle w:val="TableFigureFooter"/>
        <w:keepNext/>
        <w:keepLines/>
      </w:pPr>
      <w:r w:rsidRPr="0049552D">
        <w:t xml:space="preserve">ALRB = Australian Lupus Registry and Biobank; </w:t>
      </w:r>
      <w:proofErr w:type="spellStart"/>
      <w:r w:rsidRPr="0049552D">
        <w:t>Yr</w:t>
      </w:r>
      <w:proofErr w:type="spellEnd"/>
      <w:r w:rsidRPr="0049552D">
        <w:t xml:space="preserve"> = year; </w:t>
      </w:r>
      <w:proofErr w:type="spellStart"/>
      <w:r w:rsidRPr="0049552D">
        <w:t>mth</w:t>
      </w:r>
      <w:proofErr w:type="spellEnd"/>
      <w:r w:rsidRPr="0049552D">
        <w:t xml:space="preserve"> = month</w:t>
      </w:r>
    </w:p>
    <w:p w14:paraId="0FCAFAB8" w14:textId="79012EA5" w:rsidR="00D720A4" w:rsidRDefault="00D720A4" w:rsidP="00567A68">
      <w:pPr>
        <w:pStyle w:val="TableFigureFooter"/>
        <w:keepNext/>
        <w:keepLines/>
      </w:pPr>
    </w:p>
    <w:p w14:paraId="489E21A0" w14:textId="77777777" w:rsidR="00D720A4" w:rsidRPr="00E670E0" w:rsidRDefault="00D720A4" w:rsidP="00D720A4">
      <w:pPr>
        <w:pStyle w:val="TableFigureFooter"/>
        <w:keepNext/>
        <w:spacing w:after="0"/>
        <w:contextualSpacing w:val="0"/>
        <w:rPr>
          <w:i/>
        </w:rPr>
      </w:pPr>
      <w:r w:rsidRPr="00E670E0">
        <w:rPr>
          <w:i/>
        </w:rPr>
        <w:t>The redacted values correspond to the following ranges:</w:t>
      </w:r>
    </w:p>
    <w:p w14:paraId="2B98172B" w14:textId="77777777" w:rsidR="00D720A4" w:rsidRPr="00D720A4" w:rsidRDefault="00D720A4" w:rsidP="00D720A4">
      <w:pPr>
        <w:ind w:right="147"/>
        <w:rPr>
          <w:rFonts w:ascii="Arial Narrow" w:hAnsi="Arial Narrow"/>
          <w:i/>
          <w:iCs/>
          <w:color w:val="333333"/>
          <w:sz w:val="18"/>
          <w:szCs w:val="18"/>
        </w:rPr>
      </w:pPr>
      <w:r w:rsidRPr="00D720A4">
        <w:rPr>
          <w:rFonts w:ascii="Arial Narrow" w:hAnsi="Arial Narrow"/>
          <w:i/>
          <w:iCs/>
          <w:sz w:val="18"/>
          <w:szCs w:val="18"/>
          <w:vertAlign w:val="superscript"/>
        </w:rPr>
        <w:t>1</w:t>
      </w:r>
      <w:r w:rsidRPr="00D720A4">
        <w:rPr>
          <w:rFonts w:ascii="Arial Narrow" w:hAnsi="Arial Narrow"/>
          <w:i/>
          <w:iCs/>
          <w:color w:val="333333"/>
          <w:sz w:val="18"/>
          <w:szCs w:val="18"/>
        </w:rPr>
        <w:t>&lt; 500</w:t>
      </w:r>
    </w:p>
    <w:p w14:paraId="3D676CEC" w14:textId="04BDA6B0" w:rsidR="00D720A4" w:rsidRPr="00D720A4" w:rsidRDefault="00D720A4" w:rsidP="00567A68">
      <w:pPr>
        <w:pStyle w:val="TableFigureFooter"/>
        <w:keepNext/>
        <w:keepLines/>
      </w:pPr>
    </w:p>
    <w:p w14:paraId="5CF77F49" w14:textId="52308666" w:rsidR="00567A68" w:rsidRPr="0049552D" w:rsidRDefault="00567A68" w:rsidP="00567A68">
      <w:pPr>
        <w:pStyle w:val="3-BodyText"/>
      </w:pPr>
      <w:r w:rsidRPr="0049552D">
        <w:t xml:space="preserve">A summary of the financial impact of </w:t>
      </w:r>
      <w:proofErr w:type="spellStart"/>
      <w:r w:rsidRPr="0049552D">
        <w:t>anifrolumab</w:t>
      </w:r>
      <w:proofErr w:type="spellEnd"/>
      <w:r w:rsidRPr="0049552D">
        <w:t xml:space="preserve"> for SLE is presented in </w:t>
      </w:r>
      <w:fldSimple w:instr=" REF _Ref102831169 ">
        <w:r w:rsidR="00942C22" w:rsidRPr="0049552D">
          <w:t xml:space="preserve">Table </w:t>
        </w:r>
        <w:r w:rsidR="00942C22">
          <w:rPr>
            <w:noProof/>
          </w:rPr>
          <w:t>13</w:t>
        </w:r>
      </w:fldSimple>
      <w:r w:rsidRPr="0049552D">
        <w:t xml:space="preserve">. </w:t>
      </w:r>
    </w:p>
    <w:p w14:paraId="1DDAEEDC" w14:textId="0A4B0C47" w:rsidR="00567A68" w:rsidRDefault="00567A68" w:rsidP="00567A68">
      <w:pPr>
        <w:pStyle w:val="TableFigureHeading"/>
        <w:keepLines/>
      </w:pPr>
      <w:bookmarkStart w:id="79" w:name="_Ref102831169"/>
      <w:r w:rsidRPr="0049552D">
        <w:lastRenderedPageBreak/>
        <w:t xml:space="preserve">Table </w:t>
      </w:r>
      <w:fldSimple w:instr=" SEQ Table \* ARABIC ">
        <w:r w:rsidR="00942C22">
          <w:rPr>
            <w:noProof/>
          </w:rPr>
          <w:t>13</w:t>
        </w:r>
      </w:fldSimple>
      <w:bookmarkEnd w:id="79"/>
      <w:r w:rsidRPr="0049552D">
        <w:t xml:space="preserve">: Estimation of number of treated patients, </w:t>
      </w:r>
      <w:proofErr w:type="gramStart"/>
      <w:r w:rsidRPr="0049552D">
        <w:t>prescriptions</w:t>
      </w:r>
      <w:proofErr w:type="gramEnd"/>
      <w:r w:rsidRPr="0049552D">
        <w:t xml:space="preserve"> and financial impact of proposed medicine</w:t>
      </w:r>
    </w:p>
    <w:tbl>
      <w:tblPr>
        <w:tblStyle w:val="TableGrid"/>
        <w:tblW w:w="0" w:type="auto"/>
        <w:tblLayout w:type="fixed"/>
        <w:tblCellMar>
          <w:left w:w="28" w:type="dxa"/>
          <w:right w:w="28" w:type="dxa"/>
        </w:tblCellMar>
        <w:tblLook w:val="04A0" w:firstRow="1" w:lastRow="0" w:firstColumn="1" w:lastColumn="0" w:noHBand="0" w:noVBand="1"/>
      </w:tblPr>
      <w:tblGrid>
        <w:gridCol w:w="1413"/>
        <w:gridCol w:w="1086"/>
        <w:gridCol w:w="1086"/>
        <w:gridCol w:w="1086"/>
        <w:gridCol w:w="1087"/>
        <w:gridCol w:w="1086"/>
        <w:gridCol w:w="1086"/>
        <w:gridCol w:w="1087"/>
      </w:tblGrid>
      <w:tr w:rsidR="00567A68" w:rsidRPr="004A5DB5" w14:paraId="3B279443" w14:textId="77777777" w:rsidTr="00172107">
        <w:trPr>
          <w:tblHeader/>
        </w:trPr>
        <w:tc>
          <w:tcPr>
            <w:tcW w:w="1413" w:type="dxa"/>
            <w:vAlign w:val="center"/>
          </w:tcPr>
          <w:p w14:paraId="730A3181" w14:textId="77777777" w:rsidR="00567A68" w:rsidRPr="004A5DB5" w:rsidRDefault="00567A68" w:rsidP="00BA75BD">
            <w:pPr>
              <w:pStyle w:val="TableText0"/>
              <w:keepLines/>
              <w:rPr>
                <w:szCs w:val="20"/>
              </w:rPr>
            </w:pPr>
          </w:p>
        </w:tc>
        <w:tc>
          <w:tcPr>
            <w:tcW w:w="1086" w:type="dxa"/>
            <w:shd w:val="clear" w:color="auto" w:fill="auto"/>
            <w:vAlign w:val="center"/>
          </w:tcPr>
          <w:p w14:paraId="691A1BEB" w14:textId="77777777" w:rsidR="00567A68" w:rsidRPr="004A5DB5" w:rsidRDefault="00567A68" w:rsidP="00BA75BD">
            <w:pPr>
              <w:pStyle w:val="TableFigureHeading"/>
              <w:keepLines/>
              <w:jc w:val="center"/>
              <w:rPr>
                <w:szCs w:val="20"/>
              </w:rPr>
            </w:pPr>
            <w:r w:rsidRPr="004A5DB5">
              <w:rPr>
                <w:szCs w:val="20"/>
              </w:rPr>
              <w:t>Year 1</w:t>
            </w:r>
          </w:p>
        </w:tc>
        <w:tc>
          <w:tcPr>
            <w:tcW w:w="1086" w:type="dxa"/>
            <w:shd w:val="clear" w:color="auto" w:fill="auto"/>
            <w:vAlign w:val="center"/>
          </w:tcPr>
          <w:p w14:paraId="29AE0287" w14:textId="77777777" w:rsidR="00567A68" w:rsidRPr="004A5DB5" w:rsidRDefault="00567A68" w:rsidP="00BA75BD">
            <w:pPr>
              <w:pStyle w:val="TableFigureHeading"/>
              <w:keepLines/>
              <w:jc w:val="center"/>
              <w:rPr>
                <w:szCs w:val="20"/>
              </w:rPr>
            </w:pPr>
            <w:r w:rsidRPr="004A5DB5">
              <w:rPr>
                <w:szCs w:val="20"/>
              </w:rPr>
              <w:t>Year 2</w:t>
            </w:r>
          </w:p>
        </w:tc>
        <w:tc>
          <w:tcPr>
            <w:tcW w:w="1086" w:type="dxa"/>
            <w:shd w:val="clear" w:color="auto" w:fill="auto"/>
            <w:vAlign w:val="center"/>
          </w:tcPr>
          <w:p w14:paraId="13A3CE10" w14:textId="77777777" w:rsidR="00567A68" w:rsidRPr="004A5DB5" w:rsidRDefault="00567A68" w:rsidP="00BA75BD">
            <w:pPr>
              <w:pStyle w:val="TableFigureHeading"/>
              <w:keepLines/>
              <w:jc w:val="center"/>
              <w:rPr>
                <w:szCs w:val="20"/>
              </w:rPr>
            </w:pPr>
            <w:r w:rsidRPr="004A5DB5">
              <w:rPr>
                <w:szCs w:val="20"/>
              </w:rPr>
              <w:t>Year 3</w:t>
            </w:r>
          </w:p>
        </w:tc>
        <w:tc>
          <w:tcPr>
            <w:tcW w:w="1087" w:type="dxa"/>
            <w:shd w:val="clear" w:color="auto" w:fill="auto"/>
            <w:vAlign w:val="center"/>
          </w:tcPr>
          <w:p w14:paraId="0E24E733" w14:textId="77777777" w:rsidR="00567A68" w:rsidRPr="004A5DB5" w:rsidRDefault="00567A68" w:rsidP="00BA75BD">
            <w:pPr>
              <w:pStyle w:val="TableFigureHeading"/>
              <w:keepLines/>
              <w:jc w:val="center"/>
              <w:rPr>
                <w:szCs w:val="20"/>
              </w:rPr>
            </w:pPr>
            <w:r w:rsidRPr="004A5DB5">
              <w:rPr>
                <w:szCs w:val="20"/>
              </w:rPr>
              <w:t>Year 4</w:t>
            </w:r>
          </w:p>
        </w:tc>
        <w:tc>
          <w:tcPr>
            <w:tcW w:w="1086" w:type="dxa"/>
            <w:shd w:val="clear" w:color="auto" w:fill="auto"/>
            <w:vAlign w:val="center"/>
          </w:tcPr>
          <w:p w14:paraId="38C64986" w14:textId="77777777" w:rsidR="00567A68" w:rsidRPr="004A5DB5" w:rsidRDefault="00567A68" w:rsidP="00BA75BD">
            <w:pPr>
              <w:pStyle w:val="TableFigureHeading"/>
              <w:keepLines/>
              <w:jc w:val="center"/>
              <w:rPr>
                <w:szCs w:val="20"/>
              </w:rPr>
            </w:pPr>
            <w:r w:rsidRPr="004A5DB5">
              <w:rPr>
                <w:szCs w:val="20"/>
              </w:rPr>
              <w:t>Year 5</w:t>
            </w:r>
          </w:p>
        </w:tc>
        <w:tc>
          <w:tcPr>
            <w:tcW w:w="1086" w:type="dxa"/>
            <w:shd w:val="clear" w:color="auto" w:fill="auto"/>
            <w:vAlign w:val="center"/>
          </w:tcPr>
          <w:p w14:paraId="29FF63C9" w14:textId="77777777" w:rsidR="00567A68" w:rsidRPr="004A5DB5" w:rsidRDefault="00567A68" w:rsidP="00BA75BD">
            <w:pPr>
              <w:pStyle w:val="TableFigureHeading"/>
              <w:keepLines/>
              <w:jc w:val="center"/>
              <w:rPr>
                <w:szCs w:val="20"/>
              </w:rPr>
            </w:pPr>
            <w:r w:rsidRPr="004A5DB5">
              <w:rPr>
                <w:szCs w:val="20"/>
              </w:rPr>
              <w:t>Year 6</w:t>
            </w:r>
          </w:p>
        </w:tc>
        <w:tc>
          <w:tcPr>
            <w:tcW w:w="1087" w:type="dxa"/>
            <w:vAlign w:val="center"/>
          </w:tcPr>
          <w:p w14:paraId="45A3E226" w14:textId="77777777" w:rsidR="00567A68" w:rsidRPr="004A5DB5" w:rsidRDefault="00567A68" w:rsidP="00BA75BD">
            <w:pPr>
              <w:pStyle w:val="TableFigureHeading"/>
              <w:keepLines/>
              <w:jc w:val="center"/>
              <w:rPr>
                <w:szCs w:val="20"/>
              </w:rPr>
            </w:pPr>
            <w:r w:rsidRPr="004A5DB5">
              <w:rPr>
                <w:szCs w:val="20"/>
              </w:rPr>
              <w:t>Total</w:t>
            </w:r>
          </w:p>
        </w:tc>
      </w:tr>
      <w:tr w:rsidR="00567A68" w:rsidRPr="004A5DB5" w14:paraId="6C8B75CA" w14:textId="77777777" w:rsidTr="00BA75BD">
        <w:tc>
          <w:tcPr>
            <w:tcW w:w="9017" w:type="dxa"/>
            <w:gridSpan w:val="8"/>
          </w:tcPr>
          <w:p w14:paraId="786F9A9D" w14:textId="77777777" w:rsidR="00567A68" w:rsidRPr="004A5DB5" w:rsidRDefault="00567A68" w:rsidP="00BA75BD">
            <w:pPr>
              <w:pStyle w:val="In-tableHeading"/>
              <w:keepLines/>
              <w:rPr>
                <w:szCs w:val="20"/>
              </w:rPr>
            </w:pPr>
            <w:r w:rsidRPr="004A5DB5">
              <w:rPr>
                <w:szCs w:val="20"/>
              </w:rPr>
              <w:t>Patients</w:t>
            </w:r>
          </w:p>
        </w:tc>
      </w:tr>
      <w:tr w:rsidR="00567A68" w:rsidRPr="004A5DB5" w14:paraId="28819464" w14:textId="77777777" w:rsidTr="00164331">
        <w:tc>
          <w:tcPr>
            <w:tcW w:w="1413" w:type="dxa"/>
          </w:tcPr>
          <w:p w14:paraId="3D32B0DB" w14:textId="77777777" w:rsidR="00567A68" w:rsidRPr="004A5DB5" w:rsidRDefault="00567A68" w:rsidP="00BA75BD">
            <w:pPr>
              <w:pStyle w:val="TableText0"/>
              <w:keepLines/>
              <w:rPr>
                <w:szCs w:val="20"/>
              </w:rPr>
            </w:pPr>
            <w:r w:rsidRPr="004A5DB5">
              <w:rPr>
                <w:szCs w:val="20"/>
              </w:rPr>
              <w:t>SLE pop.</w:t>
            </w:r>
          </w:p>
        </w:tc>
        <w:tc>
          <w:tcPr>
            <w:tcW w:w="1086" w:type="dxa"/>
            <w:vAlign w:val="center"/>
          </w:tcPr>
          <w:p w14:paraId="5CB79FBE" w14:textId="50AFD7F3" w:rsidR="00567A68" w:rsidRPr="00646959" w:rsidRDefault="00164331" w:rsidP="00BA75BD">
            <w:pPr>
              <w:pStyle w:val="TableText0"/>
              <w:keepLines/>
              <w:jc w:val="center"/>
              <w:rPr>
                <w:szCs w:val="20"/>
                <w:highlight w:val="lightGray"/>
                <w:vertAlign w:val="superscript"/>
              </w:rPr>
            </w:pPr>
            <w:r w:rsidRPr="00164331">
              <w:rPr>
                <w:rFonts w:hint="eastAsia"/>
                <w:color w:val="000000"/>
                <w:w w:val="15"/>
                <w:szCs w:val="20"/>
                <w:shd w:val="solid" w:color="000000" w:fill="000000"/>
                <w:fitText w:val="62" w:id="-1436282876"/>
                <w14:textFill>
                  <w14:solidFill>
                    <w14:srgbClr w14:val="000000">
                      <w14:alpha w14:val="100000"/>
                    </w14:srgbClr>
                  </w14:solidFill>
                </w14:textFill>
              </w:rPr>
              <w:t xml:space="preserve">　</w:t>
            </w:r>
            <w:r w:rsidRPr="00164331">
              <w:rPr>
                <w:color w:val="000000"/>
                <w:w w:val="15"/>
                <w:szCs w:val="20"/>
                <w:shd w:val="solid" w:color="000000" w:fill="000000"/>
                <w:fitText w:val="62" w:id="-1436282876"/>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876"/>
                <w14:textFill>
                  <w14:solidFill>
                    <w14:srgbClr w14:val="000000">
                      <w14:alpha w14:val="100000"/>
                    </w14:srgbClr>
                  </w14:solidFill>
                </w14:textFill>
              </w:rPr>
              <w:t xml:space="preserve">　</w:t>
            </w:r>
            <w:r w:rsidR="00646959" w:rsidRPr="00646959">
              <w:rPr>
                <w:szCs w:val="20"/>
                <w:vertAlign w:val="superscript"/>
              </w:rPr>
              <w:t>1</w:t>
            </w:r>
          </w:p>
        </w:tc>
        <w:tc>
          <w:tcPr>
            <w:tcW w:w="1086" w:type="dxa"/>
            <w:vAlign w:val="center"/>
          </w:tcPr>
          <w:p w14:paraId="0B78223B" w14:textId="3C4C6B05"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3" w:id="-1436282875"/>
                <w14:textFill>
                  <w14:solidFill>
                    <w14:srgbClr w14:val="000000">
                      <w14:alpha w14:val="100000"/>
                    </w14:srgbClr>
                  </w14:solidFill>
                </w14:textFill>
              </w:rPr>
              <w:t xml:space="preserve">　</w:t>
            </w:r>
            <w:r w:rsidRPr="00164331">
              <w:rPr>
                <w:color w:val="000000"/>
                <w:w w:val="15"/>
                <w:szCs w:val="20"/>
                <w:shd w:val="solid" w:color="000000" w:fill="000000"/>
                <w:fitText w:val="63" w:id="-1436282875"/>
                <w14:textFill>
                  <w14:solidFill>
                    <w14:srgbClr w14:val="000000">
                      <w14:alpha w14:val="100000"/>
                    </w14:srgbClr>
                  </w14:solidFill>
                </w14:textFill>
              </w:rPr>
              <w:t>|</w:t>
            </w:r>
            <w:r w:rsidRPr="00164331">
              <w:rPr>
                <w:rFonts w:hint="eastAsia"/>
                <w:color w:val="000000"/>
                <w:spacing w:val="-2"/>
                <w:w w:val="15"/>
                <w:szCs w:val="20"/>
                <w:shd w:val="solid" w:color="000000" w:fill="000000"/>
                <w:fitText w:val="63" w:id="-1436282875"/>
                <w14:textFill>
                  <w14:solidFill>
                    <w14:srgbClr w14:val="000000">
                      <w14:alpha w14:val="100000"/>
                    </w14:srgbClr>
                  </w14:solidFill>
                </w14:textFill>
              </w:rPr>
              <w:t xml:space="preserve">　</w:t>
            </w:r>
            <w:r w:rsidR="00646959" w:rsidRPr="00646959">
              <w:rPr>
                <w:szCs w:val="20"/>
                <w:vertAlign w:val="superscript"/>
              </w:rPr>
              <w:t>4</w:t>
            </w:r>
          </w:p>
        </w:tc>
        <w:tc>
          <w:tcPr>
            <w:tcW w:w="1086" w:type="dxa"/>
            <w:vAlign w:val="center"/>
          </w:tcPr>
          <w:p w14:paraId="1AC5DB9F" w14:textId="07BD87FB"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3" w:id="-1436282874"/>
                <w14:textFill>
                  <w14:solidFill>
                    <w14:srgbClr w14:val="000000">
                      <w14:alpha w14:val="100000"/>
                    </w14:srgbClr>
                  </w14:solidFill>
                </w14:textFill>
              </w:rPr>
              <w:t xml:space="preserve">　</w:t>
            </w:r>
            <w:r w:rsidRPr="00164331">
              <w:rPr>
                <w:color w:val="000000"/>
                <w:w w:val="15"/>
                <w:szCs w:val="20"/>
                <w:shd w:val="solid" w:color="000000" w:fill="000000"/>
                <w:fitText w:val="63" w:id="-1436282874"/>
                <w14:textFill>
                  <w14:solidFill>
                    <w14:srgbClr w14:val="000000">
                      <w14:alpha w14:val="100000"/>
                    </w14:srgbClr>
                  </w14:solidFill>
                </w14:textFill>
              </w:rPr>
              <w:t>|</w:t>
            </w:r>
            <w:r w:rsidRPr="00164331">
              <w:rPr>
                <w:rFonts w:hint="eastAsia"/>
                <w:color w:val="000000"/>
                <w:spacing w:val="-2"/>
                <w:w w:val="15"/>
                <w:szCs w:val="20"/>
                <w:shd w:val="solid" w:color="000000" w:fill="000000"/>
                <w:fitText w:val="63" w:id="-1436282874"/>
                <w14:textFill>
                  <w14:solidFill>
                    <w14:srgbClr w14:val="000000">
                      <w14:alpha w14:val="100000"/>
                    </w14:srgbClr>
                  </w14:solidFill>
                </w14:textFill>
              </w:rPr>
              <w:t xml:space="preserve">　</w:t>
            </w:r>
            <w:r w:rsidR="00646959" w:rsidRPr="00646959">
              <w:rPr>
                <w:szCs w:val="20"/>
                <w:vertAlign w:val="superscript"/>
              </w:rPr>
              <w:t>4</w:t>
            </w:r>
          </w:p>
        </w:tc>
        <w:tc>
          <w:tcPr>
            <w:tcW w:w="1087" w:type="dxa"/>
            <w:vAlign w:val="center"/>
          </w:tcPr>
          <w:p w14:paraId="3387205B" w14:textId="4864EA7F"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2" w:id="-1436282873"/>
                <w14:textFill>
                  <w14:solidFill>
                    <w14:srgbClr w14:val="000000">
                      <w14:alpha w14:val="100000"/>
                    </w14:srgbClr>
                  </w14:solidFill>
                </w14:textFill>
              </w:rPr>
              <w:t xml:space="preserve">　</w:t>
            </w:r>
            <w:r w:rsidRPr="00164331">
              <w:rPr>
                <w:color w:val="000000"/>
                <w:w w:val="15"/>
                <w:szCs w:val="20"/>
                <w:shd w:val="solid" w:color="000000" w:fill="000000"/>
                <w:fitText w:val="62" w:id="-1436282873"/>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873"/>
                <w14:textFill>
                  <w14:solidFill>
                    <w14:srgbClr w14:val="000000">
                      <w14:alpha w14:val="100000"/>
                    </w14:srgbClr>
                  </w14:solidFill>
                </w14:textFill>
              </w:rPr>
              <w:t xml:space="preserve">　</w:t>
            </w:r>
            <w:r w:rsidR="00646959" w:rsidRPr="00646959">
              <w:rPr>
                <w:szCs w:val="20"/>
                <w:vertAlign w:val="superscript"/>
              </w:rPr>
              <w:t>4</w:t>
            </w:r>
          </w:p>
        </w:tc>
        <w:tc>
          <w:tcPr>
            <w:tcW w:w="1086" w:type="dxa"/>
            <w:vAlign w:val="center"/>
          </w:tcPr>
          <w:p w14:paraId="61F1025F" w14:textId="341CA6EC"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2" w:id="-1436282872"/>
                <w14:textFill>
                  <w14:solidFill>
                    <w14:srgbClr w14:val="000000">
                      <w14:alpha w14:val="100000"/>
                    </w14:srgbClr>
                  </w14:solidFill>
                </w14:textFill>
              </w:rPr>
              <w:t xml:space="preserve">　</w:t>
            </w:r>
            <w:r w:rsidRPr="00164331">
              <w:rPr>
                <w:color w:val="000000"/>
                <w:w w:val="15"/>
                <w:szCs w:val="20"/>
                <w:shd w:val="solid" w:color="000000" w:fill="000000"/>
                <w:fitText w:val="62" w:id="-1436282872"/>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872"/>
                <w14:textFill>
                  <w14:solidFill>
                    <w14:srgbClr w14:val="000000">
                      <w14:alpha w14:val="100000"/>
                    </w14:srgbClr>
                  </w14:solidFill>
                </w14:textFill>
              </w:rPr>
              <w:t xml:space="preserve">　</w:t>
            </w:r>
            <w:r w:rsidR="00646959" w:rsidRPr="00646959">
              <w:rPr>
                <w:szCs w:val="20"/>
                <w:vertAlign w:val="superscript"/>
              </w:rPr>
              <w:t>4</w:t>
            </w:r>
          </w:p>
        </w:tc>
        <w:tc>
          <w:tcPr>
            <w:tcW w:w="1086" w:type="dxa"/>
            <w:vAlign w:val="center"/>
          </w:tcPr>
          <w:p w14:paraId="75F4E301" w14:textId="2B99E94F"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3" w:id="-1436282871"/>
                <w14:textFill>
                  <w14:solidFill>
                    <w14:srgbClr w14:val="000000">
                      <w14:alpha w14:val="100000"/>
                    </w14:srgbClr>
                  </w14:solidFill>
                </w14:textFill>
              </w:rPr>
              <w:t xml:space="preserve">　</w:t>
            </w:r>
            <w:r w:rsidRPr="00164331">
              <w:rPr>
                <w:color w:val="000000"/>
                <w:w w:val="15"/>
                <w:szCs w:val="20"/>
                <w:shd w:val="solid" w:color="000000" w:fill="000000"/>
                <w:fitText w:val="63" w:id="-1436282871"/>
                <w14:textFill>
                  <w14:solidFill>
                    <w14:srgbClr w14:val="000000">
                      <w14:alpha w14:val="100000"/>
                    </w14:srgbClr>
                  </w14:solidFill>
                </w14:textFill>
              </w:rPr>
              <w:t>|</w:t>
            </w:r>
            <w:r w:rsidRPr="00164331">
              <w:rPr>
                <w:rFonts w:hint="eastAsia"/>
                <w:color w:val="000000"/>
                <w:spacing w:val="-2"/>
                <w:w w:val="15"/>
                <w:szCs w:val="20"/>
                <w:shd w:val="solid" w:color="000000" w:fill="000000"/>
                <w:fitText w:val="63" w:id="-1436282871"/>
                <w14:textFill>
                  <w14:solidFill>
                    <w14:srgbClr w14:val="000000">
                      <w14:alpha w14:val="100000"/>
                    </w14:srgbClr>
                  </w14:solidFill>
                </w14:textFill>
              </w:rPr>
              <w:t xml:space="preserve">　</w:t>
            </w:r>
            <w:r w:rsidR="00646959" w:rsidRPr="00646959">
              <w:rPr>
                <w:szCs w:val="20"/>
                <w:vertAlign w:val="superscript"/>
              </w:rPr>
              <w:t>4</w:t>
            </w:r>
          </w:p>
        </w:tc>
        <w:tc>
          <w:tcPr>
            <w:tcW w:w="1087" w:type="dxa"/>
            <w:shd w:val="solid" w:color="000000" w:fill="000000"/>
            <w:vAlign w:val="center"/>
          </w:tcPr>
          <w:p w14:paraId="4EB59E2A" w14:textId="1F8AE7B8" w:rsidR="00567A68" w:rsidRPr="00646959" w:rsidRDefault="00164331" w:rsidP="00BA75BD">
            <w:pPr>
              <w:pStyle w:val="TableText0"/>
              <w:keepLines/>
              <w:jc w:val="center"/>
              <w:rPr>
                <w:iCs/>
                <w:szCs w:val="20"/>
                <w:highlight w:val="lightGray"/>
              </w:rPr>
            </w:pPr>
            <w:r w:rsidRPr="00164331">
              <w:rPr>
                <w:rFonts w:hint="eastAsia"/>
                <w:iCs/>
                <w:color w:val="000000"/>
                <w:w w:val="15"/>
                <w:szCs w:val="20"/>
                <w:fitText w:val="37" w:id="-1436282870"/>
                <w14:textFill>
                  <w14:solidFill>
                    <w14:srgbClr w14:val="000000">
                      <w14:alpha w14:val="100000"/>
                    </w14:srgbClr>
                  </w14:solidFill>
                </w14:textFill>
              </w:rPr>
              <w:t xml:space="preserve">　</w:t>
            </w:r>
            <w:r w:rsidRPr="00164331">
              <w:rPr>
                <w:iCs/>
                <w:color w:val="000000"/>
                <w:w w:val="15"/>
                <w:szCs w:val="20"/>
                <w:fitText w:val="37" w:id="-1436282870"/>
                <w14:textFill>
                  <w14:solidFill>
                    <w14:srgbClr w14:val="000000">
                      <w14:alpha w14:val="100000"/>
                    </w14:srgbClr>
                  </w14:solidFill>
                </w14:textFill>
              </w:rPr>
              <w:t>|</w:t>
            </w:r>
            <w:r w:rsidRPr="00164331">
              <w:rPr>
                <w:rFonts w:hint="eastAsia"/>
                <w:iCs/>
                <w:color w:val="000000"/>
                <w:spacing w:val="-28"/>
                <w:w w:val="15"/>
                <w:szCs w:val="20"/>
                <w:fitText w:val="37" w:id="-1436282870"/>
                <w14:textFill>
                  <w14:solidFill>
                    <w14:srgbClr w14:val="000000">
                      <w14:alpha w14:val="100000"/>
                    </w14:srgbClr>
                  </w14:solidFill>
                </w14:textFill>
              </w:rPr>
              <w:t xml:space="preserve">　</w:t>
            </w:r>
          </w:p>
        </w:tc>
      </w:tr>
      <w:tr w:rsidR="00567A68" w:rsidRPr="004A5DB5" w14:paraId="0A868CBA" w14:textId="77777777" w:rsidTr="00164331">
        <w:tc>
          <w:tcPr>
            <w:tcW w:w="1413" w:type="dxa"/>
          </w:tcPr>
          <w:p w14:paraId="0E267FB9" w14:textId="77777777" w:rsidR="00567A68" w:rsidRPr="004A5DB5" w:rsidRDefault="00567A68" w:rsidP="00BA75BD">
            <w:pPr>
              <w:pStyle w:val="TableText0"/>
              <w:keepLines/>
              <w:rPr>
                <w:szCs w:val="20"/>
              </w:rPr>
            </w:pPr>
            <w:r w:rsidRPr="004A5DB5">
              <w:rPr>
                <w:szCs w:val="20"/>
              </w:rPr>
              <w:t>Eligible pop.</w:t>
            </w:r>
          </w:p>
        </w:tc>
        <w:tc>
          <w:tcPr>
            <w:tcW w:w="1086" w:type="dxa"/>
            <w:tcBorders>
              <w:bottom w:val="single" w:sz="4" w:space="0" w:color="auto"/>
            </w:tcBorders>
            <w:vAlign w:val="center"/>
          </w:tcPr>
          <w:p w14:paraId="75FE82F1" w14:textId="14F38C1C" w:rsidR="00567A68" w:rsidRPr="00646959" w:rsidRDefault="00164331" w:rsidP="00BA75BD">
            <w:pPr>
              <w:pStyle w:val="TableText0"/>
              <w:keepLines/>
              <w:jc w:val="center"/>
              <w:rPr>
                <w:szCs w:val="20"/>
                <w:highlight w:val="lightGray"/>
                <w:vertAlign w:val="superscript"/>
              </w:rPr>
            </w:pPr>
            <w:r w:rsidRPr="00164331">
              <w:rPr>
                <w:rFonts w:hint="eastAsia"/>
                <w:color w:val="000000"/>
                <w:w w:val="15"/>
                <w:szCs w:val="20"/>
                <w:shd w:val="solid" w:color="000000" w:fill="000000"/>
                <w:fitText w:val="62" w:id="-1436282869"/>
                <w14:textFill>
                  <w14:solidFill>
                    <w14:srgbClr w14:val="000000">
                      <w14:alpha w14:val="100000"/>
                    </w14:srgbClr>
                  </w14:solidFill>
                </w14:textFill>
              </w:rPr>
              <w:t xml:space="preserve">　</w:t>
            </w:r>
            <w:r w:rsidRPr="00164331">
              <w:rPr>
                <w:color w:val="000000"/>
                <w:w w:val="15"/>
                <w:szCs w:val="20"/>
                <w:shd w:val="solid" w:color="000000" w:fill="000000"/>
                <w:fitText w:val="62" w:id="-1436282869"/>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869"/>
                <w14:textFill>
                  <w14:solidFill>
                    <w14:srgbClr w14:val="000000">
                      <w14:alpha w14:val="100000"/>
                    </w14:srgbClr>
                  </w14:solidFill>
                </w14:textFill>
              </w:rPr>
              <w:t xml:space="preserve">　</w:t>
            </w:r>
            <w:r w:rsidR="00646959" w:rsidRPr="00646959">
              <w:rPr>
                <w:szCs w:val="20"/>
                <w:vertAlign w:val="superscript"/>
              </w:rPr>
              <w:t>2</w:t>
            </w:r>
          </w:p>
        </w:tc>
        <w:tc>
          <w:tcPr>
            <w:tcW w:w="1086" w:type="dxa"/>
            <w:tcBorders>
              <w:bottom w:val="single" w:sz="4" w:space="0" w:color="auto"/>
            </w:tcBorders>
            <w:vAlign w:val="center"/>
          </w:tcPr>
          <w:p w14:paraId="3FF2543B" w14:textId="0EFEFBE0"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3" w:id="-1436282868"/>
                <w14:textFill>
                  <w14:solidFill>
                    <w14:srgbClr w14:val="000000">
                      <w14:alpha w14:val="100000"/>
                    </w14:srgbClr>
                  </w14:solidFill>
                </w14:textFill>
              </w:rPr>
              <w:t xml:space="preserve">　</w:t>
            </w:r>
            <w:r w:rsidRPr="00164331">
              <w:rPr>
                <w:color w:val="000000"/>
                <w:w w:val="15"/>
                <w:szCs w:val="20"/>
                <w:shd w:val="solid" w:color="000000" w:fill="000000"/>
                <w:fitText w:val="63" w:id="-1436282868"/>
                <w14:textFill>
                  <w14:solidFill>
                    <w14:srgbClr w14:val="000000">
                      <w14:alpha w14:val="100000"/>
                    </w14:srgbClr>
                  </w14:solidFill>
                </w14:textFill>
              </w:rPr>
              <w:t>|</w:t>
            </w:r>
            <w:r w:rsidRPr="00164331">
              <w:rPr>
                <w:rFonts w:hint="eastAsia"/>
                <w:color w:val="000000"/>
                <w:spacing w:val="-2"/>
                <w:w w:val="15"/>
                <w:szCs w:val="20"/>
                <w:shd w:val="solid" w:color="000000" w:fill="000000"/>
                <w:fitText w:val="63" w:id="-1436282868"/>
                <w14:textFill>
                  <w14:solidFill>
                    <w14:srgbClr w14:val="000000">
                      <w14:alpha w14:val="100000"/>
                    </w14:srgbClr>
                  </w14:solidFill>
                </w14:textFill>
              </w:rPr>
              <w:t xml:space="preserve">　</w:t>
            </w:r>
            <w:r w:rsidR="00646959" w:rsidRPr="00646959">
              <w:rPr>
                <w:szCs w:val="20"/>
                <w:vertAlign w:val="superscript"/>
              </w:rPr>
              <w:t>2</w:t>
            </w:r>
          </w:p>
        </w:tc>
        <w:tc>
          <w:tcPr>
            <w:tcW w:w="1086" w:type="dxa"/>
            <w:tcBorders>
              <w:bottom w:val="single" w:sz="4" w:space="0" w:color="auto"/>
            </w:tcBorders>
            <w:vAlign w:val="center"/>
          </w:tcPr>
          <w:p w14:paraId="4E963EDD" w14:textId="7C52F9D2"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3" w:id="-1436282867"/>
                <w14:textFill>
                  <w14:solidFill>
                    <w14:srgbClr w14:val="000000">
                      <w14:alpha w14:val="100000"/>
                    </w14:srgbClr>
                  </w14:solidFill>
                </w14:textFill>
              </w:rPr>
              <w:t xml:space="preserve">　</w:t>
            </w:r>
            <w:r w:rsidRPr="00164331">
              <w:rPr>
                <w:color w:val="000000"/>
                <w:w w:val="15"/>
                <w:szCs w:val="20"/>
                <w:shd w:val="solid" w:color="000000" w:fill="000000"/>
                <w:fitText w:val="63" w:id="-1436282867"/>
                <w14:textFill>
                  <w14:solidFill>
                    <w14:srgbClr w14:val="000000">
                      <w14:alpha w14:val="100000"/>
                    </w14:srgbClr>
                  </w14:solidFill>
                </w14:textFill>
              </w:rPr>
              <w:t>|</w:t>
            </w:r>
            <w:r w:rsidRPr="00164331">
              <w:rPr>
                <w:rFonts w:hint="eastAsia"/>
                <w:color w:val="000000"/>
                <w:spacing w:val="-2"/>
                <w:w w:val="15"/>
                <w:szCs w:val="20"/>
                <w:shd w:val="solid" w:color="000000" w:fill="000000"/>
                <w:fitText w:val="63" w:id="-1436282867"/>
                <w14:textFill>
                  <w14:solidFill>
                    <w14:srgbClr w14:val="000000">
                      <w14:alpha w14:val="100000"/>
                    </w14:srgbClr>
                  </w14:solidFill>
                </w14:textFill>
              </w:rPr>
              <w:t xml:space="preserve">　</w:t>
            </w:r>
            <w:r w:rsidR="00646959" w:rsidRPr="00646959">
              <w:rPr>
                <w:szCs w:val="20"/>
                <w:vertAlign w:val="superscript"/>
              </w:rPr>
              <w:t>2</w:t>
            </w:r>
          </w:p>
        </w:tc>
        <w:tc>
          <w:tcPr>
            <w:tcW w:w="1087" w:type="dxa"/>
            <w:tcBorders>
              <w:bottom w:val="single" w:sz="4" w:space="0" w:color="auto"/>
            </w:tcBorders>
            <w:vAlign w:val="center"/>
          </w:tcPr>
          <w:p w14:paraId="74F67F8B" w14:textId="36C51D3B"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2" w:id="-1436282866"/>
                <w14:textFill>
                  <w14:solidFill>
                    <w14:srgbClr w14:val="000000">
                      <w14:alpha w14:val="100000"/>
                    </w14:srgbClr>
                  </w14:solidFill>
                </w14:textFill>
              </w:rPr>
              <w:t xml:space="preserve">　</w:t>
            </w:r>
            <w:r w:rsidRPr="00164331">
              <w:rPr>
                <w:color w:val="000000"/>
                <w:w w:val="15"/>
                <w:szCs w:val="20"/>
                <w:shd w:val="solid" w:color="000000" w:fill="000000"/>
                <w:fitText w:val="62" w:id="-1436282866"/>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866"/>
                <w14:textFill>
                  <w14:solidFill>
                    <w14:srgbClr w14:val="000000">
                      <w14:alpha w14:val="100000"/>
                    </w14:srgbClr>
                  </w14:solidFill>
                </w14:textFill>
              </w:rPr>
              <w:t xml:space="preserve">　</w:t>
            </w:r>
            <w:r w:rsidR="00646959" w:rsidRPr="00646959">
              <w:rPr>
                <w:szCs w:val="20"/>
                <w:vertAlign w:val="superscript"/>
              </w:rPr>
              <w:t>2</w:t>
            </w:r>
          </w:p>
        </w:tc>
        <w:tc>
          <w:tcPr>
            <w:tcW w:w="1086" w:type="dxa"/>
            <w:tcBorders>
              <w:bottom w:val="single" w:sz="4" w:space="0" w:color="auto"/>
            </w:tcBorders>
            <w:vAlign w:val="center"/>
          </w:tcPr>
          <w:p w14:paraId="2F8800D7" w14:textId="0339054C"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2" w:id="-1436282865"/>
                <w14:textFill>
                  <w14:solidFill>
                    <w14:srgbClr w14:val="000000">
                      <w14:alpha w14:val="100000"/>
                    </w14:srgbClr>
                  </w14:solidFill>
                </w14:textFill>
              </w:rPr>
              <w:t xml:space="preserve">　</w:t>
            </w:r>
            <w:r w:rsidRPr="00164331">
              <w:rPr>
                <w:color w:val="000000"/>
                <w:w w:val="15"/>
                <w:szCs w:val="20"/>
                <w:shd w:val="solid" w:color="000000" w:fill="000000"/>
                <w:fitText w:val="62" w:id="-1436282865"/>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865"/>
                <w14:textFill>
                  <w14:solidFill>
                    <w14:srgbClr w14:val="000000">
                      <w14:alpha w14:val="100000"/>
                    </w14:srgbClr>
                  </w14:solidFill>
                </w14:textFill>
              </w:rPr>
              <w:t xml:space="preserve">　</w:t>
            </w:r>
            <w:r w:rsidR="00646959" w:rsidRPr="00646959">
              <w:rPr>
                <w:szCs w:val="20"/>
                <w:vertAlign w:val="superscript"/>
              </w:rPr>
              <w:t>2</w:t>
            </w:r>
          </w:p>
        </w:tc>
        <w:tc>
          <w:tcPr>
            <w:tcW w:w="1086" w:type="dxa"/>
            <w:tcBorders>
              <w:bottom w:val="single" w:sz="4" w:space="0" w:color="auto"/>
            </w:tcBorders>
            <w:vAlign w:val="center"/>
          </w:tcPr>
          <w:p w14:paraId="0F951000" w14:textId="0809B893"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3" w:id="-1436282864"/>
                <w14:textFill>
                  <w14:solidFill>
                    <w14:srgbClr w14:val="000000">
                      <w14:alpha w14:val="100000"/>
                    </w14:srgbClr>
                  </w14:solidFill>
                </w14:textFill>
              </w:rPr>
              <w:t xml:space="preserve">　</w:t>
            </w:r>
            <w:r w:rsidRPr="00164331">
              <w:rPr>
                <w:color w:val="000000"/>
                <w:w w:val="15"/>
                <w:szCs w:val="20"/>
                <w:shd w:val="solid" w:color="000000" w:fill="000000"/>
                <w:fitText w:val="63" w:id="-1436282864"/>
                <w14:textFill>
                  <w14:solidFill>
                    <w14:srgbClr w14:val="000000">
                      <w14:alpha w14:val="100000"/>
                    </w14:srgbClr>
                  </w14:solidFill>
                </w14:textFill>
              </w:rPr>
              <w:t>|</w:t>
            </w:r>
            <w:r w:rsidRPr="00164331">
              <w:rPr>
                <w:rFonts w:hint="eastAsia"/>
                <w:color w:val="000000"/>
                <w:spacing w:val="-2"/>
                <w:w w:val="15"/>
                <w:szCs w:val="20"/>
                <w:shd w:val="solid" w:color="000000" w:fill="000000"/>
                <w:fitText w:val="63" w:id="-1436282864"/>
                <w14:textFill>
                  <w14:solidFill>
                    <w14:srgbClr w14:val="000000">
                      <w14:alpha w14:val="100000"/>
                    </w14:srgbClr>
                  </w14:solidFill>
                </w14:textFill>
              </w:rPr>
              <w:t xml:space="preserve">　</w:t>
            </w:r>
            <w:r w:rsidR="00646959" w:rsidRPr="00646959">
              <w:rPr>
                <w:szCs w:val="20"/>
                <w:vertAlign w:val="superscript"/>
              </w:rPr>
              <w:t>2</w:t>
            </w:r>
          </w:p>
        </w:tc>
        <w:tc>
          <w:tcPr>
            <w:tcW w:w="1087" w:type="dxa"/>
            <w:vAlign w:val="center"/>
          </w:tcPr>
          <w:p w14:paraId="649385F2" w14:textId="2A0E360F" w:rsidR="00567A68" w:rsidRPr="00646959" w:rsidRDefault="00164331" w:rsidP="00BA75BD">
            <w:pPr>
              <w:pStyle w:val="TableText0"/>
              <w:keepLines/>
              <w:jc w:val="center"/>
              <w:rPr>
                <w:iCs/>
                <w:szCs w:val="20"/>
                <w:highlight w:val="lightGray"/>
              </w:rPr>
            </w:pPr>
            <w:r w:rsidRPr="00164331">
              <w:rPr>
                <w:rFonts w:hint="eastAsia"/>
                <w:iCs/>
                <w:color w:val="000000"/>
                <w:w w:val="15"/>
                <w:szCs w:val="20"/>
                <w:shd w:val="solid" w:color="000000" w:fill="000000"/>
                <w:fitText w:val="63" w:id="-1436282880"/>
                <w14:textFill>
                  <w14:solidFill>
                    <w14:srgbClr w14:val="000000">
                      <w14:alpha w14:val="100000"/>
                    </w14:srgbClr>
                  </w14:solidFill>
                </w14:textFill>
              </w:rPr>
              <w:t xml:space="preserve">　</w:t>
            </w:r>
            <w:r w:rsidRPr="00164331">
              <w:rPr>
                <w:iCs/>
                <w:color w:val="000000"/>
                <w:w w:val="15"/>
                <w:szCs w:val="20"/>
                <w:shd w:val="solid" w:color="000000" w:fill="000000"/>
                <w:fitText w:val="63" w:id="-1436282880"/>
                <w14:textFill>
                  <w14:solidFill>
                    <w14:srgbClr w14:val="000000">
                      <w14:alpha w14:val="100000"/>
                    </w14:srgbClr>
                  </w14:solidFill>
                </w14:textFill>
              </w:rPr>
              <w:t>|</w:t>
            </w:r>
            <w:r w:rsidRPr="00164331">
              <w:rPr>
                <w:rFonts w:hint="eastAsia"/>
                <w:iCs/>
                <w:color w:val="000000"/>
                <w:spacing w:val="-2"/>
                <w:w w:val="15"/>
                <w:szCs w:val="20"/>
                <w:shd w:val="solid" w:color="000000" w:fill="000000"/>
                <w:fitText w:val="63" w:id="-1436282880"/>
                <w14:textFill>
                  <w14:solidFill>
                    <w14:srgbClr w14:val="000000">
                      <w14:alpha w14:val="100000"/>
                    </w14:srgbClr>
                  </w14:solidFill>
                </w14:textFill>
              </w:rPr>
              <w:t xml:space="preserve">　</w:t>
            </w:r>
            <w:r w:rsidR="00EA7734" w:rsidRPr="00EA7734">
              <w:rPr>
                <w:iCs/>
                <w:szCs w:val="20"/>
                <w:vertAlign w:val="superscript"/>
              </w:rPr>
              <w:t>5</w:t>
            </w:r>
          </w:p>
        </w:tc>
      </w:tr>
      <w:tr w:rsidR="00567A68" w:rsidRPr="004A5DB5" w14:paraId="7D981F7B" w14:textId="77777777" w:rsidTr="00164331">
        <w:tc>
          <w:tcPr>
            <w:tcW w:w="1413" w:type="dxa"/>
          </w:tcPr>
          <w:p w14:paraId="66D1800D" w14:textId="77777777" w:rsidR="00567A68" w:rsidRPr="004A5DB5" w:rsidRDefault="00567A68" w:rsidP="00BA75BD">
            <w:pPr>
              <w:pStyle w:val="TableText0"/>
              <w:keepLines/>
              <w:rPr>
                <w:szCs w:val="20"/>
              </w:rPr>
            </w:pPr>
            <w:r w:rsidRPr="004A5DB5">
              <w:rPr>
                <w:szCs w:val="20"/>
              </w:rPr>
              <w:t>Uptake rate</w:t>
            </w:r>
          </w:p>
        </w:tc>
        <w:tc>
          <w:tcPr>
            <w:tcW w:w="1086" w:type="dxa"/>
            <w:shd w:val="solid" w:color="000000" w:fill="000000"/>
            <w:vAlign w:val="center"/>
          </w:tcPr>
          <w:p w14:paraId="0E2A73AD" w14:textId="6EC34730" w:rsidR="00567A68" w:rsidRPr="00F4714A" w:rsidRDefault="00164331" w:rsidP="00BA75BD">
            <w:pPr>
              <w:pStyle w:val="TableText0"/>
              <w:keepLines/>
              <w:jc w:val="center"/>
              <w:rPr>
                <w:szCs w:val="20"/>
                <w:highlight w:val="lightGray"/>
              </w:rPr>
            </w:pPr>
            <w:r w:rsidRPr="00164331">
              <w:rPr>
                <w:rFonts w:hint="eastAsia"/>
                <w:color w:val="000000"/>
                <w:w w:val="15"/>
                <w:szCs w:val="20"/>
                <w:fitText w:val="37" w:id="-1436282879"/>
                <w14:textFill>
                  <w14:solidFill>
                    <w14:srgbClr w14:val="000000">
                      <w14:alpha w14:val="100000"/>
                    </w14:srgbClr>
                  </w14:solidFill>
                </w14:textFill>
              </w:rPr>
              <w:t xml:space="preserve">　</w:t>
            </w:r>
            <w:r w:rsidRPr="00164331">
              <w:rPr>
                <w:color w:val="000000"/>
                <w:w w:val="15"/>
                <w:szCs w:val="20"/>
                <w:fitText w:val="37" w:id="-1436282879"/>
                <w14:textFill>
                  <w14:solidFill>
                    <w14:srgbClr w14:val="000000">
                      <w14:alpha w14:val="100000"/>
                    </w14:srgbClr>
                  </w14:solidFill>
                </w14:textFill>
              </w:rPr>
              <w:t>|</w:t>
            </w:r>
            <w:r w:rsidRPr="00164331">
              <w:rPr>
                <w:rFonts w:hint="eastAsia"/>
                <w:color w:val="000000"/>
                <w:spacing w:val="-28"/>
                <w:w w:val="15"/>
                <w:szCs w:val="20"/>
                <w:fitText w:val="37" w:id="-1436282879"/>
                <w14:textFill>
                  <w14:solidFill>
                    <w14:srgbClr w14:val="000000">
                      <w14:alpha w14:val="100000"/>
                    </w14:srgbClr>
                  </w14:solidFill>
                </w14:textFill>
              </w:rPr>
              <w:t xml:space="preserve">　</w:t>
            </w:r>
          </w:p>
        </w:tc>
        <w:tc>
          <w:tcPr>
            <w:tcW w:w="1086" w:type="dxa"/>
            <w:shd w:val="solid" w:color="000000" w:fill="000000"/>
            <w:vAlign w:val="center"/>
          </w:tcPr>
          <w:p w14:paraId="0DA47E7B" w14:textId="5818EA64" w:rsidR="00567A68" w:rsidRPr="00F4714A" w:rsidRDefault="00164331" w:rsidP="00BA75BD">
            <w:pPr>
              <w:pStyle w:val="TableText0"/>
              <w:keepLines/>
              <w:jc w:val="center"/>
              <w:rPr>
                <w:szCs w:val="20"/>
                <w:highlight w:val="lightGray"/>
              </w:rPr>
            </w:pPr>
            <w:r w:rsidRPr="00164331">
              <w:rPr>
                <w:rFonts w:hint="eastAsia"/>
                <w:color w:val="000000"/>
                <w:w w:val="15"/>
                <w:szCs w:val="20"/>
                <w:fitText w:val="38" w:id="-1436282878"/>
                <w14:textFill>
                  <w14:solidFill>
                    <w14:srgbClr w14:val="000000">
                      <w14:alpha w14:val="100000"/>
                    </w14:srgbClr>
                  </w14:solidFill>
                </w14:textFill>
              </w:rPr>
              <w:t xml:space="preserve">　</w:t>
            </w:r>
            <w:r w:rsidRPr="00164331">
              <w:rPr>
                <w:color w:val="000000"/>
                <w:w w:val="15"/>
                <w:szCs w:val="20"/>
                <w:fitText w:val="38" w:id="-1436282878"/>
                <w14:textFill>
                  <w14:solidFill>
                    <w14:srgbClr w14:val="000000">
                      <w14:alpha w14:val="100000"/>
                    </w14:srgbClr>
                  </w14:solidFill>
                </w14:textFill>
              </w:rPr>
              <w:t>|</w:t>
            </w:r>
            <w:r w:rsidRPr="00164331">
              <w:rPr>
                <w:rFonts w:hint="eastAsia"/>
                <w:color w:val="000000"/>
                <w:spacing w:val="-27"/>
                <w:w w:val="15"/>
                <w:szCs w:val="20"/>
                <w:fitText w:val="38" w:id="-1436282878"/>
                <w14:textFill>
                  <w14:solidFill>
                    <w14:srgbClr w14:val="000000">
                      <w14:alpha w14:val="100000"/>
                    </w14:srgbClr>
                  </w14:solidFill>
                </w14:textFill>
              </w:rPr>
              <w:t xml:space="preserve">　</w:t>
            </w:r>
          </w:p>
        </w:tc>
        <w:tc>
          <w:tcPr>
            <w:tcW w:w="1086" w:type="dxa"/>
            <w:shd w:val="solid" w:color="000000" w:fill="000000"/>
            <w:vAlign w:val="center"/>
          </w:tcPr>
          <w:p w14:paraId="7A94E4DC" w14:textId="13D61D52" w:rsidR="00567A68" w:rsidRPr="00F4714A" w:rsidRDefault="00164331" w:rsidP="00BA75BD">
            <w:pPr>
              <w:pStyle w:val="TableText0"/>
              <w:keepLines/>
              <w:jc w:val="center"/>
              <w:rPr>
                <w:szCs w:val="20"/>
                <w:highlight w:val="lightGray"/>
              </w:rPr>
            </w:pPr>
            <w:r w:rsidRPr="00164331">
              <w:rPr>
                <w:rFonts w:hint="eastAsia"/>
                <w:color w:val="000000"/>
                <w:w w:val="15"/>
                <w:szCs w:val="20"/>
                <w:fitText w:val="38" w:id="-1436282877"/>
                <w14:textFill>
                  <w14:solidFill>
                    <w14:srgbClr w14:val="000000">
                      <w14:alpha w14:val="100000"/>
                    </w14:srgbClr>
                  </w14:solidFill>
                </w14:textFill>
              </w:rPr>
              <w:t xml:space="preserve">　</w:t>
            </w:r>
            <w:r w:rsidRPr="00164331">
              <w:rPr>
                <w:color w:val="000000"/>
                <w:w w:val="15"/>
                <w:szCs w:val="20"/>
                <w:fitText w:val="38" w:id="-1436282877"/>
                <w14:textFill>
                  <w14:solidFill>
                    <w14:srgbClr w14:val="000000">
                      <w14:alpha w14:val="100000"/>
                    </w14:srgbClr>
                  </w14:solidFill>
                </w14:textFill>
              </w:rPr>
              <w:t>|</w:t>
            </w:r>
            <w:r w:rsidRPr="00164331">
              <w:rPr>
                <w:rFonts w:hint="eastAsia"/>
                <w:color w:val="000000"/>
                <w:spacing w:val="-27"/>
                <w:w w:val="15"/>
                <w:szCs w:val="20"/>
                <w:fitText w:val="38" w:id="-1436282877"/>
                <w14:textFill>
                  <w14:solidFill>
                    <w14:srgbClr w14:val="000000">
                      <w14:alpha w14:val="100000"/>
                    </w14:srgbClr>
                  </w14:solidFill>
                </w14:textFill>
              </w:rPr>
              <w:t xml:space="preserve">　</w:t>
            </w:r>
          </w:p>
        </w:tc>
        <w:tc>
          <w:tcPr>
            <w:tcW w:w="1087" w:type="dxa"/>
            <w:shd w:val="solid" w:color="000000" w:fill="000000"/>
            <w:vAlign w:val="center"/>
          </w:tcPr>
          <w:p w14:paraId="3D1CC442" w14:textId="54F53E49" w:rsidR="00567A68" w:rsidRPr="00F4714A" w:rsidRDefault="00164331" w:rsidP="00BA75BD">
            <w:pPr>
              <w:pStyle w:val="TableText0"/>
              <w:keepLines/>
              <w:jc w:val="center"/>
              <w:rPr>
                <w:szCs w:val="20"/>
                <w:highlight w:val="lightGray"/>
              </w:rPr>
            </w:pPr>
            <w:r w:rsidRPr="00164331">
              <w:rPr>
                <w:rFonts w:hint="eastAsia"/>
                <w:color w:val="000000"/>
                <w:w w:val="15"/>
                <w:szCs w:val="20"/>
                <w:fitText w:val="37" w:id="-1436282876"/>
                <w14:textFill>
                  <w14:solidFill>
                    <w14:srgbClr w14:val="000000">
                      <w14:alpha w14:val="100000"/>
                    </w14:srgbClr>
                  </w14:solidFill>
                </w14:textFill>
              </w:rPr>
              <w:t xml:space="preserve">　</w:t>
            </w:r>
            <w:r w:rsidRPr="00164331">
              <w:rPr>
                <w:color w:val="000000"/>
                <w:w w:val="15"/>
                <w:szCs w:val="20"/>
                <w:fitText w:val="37" w:id="-1436282876"/>
                <w14:textFill>
                  <w14:solidFill>
                    <w14:srgbClr w14:val="000000">
                      <w14:alpha w14:val="100000"/>
                    </w14:srgbClr>
                  </w14:solidFill>
                </w14:textFill>
              </w:rPr>
              <w:t>|</w:t>
            </w:r>
            <w:r w:rsidRPr="00164331">
              <w:rPr>
                <w:rFonts w:hint="eastAsia"/>
                <w:color w:val="000000"/>
                <w:spacing w:val="-28"/>
                <w:w w:val="15"/>
                <w:szCs w:val="20"/>
                <w:fitText w:val="37" w:id="-1436282876"/>
                <w14:textFill>
                  <w14:solidFill>
                    <w14:srgbClr w14:val="000000">
                      <w14:alpha w14:val="100000"/>
                    </w14:srgbClr>
                  </w14:solidFill>
                </w14:textFill>
              </w:rPr>
              <w:t xml:space="preserve">　</w:t>
            </w:r>
          </w:p>
        </w:tc>
        <w:tc>
          <w:tcPr>
            <w:tcW w:w="1086" w:type="dxa"/>
            <w:shd w:val="solid" w:color="000000" w:fill="000000"/>
            <w:vAlign w:val="center"/>
          </w:tcPr>
          <w:p w14:paraId="13A1E707" w14:textId="5E677F44" w:rsidR="00567A68" w:rsidRPr="00F4714A" w:rsidRDefault="00164331" w:rsidP="00BA75BD">
            <w:pPr>
              <w:pStyle w:val="TableText0"/>
              <w:keepLines/>
              <w:jc w:val="center"/>
              <w:rPr>
                <w:szCs w:val="20"/>
                <w:highlight w:val="lightGray"/>
              </w:rPr>
            </w:pPr>
            <w:r w:rsidRPr="00164331">
              <w:rPr>
                <w:rFonts w:hint="eastAsia"/>
                <w:color w:val="000000"/>
                <w:w w:val="15"/>
                <w:szCs w:val="20"/>
                <w:fitText w:val="37" w:id="-1436282875"/>
                <w14:textFill>
                  <w14:solidFill>
                    <w14:srgbClr w14:val="000000">
                      <w14:alpha w14:val="100000"/>
                    </w14:srgbClr>
                  </w14:solidFill>
                </w14:textFill>
              </w:rPr>
              <w:t xml:space="preserve">　</w:t>
            </w:r>
            <w:r w:rsidRPr="00164331">
              <w:rPr>
                <w:color w:val="000000"/>
                <w:w w:val="15"/>
                <w:szCs w:val="20"/>
                <w:fitText w:val="37" w:id="-1436282875"/>
                <w14:textFill>
                  <w14:solidFill>
                    <w14:srgbClr w14:val="000000">
                      <w14:alpha w14:val="100000"/>
                    </w14:srgbClr>
                  </w14:solidFill>
                </w14:textFill>
              </w:rPr>
              <w:t>|</w:t>
            </w:r>
            <w:r w:rsidRPr="00164331">
              <w:rPr>
                <w:rFonts w:hint="eastAsia"/>
                <w:color w:val="000000"/>
                <w:spacing w:val="-28"/>
                <w:w w:val="15"/>
                <w:szCs w:val="20"/>
                <w:fitText w:val="37" w:id="-1436282875"/>
                <w14:textFill>
                  <w14:solidFill>
                    <w14:srgbClr w14:val="000000">
                      <w14:alpha w14:val="100000"/>
                    </w14:srgbClr>
                  </w14:solidFill>
                </w14:textFill>
              </w:rPr>
              <w:t xml:space="preserve">　</w:t>
            </w:r>
          </w:p>
        </w:tc>
        <w:tc>
          <w:tcPr>
            <w:tcW w:w="1086" w:type="dxa"/>
            <w:shd w:val="solid" w:color="000000" w:fill="000000"/>
            <w:vAlign w:val="center"/>
          </w:tcPr>
          <w:p w14:paraId="4528C338" w14:textId="0B1365BE" w:rsidR="00567A68" w:rsidRPr="00F4714A" w:rsidRDefault="00164331" w:rsidP="00BA75BD">
            <w:pPr>
              <w:pStyle w:val="TableText0"/>
              <w:keepLines/>
              <w:jc w:val="center"/>
              <w:rPr>
                <w:szCs w:val="20"/>
                <w:highlight w:val="lightGray"/>
              </w:rPr>
            </w:pPr>
            <w:r w:rsidRPr="00164331">
              <w:rPr>
                <w:rFonts w:hint="eastAsia"/>
                <w:color w:val="000000"/>
                <w:w w:val="15"/>
                <w:szCs w:val="20"/>
                <w:fitText w:val="38" w:id="-1436282874"/>
                <w14:textFill>
                  <w14:solidFill>
                    <w14:srgbClr w14:val="000000">
                      <w14:alpha w14:val="100000"/>
                    </w14:srgbClr>
                  </w14:solidFill>
                </w14:textFill>
              </w:rPr>
              <w:t xml:space="preserve">　</w:t>
            </w:r>
            <w:r w:rsidRPr="00164331">
              <w:rPr>
                <w:color w:val="000000"/>
                <w:w w:val="15"/>
                <w:szCs w:val="20"/>
                <w:fitText w:val="38" w:id="-1436282874"/>
                <w14:textFill>
                  <w14:solidFill>
                    <w14:srgbClr w14:val="000000">
                      <w14:alpha w14:val="100000"/>
                    </w14:srgbClr>
                  </w14:solidFill>
                </w14:textFill>
              </w:rPr>
              <w:t>|</w:t>
            </w:r>
            <w:r w:rsidRPr="00164331">
              <w:rPr>
                <w:rFonts w:hint="eastAsia"/>
                <w:color w:val="000000"/>
                <w:spacing w:val="-27"/>
                <w:w w:val="15"/>
                <w:szCs w:val="20"/>
                <w:fitText w:val="38" w:id="-1436282874"/>
                <w14:textFill>
                  <w14:solidFill>
                    <w14:srgbClr w14:val="000000">
                      <w14:alpha w14:val="100000"/>
                    </w14:srgbClr>
                  </w14:solidFill>
                </w14:textFill>
              </w:rPr>
              <w:t xml:space="preserve">　</w:t>
            </w:r>
          </w:p>
        </w:tc>
        <w:tc>
          <w:tcPr>
            <w:tcW w:w="1087" w:type="dxa"/>
            <w:vAlign w:val="center"/>
          </w:tcPr>
          <w:p w14:paraId="47D626B7" w14:textId="77777777" w:rsidR="00567A68" w:rsidRPr="0028604C" w:rsidRDefault="00567A68" w:rsidP="00BA75BD">
            <w:pPr>
              <w:pStyle w:val="TableText0"/>
              <w:keepLines/>
              <w:jc w:val="center"/>
              <w:rPr>
                <w:iCs/>
                <w:szCs w:val="20"/>
              </w:rPr>
            </w:pPr>
            <w:r w:rsidRPr="0028604C">
              <w:rPr>
                <w:iCs/>
                <w:szCs w:val="20"/>
              </w:rPr>
              <w:t>-</w:t>
            </w:r>
          </w:p>
        </w:tc>
      </w:tr>
      <w:tr w:rsidR="00567A68" w:rsidRPr="004A5DB5" w14:paraId="5674A079" w14:textId="77777777" w:rsidTr="00172107">
        <w:tc>
          <w:tcPr>
            <w:tcW w:w="1413" w:type="dxa"/>
          </w:tcPr>
          <w:p w14:paraId="4FFCAC31" w14:textId="77777777" w:rsidR="00567A68" w:rsidRPr="004A5DB5" w:rsidRDefault="00567A68" w:rsidP="00BA75BD">
            <w:pPr>
              <w:pStyle w:val="TableText0"/>
              <w:keepLines/>
              <w:rPr>
                <w:szCs w:val="20"/>
              </w:rPr>
            </w:pPr>
            <w:r w:rsidRPr="004A5DB5">
              <w:rPr>
                <w:szCs w:val="20"/>
              </w:rPr>
              <w:t>Initiating pts</w:t>
            </w:r>
          </w:p>
        </w:tc>
        <w:tc>
          <w:tcPr>
            <w:tcW w:w="1086" w:type="dxa"/>
            <w:vAlign w:val="center"/>
          </w:tcPr>
          <w:p w14:paraId="2B66AD0B" w14:textId="4ECB2240" w:rsidR="00567A68" w:rsidRPr="00646959" w:rsidRDefault="00164331" w:rsidP="00BA75BD">
            <w:pPr>
              <w:pStyle w:val="TableText0"/>
              <w:keepLines/>
              <w:jc w:val="center"/>
              <w:rPr>
                <w:szCs w:val="20"/>
                <w:highlight w:val="lightGray"/>
                <w:vertAlign w:val="superscript"/>
              </w:rPr>
            </w:pPr>
            <w:r w:rsidRPr="00164331">
              <w:rPr>
                <w:rFonts w:hint="eastAsia"/>
                <w:color w:val="000000"/>
                <w:w w:val="15"/>
                <w:szCs w:val="20"/>
                <w:shd w:val="solid" w:color="000000" w:fill="000000"/>
                <w:fitText w:val="62" w:id="-1436282873"/>
                <w14:textFill>
                  <w14:solidFill>
                    <w14:srgbClr w14:val="000000">
                      <w14:alpha w14:val="100000"/>
                    </w14:srgbClr>
                  </w14:solidFill>
                </w14:textFill>
              </w:rPr>
              <w:t xml:space="preserve">　</w:t>
            </w:r>
            <w:r w:rsidRPr="00164331">
              <w:rPr>
                <w:color w:val="000000"/>
                <w:w w:val="15"/>
                <w:szCs w:val="20"/>
                <w:shd w:val="solid" w:color="000000" w:fill="000000"/>
                <w:fitText w:val="62" w:id="-1436282873"/>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873"/>
                <w14:textFill>
                  <w14:solidFill>
                    <w14:srgbClr w14:val="000000">
                      <w14:alpha w14:val="100000"/>
                    </w14:srgbClr>
                  </w14:solidFill>
                </w14:textFill>
              </w:rPr>
              <w:t xml:space="preserve">　</w:t>
            </w:r>
            <w:r w:rsidR="00646959" w:rsidRPr="00646959">
              <w:rPr>
                <w:szCs w:val="20"/>
                <w:vertAlign w:val="superscript"/>
              </w:rPr>
              <w:t>3</w:t>
            </w:r>
          </w:p>
        </w:tc>
        <w:tc>
          <w:tcPr>
            <w:tcW w:w="1086" w:type="dxa"/>
            <w:vAlign w:val="center"/>
          </w:tcPr>
          <w:p w14:paraId="1D093F49" w14:textId="73C6F56F"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3" w:id="-1436282872"/>
                <w14:textFill>
                  <w14:solidFill>
                    <w14:srgbClr w14:val="000000">
                      <w14:alpha w14:val="100000"/>
                    </w14:srgbClr>
                  </w14:solidFill>
                </w14:textFill>
              </w:rPr>
              <w:t xml:space="preserve">　</w:t>
            </w:r>
            <w:r w:rsidRPr="00164331">
              <w:rPr>
                <w:color w:val="000000"/>
                <w:w w:val="15"/>
                <w:szCs w:val="20"/>
                <w:shd w:val="solid" w:color="000000" w:fill="000000"/>
                <w:fitText w:val="63" w:id="-1436282872"/>
                <w14:textFill>
                  <w14:solidFill>
                    <w14:srgbClr w14:val="000000">
                      <w14:alpha w14:val="100000"/>
                    </w14:srgbClr>
                  </w14:solidFill>
                </w14:textFill>
              </w:rPr>
              <w:t>|</w:t>
            </w:r>
            <w:r w:rsidRPr="00164331">
              <w:rPr>
                <w:rFonts w:hint="eastAsia"/>
                <w:color w:val="000000"/>
                <w:spacing w:val="-2"/>
                <w:w w:val="15"/>
                <w:szCs w:val="20"/>
                <w:shd w:val="solid" w:color="000000" w:fill="000000"/>
                <w:fitText w:val="63" w:id="-1436282872"/>
                <w14:textFill>
                  <w14:solidFill>
                    <w14:srgbClr w14:val="000000">
                      <w14:alpha w14:val="100000"/>
                    </w14:srgbClr>
                  </w14:solidFill>
                </w14:textFill>
              </w:rPr>
              <w:t xml:space="preserve">　</w:t>
            </w:r>
            <w:r w:rsidR="00646959" w:rsidRPr="00646959">
              <w:rPr>
                <w:szCs w:val="20"/>
                <w:vertAlign w:val="superscript"/>
              </w:rPr>
              <w:t>3</w:t>
            </w:r>
          </w:p>
        </w:tc>
        <w:tc>
          <w:tcPr>
            <w:tcW w:w="1086" w:type="dxa"/>
            <w:vAlign w:val="center"/>
          </w:tcPr>
          <w:p w14:paraId="06CDA785" w14:textId="166FD0A1"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3" w:id="-1436282871"/>
                <w14:textFill>
                  <w14:solidFill>
                    <w14:srgbClr w14:val="000000">
                      <w14:alpha w14:val="100000"/>
                    </w14:srgbClr>
                  </w14:solidFill>
                </w14:textFill>
              </w:rPr>
              <w:t xml:space="preserve">　</w:t>
            </w:r>
            <w:r w:rsidRPr="00164331">
              <w:rPr>
                <w:color w:val="000000"/>
                <w:w w:val="15"/>
                <w:szCs w:val="20"/>
                <w:shd w:val="solid" w:color="000000" w:fill="000000"/>
                <w:fitText w:val="63" w:id="-1436282871"/>
                <w14:textFill>
                  <w14:solidFill>
                    <w14:srgbClr w14:val="000000">
                      <w14:alpha w14:val="100000"/>
                    </w14:srgbClr>
                  </w14:solidFill>
                </w14:textFill>
              </w:rPr>
              <w:t>|</w:t>
            </w:r>
            <w:r w:rsidRPr="00164331">
              <w:rPr>
                <w:rFonts w:hint="eastAsia"/>
                <w:color w:val="000000"/>
                <w:spacing w:val="-2"/>
                <w:w w:val="15"/>
                <w:szCs w:val="20"/>
                <w:shd w:val="solid" w:color="000000" w:fill="000000"/>
                <w:fitText w:val="63" w:id="-1436282871"/>
                <w14:textFill>
                  <w14:solidFill>
                    <w14:srgbClr w14:val="000000">
                      <w14:alpha w14:val="100000"/>
                    </w14:srgbClr>
                  </w14:solidFill>
                </w14:textFill>
              </w:rPr>
              <w:t xml:space="preserve">　</w:t>
            </w:r>
            <w:r w:rsidR="00646959" w:rsidRPr="00646959">
              <w:rPr>
                <w:szCs w:val="20"/>
                <w:vertAlign w:val="superscript"/>
              </w:rPr>
              <w:t>3</w:t>
            </w:r>
          </w:p>
        </w:tc>
        <w:tc>
          <w:tcPr>
            <w:tcW w:w="1087" w:type="dxa"/>
            <w:vAlign w:val="center"/>
          </w:tcPr>
          <w:p w14:paraId="1AA03E2F" w14:textId="07C0515C"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2" w:id="-1436282870"/>
                <w14:textFill>
                  <w14:solidFill>
                    <w14:srgbClr w14:val="000000">
                      <w14:alpha w14:val="100000"/>
                    </w14:srgbClr>
                  </w14:solidFill>
                </w14:textFill>
              </w:rPr>
              <w:t xml:space="preserve">　</w:t>
            </w:r>
            <w:r w:rsidRPr="00164331">
              <w:rPr>
                <w:color w:val="000000"/>
                <w:w w:val="15"/>
                <w:szCs w:val="20"/>
                <w:shd w:val="solid" w:color="000000" w:fill="000000"/>
                <w:fitText w:val="62" w:id="-1436282870"/>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870"/>
                <w14:textFill>
                  <w14:solidFill>
                    <w14:srgbClr w14:val="000000">
                      <w14:alpha w14:val="100000"/>
                    </w14:srgbClr>
                  </w14:solidFill>
                </w14:textFill>
              </w:rPr>
              <w:t xml:space="preserve">　</w:t>
            </w:r>
            <w:r w:rsidR="00646959" w:rsidRPr="00646959">
              <w:rPr>
                <w:szCs w:val="20"/>
                <w:vertAlign w:val="superscript"/>
              </w:rPr>
              <w:t>3</w:t>
            </w:r>
          </w:p>
        </w:tc>
        <w:tc>
          <w:tcPr>
            <w:tcW w:w="1086" w:type="dxa"/>
            <w:vAlign w:val="center"/>
          </w:tcPr>
          <w:p w14:paraId="107E52A4" w14:textId="7F021D80"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2" w:id="-1436282869"/>
                <w14:textFill>
                  <w14:solidFill>
                    <w14:srgbClr w14:val="000000">
                      <w14:alpha w14:val="100000"/>
                    </w14:srgbClr>
                  </w14:solidFill>
                </w14:textFill>
              </w:rPr>
              <w:t xml:space="preserve">　</w:t>
            </w:r>
            <w:r w:rsidRPr="00164331">
              <w:rPr>
                <w:color w:val="000000"/>
                <w:w w:val="15"/>
                <w:szCs w:val="20"/>
                <w:shd w:val="solid" w:color="000000" w:fill="000000"/>
                <w:fitText w:val="62" w:id="-1436282869"/>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869"/>
                <w14:textFill>
                  <w14:solidFill>
                    <w14:srgbClr w14:val="000000">
                      <w14:alpha w14:val="100000"/>
                    </w14:srgbClr>
                  </w14:solidFill>
                </w14:textFill>
              </w:rPr>
              <w:t xml:space="preserve">　</w:t>
            </w:r>
            <w:r w:rsidR="00646959" w:rsidRPr="00646959">
              <w:rPr>
                <w:szCs w:val="20"/>
                <w:vertAlign w:val="superscript"/>
              </w:rPr>
              <w:t>3</w:t>
            </w:r>
          </w:p>
        </w:tc>
        <w:tc>
          <w:tcPr>
            <w:tcW w:w="1086" w:type="dxa"/>
            <w:vAlign w:val="center"/>
          </w:tcPr>
          <w:p w14:paraId="59350E94" w14:textId="1A883E6E"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3" w:id="-1436282868"/>
                <w14:textFill>
                  <w14:solidFill>
                    <w14:srgbClr w14:val="000000">
                      <w14:alpha w14:val="100000"/>
                    </w14:srgbClr>
                  </w14:solidFill>
                </w14:textFill>
              </w:rPr>
              <w:t xml:space="preserve">　</w:t>
            </w:r>
            <w:r w:rsidRPr="00164331">
              <w:rPr>
                <w:color w:val="000000"/>
                <w:w w:val="15"/>
                <w:szCs w:val="20"/>
                <w:shd w:val="solid" w:color="000000" w:fill="000000"/>
                <w:fitText w:val="63" w:id="-1436282868"/>
                <w14:textFill>
                  <w14:solidFill>
                    <w14:srgbClr w14:val="000000">
                      <w14:alpha w14:val="100000"/>
                    </w14:srgbClr>
                  </w14:solidFill>
                </w14:textFill>
              </w:rPr>
              <w:t>|</w:t>
            </w:r>
            <w:r w:rsidRPr="00164331">
              <w:rPr>
                <w:rFonts w:hint="eastAsia"/>
                <w:color w:val="000000"/>
                <w:spacing w:val="-2"/>
                <w:w w:val="15"/>
                <w:szCs w:val="20"/>
                <w:shd w:val="solid" w:color="000000" w:fill="000000"/>
                <w:fitText w:val="63" w:id="-1436282868"/>
                <w14:textFill>
                  <w14:solidFill>
                    <w14:srgbClr w14:val="000000">
                      <w14:alpha w14:val="100000"/>
                    </w14:srgbClr>
                  </w14:solidFill>
                </w14:textFill>
              </w:rPr>
              <w:t xml:space="preserve">　</w:t>
            </w:r>
            <w:r w:rsidR="00646959" w:rsidRPr="00646959">
              <w:rPr>
                <w:szCs w:val="20"/>
                <w:vertAlign w:val="superscript"/>
              </w:rPr>
              <w:t>3</w:t>
            </w:r>
          </w:p>
        </w:tc>
        <w:tc>
          <w:tcPr>
            <w:tcW w:w="1087" w:type="dxa"/>
            <w:vAlign w:val="center"/>
          </w:tcPr>
          <w:p w14:paraId="637D3C06" w14:textId="16D1C6F7" w:rsidR="00567A68" w:rsidRPr="00646959" w:rsidRDefault="00164331" w:rsidP="00BA75BD">
            <w:pPr>
              <w:pStyle w:val="TableText0"/>
              <w:keepLines/>
              <w:jc w:val="center"/>
              <w:rPr>
                <w:iCs/>
                <w:szCs w:val="20"/>
                <w:highlight w:val="lightGray"/>
              </w:rPr>
            </w:pPr>
            <w:r w:rsidRPr="00164331">
              <w:rPr>
                <w:rFonts w:hint="eastAsia"/>
                <w:iCs/>
                <w:color w:val="000000"/>
                <w:w w:val="15"/>
                <w:szCs w:val="20"/>
                <w:shd w:val="solid" w:color="000000" w:fill="000000"/>
                <w:fitText w:val="63" w:id="-1436282867"/>
                <w14:textFill>
                  <w14:solidFill>
                    <w14:srgbClr w14:val="000000">
                      <w14:alpha w14:val="100000"/>
                    </w14:srgbClr>
                  </w14:solidFill>
                </w14:textFill>
              </w:rPr>
              <w:t xml:space="preserve">　</w:t>
            </w:r>
            <w:r w:rsidRPr="00164331">
              <w:rPr>
                <w:iCs/>
                <w:color w:val="000000"/>
                <w:w w:val="15"/>
                <w:szCs w:val="20"/>
                <w:shd w:val="solid" w:color="000000" w:fill="000000"/>
                <w:fitText w:val="63" w:id="-1436282867"/>
                <w14:textFill>
                  <w14:solidFill>
                    <w14:srgbClr w14:val="000000">
                      <w14:alpha w14:val="100000"/>
                    </w14:srgbClr>
                  </w14:solidFill>
                </w14:textFill>
              </w:rPr>
              <w:t>|</w:t>
            </w:r>
            <w:r w:rsidRPr="00164331">
              <w:rPr>
                <w:rFonts w:hint="eastAsia"/>
                <w:iCs/>
                <w:color w:val="000000"/>
                <w:spacing w:val="-2"/>
                <w:w w:val="15"/>
                <w:szCs w:val="20"/>
                <w:shd w:val="solid" w:color="000000" w:fill="000000"/>
                <w:fitText w:val="63" w:id="-1436282867"/>
                <w14:textFill>
                  <w14:solidFill>
                    <w14:srgbClr w14:val="000000">
                      <w14:alpha w14:val="100000"/>
                    </w14:srgbClr>
                  </w14:solidFill>
                </w14:textFill>
              </w:rPr>
              <w:t xml:space="preserve">　</w:t>
            </w:r>
            <w:r w:rsidR="00646959" w:rsidRPr="00646959">
              <w:rPr>
                <w:szCs w:val="20"/>
                <w:vertAlign w:val="superscript"/>
              </w:rPr>
              <w:t>1</w:t>
            </w:r>
          </w:p>
        </w:tc>
      </w:tr>
      <w:tr w:rsidR="00567A68" w:rsidRPr="004A5DB5" w14:paraId="42EBFBD0" w14:textId="77777777" w:rsidTr="00172107">
        <w:tc>
          <w:tcPr>
            <w:tcW w:w="1413" w:type="dxa"/>
          </w:tcPr>
          <w:p w14:paraId="533D2A2E" w14:textId="77777777" w:rsidR="00567A68" w:rsidRPr="004A5DB5" w:rsidRDefault="00567A68" w:rsidP="00BA75BD">
            <w:pPr>
              <w:pStyle w:val="TableText0"/>
              <w:keepLines/>
              <w:rPr>
                <w:szCs w:val="20"/>
              </w:rPr>
            </w:pPr>
            <w:r w:rsidRPr="004A5DB5">
              <w:rPr>
                <w:szCs w:val="20"/>
              </w:rPr>
              <w:t>Continuing pts</w:t>
            </w:r>
          </w:p>
        </w:tc>
        <w:tc>
          <w:tcPr>
            <w:tcW w:w="1086" w:type="dxa"/>
            <w:vAlign w:val="center"/>
          </w:tcPr>
          <w:p w14:paraId="6C8819F3" w14:textId="1A97F79A"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2" w:id="-1436282866"/>
                <w14:textFill>
                  <w14:solidFill>
                    <w14:srgbClr w14:val="000000">
                      <w14:alpha w14:val="100000"/>
                    </w14:srgbClr>
                  </w14:solidFill>
                </w14:textFill>
              </w:rPr>
              <w:t xml:space="preserve">　</w:t>
            </w:r>
            <w:r w:rsidRPr="00164331">
              <w:rPr>
                <w:color w:val="000000"/>
                <w:w w:val="15"/>
                <w:szCs w:val="20"/>
                <w:shd w:val="solid" w:color="000000" w:fill="000000"/>
                <w:fitText w:val="62" w:id="-1436282866"/>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866"/>
                <w14:textFill>
                  <w14:solidFill>
                    <w14:srgbClr w14:val="000000">
                      <w14:alpha w14:val="100000"/>
                    </w14:srgbClr>
                  </w14:solidFill>
                </w14:textFill>
              </w:rPr>
              <w:t xml:space="preserve">　</w:t>
            </w:r>
            <w:r w:rsidR="00646959" w:rsidRPr="00646959">
              <w:rPr>
                <w:szCs w:val="20"/>
                <w:vertAlign w:val="superscript"/>
              </w:rPr>
              <w:t>3</w:t>
            </w:r>
          </w:p>
        </w:tc>
        <w:tc>
          <w:tcPr>
            <w:tcW w:w="1086" w:type="dxa"/>
            <w:vAlign w:val="center"/>
          </w:tcPr>
          <w:p w14:paraId="3C58670E" w14:textId="5E73C7F4"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3" w:id="-1436282865"/>
                <w14:textFill>
                  <w14:solidFill>
                    <w14:srgbClr w14:val="000000">
                      <w14:alpha w14:val="100000"/>
                    </w14:srgbClr>
                  </w14:solidFill>
                </w14:textFill>
              </w:rPr>
              <w:t xml:space="preserve">　</w:t>
            </w:r>
            <w:r w:rsidRPr="00164331">
              <w:rPr>
                <w:color w:val="000000"/>
                <w:w w:val="15"/>
                <w:szCs w:val="20"/>
                <w:shd w:val="solid" w:color="000000" w:fill="000000"/>
                <w:fitText w:val="63" w:id="-1436282865"/>
                <w14:textFill>
                  <w14:solidFill>
                    <w14:srgbClr w14:val="000000">
                      <w14:alpha w14:val="100000"/>
                    </w14:srgbClr>
                  </w14:solidFill>
                </w14:textFill>
              </w:rPr>
              <w:t>|</w:t>
            </w:r>
            <w:r w:rsidRPr="00164331">
              <w:rPr>
                <w:rFonts w:hint="eastAsia"/>
                <w:color w:val="000000"/>
                <w:spacing w:val="-2"/>
                <w:w w:val="15"/>
                <w:szCs w:val="20"/>
                <w:shd w:val="solid" w:color="000000" w:fill="000000"/>
                <w:fitText w:val="63" w:id="-1436282865"/>
                <w14:textFill>
                  <w14:solidFill>
                    <w14:srgbClr w14:val="000000">
                      <w14:alpha w14:val="100000"/>
                    </w14:srgbClr>
                  </w14:solidFill>
                </w14:textFill>
              </w:rPr>
              <w:t xml:space="preserve">　</w:t>
            </w:r>
            <w:r w:rsidR="00646959" w:rsidRPr="00646959">
              <w:rPr>
                <w:szCs w:val="20"/>
                <w:vertAlign w:val="superscript"/>
              </w:rPr>
              <w:t>3</w:t>
            </w:r>
          </w:p>
        </w:tc>
        <w:tc>
          <w:tcPr>
            <w:tcW w:w="1086" w:type="dxa"/>
            <w:vAlign w:val="center"/>
          </w:tcPr>
          <w:p w14:paraId="26764D98" w14:textId="32AE75A4"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3" w:id="-1436282864"/>
                <w14:textFill>
                  <w14:solidFill>
                    <w14:srgbClr w14:val="000000">
                      <w14:alpha w14:val="100000"/>
                    </w14:srgbClr>
                  </w14:solidFill>
                </w14:textFill>
              </w:rPr>
              <w:t xml:space="preserve">　</w:t>
            </w:r>
            <w:r w:rsidRPr="00164331">
              <w:rPr>
                <w:color w:val="000000"/>
                <w:w w:val="15"/>
                <w:szCs w:val="20"/>
                <w:shd w:val="solid" w:color="000000" w:fill="000000"/>
                <w:fitText w:val="63" w:id="-1436282864"/>
                <w14:textFill>
                  <w14:solidFill>
                    <w14:srgbClr w14:val="000000">
                      <w14:alpha w14:val="100000"/>
                    </w14:srgbClr>
                  </w14:solidFill>
                </w14:textFill>
              </w:rPr>
              <w:t>|</w:t>
            </w:r>
            <w:r w:rsidRPr="00164331">
              <w:rPr>
                <w:rFonts w:hint="eastAsia"/>
                <w:color w:val="000000"/>
                <w:spacing w:val="-2"/>
                <w:w w:val="15"/>
                <w:szCs w:val="20"/>
                <w:shd w:val="solid" w:color="000000" w:fill="000000"/>
                <w:fitText w:val="63" w:id="-1436282864"/>
                <w14:textFill>
                  <w14:solidFill>
                    <w14:srgbClr w14:val="000000">
                      <w14:alpha w14:val="100000"/>
                    </w14:srgbClr>
                  </w14:solidFill>
                </w14:textFill>
              </w:rPr>
              <w:t xml:space="preserve">　</w:t>
            </w:r>
            <w:r w:rsidR="00646959" w:rsidRPr="00646959">
              <w:rPr>
                <w:szCs w:val="20"/>
                <w:vertAlign w:val="superscript"/>
              </w:rPr>
              <w:t>3</w:t>
            </w:r>
          </w:p>
        </w:tc>
        <w:tc>
          <w:tcPr>
            <w:tcW w:w="1087" w:type="dxa"/>
            <w:vAlign w:val="center"/>
          </w:tcPr>
          <w:p w14:paraId="238B7AF7" w14:textId="11332892"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2" w:id="-1436282880"/>
                <w14:textFill>
                  <w14:solidFill>
                    <w14:srgbClr w14:val="000000">
                      <w14:alpha w14:val="100000"/>
                    </w14:srgbClr>
                  </w14:solidFill>
                </w14:textFill>
              </w:rPr>
              <w:t xml:space="preserve">　</w:t>
            </w:r>
            <w:r w:rsidRPr="00164331">
              <w:rPr>
                <w:color w:val="000000"/>
                <w:w w:val="15"/>
                <w:szCs w:val="20"/>
                <w:shd w:val="solid" w:color="000000" w:fill="000000"/>
                <w:fitText w:val="62" w:id="-1436282880"/>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880"/>
                <w14:textFill>
                  <w14:solidFill>
                    <w14:srgbClr w14:val="000000">
                      <w14:alpha w14:val="100000"/>
                    </w14:srgbClr>
                  </w14:solidFill>
                </w14:textFill>
              </w:rPr>
              <w:t xml:space="preserve">　</w:t>
            </w:r>
            <w:r w:rsidR="00646959" w:rsidRPr="00646959">
              <w:rPr>
                <w:szCs w:val="20"/>
                <w:vertAlign w:val="superscript"/>
              </w:rPr>
              <w:t>3</w:t>
            </w:r>
          </w:p>
        </w:tc>
        <w:tc>
          <w:tcPr>
            <w:tcW w:w="1086" w:type="dxa"/>
            <w:vAlign w:val="center"/>
          </w:tcPr>
          <w:p w14:paraId="38F918CB" w14:textId="1CA8E676"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2" w:id="-1436282879"/>
                <w14:textFill>
                  <w14:solidFill>
                    <w14:srgbClr w14:val="000000">
                      <w14:alpha w14:val="100000"/>
                    </w14:srgbClr>
                  </w14:solidFill>
                </w14:textFill>
              </w:rPr>
              <w:t xml:space="preserve">　</w:t>
            </w:r>
            <w:r w:rsidRPr="00164331">
              <w:rPr>
                <w:color w:val="000000"/>
                <w:w w:val="15"/>
                <w:szCs w:val="20"/>
                <w:shd w:val="solid" w:color="000000" w:fill="000000"/>
                <w:fitText w:val="62" w:id="-1436282879"/>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879"/>
                <w14:textFill>
                  <w14:solidFill>
                    <w14:srgbClr w14:val="000000">
                      <w14:alpha w14:val="100000"/>
                    </w14:srgbClr>
                  </w14:solidFill>
                </w14:textFill>
              </w:rPr>
              <w:t xml:space="preserve">　</w:t>
            </w:r>
            <w:r w:rsidR="00646959" w:rsidRPr="00646959">
              <w:rPr>
                <w:szCs w:val="20"/>
                <w:vertAlign w:val="superscript"/>
              </w:rPr>
              <w:t>2</w:t>
            </w:r>
          </w:p>
        </w:tc>
        <w:tc>
          <w:tcPr>
            <w:tcW w:w="1086" w:type="dxa"/>
            <w:vAlign w:val="center"/>
          </w:tcPr>
          <w:p w14:paraId="4738ED07" w14:textId="60AD0051"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3" w:id="-1436282878"/>
                <w14:textFill>
                  <w14:solidFill>
                    <w14:srgbClr w14:val="000000">
                      <w14:alpha w14:val="100000"/>
                    </w14:srgbClr>
                  </w14:solidFill>
                </w14:textFill>
              </w:rPr>
              <w:t xml:space="preserve">　</w:t>
            </w:r>
            <w:r w:rsidRPr="00164331">
              <w:rPr>
                <w:color w:val="000000"/>
                <w:w w:val="15"/>
                <w:szCs w:val="20"/>
                <w:shd w:val="solid" w:color="000000" w:fill="000000"/>
                <w:fitText w:val="63" w:id="-1436282878"/>
                <w14:textFill>
                  <w14:solidFill>
                    <w14:srgbClr w14:val="000000">
                      <w14:alpha w14:val="100000"/>
                    </w14:srgbClr>
                  </w14:solidFill>
                </w14:textFill>
              </w:rPr>
              <w:t>|</w:t>
            </w:r>
            <w:r w:rsidRPr="00164331">
              <w:rPr>
                <w:rFonts w:hint="eastAsia"/>
                <w:color w:val="000000"/>
                <w:spacing w:val="-2"/>
                <w:w w:val="15"/>
                <w:szCs w:val="20"/>
                <w:shd w:val="solid" w:color="000000" w:fill="000000"/>
                <w:fitText w:val="63" w:id="-1436282878"/>
                <w14:textFill>
                  <w14:solidFill>
                    <w14:srgbClr w14:val="000000">
                      <w14:alpha w14:val="100000"/>
                    </w14:srgbClr>
                  </w14:solidFill>
                </w14:textFill>
              </w:rPr>
              <w:t xml:space="preserve">　</w:t>
            </w:r>
            <w:r w:rsidR="00646959" w:rsidRPr="00646959">
              <w:rPr>
                <w:szCs w:val="20"/>
                <w:vertAlign w:val="superscript"/>
              </w:rPr>
              <w:t>2</w:t>
            </w:r>
          </w:p>
        </w:tc>
        <w:tc>
          <w:tcPr>
            <w:tcW w:w="1087" w:type="dxa"/>
            <w:vAlign w:val="center"/>
          </w:tcPr>
          <w:p w14:paraId="6DE9F1BE" w14:textId="58EADC59" w:rsidR="00567A68" w:rsidRPr="00646959" w:rsidRDefault="00164331" w:rsidP="00BA75BD">
            <w:pPr>
              <w:pStyle w:val="TableText0"/>
              <w:keepLines/>
              <w:jc w:val="center"/>
              <w:rPr>
                <w:iCs/>
                <w:szCs w:val="20"/>
                <w:highlight w:val="lightGray"/>
              </w:rPr>
            </w:pPr>
            <w:r w:rsidRPr="00164331">
              <w:rPr>
                <w:rFonts w:hint="eastAsia"/>
                <w:iCs/>
                <w:color w:val="000000"/>
                <w:w w:val="15"/>
                <w:szCs w:val="20"/>
                <w:shd w:val="solid" w:color="000000" w:fill="000000"/>
                <w:fitText w:val="63" w:id="-1436282877"/>
                <w14:textFill>
                  <w14:solidFill>
                    <w14:srgbClr w14:val="000000">
                      <w14:alpha w14:val="100000"/>
                    </w14:srgbClr>
                  </w14:solidFill>
                </w14:textFill>
              </w:rPr>
              <w:t xml:space="preserve">　</w:t>
            </w:r>
            <w:r w:rsidRPr="00164331">
              <w:rPr>
                <w:iCs/>
                <w:color w:val="000000"/>
                <w:w w:val="15"/>
                <w:szCs w:val="20"/>
                <w:shd w:val="solid" w:color="000000" w:fill="000000"/>
                <w:fitText w:val="63" w:id="-1436282877"/>
                <w14:textFill>
                  <w14:solidFill>
                    <w14:srgbClr w14:val="000000">
                      <w14:alpha w14:val="100000"/>
                    </w14:srgbClr>
                  </w14:solidFill>
                </w14:textFill>
              </w:rPr>
              <w:t>|</w:t>
            </w:r>
            <w:r w:rsidRPr="00164331">
              <w:rPr>
                <w:rFonts w:hint="eastAsia"/>
                <w:iCs/>
                <w:color w:val="000000"/>
                <w:spacing w:val="-2"/>
                <w:w w:val="15"/>
                <w:szCs w:val="20"/>
                <w:shd w:val="solid" w:color="000000" w:fill="000000"/>
                <w:fitText w:val="63" w:id="-1436282877"/>
                <w14:textFill>
                  <w14:solidFill>
                    <w14:srgbClr w14:val="000000">
                      <w14:alpha w14:val="100000"/>
                    </w14:srgbClr>
                  </w14:solidFill>
                </w14:textFill>
              </w:rPr>
              <w:t xml:space="preserve">　</w:t>
            </w:r>
            <w:r w:rsidR="00646959" w:rsidRPr="00646959">
              <w:rPr>
                <w:szCs w:val="20"/>
                <w:vertAlign w:val="superscript"/>
              </w:rPr>
              <w:t>4</w:t>
            </w:r>
          </w:p>
        </w:tc>
      </w:tr>
      <w:tr w:rsidR="00567A68" w:rsidRPr="004A5DB5" w14:paraId="5A2B996D" w14:textId="77777777" w:rsidTr="00172107">
        <w:tc>
          <w:tcPr>
            <w:tcW w:w="1413" w:type="dxa"/>
          </w:tcPr>
          <w:p w14:paraId="722822B7" w14:textId="77777777" w:rsidR="00567A68" w:rsidRPr="004A5DB5" w:rsidRDefault="00567A68" w:rsidP="00BA75BD">
            <w:pPr>
              <w:pStyle w:val="TableText0"/>
              <w:keepLines/>
              <w:rPr>
                <w:szCs w:val="20"/>
              </w:rPr>
            </w:pPr>
            <w:r w:rsidRPr="004A5DB5">
              <w:rPr>
                <w:szCs w:val="20"/>
              </w:rPr>
              <w:t>Total pts</w:t>
            </w:r>
          </w:p>
        </w:tc>
        <w:tc>
          <w:tcPr>
            <w:tcW w:w="1086" w:type="dxa"/>
            <w:vAlign w:val="center"/>
          </w:tcPr>
          <w:p w14:paraId="08C8C39D" w14:textId="2657BDF1"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2" w:id="-1436282876"/>
                <w14:textFill>
                  <w14:solidFill>
                    <w14:srgbClr w14:val="000000">
                      <w14:alpha w14:val="100000"/>
                    </w14:srgbClr>
                  </w14:solidFill>
                </w14:textFill>
              </w:rPr>
              <w:t xml:space="preserve">　</w:t>
            </w:r>
            <w:r w:rsidRPr="00164331">
              <w:rPr>
                <w:color w:val="000000"/>
                <w:w w:val="15"/>
                <w:szCs w:val="20"/>
                <w:shd w:val="solid" w:color="000000" w:fill="000000"/>
                <w:fitText w:val="62" w:id="-1436282876"/>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876"/>
                <w14:textFill>
                  <w14:solidFill>
                    <w14:srgbClr w14:val="000000">
                      <w14:alpha w14:val="100000"/>
                    </w14:srgbClr>
                  </w14:solidFill>
                </w14:textFill>
              </w:rPr>
              <w:t xml:space="preserve">　</w:t>
            </w:r>
            <w:r w:rsidR="00646959" w:rsidRPr="00646959">
              <w:rPr>
                <w:szCs w:val="20"/>
                <w:vertAlign w:val="superscript"/>
              </w:rPr>
              <w:t>3</w:t>
            </w:r>
          </w:p>
        </w:tc>
        <w:tc>
          <w:tcPr>
            <w:tcW w:w="1086" w:type="dxa"/>
            <w:vAlign w:val="center"/>
          </w:tcPr>
          <w:p w14:paraId="19051EB3" w14:textId="3615F2E8"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3" w:id="-1436282875"/>
                <w14:textFill>
                  <w14:solidFill>
                    <w14:srgbClr w14:val="000000">
                      <w14:alpha w14:val="100000"/>
                    </w14:srgbClr>
                  </w14:solidFill>
                </w14:textFill>
              </w:rPr>
              <w:t xml:space="preserve">　</w:t>
            </w:r>
            <w:r w:rsidRPr="00164331">
              <w:rPr>
                <w:color w:val="000000"/>
                <w:w w:val="15"/>
                <w:szCs w:val="20"/>
                <w:shd w:val="solid" w:color="000000" w:fill="000000"/>
                <w:fitText w:val="63" w:id="-1436282875"/>
                <w14:textFill>
                  <w14:solidFill>
                    <w14:srgbClr w14:val="000000">
                      <w14:alpha w14:val="100000"/>
                    </w14:srgbClr>
                  </w14:solidFill>
                </w14:textFill>
              </w:rPr>
              <w:t>|</w:t>
            </w:r>
            <w:r w:rsidRPr="00164331">
              <w:rPr>
                <w:rFonts w:hint="eastAsia"/>
                <w:color w:val="000000"/>
                <w:spacing w:val="-2"/>
                <w:w w:val="15"/>
                <w:szCs w:val="20"/>
                <w:shd w:val="solid" w:color="000000" w:fill="000000"/>
                <w:fitText w:val="63" w:id="-1436282875"/>
                <w14:textFill>
                  <w14:solidFill>
                    <w14:srgbClr w14:val="000000">
                      <w14:alpha w14:val="100000"/>
                    </w14:srgbClr>
                  </w14:solidFill>
                </w14:textFill>
              </w:rPr>
              <w:t xml:space="preserve">　</w:t>
            </w:r>
            <w:r w:rsidR="00646959" w:rsidRPr="00646959">
              <w:rPr>
                <w:szCs w:val="20"/>
                <w:vertAlign w:val="superscript"/>
              </w:rPr>
              <w:t>3</w:t>
            </w:r>
          </w:p>
        </w:tc>
        <w:tc>
          <w:tcPr>
            <w:tcW w:w="1086" w:type="dxa"/>
            <w:vAlign w:val="center"/>
          </w:tcPr>
          <w:p w14:paraId="7477897F" w14:textId="7C563751"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3" w:id="-1436282874"/>
                <w14:textFill>
                  <w14:solidFill>
                    <w14:srgbClr w14:val="000000">
                      <w14:alpha w14:val="100000"/>
                    </w14:srgbClr>
                  </w14:solidFill>
                </w14:textFill>
              </w:rPr>
              <w:t xml:space="preserve">　</w:t>
            </w:r>
            <w:r w:rsidRPr="00164331">
              <w:rPr>
                <w:color w:val="000000"/>
                <w:w w:val="15"/>
                <w:szCs w:val="20"/>
                <w:shd w:val="solid" w:color="000000" w:fill="000000"/>
                <w:fitText w:val="63" w:id="-1436282874"/>
                <w14:textFill>
                  <w14:solidFill>
                    <w14:srgbClr w14:val="000000">
                      <w14:alpha w14:val="100000"/>
                    </w14:srgbClr>
                  </w14:solidFill>
                </w14:textFill>
              </w:rPr>
              <w:t>|</w:t>
            </w:r>
            <w:r w:rsidRPr="00164331">
              <w:rPr>
                <w:rFonts w:hint="eastAsia"/>
                <w:color w:val="000000"/>
                <w:spacing w:val="-2"/>
                <w:w w:val="15"/>
                <w:szCs w:val="20"/>
                <w:shd w:val="solid" w:color="000000" w:fill="000000"/>
                <w:fitText w:val="63" w:id="-1436282874"/>
                <w14:textFill>
                  <w14:solidFill>
                    <w14:srgbClr w14:val="000000">
                      <w14:alpha w14:val="100000"/>
                    </w14:srgbClr>
                  </w14:solidFill>
                </w14:textFill>
              </w:rPr>
              <w:t xml:space="preserve">　</w:t>
            </w:r>
            <w:r w:rsidR="00646959" w:rsidRPr="00646959">
              <w:rPr>
                <w:szCs w:val="20"/>
                <w:vertAlign w:val="superscript"/>
              </w:rPr>
              <w:t>3</w:t>
            </w:r>
          </w:p>
        </w:tc>
        <w:tc>
          <w:tcPr>
            <w:tcW w:w="1087" w:type="dxa"/>
            <w:vAlign w:val="center"/>
          </w:tcPr>
          <w:p w14:paraId="28E2D07D" w14:textId="4F1D3BAA"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2" w:id="-1436282873"/>
                <w14:textFill>
                  <w14:solidFill>
                    <w14:srgbClr w14:val="000000">
                      <w14:alpha w14:val="100000"/>
                    </w14:srgbClr>
                  </w14:solidFill>
                </w14:textFill>
              </w:rPr>
              <w:t xml:space="preserve">　</w:t>
            </w:r>
            <w:r w:rsidRPr="00164331">
              <w:rPr>
                <w:color w:val="000000"/>
                <w:w w:val="15"/>
                <w:szCs w:val="20"/>
                <w:shd w:val="solid" w:color="000000" w:fill="000000"/>
                <w:fitText w:val="62" w:id="-1436282873"/>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873"/>
                <w14:textFill>
                  <w14:solidFill>
                    <w14:srgbClr w14:val="000000">
                      <w14:alpha w14:val="100000"/>
                    </w14:srgbClr>
                  </w14:solidFill>
                </w14:textFill>
              </w:rPr>
              <w:t xml:space="preserve">　</w:t>
            </w:r>
            <w:r w:rsidR="00646959" w:rsidRPr="00646959">
              <w:rPr>
                <w:szCs w:val="20"/>
                <w:vertAlign w:val="superscript"/>
              </w:rPr>
              <w:t>2</w:t>
            </w:r>
          </w:p>
        </w:tc>
        <w:tc>
          <w:tcPr>
            <w:tcW w:w="1086" w:type="dxa"/>
            <w:vAlign w:val="center"/>
          </w:tcPr>
          <w:p w14:paraId="20650EEC" w14:textId="12281C31"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2" w:id="-1436282872"/>
                <w14:textFill>
                  <w14:solidFill>
                    <w14:srgbClr w14:val="000000">
                      <w14:alpha w14:val="100000"/>
                    </w14:srgbClr>
                  </w14:solidFill>
                </w14:textFill>
              </w:rPr>
              <w:t xml:space="preserve">　</w:t>
            </w:r>
            <w:r w:rsidRPr="00164331">
              <w:rPr>
                <w:color w:val="000000"/>
                <w:w w:val="15"/>
                <w:szCs w:val="20"/>
                <w:shd w:val="solid" w:color="000000" w:fill="000000"/>
                <w:fitText w:val="62" w:id="-1436282872"/>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872"/>
                <w14:textFill>
                  <w14:solidFill>
                    <w14:srgbClr w14:val="000000">
                      <w14:alpha w14:val="100000"/>
                    </w14:srgbClr>
                  </w14:solidFill>
                </w14:textFill>
              </w:rPr>
              <w:t xml:space="preserve">　</w:t>
            </w:r>
            <w:r w:rsidR="00646959" w:rsidRPr="00646959">
              <w:rPr>
                <w:szCs w:val="20"/>
                <w:vertAlign w:val="superscript"/>
              </w:rPr>
              <w:t>2</w:t>
            </w:r>
          </w:p>
        </w:tc>
        <w:tc>
          <w:tcPr>
            <w:tcW w:w="1086" w:type="dxa"/>
            <w:vAlign w:val="center"/>
          </w:tcPr>
          <w:p w14:paraId="5FFA4076" w14:textId="0A83C7D9"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3" w:id="-1436282624"/>
                <w14:textFill>
                  <w14:solidFill>
                    <w14:srgbClr w14:val="000000">
                      <w14:alpha w14:val="100000"/>
                    </w14:srgbClr>
                  </w14:solidFill>
                </w14:textFill>
              </w:rPr>
              <w:t xml:space="preserve">　</w:t>
            </w:r>
            <w:r w:rsidRPr="00164331">
              <w:rPr>
                <w:color w:val="000000"/>
                <w:w w:val="15"/>
                <w:szCs w:val="20"/>
                <w:shd w:val="solid" w:color="000000" w:fill="000000"/>
                <w:fitText w:val="63" w:id="-1436282624"/>
                <w14:textFill>
                  <w14:solidFill>
                    <w14:srgbClr w14:val="000000">
                      <w14:alpha w14:val="100000"/>
                    </w14:srgbClr>
                  </w14:solidFill>
                </w14:textFill>
              </w:rPr>
              <w:t>|</w:t>
            </w:r>
            <w:r w:rsidRPr="00164331">
              <w:rPr>
                <w:rFonts w:hint="eastAsia"/>
                <w:color w:val="000000"/>
                <w:spacing w:val="-2"/>
                <w:w w:val="15"/>
                <w:szCs w:val="20"/>
                <w:shd w:val="solid" w:color="000000" w:fill="000000"/>
                <w:fitText w:val="63" w:id="-1436282624"/>
                <w14:textFill>
                  <w14:solidFill>
                    <w14:srgbClr w14:val="000000">
                      <w14:alpha w14:val="100000"/>
                    </w14:srgbClr>
                  </w14:solidFill>
                </w14:textFill>
              </w:rPr>
              <w:t xml:space="preserve">　</w:t>
            </w:r>
            <w:r w:rsidR="00646959" w:rsidRPr="00646959">
              <w:rPr>
                <w:szCs w:val="20"/>
                <w:vertAlign w:val="superscript"/>
              </w:rPr>
              <w:t>2</w:t>
            </w:r>
          </w:p>
        </w:tc>
        <w:tc>
          <w:tcPr>
            <w:tcW w:w="1087" w:type="dxa"/>
            <w:vAlign w:val="center"/>
          </w:tcPr>
          <w:p w14:paraId="1E87C8B5" w14:textId="70D93A17" w:rsidR="00567A68" w:rsidRPr="00EA7734" w:rsidRDefault="00164331" w:rsidP="00BA75BD">
            <w:pPr>
              <w:pStyle w:val="TableText0"/>
              <w:keepLines/>
              <w:jc w:val="center"/>
              <w:rPr>
                <w:iCs/>
                <w:szCs w:val="20"/>
                <w:highlight w:val="lightGray"/>
              </w:rPr>
            </w:pPr>
            <w:r w:rsidRPr="00164331">
              <w:rPr>
                <w:rFonts w:hint="eastAsia"/>
                <w:iCs/>
                <w:color w:val="000000"/>
                <w:w w:val="15"/>
                <w:szCs w:val="20"/>
                <w:shd w:val="solid" w:color="000000" w:fill="000000"/>
                <w:fitText w:val="63" w:id="-1436282623"/>
                <w14:textFill>
                  <w14:solidFill>
                    <w14:srgbClr w14:val="000000">
                      <w14:alpha w14:val="100000"/>
                    </w14:srgbClr>
                  </w14:solidFill>
                </w14:textFill>
              </w:rPr>
              <w:t xml:space="preserve">　</w:t>
            </w:r>
            <w:r w:rsidRPr="00164331">
              <w:rPr>
                <w:iCs/>
                <w:color w:val="000000"/>
                <w:w w:val="15"/>
                <w:szCs w:val="20"/>
                <w:shd w:val="solid" w:color="000000" w:fill="000000"/>
                <w:fitText w:val="63" w:id="-1436282623"/>
                <w14:textFill>
                  <w14:solidFill>
                    <w14:srgbClr w14:val="000000">
                      <w14:alpha w14:val="100000"/>
                    </w14:srgbClr>
                  </w14:solidFill>
                </w14:textFill>
              </w:rPr>
              <w:t>|</w:t>
            </w:r>
            <w:r w:rsidRPr="00164331">
              <w:rPr>
                <w:rFonts w:hint="eastAsia"/>
                <w:iCs/>
                <w:color w:val="000000"/>
                <w:spacing w:val="-2"/>
                <w:w w:val="15"/>
                <w:szCs w:val="20"/>
                <w:shd w:val="solid" w:color="000000" w:fill="000000"/>
                <w:fitText w:val="63" w:id="-1436282623"/>
                <w14:textFill>
                  <w14:solidFill>
                    <w14:srgbClr w14:val="000000">
                      <w14:alpha w14:val="100000"/>
                    </w14:srgbClr>
                  </w14:solidFill>
                </w14:textFill>
              </w:rPr>
              <w:t xml:space="preserve">　</w:t>
            </w:r>
            <w:r w:rsidR="00EA7734" w:rsidRPr="00EA7734">
              <w:rPr>
                <w:iCs/>
                <w:szCs w:val="20"/>
                <w:vertAlign w:val="superscript"/>
              </w:rPr>
              <w:t>5</w:t>
            </w:r>
          </w:p>
        </w:tc>
      </w:tr>
      <w:tr w:rsidR="00567A68" w:rsidRPr="004A5DB5" w14:paraId="0AFD18E0" w14:textId="77777777" w:rsidTr="00172107">
        <w:tc>
          <w:tcPr>
            <w:tcW w:w="1413" w:type="dxa"/>
          </w:tcPr>
          <w:p w14:paraId="55A9C3FC" w14:textId="77777777" w:rsidR="00567A68" w:rsidRPr="004A5DB5" w:rsidRDefault="00567A68" w:rsidP="00BA75BD">
            <w:pPr>
              <w:pStyle w:val="TableText0"/>
              <w:keepLines/>
              <w:rPr>
                <w:b/>
                <w:szCs w:val="20"/>
              </w:rPr>
            </w:pPr>
            <w:r w:rsidRPr="004A5DB5">
              <w:rPr>
                <w:b/>
                <w:szCs w:val="20"/>
              </w:rPr>
              <w:t xml:space="preserve">Total </w:t>
            </w:r>
            <w:proofErr w:type="spellStart"/>
            <w:r w:rsidRPr="004A5DB5">
              <w:rPr>
                <w:b/>
                <w:szCs w:val="20"/>
              </w:rPr>
              <w:t>pt</w:t>
            </w:r>
            <w:proofErr w:type="spellEnd"/>
            <w:r w:rsidRPr="004A5DB5">
              <w:rPr>
                <w:b/>
                <w:szCs w:val="20"/>
              </w:rPr>
              <w:t xml:space="preserve"> </w:t>
            </w:r>
            <w:proofErr w:type="spellStart"/>
            <w:r w:rsidRPr="004A5DB5">
              <w:rPr>
                <w:b/>
                <w:szCs w:val="20"/>
              </w:rPr>
              <w:t>yrs</w:t>
            </w:r>
            <w:proofErr w:type="spellEnd"/>
          </w:p>
        </w:tc>
        <w:tc>
          <w:tcPr>
            <w:tcW w:w="1086" w:type="dxa"/>
            <w:vAlign w:val="center"/>
          </w:tcPr>
          <w:p w14:paraId="6CD08F22" w14:textId="15911A23" w:rsidR="00567A68" w:rsidRPr="00646959" w:rsidRDefault="00164331" w:rsidP="00BA75BD">
            <w:pPr>
              <w:pStyle w:val="TableText0"/>
              <w:keepLines/>
              <w:jc w:val="center"/>
              <w:rPr>
                <w:b/>
                <w:iCs/>
                <w:szCs w:val="20"/>
                <w:highlight w:val="lightGray"/>
              </w:rPr>
            </w:pPr>
            <w:r w:rsidRPr="00164331">
              <w:rPr>
                <w:rFonts w:hint="eastAsia"/>
                <w:b/>
                <w:iCs/>
                <w:color w:val="000000"/>
                <w:w w:val="25"/>
                <w:szCs w:val="20"/>
                <w:shd w:val="solid" w:color="000000" w:fill="000000"/>
                <w:fitText w:val="113" w:id="-1436282622"/>
                <w14:textFill>
                  <w14:solidFill>
                    <w14:srgbClr w14:val="000000">
                      <w14:alpha w14:val="100000"/>
                    </w14:srgbClr>
                  </w14:solidFill>
                </w14:textFill>
              </w:rPr>
              <w:t xml:space="preserve">　</w:t>
            </w:r>
            <w:r w:rsidRPr="00164331">
              <w:rPr>
                <w:b/>
                <w:iCs/>
                <w:color w:val="000000"/>
                <w:w w:val="25"/>
                <w:szCs w:val="20"/>
                <w:shd w:val="solid" w:color="000000" w:fill="000000"/>
                <w:fitText w:val="113" w:id="-1436282622"/>
                <w14:textFill>
                  <w14:solidFill>
                    <w14:srgbClr w14:val="000000">
                      <w14:alpha w14:val="100000"/>
                    </w14:srgbClr>
                  </w14:solidFill>
                </w14:textFill>
              </w:rPr>
              <w:t>|</w:t>
            </w:r>
            <w:r w:rsidRPr="00164331">
              <w:rPr>
                <w:rFonts w:hint="eastAsia"/>
                <w:b/>
                <w:iCs/>
                <w:color w:val="000000"/>
                <w:spacing w:val="1"/>
                <w:w w:val="25"/>
                <w:szCs w:val="20"/>
                <w:shd w:val="solid" w:color="000000" w:fill="000000"/>
                <w:fitText w:val="113" w:id="-1436282622"/>
                <w14:textFill>
                  <w14:solidFill>
                    <w14:srgbClr w14:val="000000">
                      <w14:alpha w14:val="100000"/>
                    </w14:srgbClr>
                  </w14:solidFill>
                </w14:textFill>
              </w:rPr>
              <w:t xml:space="preserve">　</w:t>
            </w:r>
            <w:r w:rsidR="00646959" w:rsidRPr="00646959">
              <w:rPr>
                <w:szCs w:val="20"/>
                <w:vertAlign w:val="superscript"/>
              </w:rPr>
              <w:t>3</w:t>
            </w:r>
          </w:p>
        </w:tc>
        <w:tc>
          <w:tcPr>
            <w:tcW w:w="1086" w:type="dxa"/>
            <w:vAlign w:val="center"/>
          </w:tcPr>
          <w:p w14:paraId="180FFD78" w14:textId="2F12E7DD" w:rsidR="00567A68" w:rsidRPr="00646959" w:rsidRDefault="00164331" w:rsidP="00BA75BD">
            <w:pPr>
              <w:pStyle w:val="TableText0"/>
              <w:keepLines/>
              <w:jc w:val="center"/>
              <w:rPr>
                <w:b/>
                <w:iCs/>
                <w:szCs w:val="20"/>
                <w:highlight w:val="lightGray"/>
              </w:rPr>
            </w:pPr>
            <w:r w:rsidRPr="00164331">
              <w:rPr>
                <w:rFonts w:hint="eastAsia"/>
                <w:b/>
                <w:iCs/>
                <w:color w:val="000000"/>
                <w:w w:val="25"/>
                <w:szCs w:val="20"/>
                <w:shd w:val="solid" w:color="000000" w:fill="000000"/>
                <w:fitText w:val="112" w:id="-1436282621"/>
                <w14:textFill>
                  <w14:solidFill>
                    <w14:srgbClr w14:val="000000">
                      <w14:alpha w14:val="100000"/>
                    </w14:srgbClr>
                  </w14:solidFill>
                </w14:textFill>
              </w:rPr>
              <w:t xml:space="preserve">　</w:t>
            </w:r>
            <w:r w:rsidRPr="00164331">
              <w:rPr>
                <w:b/>
                <w:iCs/>
                <w:color w:val="000000"/>
                <w:w w:val="25"/>
                <w:szCs w:val="20"/>
                <w:shd w:val="solid" w:color="000000" w:fill="000000"/>
                <w:fitText w:val="112" w:id="-1436282621"/>
                <w14:textFill>
                  <w14:solidFill>
                    <w14:srgbClr w14:val="000000">
                      <w14:alpha w14:val="100000"/>
                    </w14:srgbClr>
                  </w14:solidFill>
                </w14:textFill>
              </w:rPr>
              <w:t>|</w:t>
            </w:r>
            <w:r w:rsidRPr="00164331">
              <w:rPr>
                <w:rFonts w:hint="eastAsia"/>
                <w:b/>
                <w:iCs/>
                <w:color w:val="000000"/>
                <w:w w:val="25"/>
                <w:szCs w:val="20"/>
                <w:shd w:val="solid" w:color="000000" w:fill="000000"/>
                <w:fitText w:val="112" w:id="-1436282621"/>
                <w14:textFill>
                  <w14:solidFill>
                    <w14:srgbClr w14:val="000000">
                      <w14:alpha w14:val="100000"/>
                    </w14:srgbClr>
                  </w14:solidFill>
                </w14:textFill>
              </w:rPr>
              <w:t xml:space="preserve">　</w:t>
            </w:r>
            <w:r w:rsidR="00646959" w:rsidRPr="00646959">
              <w:rPr>
                <w:szCs w:val="20"/>
                <w:vertAlign w:val="superscript"/>
              </w:rPr>
              <w:t>3</w:t>
            </w:r>
          </w:p>
        </w:tc>
        <w:tc>
          <w:tcPr>
            <w:tcW w:w="1086" w:type="dxa"/>
            <w:vAlign w:val="center"/>
          </w:tcPr>
          <w:p w14:paraId="387BB0A6" w14:textId="7A3CC762" w:rsidR="00567A68" w:rsidRPr="00646959" w:rsidRDefault="00164331" w:rsidP="00BA75BD">
            <w:pPr>
              <w:pStyle w:val="TableText0"/>
              <w:keepLines/>
              <w:jc w:val="center"/>
              <w:rPr>
                <w:b/>
                <w:iCs/>
                <w:szCs w:val="20"/>
                <w:highlight w:val="lightGray"/>
              </w:rPr>
            </w:pPr>
            <w:r w:rsidRPr="00164331">
              <w:rPr>
                <w:rFonts w:hint="eastAsia"/>
                <w:b/>
                <w:iCs/>
                <w:color w:val="000000"/>
                <w:w w:val="25"/>
                <w:szCs w:val="20"/>
                <w:shd w:val="solid" w:color="000000" w:fill="000000"/>
                <w:fitText w:val="113" w:id="-1436282620"/>
                <w14:textFill>
                  <w14:solidFill>
                    <w14:srgbClr w14:val="000000">
                      <w14:alpha w14:val="100000"/>
                    </w14:srgbClr>
                  </w14:solidFill>
                </w14:textFill>
              </w:rPr>
              <w:t xml:space="preserve">　</w:t>
            </w:r>
            <w:r w:rsidRPr="00164331">
              <w:rPr>
                <w:b/>
                <w:iCs/>
                <w:color w:val="000000"/>
                <w:w w:val="25"/>
                <w:szCs w:val="20"/>
                <w:shd w:val="solid" w:color="000000" w:fill="000000"/>
                <w:fitText w:val="113" w:id="-1436282620"/>
                <w14:textFill>
                  <w14:solidFill>
                    <w14:srgbClr w14:val="000000">
                      <w14:alpha w14:val="100000"/>
                    </w14:srgbClr>
                  </w14:solidFill>
                </w14:textFill>
              </w:rPr>
              <w:t>|</w:t>
            </w:r>
            <w:r w:rsidRPr="00164331">
              <w:rPr>
                <w:rFonts w:hint="eastAsia"/>
                <w:b/>
                <w:iCs/>
                <w:color w:val="000000"/>
                <w:spacing w:val="1"/>
                <w:w w:val="25"/>
                <w:szCs w:val="20"/>
                <w:shd w:val="solid" w:color="000000" w:fill="000000"/>
                <w:fitText w:val="113" w:id="-1436282620"/>
                <w14:textFill>
                  <w14:solidFill>
                    <w14:srgbClr w14:val="000000">
                      <w14:alpha w14:val="100000"/>
                    </w14:srgbClr>
                  </w14:solidFill>
                </w14:textFill>
              </w:rPr>
              <w:t xml:space="preserve">　</w:t>
            </w:r>
            <w:r w:rsidR="00646959" w:rsidRPr="00646959">
              <w:rPr>
                <w:szCs w:val="20"/>
                <w:vertAlign w:val="superscript"/>
              </w:rPr>
              <w:t>3</w:t>
            </w:r>
          </w:p>
        </w:tc>
        <w:tc>
          <w:tcPr>
            <w:tcW w:w="1087" w:type="dxa"/>
            <w:vAlign w:val="center"/>
          </w:tcPr>
          <w:p w14:paraId="7C3491CA" w14:textId="68C5BAAF" w:rsidR="00567A68" w:rsidRPr="00646959" w:rsidRDefault="00164331" w:rsidP="00BA75BD">
            <w:pPr>
              <w:pStyle w:val="TableText0"/>
              <w:keepLines/>
              <w:jc w:val="center"/>
              <w:rPr>
                <w:b/>
                <w:iCs/>
                <w:szCs w:val="20"/>
                <w:highlight w:val="lightGray"/>
              </w:rPr>
            </w:pPr>
            <w:r w:rsidRPr="00164331">
              <w:rPr>
                <w:rFonts w:hint="eastAsia"/>
                <w:b/>
                <w:iCs/>
                <w:color w:val="000000"/>
                <w:w w:val="25"/>
                <w:szCs w:val="20"/>
                <w:shd w:val="solid" w:color="000000" w:fill="000000"/>
                <w:fitText w:val="113" w:id="-1436282619"/>
                <w14:textFill>
                  <w14:solidFill>
                    <w14:srgbClr w14:val="000000">
                      <w14:alpha w14:val="100000"/>
                    </w14:srgbClr>
                  </w14:solidFill>
                </w14:textFill>
              </w:rPr>
              <w:t xml:space="preserve">　</w:t>
            </w:r>
            <w:r w:rsidRPr="00164331">
              <w:rPr>
                <w:b/>
                <w:iCs/>
                <w:color w:val="000000"/>
                <w:w w:val="25"/>
                <w:szCs w:val="20"/>
                <w:shd w:val="solid" w:color="000000" w:fill="000000"/>
                <w:fitText w:val="113" w:id="-1436282619"/>
                <w14:textFill>
                  <w14:solidFill>
                    <w14:srgbClr w14:val="000000">
                      <w14:alpha w14:val="100000"/>
                    </w14:srgbClr>
                  </w14:solidFill>
                </w14:textFill>
              </w:rPr>
              <w:t>|</w:t>
            </w:r>
            <w:r w:rsidRPr="00164331">
              <w:rPr>
                <w:rFonts w:hint="eastAsia"/>
                <w:b/>
                <w:iCs/>
                <w:color w:val="000000"/>
                <w:spacing w:val="1"/>
                <w:w w:val="25"/>
                <w:szCs w:val="20"/>
                <w:shd w:val="solid" w:color="000000" w:fill="000000"/>
                <w:fitText w:val="113" w:id="-1436282619"/>
                <w14:textFill>
                  <w14:solidFill>
                    <w14:srgbClr w14:val="000000">
                      <w14:alpha w14:val="100000"/>
                    </w14:srgbClr>
                  </w14:solidFill>
                </w14:textFill>
              </w:rPr>
              <w:t xml:space="preserve">　</w:t>
            </w:r>
            <w:r w:rsidR="00646959" w:rsidRPr="00646959">
              <w:rPr>
                <w:szCs w:val="20"/>
                <w:vertAlign w:val="superscript"/>
              </w:rPr>
              <w:t>2</w:t>
            </w:r>
          </w:p>
        </w:tc>
        <w:tc>
          <w:tcPr>
            <w:tcW w:w="1086" w:type="dxa"/>
            <w:vAlign w:val="center"/>
          </w:tcPr>
          <w:p w14:paraId="07C9E926" w14:textId="3228F51C" w:rsidR="00567A68" w:rsidRPr="00646959" w:rsidRDefault="00164331" w:rsidP="00BA75BD">
            <w:pPr>
              <w:pStyle w:val="TableText0"/>
              <w:keepLines/>
              <w:jc w:val="center"/>
              <w:rPr>
                <w:b/>
                <w:iCs/>
                <w:szCs w:val="20"/>
                <w:highlight w:val="lightGray"/>
              </w:rPr>
            </w:pPr>
            <w:r w:rsidRPr="00164331">
              <w:rPr>
                <w:rFonts w:hint="eastAsia"/>
                <w:b/>
                <w:iCs/>
                <w:color w:val="000000"/>
                <w:w w:val="25"/>
                <w:szCs w:val="20"/>
                <w:shd w:val="solid" w:color="000000" w:fill="000000"/>
                <w:fitText w:val="113" w:id="-1436282618"/>
                <w14:textFill>
                  <w14:solidFill>
                    <w14:srgbClr w14:val="000000">
                      <w14:alpha w14:val="100000"/>
                    </w14:srgbClr>
                  </w14:solidFill>
                </w14:textFill>
              </w:rPr>
              <w:t xml:space="preserve">　</w:t>
            </w:r>
            <w:r w:rsidRPr="00164331">
              <w:rPr>
                <w:b/>
                <w:iCs/>
                <w:color w:val="000000"/>
                <w:w w:val="25"/>
                <w:szCs w:val="20"/>
                <w:shd w:val="solid" w:color="000000" w:fill="000000"/>
                <w:fitText w:val="113" w:id="-1436282618"/>
                <w14:textFill>
                  <w14:solidFill>
                    <w14:srgbClr w14:val="000000">
                      <w14:alpha w14:val="100000"/>
                    </w14:srgbClr>
                  </w14:solidFill>
                </w14:textFill>
              </w:rPr>
              <w:t>|</w:t>
            </w:r>
            <w:r w:rsidRPr="00164331">
              <w:rPr>
                <w:rFonts w:hint="eastAsia"/>
                <w:b/>
                <w:iCs/>
                <w:color w:val="000000"/>
                <w:spacing w:val="1"/>
                <w:w w:val="25"/>
                <w:szCs w:val="20"/>
                <w:shd w:val="solid" w:color="000000" w:fill="000000"/>
                <w:fitText w:val="113" w:id="-1436282618"/>
                <w14:textFill>
                  <w14:solidFill>
                    <w14:srgbClr w14:val="000000">
                      <w14:alpha w14:val="100000"/>
                    </w14:srgbClr>
                  </w14:solidFill>
                </w14:textFill>
              </w:rPr>
              <w:t xml:space="preserve">　</w:t>
            </w:r>
            <w:r w:rsidR="00646959" w:rsidRPr="00646959">
              <w:rPr>
                <w:szCs w:val="20"/>
                <w:vertAlign w:val="superscript"/>
              </w:rPr>
              <w:t>2</w:t>
            </w:r>
          </w:p>
        </w:tc>
        <w:tc>
          <w:tcPr>
            <w:tcW w:w="1086" w:type="dxa"/>
            <w:vAlign w:val="center"/>
          </w:tcPr>
          <w:p w14:paraId="68020688" w14:textId="0AF9FF57" w:rsidR="00567A68" w:rsidRPr="00646959" w:rsidRDefault="00164331" w:rsidP="00BA75BD">
            <w:pPr>
              <w:pStyle w:val="TableText0"/>
              <w:keepLines/>
              <w:jc w:val="center"/>
              <w:rPr>
                <w:b/>
                <w:iCs/>
                <w:szCs w:val="20"/>
                <w:highlight w:val="lightGray"/>
              </w:rPr>
            </w:pPr>
            <w:r w:rsidRPr="00164331">
              <w:rPr>
                <w:rFonts w:hint="eastAsia"/>
                <w:b/>
                <w:iCs/>
                <w:color w:val="000000"/>
                <w:w w:val="25"/>
                <w:szCs w:val="20"/>
                <w:shd w:val="solid" w:color="000000" w:fill="000000"/>
                <w:fitText w:val="112" w:id="-1436282617"/>
                <w14:textFill>
                  <w14:solidFill>
                    <w14:srgbClr w14:val="000000">
                      <w14:alpha w14:val="100000"/>
                    </w14:srgbClr>
                  </w14:solidFill>
                </w14:textFill>
              </w:rPr>
              <w:t xml:space="preserve">　</w:t>
            </w:r>
            <w:r w:rsidRPr="00164331">
              <w:rPr>
                <w:b/>
                <w:iCs/>
                <w:color w:val="000000"/>
                <w:w w:val="25"/>
                <w:szCs w:val="20"/>
                <w:shd w:val="solid" w:color="000000" w:fill="000000"/>
                <w:fitText w:val="112" w:id="-1436282617"/>
                <w14:textFill>
                  <w14:solidFill>
                    <w14:srgbClr w14:val="000000">
                      <w14:alpha w14:val="100000"/>
                    </w14:srgbClr>
                  </w14:solidFill>
                </w14:textFill>
              </w:rPr>
              <w:t>|</w:t>
            </w:r>
            <w:r w:rsidRPr="00164331">
              <w:rPr>
                <w:rFonts w:hint="eastAsia"/>
                <w:b/>
                <w:iCs/>
                <w:color w:val="000000"/>
                <w:w w:val="25"/>
                <w:szCs w:val="20"/>
                <w:shd w:val="solid" w:color="000000" w:fill="000000"/>
                <w:fitText w:val="112" w:id="-1436282617"/>
                <w14:textFill>
                  <w14:solidFill>
                    <w14:srgbClr w14:val="000000">
                      <w14:alpha w14:val="100000"/>
                    </w14:srgbClr>
                  </w14:solidFill>
                </w14:textFill>
              </w:rPr>
              <w:t xml:space="preserve">　</w:t>
            </w:r>
            <w:r w:rsidR="00646959" w:rsidRPr="00646959">
              <w:rPr>
                <w:szCs w:val="20"/>
                <w:vertAlign w:val="superscript"/>
              </w:rPr>
              <w:t>2</w:t>
            </w:r>
          </w:p>
        </w:tc>
        <w:tc>
          <w:tcPr>
            <w:tcW w:w="1087" w:type="dxa"/>
            <w:vAlign w:val="center"/>
          </w:tcPr>
          <w:p w14:paraId="30C1844C" w14:textId="7F7B766E" w:rsidR="00567A68" w:rsidRPr="00646959" w:rsidRDefault="00164331" w:rsidP="00BA75BD">
            <w:pPr>
              <w:pStyle w:val="TableText0"/>
              <w:keepLines/>
              <w:jc w:val="center"/>
              <w:rPr>
                <w:b/>
                <w:iCs/>
                <w:szCs w:val="20"/>
                <w:highlight w:val="lightGray"/>
              </w:rPr>
            </w:pPr>
            <w:r w:rsidRPr="00164331">
              <w:rPr>
                <w:rFonts w:hint="eastAsia"/>
                <w:b/>
                <w:iCs/>
                <w:color w:val="000000"/>
                <w:w w:val="25"/>
                <w:szCs w:val="20"/>
                <w:shd w:val="solid" w:color="000000" w:fill="000000"/>
                <w:fitText w:val="113" w:id="-1436282616"/>
                <w14:textFill>
                  <w14:solidFill>
                    <w14:srgbClr w14:val="000000">
                      <w14:alpha w14:val="100000"/>
                    </w14:srgbClr>
                  </w14:solidFill>
                </w14:textFill>
              </w:rPr>
              <w:t xml:space="preserve">　</w:t>
            </w:r>
            <w:r w:rsidRPr="00164331">
              <w:rPr>
                <w:b/>
                <w:iCs/>
                <w:color w:val="000000"/>
                <w:w w:val="25"/>
                <w:szCs w:val="20"/>
                <w:shd w:val="solid" w:color="000000" w:fill="000000"/>
                <w:fitText w:val="113" w:id="-1436282616"/>
                <w14:textFill>
                  <w14:solidFill>
                    <w14:srgbClr w14:val="000000">
                      <w14:alpha w14:val="100000"/>
                    </w14:srgbClr>
                  </w14:solidFill>
                </w14:textFill>
              </w:rPr>
              <w:t>|</w:t>
            </w:r>
            <w:r w:rsidRPr="00164331">
              <w:rPr>
                <w:rFonts w:hint="eastAsia"/>
                <w:b/>
                <w:iCs/>
                <w:color w:val="000000"/>
                <w:spacing w:val="1"/>
                <w:w w:val="25"/>
                <w:szCs w:val="20"/>
                <w:shd w:val="solid" w:color="000000" w:fill="000000"/>
                <w:fitText w:val="113" w:id="-1436282616"/>
                <w14:textFill>
                  <w14:solidFill>
                    <w14:srgbClr w14:val="000000">
                      <w14:alpha w14:val="100000"/>
                    </w14:srgbClr>
                  </w14:solidFill>
                </w14:textFill>
              </w:rPr>
              <w:t xml:space="preserve">　</w:t>
            </w:r>
            <w:r w:rsidR="00646959" w:rsidRPr="00646959">
              <w:rPr>
                <w:szCs w:val="20"/>
                <w:vertAlign w:val="superscript"/>
              </w:rPr>
              <w:t>4</w:t>
            </w:r>
          </w:p>
        </w:tc>
      </w:tr>
      <w:tr w:rsidR="00567A68" w:rsidRPr="004A5DB5" w14:paraId="29BB018E" w14:textId="77777777" w:rsidTr="00BA75BD">
        <w:tc>
          <w:tcPr>
            <w:tcW w:w="9017" w:type="dxa"/>
            <w:gridSpan w:val="8"/>
            <w:tcBorders>
              <w:top w:val="nil"/>
              <w:left w:val="single" w:sz="4" w:space="0" w:color="auto"/>
              <w:bottom w:val="single" w:sz="4" w:space="0" w:color="auto"/>
              <w:right w:val="single" w:sz="4" w:space="0" w:color="auto"/>
            </w:tcBorders>
            <w:shd w:val="clear" w:color="auto" w:fill="FFFFFF" w:themeFill="background1"/>
            <w:vAlign w:val="bottom"/>
          </w:tcPr>
          <w:p w14:paraId="47C34857" w14:textId="77777777" w:rsidR="00567A68" w:rsidRPr="004A5DB5" w:rsidRDefault="00567A68" w:rsidP="00BA75BD">
            <w:pPr>
              <w:pStyle w:val="In-tableHeading"/>
              <w:keepLines/>
              <w:rPr>
                <w:szCs w:val="20"/>
              </w:rPr>
            </w:pPr>
            <w:r w:rsidRPr="004A5DB5">
              <w:rPr>
                <w:szCs w:val="20"/>
              </w:rPr>
              <w:t xml:space="preserve">Number of </w:t>
            </w:r>
            <w:proofErr w:type="spellStart"/>
            <w:r w:rsidRPr="004A5DB5">
              <w:rPr>
                <w:szCs w:val="20"/>
              </w:rPr>
              <w:t>anifrolumab</w:t>
            </w:r>
            <w:proofErr w:type="spellEnd"/>
            <w:r w:rsidRPr="004A5DB5">
              <w:rPr>
                <w:szCs w:val="20"/>
              </w:rPr>
              <w:t xml:space="preserve"> scripts</w:t>
            </w:r>
          </w:p>
        </w:tc>
      </w:tr>
      <w:tr w:rsidR="00567A68" w:rsidRPr="004A5DB5" w14:paraId="154F2C97" w14:textId="77777777" w:rsidTr="00164331">
        <w:tc>
          <w:tcPr>
            <w:tcW w:w="1413" w:type="dxa"/>
            <w:tcBorders>
              <w:top w:val="nil"/>
              <w:left w:val="single" w:sz="4" w:space="0" w:color="auto"/>
              <w:bottom w:val="single" w:sz="4" w:space="0" w:color="auto"/>
              <w:right w:val="single" w:sz="4" w:space="0" w:color="auto"/>
            </w:tcBorders>
            <w:shd w:val="clear" w:color="auto" w:fill="FFFFFF" w:themeFill="background1"/>
            <w:vAlign w:val="bottom"/>
          </w:tcPr>
          <w:p w14:paraId="06377729" w14:textId="77777777" w:rsidR="00567A68" w:rsidRPr="00E445B4" w:rsidRDefault="00567A68" w:rsidP="00BA75BD">
            <w:pPr>
              <w:pStyle w:val="TableText0"/>
              <w:keepLines/>
              <w:rPr>
                <w:szCs w:val="20"/>
              </w:rPr>
            </w:pPr>
            <w:r w:rsidRPr="00E445B4">
              <w:rPr>
                <w:szCs w:val="20"/>
              </w:rPr>
              <w:t xml:space="preserve">PBS/RPBS </w:t>
            </w:r>
          </w:p>
        </w:tc>
        <w:tc>
          <w:tcPr>
            <w:tcW w:w="1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319D1" w14:textId="3E331DCA"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2" w:id="-1436282615"/>
                <w14:textFill>
                  <w14:solidFill>
                    <w14:srgbClr w14:val="000000">
                      <w14:alpha w14:val="100000"/>
                    </w14:srgbClr>
                  </w14:solidFill>
                </w14:textFill>
              </w:rPr>
              <w:t xml:space="preserve">　</w:t>
            </w:r>
            <w:r w:rsidRPr="00164331">
              <w:rPr>
                <w:color w:val="000000"/>
                <w:w w:val="15"/>
                <w:szCs w:val="20"/>
                <w:shd w:val="solid" w:color="000000" w:fill="000000"/>
                <w:fitText w:val="62" w:id="-1436282615"/>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615"/>
                <w14:textFill>
                  <w14:solidFill>
                    <w14:srgbClr w14:val="000000">
                      <w14:alpha w14:val="100000"/>
                    </w14:srgbClr>
                  </w14:solidFill>
                </w14:textFill>
              </w:rPr>
              <w:t xml:space="preserve">　</w:t>
            </w:r>
            <w:r w:rsidR="00EA7734" w:rsidRPr="00646959">
              <w:rPr>
                <w:szCs w:val="20"/>
                <w:vertAlign w:val="superscript"/>
              </w:rPr>
              <w:t>1</w:t>
            </w:r>
          </w:p>
        </w:tc>
        <w:tc>
          <w:tcPr>
            <w:tcW w:w="1086" w:type="dxa"/>
            <w:tcBorders>
              <w:top w:val="nil"/>
              <w:left w:val="nil"/>
              <w:bottom w:val="single" w:sz="4" w:space="0" w:color="auto"/>
              <w:right w:val="single" w:sz="4" w:space="0" w:color="auto"/>
            </w:tcBorders>
            <w:shd w:val="clear" w:color="auto" w:fill="FFFFFF" w:themeFill="background1"/>
            <w:vAlign w:val="center"/>
          </w:tcPr>
          <w:p w14:paraId="5B622A0F" w14:textId="6F68E39F" w:rsidR="00567A68" w:rsidRPr="00646959"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2" w:id="-1436282614"/>
                <w14:textFill>
                  <w14:solidFill>
                    <w14:srgbClr w14:val="000000">
                      <w14:alpha w14:val="100000"/>
                    </w14:srgbClr>
                  </w14:solidFill>
                </w14:textFill>
              </w:rPr>
              <w:t xml:space="preserve">　</w:t>
            </w:r>
            <w:r w:rsidRPr="00164331">
              <w:rPr>
                <w:color w:val="000000"/>
                <w:w w:val="15"/>
                <w:szCs w:val="20"/>
                <w:shd w:val="solid" w:color="000000" w:fill="000000"/>
                <w:fitText w:val="62" w:id="-1436282614"/>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614"/>
                <w14:textFill>
                  <w14:solidFill>
                    <w14:srgbClr w14:val="000000">
                      <w14:alpha w14:val="100000"/>
                    </w14:srgbClr>
                  </w14:solidFill>
                </w14:textFill>
              </w:rPr>
              <w:t xml:space="preserve">　</w:t>
            </w:r>
            <w:r w:rsidR="00EA7734" w:rsidRPr="00646959">
              <w:rPr>
                <w:szCs w:val="20"/>
                <w:vertAlign w:val="superscript"/>
              </w:rPr>
              <w:t>4</w:t>
            </w:r>
          </w:p>
        </w:tc>
        <w:tc>
          <w:tcPr>
            <w:tcW w:w="1086" w:type="dxa"/>
            <w:tcBorders>
              <w:top w:val="nil"/>
              <w:left w:val="nil"/>
              <w:bottom w:val="single" w:sz="4" w:space="0" w:color="auto"/>
              <w:right w:val="single" w:sz="4" w:space="0" w:color="auto"/>
            </w:tcBorders>
            <w:shd w:val="clear" w:color="auto" w:fill="FFFFFF" w:themeFill="background1"/>
            <w:vAlign w:val="center"/>
          </w:tcPr>
          <w:p w14:paraId="5FF4780F" w14:textId="2EB036A9" w:rsidR="00567A68" w:rsidRPr="00EA7734"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3" w:id="-1436282613"/>
                <w14:textFill>
                  <w14:solidFill>
                    <w14:srgbClr w14:val="000000">
                      <w14:alpha w14:val="100000"/>
                    </w14:srgbClr>
                  </w14:solidFill>
                </w14:textFill>
              </w:rPr>
              <w:t xml:space="preserve">　</w:t>
            </w:r>
            <w:r w:rsidRPr="00164331">
              <w:rPr>
                <w:color w:val="000000"/>
                <w:w w:val="15"/>
                <w:szCs w:val="20"/>
                <w:shd w:val="solid" w:color="000000" w:fill="000000"/>
                <w:fitText w:val="63" w:id="-1436282613"/>
                <w14:textFill>
                  <w14:solidFill>
                    <w14:srgbClr w14:val="000000">
                      <w14:alpha w14:val="100000"/>
                    </w14:srgbClr>
                  </w14:solidFill>
                </w14:textFill>
              </w:rPr>
              <w:t>|</w:t>
            </w:r>
            <w:r w:rsidRPr="00164331">
              <w:rPr>
                <w:rFonts w:hint="eastAsia"/>
                <w:color w:val="000000"/>
                <w:spacing w:val="-2"/>
                <w:w w:val="15"/>
                <w:szCs w:val="20"/>
                <w:shd w:val="solid" w:color="000000" w:fill="000000"/>
                <w:fitText w:val="63" w:id="-1436282613"/>
                <w14:textFill>
                  <w14:solidFill>
                    <w14:srgbClr w14:val="000000">
                      <w14:alpha w14:val="100000"/>
                    </w14:srgbClr>
                  </w14:solidFill>
                </w14:textFill>
              </w:rPr>
              <w:t xml:space="preserve">　</w:t>
            </w:r>
            <w:r w:rsidR="00EA7734" w:rsidRPr="00EA7734">
              <w:rPr>
                <w:szCs w:val="20"/>
                <w:vertAlign w:val="superscript"/>
              </w:rPr>
              <w:t>6</w:t>
            </w:r>
          </w:p>
        </w:tc>
        <w:tc>
          <w:tcPr>
            <w:tcW w:w="1087" w:type="dxa"/>
            <w:tcBorders>
              <w:top w:val="nil"/>
              <w:left w:val="nil"/>
              <w:bottom w:val="single" w:sz="4" w:space="0" w:color="auto"/>
              <w:right w:val="single" w:sz="4" w:space="0" w:color="auto"/>
            </w:tcBorders>
            <w:shd w:val="clear" w:color="auto" w:fill="FFFFFF" w:themeFill="background1"/>
            <w:vAlign w:val="center"/>
          </w:tcPr>
          <w:p w14:paraId="40AEC5E5" w14:textId="3268C5F0" w:rsidR="00567A68" w:rsidRPr="00EA7734"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2" w:id="-1436282612"/>
                <w14:textFill>
                  <w14:solidFill>
                    <w14:srgbClr w14:val="000000">
                      <w14:alpha w14:val="100000"/>
                    </w14:srgbClr>
                  </w14:solidFill>
                </w14:textFill>
              </w:rPr>
              <w:t xml:space="preserve">　</w:t>
            </w:r>
            <w:r w:rsidRPr="00164331">
              <w:rPr>
                <w:color w:val="000000"/>
                <w:w w:val="15"/>
                <w:szCs w:val="20"/>
                <w:shd w:val="solid" w:color="000000" w:fill="000000"/>
                <w:fitText w:val="62" w:id="-1436282612"/>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612"/>
                <w14:textFill>
                  <w14:solidFill>
                    <w14:srgbClr w14:val="000000">
                      <w14:alpha w14:val="100000"/>
                    </w14:srgbClr>
                  </w14:solidFill>
                </w14:textFill>
              </w:rPr>
              <w:t xml:space="preserve">　</w:t>
            </w:r>
            <w:r w:rsidR="00EA7734" w:rsidRPr="00EA7734">
              <w:rPr>
                <w:szCs w:val="20"/>
                <w:vertAlign w:val="superscript"/>
              </w:rPr>
              <w:t>7</w:t>
            </w:r>
          </w:p>
        </w:tc>
        <w:tc>
          <w:tcPr>
            <w:tcW w:w="1086" w:type="dxa"/>
            <w:tcBorders>
              <w:top w:val="nil"/>
              <w:left w:val="nil"/>
              <w:bottom w:val="single" w:sz="4" w:space="0" w:color="auto"/>
              <w:right w:val="single" w:sz="4" w:space="0" w:color="auto"/>
            </w:tcBorders>
            <w:shd w:val="clear" w:color="auto" w:fill="FFFFFF" w:themeFill="background1"/>
            <w:vAlign w:val="center"/>
          </w:tcPr>
          <w:p w14:paraId="0BEAB1FE" w14:textId="65D3E34C" w:rsidR="00567A68" w:rsidRPr="00EA7734"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3" w:id="-1436282611"/>
                <w14:textFill>
                  <w14:solidFill>
                    <w14:srgbClr w14:val="000000">
                      <w14:alpha w14:val="100000"/>
                    </w14:srgbClr>
                  </w14:solidFill>
                </w14:textFill>
              </w:rPr>
              <w:t xml:space="preserve">　</w:t>
            </w:r>
            <w:r w:rsidRPr="00164331">
              <w:rPr>
                <w:color w:val="000000"/>
                <w:w w:val="15"/>
                <w:szCs w:val="20"/>
                <w:shd w:val="solid" w:color="000000" w:fill="000000"/>
                <w:fitText w:val="63" w:id="-1436282611"/>
                <w14:textFill>
                  <w14:solidFill>
                    <w14:srgbClr w14:val="000000">
                      <w14:alpha w14:val="100000"/>
                    </w14:srgbClr>
                  </w14:solidFill>
                </w14:textFill>
              </w:rPr>
              <w:t>|</w:t>
            </w:r>
            <w:r w:rsidRPr="00164331">
              <w:rPr>
                <w:rFonts w:hint="eastAsia"/>
                <w:color w:val="000000"/>
                <w:spacing w:val="-2"/>
                <w:w w:val="15"/>
                <w:szCs w:val="20"/>
                <w:shd w:val="solid" w:color="000000" w:fill="000000"/>
                <w:fitText w:val="63" w:id="-1436282611"/>
                <w14:textFill>
                  <w14:solidFill>
                    <w14:srgbClr w14:val="000000">
                      <w14:alpha w14:val="100000"/>
                    </w14:srgbClr>
                  </w14:solidFill>
                </w14:textFill>
              </w:rPr>
              <w:t xml:space="preserve">　</w:t>
            </w:r>
            <w:r w:rsidR="00EA7734" w:rsidRPr="00EA7734">
              <w:rPr>
                <w:szCs w:val="20"/>
                <w:vertAlign w:val="superscript"/>
              </w:rPr>
              <w:t>8</w:t>
            </w:r>
          </w:p>
        </w:tc>
        <w:tc>
          <w:tcPr>
            <w:tcW w:w="1086" w:type="dxa"/>
            <w:tcBorders>
              <w:top w:val="nil"/>
              <w:left w:val="nil"/>
              <w:bottom w:val="single" w:sz="4" w:space="0" w:color="auto"/>
              <w:right w:val="single" w:sz="4" w:space="0" w:color="auto"/>
            </w:tcBorders>
            <w:shd w:val="clear" w:color="auto" w:fill="FFFFFF" w:themeFill="background1"/>
            <w:vAlign w:val="center"/>
          </w:tcPr>
          <w:p w14:paraId="45BB21E8" w14:textId="2E5C97EB" w:rsidR="00567A68" w:rsidRPr="00EA7734" w:rsidRDefault="00164331" w:rsidP="00BA75BD">
            <w:pPr>
              <w:pStyle w:val="TableText0"/>
              <w:keepLines/>
              <w:jc w:val="center"/>
              <w:rPr>
                <w:szCs w:val="20"/>
                <w:highlight w:val="lightGray"/>
              </w:rPr>
            </w:pPr>
            <w:r w:rsidRPr="00164331">
              <w:rPr>
                <w:rFonts w:hint="eastAsia"/>
                <w:color w:val="000000"/>
                <w:w w:val="15"/>
                <w:szCs w:val="20"/>
                <w:shd w:val="solid" w:color="000000" w:fill="000000"/>
                <w:fitText w:val="62" w:id="-1436282610"/>
                <w14:textFill>
                  <w14:solidFill>
                    <w14:srgbClr w14:val="000000">
                      <w14:alpha w14:val="100000"/>
                    </w14:srgbClr>
                  </w14:solidFill>
                </w14:textFill>
              </w:rPr>
              <w:t xml:space="preserve">　</w:t>
            </w:r>
            <w:r w:rsidRPr="00164331">
              <w:rPr>
                <w:color w:val="000000"/>
                <w:w w:val="15"/>
                <w:szCs w:val="20"/>
                <w:shd w:val="solid" w:color="000000" w:fill="000000"/>
                <w:fitText w:val="62" w:id="-1436282610"/>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610"/>
                <w14:textFill>
                  <w14:solidFill>
                    <w14:srgbClr w14:val="000000">
                      <w14:alpha w14:val="100000"/>
                    </w14:srgbClr>
                  </w14:solidFill>
                </w14:textFill>
              </w:rPr>
              <w:t xml:space="preserve">　</w:t>
            </w:r>
            <w:r w:rsidR="00EA7734" w:rsidRPr="00EA7734">
              <w:rPr>
                <w:szCs w:val="20"/>
                <w:vertAlign w:val="superscript"/>
              </w:rPr>
              <w:t>9</w:t>
            </w:r>
          </w:p>
        </w:tc>
        <w:tc>
          <w:tcPr>
            <w:tcW w:w="1087" w:type="dxa"/>
            <w:tcBorders>
              <w:top w:val="nil"/>
              <w:left w:val="nil"/>
              <w:bottom w:val="single" w:sz="4" w:space="0" w:color="auto"/>
              <w:right w:val="single" w:sz="4" w:space="0" w:color="auto"/>
            </w:tcBorders>
            <w:shd w:val="clear" w:color="auto" w:fill="FFFFFF" w:themeFill="background1"/>
            <w:vAlign w:val="center"/>
          </w:tcPr>
          <w:p w14:paraId="3710A9CF" w14:textId="72C3F384" w:rsidR="00567A68" w:rsidRPr="00EA7734" w:rsidRDefault="00164331" w:rsidP="00BA75BD">
            <w:pPr>
              <w:pStyle w:val="TableText0"/>
              <w:keepLines/>
              <w:jc w:val="center"/>
              <w:rPr>
                <w:iCs/>
                <w:szCs w:val="20"/>
                <w:highlight w:val="lightGray"/>
              </w:rPr>
            </w:pPr>
            <w:r w:rsidRPr="00164331">
              <w:rPr>
                <w:rFonts w:hint="eastAsia"/>
                <w:iCs/>
                <w:color w:val="000000"/>
                <w:w w:val="19"/>
                <w:szCs w:val="20"/>
                <w:shd w:val="solid" w:color="000000" w:fill="000000"/>
                <w:fitText w:val="88" w:id="-1436282609"/>
                <w14:textFill>
                  <w14:solidFill>
                    <w14:srgbClr w14:val="000000">
                      <w14:alpha w14:val="100000"/>
                    </w14:srgbClr>
                  </w14:solidFill>
                </w14:textFill>
              </w:rPr>
              <w:t xml:space="preserve">　</w:t>
            </w:r>
            <w:r w:rsidRPr="00164331">
              <w:rPr>
                <w:iCs/>
                <w:color w:val="000000"/>
                <w:w w:val="19"/>
                <w:szCs w:val="20"/>
                <w:shd w:val="solid" w:color="000000" w:fill="000000"/>
                <w:fitText w:val="88" w:id="-1436282609"/>
                <w14:textFill>
                  <w14:solidFill>
                    <w14:srgbClr w14:val="000000">
                      <w14:alpha w14:val="100000"/>
                    </w14:srgbClr>
                  </w14:solidFill>
                </w14:textFill>
              </w:rPr>
              <w:t>|</w:t>
            </w:r>
            <w:r w:rsidRPr="00164331">
              <w:rPr>
                <w:rFonts w:hint="eastAsia"/>
                <w:iCs/>
                <w:color w:val="000000"/>
                <w:spacing w:val="4"/>
                <w:w w:val="19"/>
                <w:szCs w:val="20"/>
                <w:shd w:val="solid" w:color="000000" w:fill="000000"/>
                <w:fitText w:val="88" w:id="-1436282609"/>
                <w14:textFill>
                  <w14:solidFill>
                    <w14:srgbClr w14:val="000000">
                      <w14:alpha w14:val="100000"/>
                    </w14:srgbClr>
                  </w14:solidFill>
                </w14:textFill>
              </w:rPr>
              <w:t xml:space="preserve">　</w:t>
            </w:r>
            <w:r w:rsidR="00EA7734" w:rsidRPr="00EA7734">
              <w:rPr>
                <w:iCs/>
                <w:szCs w:val="20"/>
                <w:vertAlign w:val="superscript"/>
              </w:rPr>
              <w:t>10</w:t>
            </w:r>
          </w:p>
        </w:tc>
      </w:tr>
      <w:tr w:rsidR="00567A68" w:rsidRPr="004A5DB5" w14:paraId="02689CE4" w14:textId="77777777" w:rsidTr="00164331">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D817D1D" w14:textId="05C12B43" w:rsidR="00567A68" w:rsidRPr="004A5DB5" w:rsidRDefault="00567A68" w:rsidP="00BA75BD">
            <w:pPr>
              <w:pStyle w:val="TableText0"/>
              <w:keepLines/>
              <w:rPr>
                <w:b/>
                <w:szCs w:val="20"/>
              </w:rPr>
            </w:pPr>
            <w:r w:rsidRPr="004A5DB5">
              <w:rPr>
                <w:b/>
                <w:szCs w:val="20"/>
              </w:rPr>
              <w:t>Net cost</w:t>
            </w:r>
            <w:r w:rsidR="00382031">
              <w:rPr>
                <w:b/>
                <w:szCs w:val="20"/>
              </w:rPr>
              <w:t xml:space="preserve"> to R/PBS</w:t>
            </w:r>
            <w:r w:rsidR="00646959">
              <w:rPr>
                <w:b/>
                <w:szCs w:val="20"/>
              </w:rPr>
              <w:t xml:space="preserve"> ($)</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3BA9826C" w14:textId="39A3ABB1" w:rsidR="00567A68" w:rsidRPr="00F91D8D" w:rsidRDefault="00164331" w:rsidP="00382031">
            <w:pPr>
              <w:pStyle w:val="TableText0"/>
              <w:keepLines/>
              <w:jc w:val="center"/>
              <w:rPr>
                <w:rFonts w:cs="Arial"/>
                <w:b/>
                <w:color w:val="000000"/>
                <w:szCs w:val="20"/>
                <w:highlight w:val="lightGray"/>
              </w:rPr>
            </w:pPr>
            <w:r w:rsidRPr="00164331">
              <w:rPr>
                <w:rFonts w:hint="eastAsia"/>
                <w:b/>
                <w:color w:val="000000"/>
                <w:w w:val="30"/>
                <w:szCs w:val="20"/>
                <w:shd w:val="solid" w:color="000000" w:fill="000000"/>
                <w:fitText w:val="138" w:id="-1436282608"/>
                <w14:textFill>
                  <w14:solidFill>
                    <w14:srgbClr w14:val="000000">
                      <w14:alpha w14:val="100000"/>
                    </w14:srgbClr>
                  </w14:solidFill>
                </w14:textFill>
              </w:rPr>
              <w:t xml:space="preserve">　</w:t>
            </w:r>
            <w:r w:rsidRPr="00164331">
              <w:rPr>
                <w:b/>
                <w:color w:val="000000"/>
                <w:w w:val="30"/>
                <w:szCs w:val="20"/>
                <w:shd w:val="solid" w:color="000000" w:fill="000000"/>
                <w:fitText w:val="138" w:id="-1436282608"/>
                <w14:textFill>
                  <w14:solidFill>
                    <w14:srgbClr w14:val="000000">
                      <w14:alpha w14:val="100000"/>
                    </w14:srgbClr>
                  </w14:solidFill>
                </w14:textFill>
              </w:rPr>
              <w:t>|</w:t>
            </w:r>
            <w:r w:rsidRPr="00164331">
              <w:rPr>
                <w:rFonts w:hint="eastAsia"/>
                <w:b/>
                <w:color w:val="000000"/>
                <w:spacing w:val="5"/>
                <w:w w:val="30"/>
                <w:szCs w:val="20"/>
                <w:shd w:val="solid" w:color="000000" w:fill="000000"/>
                <w:fitText w:val="138" w:id="-1436282608"/>
                <w14:textFill>
                  <w14:solidFill>
                    <w14:srgbClr w14:val="000000">
                      <w14:alpha w14:val="100000"/>
                    </w14:srgbClr>
                  </w14:solidFill>
                </w14:textFill>
              </w:rPr>
              <w:t xml:space="preserve">　</w:t>
            </w:r>
            <w:r w:rsidR="00F91D8D" w:rsidRPr="00F91D8D">
              <w:rPr>
                <w:b/>
                <w:szCs w:val="20"/>
                <w:vertAlign w:val="superscript"/>
              </w:rPr>
              <w:t>11</w:t>
            </w:r>
          </w:p>
        </w:tc>
        <w:tc>
          <w:tcPr>
            <w:tcW w:w="1086" w:type="dxa"/>
            <w:tcBorders>
              <w:top w:val="single" w:sz="4" w:space="0" w:color="auto"/>
              <w:left w:val="nil"/>
              <w:bottom w:val="single" w:sz="4" w:space="0" w:color="auto"/>
              <w:right w:val="single" w:sz="4" w:space="0" w:color="auto"/>
            </w:tcBorders>
            <w:shd w:val="clear" w:color="auto" w:fill="auto"/>
            <w:vAlign w:val="center"/>
          </w:tcPr>
          <w:p w14:paraId="70FD4E9C" w14:textId="78495ECE" w:rsidR="00567A68" w:rsidRPr="00D937B8" w:rsidRDefault="00164331" w:rsidP="00382031">
            <w:pPr>
              <w:pStyle w:val="TableText0"/>
              <w:keepLines/>
              <w:jc w:val="center"/>
              <w:rPr>
                <w:rFonts w:cs="Arial"/>
                <w:b/>
                <w:color w:val="000000"/>
                <w:szCs w:val="20"/>
                <w:highlight w:val="lightGray"/>
              </w:rPr>
            </w:pPr>
            <w:r w:rsidRPr="00164331">
              <w:rPr>
                <w:rFonts w:hint="eastAsia"/>
                <w:b/>
                <w:color w:val="000000"/>
                <w:w w:val="30"/>
                <w:szCs w:val="20"/>
                <w:shd w:val="solid" w:color="000000" w:fill="000000"/>
                <w:fitText w:val="138" w:id="-1436282624"/>
                <w14:textFill>
                  <w14:solidFill>
                    <w14:srgbClr w14:val="000000">
                      <w14:alpha w14:val="100000"/>
                    </w14:srgbClr>
                  </w14:solidFill>
                </w14:textFill>
              </w:rPr>
              <w:t xml:space="preserve">　</w:t>
            </w:r>
            <w:r w:rsidRPr="00164331">
              <w:rPr>
                <w:b/>
                <w:color w:val="000000"/>
                <w:w w:val="30"/>
                <w:szCs w:val="20"/>
                <w:shd w:val="solid" w:color="000000" w:fill="000000"/>
                <w:fitText w:val="138" w:id="-1436282624"/>
                <w14:textFill>
                  <w14:solidFill>
                    <w14:srgbClr w14:val="000000">
                      <w14:alpha w14:val="100000"/>
                    </w14:srgbClr>
                  </w14:solidFill>
                </w14:textFill>
              </w:rPr>
              <w:t>|</w:t>
            </w:r>
            <w:r w:rsidRPr="00164331">
              <w:rPr>
                <w:rFonts w:hint="eastAsia"/>
                <w:b/>
                <w:color w:val="000000"/>
                <w:spacing w:val="5"/>
                <w:w w:val="30"/>
                <w:szCs w:val="20"/>
                <w:shd w:val="solid" w:color="000000" w:fill="000000"/>
                <w:fitText w:val="138" w:id="-1436282624"/>
                <w14:textFill>
                  <w14:solidFill>
                    <w14:srgbClr w14:val="000000">
                      <w14:alpha w14:val="100000"/>
                    </w14:srgbClr>
                  </w14:solidFill>
                </w14:textFill>
              </w:rPr>
              <w:t xml:space="preserve">　</w:t>
            </w:r>
            <w:r w:rsidR="00D937B8" w:rsidRPr="00D937B8">
              <w:rPr>
                <w:b/>
                <w:szCs w:val="20"/>
                <w:vertAlign w:val="superscript"/>
              </w:rPr>
              <w:t>12</w:t>
            </w:r>
          </w:p>
        </w:tc>
        <w:tc>
          <w:tcPr>
            <w:tcW w:w="1086" w:type="dxa"/>
            <w:tcBorders>
              <w:top w:val="single" w:sz="4" w:space="0" w:color="auto"/>
              <w:left w:val="nil"/>
              <w:bottom w:val="single" w:sz="4" w:space="0" w:color="auto"/>
              <w:right w:val="single" w:sz="4" w:space="0" w:color="auto"/>
            </w:tcBorders>
            <w:shd w:val="clear" w:color="auto" w:fill="auto"/>
            <w:vAlign w:val="center"/>
          </w:tcPr>
          <w:p w14:paraId="40BDADA9" w14:textId="767DE910" w:rsidR="00567A68" w:rsidRPr="00D937B8" w:rsidRDefault="00164331" w:rsidP="00382031">
            <w:pPr>
              <w:pStyle w:val="TableText0"/>
              <w:keepLines/>
              <w:jc w:val="center"/>
              <w:rPr>
                <w:rFonts w:cs="Arial"/>
                <w:b/>
                <w:color w:val="000000"/>
                <w:szCs w:val="20"/>
                <w:highlight w:val="lightGray"/>
              </w:rPr>
            </w:pPr>
            <w:r w:rsidRPr="00164331">
              <w:rPr>
                <w:rFonts w:hint="eastAsia"/>
                <w:b/>
                <w:color w:val="000000"/>
                <w:w w:val="30"/>
                <w:szCs w:val="20"/>
                <w:shd w:val="solid" w:color="000000" w:fill="000000"/>
                <w:fitText w:val="138" w:id="-1436282623"/>
                <w14:textFill>
                  <w14:solidFill>
                    <w14:srgbClr w14:val="000000">
                      <w14:alpha w14:val="100000"/>
                    </w14:srgbClr>
                  </w14:solidFill>
                </w14:textFill>
              </w:rPr>
              <w:t xml:space="preserve">　</w:t>
            </w:r>
            <w:r w:rsidRPr="00164331">
              <w:rPr>
                <w:b/>
                <w:color w:val="000000"/>
                <w:w w:val="30"/>
                <w:szCs w:val="20"/>
                <w:shd w:val="solid" w:color="000000" w:fill="000000"/>
                <w:fitText w:val="138" w:id="-1436282623"/>
                <w14:textFill>
                  <w14:solidFill>
                    <w14:srgbClr w14:val="000000">
                      <w14:alpha w14:val="100000"/>
                    </w14:srgbClr>
                  </w14:solidFill>
                </w14:textFill>
              </w:rPr>
              <w:t>|</w:t>
            </w:r>
            <w:r w:rsidRPr="00164331">
              <w:rPr>
                <w:rFonts w:hint="eastAsia"/>
                <w:b/>
                <w:color w:val="000000"/>
                <w:spacing w:val="5"/>
                <w:w w:val="30"/>
                <w:szCs w:val="20"/>
                <w:shd w:val="solid" w:color="000000" w:fill="000000"/>
                <w:fitText w:val="138" w:id="-1436282623"/>
                <w14:textFill>
                  <w14:solidFill>
                    <w14:srgbClr w14:val="000000">
                      <w14:alpha w14:val="100000"/>
                    </w14:srgbClr>
                  </w14:solidFill>
                </w14:textFill>
              </w:rPr>
              <w:t xml:space="preserve">　</w:t>
            </w:r>
            <w:r w:rsidR="00D937B8" w:rsidRPr="00D937B8">
              <w:rPr>
                <w:b/>
                <w:szCs w:val="20"/>
                <w:vertAlign w:val="superscript"/>
              </w:rPr>
              <w:t>14</w:t>
            </w:r>
          </w:p>
        </w:tc>
        <w:tc>
          <w:tcPr>
            <w:tcW w:w="1087" w:type="dxa"/>
            <w:tcBorders>
              <w:top w:val="single" w:sz="4" w:space="0" w:color="auto"/>
              <w:left w:val="nil"/>
              <w:bottom w:val="single" w:sz="4" w:space="0" w:color="auto"/>
              <w:right w:val="single" w:sz="4" w:space="0" w:color="auto"/>
            </w:tcBorders>
            <w:shd w:val="clear" w:color="auto" w:fill="auto"/>
            <w:vAlign w:val="center"/>
          </w:tcPr>
          <w:p w14:paraId="47BBF0F4" w14:textId="68EEAAFA" w:rsidR="00567A68" w:rsidRPr="00D937B8" w:rsidRDefault="00164331" w:rsidP="00382031">
            <w:pPr>
              <w:pStyle w:val="TableText0"/>
              <w:keepLines/>
              <w:jc w:val="center"/>
              <w:rPr>
                <w:rFonts w:cs="Arial"/>
                <w:b/>
                <w:color w:val="000000"/>
                <w:szCs w:val="20"/>
                <w:highlight w:val="lightGray"/>
                <w:vertAlign w:val="superscript"/>
              </w:rPr>
            </w:pPr>
            <w:r w:rsidRPr="00164331">
              <w:rPr>
                <w:rFonts w:hint="eastAsia"/>
                <w:b/>
                <w:color w:val="000000"/>
                <w:w w:val="27"/>
                <w:szCs w:val="20"/>
                <w:shd w:val="solid" w:color="000000" w:fill="000000"/>
                <w:fitText w:val="125" w:id="-1436282622"/>
                <w14:textFill>
                  <w14:solidFill>
                    <w14:srgbClr w14:val="000000">
                      <w14:alpha w14:val="100000"/>
                    </w14:srgbClr>
                  </w14:solidFill>
                </w14:textFill>
              </w:rPr>
              <w:t xml:space="preserve">　</w:t>
            </w:r>
            <w:r w:rsidRPr="00164331">
              <w:rPr>
                <w:b/>
                <w:color w:val="000000"/>
                <w:w w:val="27"/>
                <w:szCs w:val="20"/>
                <w:shd w:val="solid" w:color="000000" w:fill="000000"/>
                <w:fitText w:val="125" w:id="-1436282622"/>
                <w14:textFill>
                  <w14:solidFill>
                    <w14:srgbClr w14:val="000000">
                      <w14:alpha w14:val="100000"/>
                    </w14:srgbClr>
                  </w14:solidFill>
                </w14:textFill>
              </w:rPr>
              <w:t>|</w:t>
            </w:r>
            <w:r w:rsidRPr="00164331">
              <w:rPr>
                <w:rFonts w:hint="eastAsia"/>
                <w:b/>
                <w:color w:val="000000"/>
                <w:spacing w:val="6"/>
                <w:w w:val="27"/>
                <w:szCs w:val="20"/>
                <w:shd w:val="solid" w:color="000000" w:fill="000000"/>
                <w:fitText w:val="125" w:id="-1436282622"/>
                <w14:textFill>
                  <w14:solidFill>
                    <w14:srgbClr w14:val="000000">
                      <w14:alpha w14:val="100000"/>
                    </w14:srgbClr>
                  </w14:solidFill>
                </w14:textFill>
              </w:rPr>
              <w:t xml:space="preserve">　</w:t>
            </w:r>
            <w:r w:rsidR="00D937B8" w:rsidRPr="00D937B8">
              <w:rPr>
                <w:b/>
                <w:szCs w:val="20"/>
                <w:vertAlign w:val="superscript"/>
              </w:rPr>
              <w:t>16</w:t>
            </w:r>
          </w:p>
        </w:tc>
        <w:tc>
          <w:tcPr>
            <w:tcW w:w="1086" w:type="dxa"/>
            <w:tcBorders>
              <w:top w:val="single" w:sz="4" w:space="0" w:color="auto"/>
              <w:left w:val="nil"/>
              <w:bottom w:val="single" w:sz="4" w:space="0" w:color="auto"/>
              <w:right w:val="single" w:sz="4" w:space="0" w:color="auto"/>
            </w:tcBorders>
            <w:shd w:val="clear" w:color="auto" w:fill="auto"/>
            <w:vAlign w:val="center"/>
          </w:tcPr>
          <w:p w14:paraId="1017A233" w14:textId="4D4807F9" w:rsidR="00567A68" w:rsidRPr="00646959" w:rsidRDefault="00164331" w:rsidP="00382031">
            <w:pPr>
              <w:pStyle w:val="TableText0"/>
              <w:keepLines/>
              <w:jc w:val="center"/>
              <w:rPr>
                <w:rFonts w:cs="Arial"/>
                <w:b/>
                <w:color w:val="000000"/>
                <w:szCs w:val="20"/>
                <w:highlight w:val="lightGray"/>
              </w:rPr>
            </w:pPr>
            <w:r w:rsidRPr="00164331">
              <w:rPr>
                <w:rFonts w:hint="eastAsia"/>
                <w:b/>
                <w:color w:val="000000"/>
                <w:w w:val="30"/>
                <w:szCs w:val="20"/>
                <w:shd w:val="solid" w:color="000000" w:fill="000000"/>
                <w:fitText w:val="137" w:id="-1436282621"/>
                <w14:textFill>
                  <w14:solidFill>
                    <w14:srgbClr w14:val="000000">
                      <w14:alpha w14:val="100000"/>
                    </w14:srgbClr>
                  </w14:solidFill>
                </w14:textFill>
              </w:rPr>
              <w:t xml:space="preserve">　</w:t>
            </w:r>
            <w:r w:rsidRPr="00164331">
              <w:rPr>
                <w:b/>
                <w:color w:val="000000"/>
                <w:w w:val="30"/>
                <w:szCs w:val="20"/>
                <w:shd w:val="solid" w:color="000000" w:fill="000000"/>
                <w:fitText w:val="137" w:id="-1436282621"/>
                <w14:textFill>
                  <w14:solidFill>
                    <w14:srgbClr w14:val="000000">
                      <w14:alpha w14:val="100000"/>
                    </w14:srgbClr>
                  </w14:solidFill>
                </w14:textFill>
              </w:rPr>
              <w:t>|</w:t>
            </w:r>
            <w:r w:rsidRPr="00164331">
              <w:rPr>
                <w:rFonts w:hint="eastAsia"/>
                <w:b/>
                <w:color w:val="000000"/>
                <w:spacing w:val="4"/>
                <w:w w:val="30"/>
                <w:szCs w:val="20"/>
                <w:shd w:val="solid" w:color="000000" w:fill="000000"/>
                <w:fitText w:val="137" w:id="-1436282621"/>
                <w14:textFill>
                  <w14:solidFill>
                    <w14:srgbClr w14:val="000000">
                      <w14:alpha w14:val="100000"/>
                    </w14:srgbClr>
                  </w14:solidFill>
                </w14:textFill>
              </w:rPr>
              <w:t xml:space="preserve">　</w:t>
            </w:r>
            <w:r w:rsidR="00D937B8" w:rsidRPr="00D937B8">
              <w:rPr>
                <w:b/>
                <w:szCs w:val="20"/>
                <w:vertAlign w:val="superscript"/>
              </w:rPr>
              <w:t>16</w:t>
            </w:r>
          </w:p>
        </w:tc>
        <w:tc>
          <w:tcPr>
            <w:tcW w:w="1086" w:type="dxa"/>
            <w:tcBorders>
              <w:top w:val="single" w:sz="4" w:space="0" w:color="auto"/>
              <w:left w:val="nil"/>
              <w:bottom w:val="single" w:sz="4" w:space="0" w:color="auto"/>
              <w:right w:val="single" w:sz="4" w:space="0" w:color="auto"/>
            </w:tcBorders>
            <w:shd w:val="clear" w:color="auto" w:fill="auto"/>
            <w:vAlign w:val="center"/>
          </w:tcPr>
          <w:p w14:paraId="75B64508" w14:textId="305FC4F5" w:rsidR="00567A68" w:rsidRPr="00646959" w:rsidRDefault="00164331" w:rsidP="00382031">
            <w:pPr>
              <w:pStyle w:val="TableText0"/>
              <w:keepLines/>
              <w:jc w:val="center"/>
              <w:rPr>
                <w:b/>
                <w:szCs w:val="20"/>
                <w:highlight w:val="lightGray"/>
              </w:rPr>
            </w:pPr>
            <w:r w:rsidRPr="00164331">
              <w:rPr>
                <w:rFonts w:hint="eastAsia"/>
                <w:b/>
                <w:color w:val="000000"/>
                <w:w w:val="30"/>
                <w:szCs w:val="20"/>
                <w:shd w:val="solid" w:color="000000" w:fill="000000"/>
                <w:fitText w:val="138" w:id="-1436282620"/>
                <w14:textFill>
                  <w14:solidFill>
                    <w14:srgbClr w14:val="000000">
                      <w14:alpha w14:val="100000"/>
                    </w14:srgbClr>
                  </w14:solidFill>
                </w14:textFill>
              </w:rPr>
              <w:t xml:space="preserve">　</w:t>
            </w:r>
            <w:r w:rsidRPr="00164331">
              <w:rPr>
                <w:b/>
                <w:color w:val="000000"/>
                <w:w w:val="30"/>
                <w:szCs w:val="20"/>
                <w:shd w:val="solid" w:color="000000" w:fill="000000"/>
                <w:fitText w:val="138" w:id="-1436282620"/>
                <w14:textFill>
                  <w14:solidFill>
                    <w14:srgbClr w14:val="000000">
                      <w14:alpha w14:val="100000"/>
                    </w14:srgbClr>
                  </w14:solidFill>
                </w14:textFill>
              </w:rPr>
              <w:t>|</w:t>
            </w:r>
            <w:r w:rsidRPr="00164331">
              <w:rPr>
                <w:rFonts w:hint="eastAsia"/>
                <w:b/>
                <w:color w:val="000000"/>
                <w:spacing w:val="5"/>
                <w:w w:val="30"/>
                <w:szCs w:val="20"/>
                <w:shd w:val="solid" w:color="000000" w:fill="000000"/>
                <w:fitText w:val="138" w:id="-1436282620"/>
                <w14:textFill>
                  <w14:solidFill>
                    <w14:srgbClr w14:val="000000">
                      <w14:alpha w14:val="100000"/>
                    </w14:srgbClr>
                  </w14:solidFill>
                </w14:textFill>
              </w:rPr>
              <w:t xml:space="preserve">　</w:t>
            </w:r>
            <w:r w:rsidR="00D937B8" w:rsidRPr="00D937B8">
              <w:rPr>
                <w:b/>
                <w:szCs w:val="20"/>
                <w:vertAlign w:val="superscript"/>
              </w:rPr>
              <w:t>16</w:t>
            </w:r>
          </w:p>
        </w:tc>
        <w:tc>
          <w:tcPr>
            <w:tcW w:w="1087" w:type="dxa"/>
            <w:tcBorders>
              <w:top w:val="single" w:sz="4" w:space="0" w:color="auto"/>
              <w:left w:val="nil"/>
              <w:bottom w:val="single" w:sz="4" w:space="0" w:color="auto"/>
              <w:right w:val="single" w:sz="4" w:space="0" w:color="auto"/>
            </w:tcBorders>
            <w:shd w:val="solid" w:color="000000" w:fill="000000"/>
            <w:vAlign w:val="center"/>
          </w:tcPr>
          <w:p w14:paraId="6C83412F" w14:textId="5C776BBC" w:rsidR="00567A68" w:rsidRPr="00646959" w:rsidRDefault="00164331" w:rsidP="00382031">
            <w:pPr>
              <w:pStyle w:val="TableText0"/>
              <w:keepLines/>
              <w:jc w:val="center"/>
              <w:rPr>
                <w:b/>
                <w:iCs/>
                <w:szCs w:val="20"/>
                <w:highlight w:val="lightGray"/>
              </w:rPr>
            </w:pPr>
            <w:r w:rsidRPr="00164331">
              <w:rPr>
                <w:rFonts w:hint="eastAsia"/>
                <w:b/>
                <w:iCs/>
                <w:color w:val="000000"/>
                <w:w w:val="16"/>
                <w:szCs w:val="20"/>
                <w:fitText w:val="75" w:id="-1436282619"/>
                <w14:textFill>
                  <w14:solidFill>
                    <w14:srgbClr w14:val="000000">
                      <w14:alpha w14:val="100000"/>
                    </w14:srgbClr>
                  </w14:solidFill>
                </w14:textFill>
              </w:rPr>
              <w:t xml:space="preserve">　</w:t>
            </w:r>
            <w:r w:rsidRPr="00164331">
              <w:rPr>
                <w:b/>
                <w:iCs/>
                <w:color w:val="000000"/>
                <w:w w:val="16"/>
                <w:szCs w:val="20"/>
                <w:fitText w:val="75" w:id="-1436282619"/>
                <w14:textFill>
                  <w14:solidFill>
                    <w14:srgbClr w14:val="000000">
                      <w14:alpha w14:val="100000"/>
                    </w14:srgbClr>
                  </w14:solidFill>
                </w14:textFill>
              </w:rPr>
              <w:t>|</w:t>
            </w:r>
            <w:r w:rsidRPr="00164331">
              <w:rPr>
                <w:rFonts w:hint="eastAsia"/>
                <w:b/>
                <w:iCs/>
                <w:color w:val="000000"/>
                <w:w w:val="16"/>
                <w:szCs w:val="20"/>
                <w:fitText w:val="75" w:id="-1436282619"/>
                <w14:textFill>
                  <w14:solidFill>
                    <w14:srgbClr w14:val="000000">
                      <w14:alpha w14:val="100000"/>
                    </w14:srgbClr>
                  </w14:solidFill>
                </w14:textFill>
              </w:rPr>
              <w:t xml:space="preserve">　</w:t>
            </w:r>
          </w:p>
        </w:tc>
      </w:tr>
      <w:tr w:rsidR="00567A68" w:rsidRPr="004A5DB5" w14:paraId="27853A64" w14:textId="77777777" w:rsidTr="00172107">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52BDF0F" w14:textId="330BD41D" w:rsidR="00567A68" w:rsidRPr="004A5DB5" w:rsidRDefault="00382031" w:rsidP="00BA75BD">
            <w:pPr>
              <w:pStyle w:val="TableText0"/>
              <w:keepLines/>
              <w:rPr>
                <w:szCs w:val="20"/>
              </w:rPr>
            </w:pPr>
            <w:r>
              <w:rPr>
                <w:szCs w:val="20"/>
              </w:rPr>
              <w:t>MBS cost</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1F18FC39" w14:textId="77777777" w:rsidR="00567A68" w:rsidRPr="004A5DB5" w:rsidRDefault="00567A68" w:rsidP="00BA75BD">
            <w:pPr>
              <w:pStyle w:val="TableText0"/>
              <w:keepLines/>
              <w:jc w:val="center"/>
              <w:rPr>
                <w:rFonts w:cs="Arial"/>
                <w:color w:val="000000"/>
                <w:szCs w:val="20"/>
              </w:rPr>
            </w:pPr>
            <w:r w:rsidRPr="004A5DB5">
              <w:rPr>
                <w:szCs w:val="20"/>
              </w:rPr>
              <w:t>$1,789,623</w:t>
            </w:r>
          </w:p>
        </w:tc>
        <w:tc>
          <w:tcPr>
            <w:tcW w:w="1086" w:type="dxa"/>
            <w:tcBorders>
              <w:top w:val="single" w:sz="4" w:space="0" w:color="auto"/>
              <w:left w:val="nil"/>
              <w:bottom w:val="single" w:sz="4" w:space="0" w:color="auto"/>
              <w:right w:val="single" w:sz="4" w:space="0" w:color="auto"/>
            </w:tcBorders>
            <w:shd w:val="clear" w:color="auto" w:fill="auto"/>
            <w:vAlign w:val="center"/>
          </w:tcPr>
          <w:p w14:paraId="1C90CBE9" w14:textId="77777777" w:rsidR="00567A68" w:rsidRPr="004A5DB5" w:rsidRDefault="00567A68" w:rsidP="00BA75BD">
            <w:pPr>
              <w:pStyle w:val="TableText0"/>
              <w:keepLines/>
              <w:jc w:val="center"/>
              <w:rPr>
                <w:rFonts w:cs="Arial"/>
                <w:color w:val="000000"/>
                <w:szCs w:val="20"/>
              </w:rPr>
            </w:pPr>
            <w:r w:rsidRPr="004A5DB5">
              <w:rPr>
                <w:szCs w:val="20"/>
              </w:rPr>
              <w:t>$2,181,099</w:t>
            </w:r>
          </w:p>
        </w:tc>
        <w:tc>
          <w:tcPr>
            <w:tcW w:w="1086" w:type="dxa"/>
            <w:tcBorders>
              <w:top w:val="single" w:sz="4" w:space="0" w:color="auto"/>
              <w:left w:val="nil"/>
              <w:bottom w:val="single" w:sz="4" w:space="0" w:color="auto"/>
              <w:right w:val="single" w:sz="4" w:space="0" w:color="auto"/>
            </w:tcBorders>
            <w:shd w:val="clear" w:color="auto" w:fill="auto"/>
            <w:vAlign w:val="center"/>
          </w:tcPr>
          <w:p w14:paraId="79EB5BC5" w14:textId="77777777" w:rsidR="00567A68" w:rsidRPr="004A5DB5" w:rsidRDefault="00567A68" w:rsidP="00BA75BD">
            <w:pPr>
              <w:pStyle w:val="TableText0"/>
              <w:keepLines/>
              <w:jc w:val="center"/>
              <w:rPr>
                <w:rFonts w:cs="Arial"/>
                <w:color w:val="000000"/>
                <w:szCs w:val="20"/>
              </w:rPr>
            </w:pPr>
            <w:r w:rsidRPr="004A5DB5">
              <w:rPr>
                <w:szCs w:val="20"/>
              </w:rPr>
              <w:t>$2,953,312</w:t>
            </w:r>
          </w:p>
        </w:tc>
        <w:tc>
          <w:tcPr>
            <w:tcW w:w="1087" w:type="dxa"/>
            <w:tcBorders>
              <w:top w:val="single" w:sz="4" w:space="0" w:color="auto"/>
              <w:left w:val="nil"/>
              <w:bottom w:val="single" w:sz="4" w:space="0" w:color="auto"/>
              <w:right w:val="single" w:sz="4" w:space="0" w:color="auto"/>
            </w:tcBorders>
            <w:shd w:val="clear" w:color="auto" w:fill="auto"/>
            <w:vAlign w:val="center"/>
          </w:tcPr>
          <w:p w14:paraId="552C8243" w14:textId="77777777" w:rsidR="00567A68" w:rsidRPr="004A5DB5" w:rsidRDefault="00567A68" w:rsidP="00BA75BD">
            <w:pPr>
              <w:pStyle w:val="TableText0"/>
              <w:keepLines/>
              <w:jc w:val="center"/>
              <w:rPr>
                <w:rFonts w:cs="Arial"/>
                <w:color w:val="000000"/>
                <w:szCs w:val="20"/>
              </w:rPr>
            </w:pPr>
            <w:r w:rsidRPr="004A5DB5">
              <w:rPr>
                <w:szCs w:val="20"/>
              </w:rPr>
              <w:t>$3,747,448</w:t>
            </w:r>
          </w:p>
        </w:tc>
        <w:tc>
          <w:tcPr>
            <w:tcW w:w="1086" w:type="dxa"/>
            <w:tcBorders>
              <w:top w:val="single" w:sz="4" w:space="0" w:color="auto"/>
              <w:left w:val="nil"/>
              <w:bottom w:val="single" w:sz="4" w:space="0" w:color="auto"/>
              <w:right w:val="single" w:sz="4" w:space="0" w:color="auto"/>
            </w:tcBorders>
            <w:shd w:val="clear" w:color="auto" w:fill="auto"/>
            <w:vAlign w:val="center"/>
          </w:tcPr>
          <w:p w14:paraId="278E1B2F" w14:textId="77777777" w:rsidR="00567A68" w:rsidRPr="004A5DB5" w:rsidRDefault="00567A68" w:rsidP="00BA75BD">
            <w:pPr>
              <w:pStyle w:val="TableText0"/>
              <w:keepLines/>
              <w:jc w:val="center"/>
              <w:rPr>
                <w:rFonts w:cs="Arial"/>
                <w:color w:val="000000"/>
                <w:szCs w:val="20"/>
              </w:rPr>
            </w:pPr>
            <w:r w:rsidRPr="004A5DB5">
              <w:rPr>
                <w:szCs w:val="20"/>
              </w:rPr>
              <w:t>$3,801,755</w:t>
            </w:r>
          </w:p>
        </w:tc>
        <w:tc>
          <w:tcPr>
            <w:tcW w:w="1086" w:type="dxa"/>
            <w:tcBorders>
              <w:top w:val="single" w:sz="4" w:space="0" w:color="auto"/>
              <w:left w:val="nil"/>
              <w:bottom w:val="single" w:sz="4" w:space="0" w:color="auto"/>
              <w:right w:val="single" w:sz="4" w:space="0" w:color="auto"/>
            </w:tcBorders>
            <w:shd w:val="clear" w:color="auto" w:fill="auto"/>
            <w:vAlign w:val="center"/>
          </w:tcPr>
          <w:p w14:paraId="11B5A18F" w14:textId="77777777" w:rsidR="00567A68" w:rsidRPr="004A5DB5" w:rsidRDefault="00567A68" w:rsidP="00BA75BD">
            <w:pPr>
              <w:pStyle w:val="TableText0"/>
              <w:keepLines/>
              <w:jc w:val="center"/>
              <w:rPr>
                <w:szCs w:val="20"/>
              </w:rPr>
            </w:pPr>
            <w:r w:rsidRPr="004A5DB5">
              <w:rPr>
                <w:szCs w:val="20"/>
              </w:rPr>
              <w:t>$3,856,266</w:t>
            </w:r>
          </w:p>
        </w:tc>
        <w:tc>
          <w:tcPr>
            <w:tcW w:w="1087" w:type="dxa"/>
            <w:tcBorders>
              <w:top w:val="single" w:sz="4" w:space="0" w:color="auto"/>
              <w:left w:val="nil"/>
              <w:bottom w:val="single" w:sz="4" w:space="0" w:color="auto"/>
              <w:right w:val="single" w:sz="4" w:space="0" w:color="auto"/>
            </w:tcBorders>
            <w:vAlign w:val="center"/>
          </w:tcPr>
          <w:p w14:paraId="0003A95E" w14:textId="77777777" w:rsidR="00567A68" w:rsidRPr="0028604C" w:rsidRDefault="00567A68" w:rsidP="00BA75BD">
            <w:pPr>
              <w:pStyle w:val="TableText0"/>
              <w:keepLines/>
              <w:jc w:val="center"/>
              <w:rPr>
                <w:iCs/>
                <w:szCs w:val="20"/>
              </w:rPr>
            </w:pPr>
            <w:r w:rsidRPr="0028604C">
              <w:rPr>
                <w:iCs/>
                <w:szCs w:val="20"/>
              </w:rPr>
              <w:t>$18,329,504</w:t>
            </w:r>
          </w:p>
        </w:tc>
      </w:tr>
      <w:tr w:rsidR="00567A68" w:rsidRPr="004A5DB5" w14:paraId="3AD7FFD5" w14:textId="77777777" w:rsidTr="00172107">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D1DCD7F" w14:textId="79DE8F2E" w:rsidR="00567A68" w:rsidRPr="004A5DB5" w:rsidRDefault="00382031" w:rsidP="00BA75BD">
            <w:pPr>
              <w:pStyle w:val="TableText0"/>
              <w:keepLines/>
              <w:rPr>
                <w:b/>
                <w:szCs w:val="20"/>
              </w:rPr>
            </w:pPr>
            <w:r>
              <w:rPr>
                <w:b/>
                <w:szCs w:val="20"/>
              </w:rPr>
              <w:t xml:space="preserve">Cost to R/PBS </w:t>
            </w:r>
            <w:r w:rsidR="00172107">
              <w:rPr>
                <w:b/>
                <w:szCs w:val="20"/>
              </w:rPr>
              <w:t xml:space="preserve">and </w:t>
            </w:r>
            <w:r>
              <w:rPr>
                <w:b/>
                <w:szCs w:val="20"/>
              </w:rPr>
              <w:t>MBS</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3B614728" w14:textId="32CA2AC7" w:rsidR="00567A68" w:rsidRPr="00646959" w:rsidRDefault="00164331" w:rsidP="00BA75BD">
            <w:pPr>
              <w:pStyle w:val="TableText0"/>
              <w:keepLines/>
              <w:jc w:val="center"/>
              <w:rPr>
                <w:rFonts w:cs="Arial"/>
                <w:b/>
                <w:color w:val="000000"/>
                <w:szCs w:val="20"/>
                <w:highlight w:val="lightGray"/>
              </w:rPr>
            </w:pPr>
            <w:r w:rsidRPr="00164331">
              <w:rPr>
                <w:rFonts w:hint="eastAsia"/>
                <w:b/>
                <w:color w:val="000000"/>
                <w:w w:val="30"/>
                <w:szCs w:val="20"/>
                <w:shd w:val="solid" w:color="000000" w:fill="000000"/>
                <w:fitText w:val="138" w:id="-1436282618"/>
                <w14:textFill>
                  <w14:solidFill>
                    <w14:srgbClr w14:val="000000">
                      <w14:alpha w14:val="100000"/>
                    </w14:srgbClr>
                  </w14:solidFill>
                </w14:textFill>
              </w:rPr>
              <w:t xml:space="preserve">　</w:t>
            </w:r>
            <w:r w:rsidRPr="00164331">
              <w:rPr>
                <w:b/>
                <w:color w:val="000000"/>
                <w:w w:val="30"/>
                <w:szCs w:val="20"/>
                <w:shd w:val="solid" w:color="000000" w:fill="000000"/>
                <w:fitText w:val="138" w:id="-1436282618"/>
                <w14:textFill>
                  <w14:solidFill>
                    <w14:srgbClr w14:val="000000">
                      <w14:alpha w14:val="100000"/>
                    </w14:srgbClr>
                  </w14:solidFill>
                </w14:textFill>
              </w:rPr>
              <w:t>|</w:t>
            </w:r>
            <w:r w:rsidRPr="00164331">
              <w:rPr>
                <w:rFonts w:hint="eastAsia"/>
                <w:b/>
                <w:color w:val="000000"/>
                <w:spacing w:val="5"/>
                <w:w w:val="30"/>
                <w:szCs w:val="20"/>
                <w:shd w:val="solid" w:color="000000" w:fill="000000"/>
                <w:fitText w:val="138" w:id="-1436282618"/>
                <w14:textFill>
                  <w14:solidFill>
                    <w14:srgbClr w14:val="000000">
                      <w14:alpha w14:val="100000"/>
                    </w14:srgbClr>
                  </w14:solidFill>
                </w14:textFill>
              </w:rPr>
              <w:t xml:space="preserve">　</w:t>
            </w:r>
            <w:r w:rsidR="00F91D8D" w:rsidRPr="00F91D8D">
              <w:rPr>
                <w:b/>
                <w:szCs w:val="20"/>
                <w:vertAlign w:val="superscript"/>
              </w:rPr>
              <w:t>11</w:t>
            </w:r>
          </w:p>
        </w:tc>
        <w:tc>
          <w:tcPr>
            <w:tcW w:w="1086" w:type="dxa"/>
            <w:tcBorders>
              <w:top w:val="single" w:sz="4" w:space="0" w:color="auto"/>
              <w:left w:val="nil"/>
              <w:bottom w:val="single" w:sz="4" w:space="0" w:color="auto"/>
              <w:right w:val="single" w:sz="4" w:space="0" w:color="auto"/>
            </w:tcBorders>
            <w:shd w:val="clear" w:color="auto" w:fill="auto"/>
            <w:vAlign w:val="center"/>
          </w:tcPr>
          <w:p w14:paraId="1DF3ACBD" w14:textId="781DB76A" w:rsidR="00567A68" w:rsidRPr="00646959" w:rsidRDefault="00164331" w:rsidP="00BA75BD">
            <w:pPr>
              <w:pStyle w:val="TableText0"/>
              <w:keepLines/>
              <w:jc w:val="center"/>
              <w:rPr>
                <w:rFonts w:cs="Arial"/>
                <w:b/>
                <w:color w:val="000000"/>
                <w:szCs w:val="20"/>
                <w:highlight w:val="lightGray"/>
              </w:rPr>
            </w:pPr>
            <w:r w:rsidRPr="00164331">
              <w:rPr>
                <w:rFonts w:hint="eastAsia"/>
                <w:b/>
                <w:color w:val="000000"/>
                <w:w w:val="30"/>
                <w:szCs w:val="20"/>
                <w:shd w:val="solid" w:color="000000" w:fill="000000"/>
                <w:fitText w:val="138" w:id="-1436282617"/>
                <w14:textFill>
                  <w14:solidFill>
                    <w14:srgbClr w14:val="000000">
                      <w14:alpha w14:val="100000"/>
                    </w14:srgbClr>
                  </w14:solidFill>
                </w14:textFill>
              </w:rPr>
              <w:t xml:space="preserve">　</w:t>
            </w:r>
            <w:r w:rsidRPr="00164331">
              <w:rPr>
                <w:b/>
                <w:color w:val="000000"/>
                <w:w w:val="30"/>
                <w:szCs w:val="20"/>
                <w:shd w:val="solid" w:color="000000" w:fill="000000"/>
                <w:fitText w:val="138" w:id="-1436282617"/>
                <w14:textFill>
                  <w14:solidFill>
                    <w14:srgbClr w14:val="000000">
                      <w14:alpha w14:val="100000"/>
                    </w14:srgbClr>
                  </w14:solidFill>
                </w14:textFill>
              </w:rPr>
              <w:t>|</w:t>
            </w:r>
            <w:r w:rsidRPr="00164331">
              <w:rPr>
                <w:rFonts w:hint="eastAsia"/>
                <w:b/>
                <w:color w:val="000000"/>
                <w:spacing w:val="5"/>
                <w:w w:val="30"/>
                <w:szCs w:val="20"/>
                <w:shd w:val="solid" w:color="000000" w:fill="000000"/>
                <w:fitText w:val="138" w:id="-1436282617"/>
                <w14:textFill>
                  <w14:solidFill>
                    <w14:srgbClr w14:val="000000">
                      <w14:alpha w14:val="100000"/>
                    </w14:srgbClr>
                  </w14:solidFill>
                </w14:textFill>
              </w:rPr>
              <w:t xml:space="preserve">　</w:t>
            </w:r>
            <w:r w:rsidR="00D937B8" w:rsidRPr="00D937B8">
              <w:rPr>
                <w:b/>
                <w:szCs w:val="20"/>
                <w:vertAlign w:val="superscript"/>
              </w:rPr>
              <w:t>12</w:t>
            </w:r>
          </w:p>
        </w:tc>
        <w:tc>
          <w:tcPr>
            <w:tcW w:w="1086" w:type="dxa"/>
            <w:tcBorders>
              <w:top w:val="single" w:sz="4" w:space="0" w:color="auto"/>
              <w:left w:val="nil"/>
              <w:bottom w:val="single" w:sz="4" w:space="0" w:color="auto"/>
              <w:right w:val="single" w:sz="4" w:space="0" w:color="auto"/>
            </w:tcBorders>
            <w:shd w:val="clear" w:color="auto" w:fill="auto"/>
            <w:vAlign w:val="center"/>
          </w:tcPr>
          <w:p w14:paraId="28369505" w14:textId="476C7843" w:rsidR="00567A68" w:rsidRPr="00646959" w:rsidRDefault="00164331" w:rsidP="00BA75BD">
            <w:pPr>
              <w:pStyle w:val="TableText0"/>
              <w:keepLines/>
              <w:jc w:val="center"/>
              <w:rPr>
                <w:rFonts w:cs="Arial"/>
                <w:b/>
                <w:color w:val="000000"/>
                <w:szCs w:val="20"/>
                <w:highlight w:val="lightGray"/>
              </w:rPr>
            </w:pPr>
            <w:r w:rsidRPr="00164331">
              <w:rPr>
                <w:rFonts w:hint="eastAsia"/>
                <w:b/>
                <w:color w:val="000000"/>
                <w:w w:val="30"/>
                <w:szCs w:val="20"/>
                <w:shd w:val="solid" w:color="000000" w:fill="000000"/>
                <w:fitText w:val="138" w:id="-1436282616"/>
                <w14:textFill>
                  <w14:solidFill>
                    <w14:srgbClr w14:val="000000">
                      <w14:alpha w14:val="100000"/>
                    </w14:srgbClr>
                  </w14:solidFill>
                </w14:textFill>
              </w:rPr>
              <w:t xml:space="preserve">　</w:t>
            </w:r>
            <w:r w:rsidRPr="00164331">
              <w:rPr>
                <w:b/>
                <w:color w:val="000000"/>
                <w:w w:val="30"/>
                <w:szCs w:val="20"/>
                <w:shd w:val="solid" w:color="000000" w:fill="000000"/>
                <w:fitText w:val="138" w:id="-1436282616"/>
                <w14:textFill>
                  <w14:solidFill>
                    <w14:srgbClr w14:val="000000">
                      <w14:alpha w14:val="100000"/>
                    </w14:srgbClr>
                  </w14:solidFill>
                </w14:textFill>
              </w:rPr>
              <w:t>|</w:t>
            </w:r>
            <w:r w:rsidRPr="00164331">
              <w:rPr>
                <w:rFonts w:hint="eastAsia"/>
                <w:b/>
                <w:color w:val="000000"/>
                <w:spacing w:val="5"/>
                <w:w w:val="30"/>
                <w:szCs w:val="20"/>
                <w:shd w:val="solid" w:color="000000" w:fill="000000"/>
                <w:fitText w:val="138" w:id="-1436282616"/>
                <w14:textFill>
                  <w14:solidFill>
                    <w14:srgbClr w14:val="000000">
                      <w14:alpha w14:val="100000"/>
                    </w14:srgbClr>
                  </w14:solidFill>
                </w14:textFill>
              </w:rPr>
              <w:t xml:space="preserve">　</w:t>
            </w:r>
            <w:r w:rsidR="00D937B8" w:rsidRPr="00D937B8">
              <w:rPr>
                <w:b/>
                <w:szCs w:val="20"/>
                <w:vertAlign w:val="superscript"/>
              </w:rPr>
              <w:t>14</w:t>
            </w:r>
          </w:p>
        </w:tc>
        <w:tc>
          <w:tcPr>
            <w:tcW w:w="1087" w:type="dxa"/>
            <w:tcBorders>
              <w:top w:val="single" w:sz="4" w:space="0" w:color="auto"/>
              <w:left w:val="nil"/>
              <w:bottom w:val="single" w:sz="4" w:space="0" w:color="auto"/>
              <w:right w:val="single" w:sz="4" w:space="0" w:color="auto"/>
            </w:tcBorders>
            <w:shd w:val="clear" w:color="auto" w:fill="auto"/>
            <w:vAlign w:val="center"/>
          </w:tcPr>
          <w:p w14:paraId="50FFA9CC" w14:textId="52F0F72D" w:rsidR="00567A68" w:rsidRPr="00646959" w:rsidRDefault="00164331" w:rsidP="00BA75BD">
            <w:pPr>
              <w:pStyle w:val="TableText0"/>
              <w:keepLines/>
              <w:jc w:val="center"/>
              <w:rPr>
                <w:rFonts w:cs="Arial"/>
                <w:b/>
                <w:color w:val="000000"/>
                <w:szCs w:val="20"/>
                <w:highlight w:val="lightGray"/>
              </w:rPr>
            </w:pPr>
            <w:r w:rsidRPr="00164331">
              <w:rPr>
                <w:rFonts w:hint="eastAsia"/>
                <w:b/>
                <w:color w:val="000000"/>
                <w:w w:val="27"/>
                <w:szCs w:val="20"/>
                <w:shd w:val="solid" w:color="000000" w:fill="000000"/>
                <w:fitText w:val="125" w:id="-1436282615"/>
                <w14:textFill>
                  <w14:solidFill>
                    <w14:srgbClr w14:val="000000">
                      <w14:alpha w14:val="100000"/>
                    </w14:srgbClr>
                  </w14:solidFill>
                </w14:textFill>
              </w:rPr>
              <w:t xml:space="preserve">　</w:t>
            </w:r>
            <w:r w:rsidRPr="00164331">
              <w:rPr>
                <w:b/>
                <w:color w:val="000000"/>
                <w:w w:val="27"/>
                <w:szCs w:val="20"/>
                <w:shd w:val="solid" w:color="000000" w:fill="000000"/>
                <w:fitText w:val="125" w:id="-1436282615"/>
                <w14:textFill>
                  <w14:solidFill>
                    <w14:srgbClr w14:val="000000">
                      <w14:alpha w14:val="100000"/>
                    </w14:srgbClr>
                  </w14:solidFill>
                </w14:textFill>
              </w:rPr>
              <w:t>|</w:t>
            </w:r>
            <w:r w:rsidRPr="00164331">
              <w:rPr>
                <w:rFonts w:hint="eastAsia"/>
                <w:b/>
                <w:color w:val="000000"/>
                <w:spacing w:val="6"/>
                <w:w w:val="27"/>
                <w:szCs w:val="20"/>
                <w:shd w:val="solid" w:color="000000" w:fill="000000"/>
                <w:fitText w:val="125" w:id="-1436282615"/>
                <w14:textFill>
                  <w14:solidFill>
                    <w14:srgbClr w14:val="000000">
                      <w14:alpha w14:val="100000"/>
                    </w14:srgbClr>
                  </w14:solidFill>
                </w14:textFill>
              </w:rPr>
              <w:t xml:space="preserve">　</w:t>
            </w:r>
            <w:r w:rsidR="00D937B8" w:rsidRPr="00D937B8">
              <w:rPr>
                <w:b/>
                <w:szCs w:val="20"/>
                <w:vertAlign w:val="superscript"/>
              </w:rPr>
              <w:t>16</w:t>
            </w:r>
          </w:p>
        </w:tc>
        <w:tc>
          <w:tcPr>
            <w:tcW w:w="1086" w:type="dxa"/>
            <w:tcBorders>
              <w:top w:val="single" w:sz="4" w:space="0" w:color="auto"/>
              <w:left w:val="nil"/>
              <w:bottom w:val="single" w:sz="4" w:space="0" w:color="auto"/>
              <w:right w:val="single" w:sz="4" w:space="0" w:color="auto"/>
            </w:tcBorders>
            <w:shd w:val="clear" w:color="auto" w:fill="auto"/>
            <w:vAlign w:val="center"/>
          </w:tcPr>
          <w:p w14:paraId="7B21CDCC" w14:textId="1260668A" w:rsidR="00567A68" w:rsidRPr="00646959" w:rsidRDefault="00164331" w:rsidP="00BA75BD">
            <w:pPr>
              <w:pStyle w:val="TableText0"/>
              <w:keepLines/>
              <w:jc w:val="center"/>
              <w:rPr>
                <w:rFonts w:cs="Arial"/>
                <w:b/>
                <w:color w:val="000000"/>
                <w:szCs w:val="20"/>
                <w:highlight w:val="lightGray"/>
              </w:rPr>
            </w:pPr>
            <w:r w:rsidRPr="00164331">
              <w:rPr>
                <w:rFonts w:hint="eastAsia"/>
                <w:b/>
                <w:color w:val="000000"/>
                <w:w w:val="30"/>
                <w:szCs w:val="20"/>
                <w:shd w:val="solid" w:color="000000" w:fill="000000"/>
                <w:fitText w:val="137" w:id="-1436282614"/>
                <w14:textFill>
                  <w14:solidFill>
                    <w14:srgbClr w14:val="000000">
                      <w14:alpha w14:val="100000"/>
                    </w14:srgbClr>
                  </w14:solidFill>
                </w14:textFill>
              </w:rPr>
              <w:t xml:space="preserve">　</w:t>
            </w:r>
            <w:r w:rsidRPr="00164331">
              <w:rPr>
                <w:b/>
                <w:color w:val="000000"/>
                <w:w w:val="30"/>
                <w:szCs w:val="20"/>
                <w:shd w:val="solid" w:color="000000" w:fill="000000"/>
                <w:fitText w:val="137" w:id="-1436282614"/>
                <w14:textFill>
                  <w14:solidFill>
                    <w14:srgbClr w14:val="000000">
                      <w14:alpha w14:val="100000"/>
                    </w14:srgbClr>
                  </w14:solidFill>
                </w14:textFill>
              </w:rPr>
              <w:t>|</w:t>
            </w:r>
            <w:r w:rsidRPr="00164331">
              <w:rPr>
                <w:rFonts w:hint="eastAsia"/>
                <w:b/>
                <w:color w:val="000000"/>
                <w:spacing w:val="4"/>
                <w:w w:val="30"/>
                <w:szCs w:val="20"/>
                <w:shd w:val="solid" w:color="000000" w:fill="000000"/>
                <w:fitText w:val="137" w:id="-1436282614"/>
                <w14:textFill>
                  <w14:solidFill>
                    <w14:srgbClr w14:val="000000">
                      <w14:alpha w14:val="100000"/>
                    </w14:srgbClr>
                  </w14:solidFill>
                </w14:textFill>
              </w:rPr>
              <w:t xml:space="preserve">　</w:t>
            </w:r>
            <w:r w:rsidR="00D937B8" w:rsidRPr="00D937B8">
              <w:rPr>
                <w:b/>
                <w:szCs w:val="20"/>
                <w:vertAlign w:val="superscript"/>
              </w:rPr>
              <w:t>16</w:t>
            </w:r>
          </w:p>
        </w:tc>
        <w:tc>
          <w:tcPr>
            <w:tcW w:w="1086" w:type="dxa"/>
            <w:tcBorders>
              <w:top w:val="single" w:sz="4" w:space="0" w:color="auto"/>
              <w:left w:val="nil"/>
              <w:bottom w:val="single" w:sz="4" w:space="0" w:color="auto"/>
              <w:right w:val="single" w:sz="4" w:space="0" w:color="auto"/>
            </w:tcBorders>
            <w:shd w:val="clear" w:color="auto" w:fill="auto"/>
            <w:vAlign w:val="center"/>
          </w:tcPr>
          <w:p w14:paraId="5AE11161" w14:textId="7F4A90BD" w:rsidR="00567A68" w:rsidRPr="00646959" w:rsidRDefault="00164331" w:rsidP="00BA75BD">
            <w:pPr>
              <w:pStyle w:val="TableText0"/>
              <w:keepLines/>
              <w:jc w:val="center"/>
              <w:rPr>
                <w:b/>
                <w:szCs w:val="20"/>
                <w:highlight w:val="lightGray"/>
              </w:rPr>
            </w:pPr>
            <w:r w:rsidRPr="00164331">
              <w:rPr>
                <w:rFonts w:hint="eastAsia"/>
                <w:b/>
                <w:color w:val="000000"/>
                <w:w w:val="30"/>
                <w:szCs w:val="20"/>
                <w:shd w:val="solid" w:color="000000" w:fill="000000"/>
                <w:fitText w:val="138" w:id="-1436282613"/>
                <w14:textFill>
                  <w14:solidFill>
                    <w14:srgbClr w14:val="000000">
                      <w14:alpha w14:val="100000"/>
                    </w14:srgbClr>
                  </w14:solidFill>
                </w14:textFill>
              </w:rPr>
              <w:t xml:space="preserve">　</w:t>
            </w:r>
            <w:r w:rsidRPr="00164331">
              <w:rPr>
                <w:b/>
                <w:color w:val="000000"/>
                <w:w w:val="30"/>
                <w:szCs w:val="20"/>
                <w:shd w:val="solid" w:color="000000" w:fill="000000"/>
                <w:fitText w:val="138" w:id="-1436282613"/>
                <w14:textFill>
                  <w14:solidFill>
                    <w14:srgbClr w14:val="000000">
                      <w14:alpha w14:val="100000"/>
                    </w14:srgbClr>
                  </w14:solidFill>
                </w14:textFill>
              </w:rPr>
              <w:t>|</w:t>
            </w:r>
            <w:r w:rsidRPr="00164331">
              <w:rPr>
                <w:rFonts w:hint="eastAsia"/>
                <w:b/>
                <w:color w:val="000000"/>
                <w:spacing w:val="5"/>
                <w:w w:val="30"/>
                <w:szCs w:val="20"/>
                <w:shd w:val="solid" w:color="000000" w:fill="000000"/>
                <w:fitText w:val="138" w:id="-1436282613"/>
                <w14:textFill>
                  <w14:solidFill>
                    <w14:srgbClr w14:val="000000">
                      <w14:alpha w14:val="100000"/>
                    </w14:srgbClr>
                  </w14:solidFill>
                </w14:textFill>
              </w:rPr>
              <w:t xml:space="preserve">　</w:t>
            </w:r>
            <w:r w:rsidR="00D937B8" w:rsidRPr="00D937B8">
              <w:rPr>
                <w:b/>
                <w:szCs w:val="20"/>
                <w:vertAlign w:val="superscript"/>
              </w:rPr>
              <w:t>16</w:t>
            </w:r>
          </w:p>
        </w:tc>
        <w:tc>
          <w:tcPr>
            <w:tcW w:w="1087" w:type="dxa"/>
            <w:tcBorders>
              <w:top w:val="single" w:sz="4" w:space="0" w:color="auto"/>
              <w:left w:val="nil"/>
              <w:bottom w:val="single" w:sz="4" w:space="0" w:color="auto"/>
              <w:right w:val="single" w:sz="4" w:space="0" w:color="auto"/>
            </w:tcBorders>
            <w:vAlign w:val="center"/>
          </w:tcPr>
          <w:p w14:paraId="0764A343" w14:textId="3C2E2900" w:rsidR="00567A68" w:rsidRPr="00B572B1" w:rsidRDefault="00164331" w:rsidP="00BA75BD">
            <w:pPr>
              <w:pStyle w:val="TableText0"/>
              <w:keepLines/>
              <w:jc w:val="center"/>
              <w:rPr>
                <w:b/>
                <w:iCs/>
                <w:szCs w:val="20"/>
                <w:highlight w:val="lightGray"/>
              </w:rPr>
            </w:pPr>
            <w:r w:rsidRPr="00164331">
              <w:rPr>
                <w:rFonts w:hint="eastAsia"/>
                <w:b/>
                <w:iCs/>
                <w:color w:val="000000"/>
                <w:w w:val="27"/>
                <w:szCs w:val="20"/>
                <w:shd w:val="solid" w:color="000000" w:fill="000000"/>
                <w:fitText w:val="125" w:id="-1436282612"/>
                <w14:textFill>
                  <w14:solidFill>
                    <w14:srgbClr w14:val="000000">
                      <w14:alpha w14:val="100000"/>
                    </w14:srgbClr>
                  </w14:solidFill>
                </w14:textFill>
              </w:rPr>
              <w:t xml:space="preserve">　</w:t>
            </w:r>
            <w:r w:rsidRPr="00164331">
              <w:rPr>
                <w:b/>
                <w:iCs/>
                <w:color w:val="000000"/>
                <w:w w:val="27"/>
                <w:szCs w:val="20"/>
                <w:shd w:val="solid" w:color="000000" w:fill="000000"/>
                <w:fitText w:val="125" w:id="-1436282612"/>
                <w14:textFill>
                  <w14:solidFill>
                    <w14:srgbClr w14:val="000000">
                      <w14:alpha w14:val="100000"/>
                    </w14:srgbClr>
                  </w14:solidFill>
                </w14:textFill>
              </w:rPr>
              <w:t>|</w:t>
            </w:r>
            <w:r w:rsidRPr="00164331">
              <w:rPr>
                <w:rFonts w:hint="eastAsia"/>
                <w:b/>
                <w:iCs/>
                <w:color w:val="000000"/>
                <w:spacing w:val="6"/>
                <w:w w:val="27"/>
                <w:szCs w:val="20"/>
                <w:shd w:val="solid" w:color="000000" w:fill="000000"/>
                <w:fitText w:val="125" w:id="-1436282612"/>
                <w14:textFill>
                  <w14:solidFill>
                    <w14:srgbClr w14:val="000000">
                      <w14:alpha w14:val="100000"/>
                    </w14:srgbClr>
                  </w14:solidFill>
                </w14:textFill>
              </w:rPr>
              <w:t xml:space="preserve">　</w:t>
            </w:r>
            <w:r w:rsidR="00B572B1" w:rsidRPr="00B572B1">
              <w:rPr>
                <w:b/>
                <w:iCs/>
                <w:szCs w:val="20"/>
                <w:vertAlign w:val="superscript"/>
              </w:rPr>
              <w:t>19</w:t>
            </w:r>
          </w:p>
        </w:tc>
      </w:tr>
      <w:tr w:rsidR="00382031" w:rsidRPr="004A5DB5" w14:paraId="4000AF35" w14:textId="77777777" w:rsidTr="009D1A8F">
        <w:tc>
          <w:tcPr>
            <w:tcW w:w="90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301E21" w14:textId="2C35BA25" w:rsidR="00382031" w:rsidRPr="0028604C" w:rsidRDefault="00382031" w:rsidP="00382031">
            <w:pPr>
              <w:pStyle w:val="TableText0"/>
              <w:keepLines/>
              <w:rPr>
                <w:b/>
                <w:iCs/>
                <w:szCs w:val="20"/>
              </w:rPr>
            </w:pPr>
            <w:r>
              <w:rPr>
                <w:b/>
                <w:iCs/>
                <w:szCs w:val="20"/>
              </w:rPr>
              <w:t xml:space="preserve">Pre-PBAC response  </w:t>
            </w:r>
          </w:p>
        </w:tc>
      </w:tr>
      <w:tr w:rsidR="00382031" w:rsidRPr="004A5DB5" w14:paraId="38EDF70F" w14:textId="77777777" w:rsidTr="007C1CBF">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E43ABF1" w14:textId="334FBD6C" w:rsidR="00382031" w:rsidRPr="004A5DB5" w:rsidDel="00382031" w:rsidRDefault="00382031" w:rsidP="00382031">
            <w:pPr>
              <w:pStyle w:val="TableText0"/>
              <w:keepLines/>
              <w:rPr>
                <w:b/>
                <w:szCs w:val="20"/>
              </w:rPr>
            </w:pPr>
            <w:r>
              <w:rPr>
                <w:b/>
                <w:szCs w:val="20"/>
              </w:rPr>
              <w:t>Scripts</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2527FDAA" w14:textId="3E81360C" w:rsidR="00382031" w:rsidRPr="00D937B8" w:rsidRDefault="00164331" w:rsidP="00382031">
            <w:pPr>
              <w:pStyle w:val="TableText0"/>
              <w:keepLines/>
              <w:jc w:val="center"/>
              <w:rPr>
                <w:szCs w:val="20"/>
                <w:highlight w:val="lightGray"/>
              </w:rPr>
            </w:pPr>
            <w:r w:rsidRPr="00164331">
              <w:rPr>
                <w:rFonts w:hint="eastAsia"/>
                <w:color w:val="000000"/>
                <w:w w:val="15"/>
                <w:szCs w:val="20"/>
                <w:shd w:val="solid" w:color="000000" w:fill="000000"/>
                <w:fitText w:val="62" w:id="-1436282611"/>
                <w14:textFill>
                  <w14:solidFill>
                    <w14:srgbClr w14:val="000000">
                      <w14:alpha w14:val="100000"/>
                    </w14:srgbClr>
                  </w14:solidFill>
                </w14:textFill>
              </w:rPr>
              <w:t xml:space="preserve">　</w:t>
            </w:r>
            <w:r w:rsidRPr="00164331">
              <w:rPr>
                <w:color w:val="000000"/>
                <w:w w:val="15"/>
                <w:szCs w:val="20"/>
                <w:shd w:val="solid" w:color="000000" w:fill="000000"/>
                <w:fitText w:val="62" w:id="-1436282611"/>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611"/>
                <w14:textFill>
                  <w14:solidFill>
                    <w14:srgbClr w14:val="000000">
                      <w14:alpha w14:val="100000"/>
                    </w14:srgbClr>
                  </w14:solidFill>
                </w14:textFill>
              </w:rPr>
              <w:t xml:space="preserve">　</w:t>
            </w:r>
            <w:r w:rsidR="00D937B8" w:rsidRPr="00D937B8">
              <w:rPr>
                <w:szCs w:val="20"/>
                <w:vertAlign w:val="superscript"/>
              </w:rPr>
              <w:t>4</w:t>
            </w:r>
            <w:r w:rsidRPr="00164331">
              <w:rPr>
                <w:szCs w:val="20"/>
              </w:rPr>
              <w:t xml:space="preserve"> </w:t>
            </w:r>
          </w:p>
        </w:tc>
        <w:tc>
          <w:tcPr>
            <w:tcW w:w="1086" w:type="dxa"/>
            <w:tcBorders>
              <w:top w:val="single" w:sz="4" w:space="0" w:color="auto"/>
              <w:left w:val="nil"/>
              <w:bottom w:val="single" w:sz="4" w:space="0" w:color="auto"/>
              <w:right w:val="single" w:sz="4" w:space="0" w:color="auto"/>
            </w:tcBorders>
            <w:shd w:val="clear" w:color="auto" w:fill="auto"/>
          </w:tcPr>
          <w:p w14:paraId="0A3B36AE" w14:textId="742BAB07" w:rsidR="00382031" w:rsidRPr="00D937B8" w:rsidRDefault="00164331" w:rsidP="00382031">
            <w:pPr>
              <w:pStyle w:val="TableText0"/>
              <w:keepLines/>
              <w:jc w:val="center"/>
              <w:rPr>
                <w:szCs w:val="20"/>
                <w:highlight w:val="lightGray"/>
              </w:rPr>
            </w:pPr>
            <w:r w:rsidRPr="00164331">
              <w:rPr>
                <w:rFonts w:hint="eastAsia"/>
                <w:color w:val="000000"/>
                <w:w w:val="15"/>
                <w:szCs w:val="20"/>
                <w:shd w:val="solid" w:color="000000" w:fill="000000"/>
                <w:fitText w:val="62" w:id="-1436282610"/>
                <w14:textFill>
                  <w14:solidFill>
                    <w14:srgbClr w14:val="000000">
                      <w14:alpha w14:val="100000"/>
                    </w14:srgbClr>
                  </w14:solidFill>
                </w14:textFill>
              </w:rPr>
              <w:t xml:space="preserve">　</w:t>
            </w:r>
            <w:r w:rsidRPr="00164331">
              <w:rPr>
                <w:color w:val="000000"/>
                <w:w w:val="15"/>
                <w:szCs w:val="20"/>
                <w:shd w:val="solid" w:color="000000" w:fill="000000"/>
                <w:fitText w:val="62" w:id="-1436282610"/>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610"/>
                <w14:textFill>
                  <w14:solidFill>
                    <w14:srgbClr w14:val="000000">
                      <w14:alpha w14:val="100000"/>
                    </w14:srgbClr>
                  </w14:solidFill>
                </w14:textFill>
              </w:rPr>
              <w:t xml:space="preserve">　</w:t>
            </w:r>
            <w:r w:rsidR="00D937B8" w:rsidRPr="00D937B8">
              <w:rPr>
                <w:szCs w:val="20"/>
                <w:vertAlign w:val="superscript"/>
              </w:rPr>
              <w:t>4</w:t>
            </w:r>
            <w:r w:rsidRPr="00164331">
              <w:rPr>
                <w:szCs w:val="20"/>
              </w:rPr>
              <w:t xml:space="preserve"> </w:t>
            </w:r>
          </w:p>
        </w:tc>
        <w:tc>
          <w:tcPr>
            <w:tcW w:w="1086" w:type="dxa"/>
            <w:tcBorders>
              <w:top w:val="single" w:sz="4" w:space="0" w:color="auto"/>
              <w:left w:val="nil"/>
              <w:bottom w:val="single" w:sz="4" w:space="0" w:color="auto"/>
              <w:right w:val="single" w:sz="4" w:space="0" w:color="auto"/>
            </w:tcBorders>
            <w:shd w:val="clear" w:color="auto" w:fill="auto"/>
          </w:tcPr>
          <w:p w14:paraId="1CAD7579" w14:textId="10FADB78" w:rsidR="00382031" w:rsidRPr="00D937B8" w:rsidRDefault="00164331" w:rsidP="00382031">
            <w:pPr>
              <w:pStyle w:val="TableText0"/>
              <w:keepLines/>
              <w:jc w:val="center"/>
              <w:rPr>
                <w:szCs w:val="20"/>
                <w:highlight w:val="lightGray"/>
              </w:rPr>
            </w:pPr>
            <w:r w:rsidRPr="00164331">
              <w:rPr>
                <w:rFonts w:hint="eastAsia"/>
                <w:color w:val="000000"/>
                <w:w w:val="15"/>
                <w:szCs w:val="20"/>
                <w:shd w:val="solid" w:color="000000" w:fill="000000"/>
                <w:fitText w:val="63" w:id="-1436282609"/>
                <w14:textFill>
                  <w14:solidFill>
                    <w14:srgbClr w14:val="000000">
                      <w14:alpha w14:val="100000"/>
                    </w14:srgbClr>
                  </w14:solidFill>
                </w14:textFill>
              </w:rPr>
              <w:t xml:space="preserve">　</w:t>
            </w:r>
            <w:r w:rsidRPr="00164331">
              <w:rPr>
                <w:color w:val="000000"/>
                <w:w w:val="15"/>
                <w:szCs w:val="20"/>
                <w:shd w:val="solid" w:color="000000" w:fill="000000"/>
                <w:fitText w:val="63" w:id="-1436282609"/>
                <w14:textFill>
                  <w14:solidFill>
                    <w14:srgbClr w14:val="000000">
                      <w14:alpha w14:val="100000"/>
                    </w14:srgbClr>
                  </w14:solidFill>
                </w14:textFill>
              </w:rPr>
              <w:t>|</w:t>
            </w:r>
            <w:r w:rsidRPr="00164331">
              <w:rPr>
                <w:rFonts w:hint="eastAsia"/>
                <w:color w:val="000000"/>
                <w:spacing w:val="-2"/>
                <w:w w:val="15"/>
                <w:szCs w:val="20"/>
                <w:shd w:val="solid" w:color="000000" w:fill="000000"/>
                <w:fitText w:val="63" w:id="-1436282609"/>
                <w14:textFill>
                  <w14:solidFill>
                    <w14:srgbClr w14:val="000000">
                      <w14:alpha w14:val="100000"/>
                    </w14:srgbClr>
                  </w14:solidFill>
                </w14:textFill>
              </w:rPr>
              <w:t xml:space="preserve">　</w:t>
            </w:r>
            <w:r w:rsidR="00B572B1" w:rsidRPr="00B572B1">
              <w:rPr>
                <w:szCs w:val="20"/>
                <w:vertAlign w:val="superscript"/>
              </w:rPr>
              <w:t>5</w:t>
            </w:r>
            <w:r w:rsidRPr="00164331">
              <w:rPr>
                <w:szCs w:val="20"/>
              </w:rPr>
              <w:t xml:space="preserve"> </w:t>
            </w:r>
          </w:p>
        </w:tc>
        <w:tc>
          <w:tcPr>
            <w:tcW w:w="1087" w:type="dxa"/>
            <w:tcBorders>
              <w:top w:val="single" w:sz="4" w:space="0" w:color="auto"/>
              <w:left w:val="nil"/>
              <w:bottom w:val="single" w:sz="4" w:space="0" w:color="auto"/>
              <w:right w:val="single" w:sz="4" w:space="0" w:color="auto"/>
            </w:tcBorders>
            <w:shd w:val="clear" w:color="auto" w:fill="auto"/>
          </w:tcPr>
          <w:p w14:paraId="458068A4" w14:textId="38406338" w:rsidR="00382031" w:rsidRPr="00D937B8" w:rsidRDefault="00164331" w:rsidP="00382031">
            <w:pPr>
              <w:pStyle w:val="TableText0"/>
              <w:keepLines/>
              <w:jc w:val="center"/>
              <w:rPr>
                <w:szCs w:val="20"/>
                <w:highlight w:val="lightGray"/>
              </w:rPr>
            </w:pPr>
            <w:r w:rsidRPr="00164331">
              <w:rPr>
                <w:rFonts w:hint="eastAsia"/>
                <w:color w:val="000000"/>
                <w:w w:val="15"/>
                <w:szCs w:val="20"/>
                <w:shd w:val="solid" w:color="000000" w:fill="000000"/>
                <w:fitText w:val="62" w:id="-1436282608"/>
                <w14:textFill>
                  <w14:solidFill>
                    <w14:srgbClr w14:val="000000">
                      <w14:alpha w14:val="100000"/>
                    </w14:srgbClr>
                  </w14:solidFill>
                </w14:textFill>
              </w:rPr>
              <w:t xml:space="preserve">　</w:t>
            </w:r>
            <w:r w:rsidRPr="00164331">
              <w:rPr>
                <w:color w:val="000000"/>
                <w:w w:val="15"/>
                <w:szCs w:val="20"/>
                <w:shd w:val="solid" w:color="000000" w:fill="000000"/>
                <w:fitText w:val="62" w:id="-1436282608"/>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608"/>
                <w14:textFill>
                  <w14:solidFill>
                    <w14:srgbClr w14:val="000000">
                      <w14:alpha w14:val="100000"/>
                    </w14:srgbClr>
                  </w14:solidFill>
                </w14:textFill>
              </w:rPr>
              <w:t xml:space="preserve">　</w:t>
            </w:r>
            <w:r w:rsidR="00B572B1" w:rsidRPr="00B572B1">
              <w:rPr>
                <w:szCs w:val="20"/>
                <w:vertAlign w:val="superscript"/>
              </w:rPr>
              <w:t>5</w:t>
            </w:r>
          </w:p>
        </w:tc>
        <w:tc>
          <w:tcPr>
            <w:tcW w:w="1086" w:type="dxa"/>
            <w:tcBorders>
              <w:top w:val="single" w:sz="4" w:space="0" w:color="auto"/>
              <w:left w:val="nil"/>
              <w:bottom w:val="single" w:sz="4" w:space="0" w:color="auto"/>
              <w:right w:val="single" w:sz="4" w:space="0" w:color="auto"/>
            </w:tcBorders>
            <w:shd w:val="clear" w:color="auto" w:fill="auto"/>
          </w:tcPr>
          <w:p w14:paraId="6A3B3291" w14:textId="59945DBA" w:rsidR="00382031" w:rsidRPr="00D937B8" w:rsidRDefault="00164331" w:rsidP="00382031">
            <w:pPr>
              <w:pStyle w:val="TableText0"/>
              <w:keepLines/>
              <w:jc w:val="center"/>
              <w:rPr>
                <w:szCs w:val="20"/>
                <w:highlight w:val="lightGray"/>
              </w:rPr>
            </w:pPr>
            <w:r w:rsidRPr="00164331">
              <w:rPr>
                <w:rFonts w:hint="eastAsia"/>
                <w:color w:val="000000"/>
                <w:w w:val="15"/>
                <w:szCs w:val="20"/>
                <w:shd w:val="solid" w:color="000000" w:fill="000000"/>
                <w:fitText w:val="63" w:id="-1436282624"/>
                <w14:textFill>
                  <w14:solidFill>
                    <w14:srgbClr w14:val="000000">
                      <w14:alpha w14:val="100000"/>
                    </w14:srgbClr>
                  </w14:solidFill>
                </w14:textFill>
              </w:rPr>
              <w:t xml:space="preserve">　</w:t>
            </w:r>
            <w:r w:rsidRPr="00164331">
              <w:rPr>
                <w:color w:val="000000"/>
                <w:w w:val="15"/>
                <w:szCs w:val="20"/>
                <w:shd w:val="solid" w:color="000000" w:fill="000000"/>
                <w:fitText w:val="63" w:id="-1436282624"/>
                <w14:textFill>
                  <w14:solidFill>
                    <w14:srgbClr w14:val="000000">
                      <w14:alpha w14:val="100000"/>
                    </w14:srgbClr>
                  </w14:solidFill>
                </w14:textFill>
              </w:rPr>
              <w:t>|</w:t>
            </w:r>
            <w:r w:rsidRPr="00164331">
              <w:rPr>
                <w:rFonts w:hint="eastAsia"/>
                <w:color w:val="000000"/>
                <w:spacing w:val="-2"/>
                <w:w w:val="15"/>
                <w:szCs w:val="20"/>
                <w:shd w:val="solid" w:color="000000" w:fill="000000"/>
                <w:fitText w:val="63" w:id="-1436282624"/>
                <w14:textFill>
                  <w14:solidFill>
                    <w14:srgbClr w14:val="000000">
                      <w14:alpha w14:val="100000"/>
                    </w14:srgbClr>
                  </w14:solidFill>
                </w14:textFill>
              </w:rPr>
              <w:t xml:space="preserve">　</w:t>
            </w:r>
            <w:r w:rsidR="00B572B1" w:rsidRPr="00B572B1">
              <w:rPr>
                <w:szCs w:val="20"/>
                <w:vertAlign w:val="superscript"/>
              </w:rPr>
              <w:t>5</w:t>
            </w:r>
            <w:r w:rsidRPr="00164331">
              <w:rPr>
                <w:szCs w:val="20"/>
              </w:rPr>
              <w:t xml:space="preserve"> </w:t>
            </w:r>
          </w:p>
        </w:tc>
        <w:tc>
          <w:tcPr>
            <w:tcW w:w="1086" w:type="dxa"/>
            <w:tcBorders>
              <w:top w:val="single" w:sz="4" w:space="0" w:color="auto"/>
              <w:left w:val="nil"/>
              <w:bottom w:val="single" w:sz="4" w:space="0" w:color="auto"/>
              <w:right w:val="single" w:sz="4" w:space="0" w:color="auto"/>
            </w:tcBorders>
            <w:shd w:val="clear" w:color="auto" w:fill="auto"/>
          </w:tcPr>
          <w:p w14:paraId="7C0FE074" w14:textId="66BAE48E" w:rsidR="00382031" w:rsidRPr="00D937B8" w:rsidRDefault="00164331" w:rsidP="00382031">
            <w:pPr>
              <w:pStyle w:val="TableText0"/>
              <w:keepLines/>
              <w:jc w:val="center"/>
              <w:rPr>
                <w:szCs w:val="20"/>
                <w:highlight w:val="lightGray"/>
              </w:rPr>
            </w:pPr>
            <w:r w:rsidRPr="00164331">
              <w:rPr>
                <w:rFonts w:hint="eastAsia"/>
                <w:color w:val="000000"/>
                <w:w w:val="15"/>
                <w:szCs w:val="20"/>
                <w:shd w:val="solid" w:color="000000" w:fill="000000"/>
                <w:fitText w:val="62" w:id="-1436282623"/>
                <w14:textFill>
                  <w14:solidFill>
                    <w14:srgbClr w14:val="000000">
                      <w14:alpha w14:val="100000"/>
                    </w14:srgbClr>
                  </w14:solidFill>
                </w14:textFill>
              </w:rPr>
              <w:t xml:space="preserve">　</w:t>
            </w:r>
            <w:r w:rsidRPr="00164331">
              <w:rPr>
                <w:color w:val="000000"/>
                <w:w w:val="15"/>
                <w:szCs w:val="20"/>
                <w:shd w:val="solid" w:color="000000" w:fill="000000"/>
                <w:fitText w:val="62" w:id="-1436282623"/>
                <w14:textFill>
                  <w14:solidFill>
                    <w14:srgbClr w14:val="000000">
                      <w14:alpha w14:val="100000"/>
                    </w14:srgbClr>
                  </w14:solidFill>
                </w14:textFill>
              </w:rPr>
              <w:t>|</w:t>
            </w:r>
            <w:r w:rsidRPr="00164331">
              <w:rPr>
                <w:rFonts w:hint="eastAsia"/>
                <w:color w:val="000000"/>
                <w:spacing w:val="-3"/>
                <w:w w:val="15"/>
                <w:szCs w:val="20"/>
                <w:shd w:val="solid" w:color="000000" w:fill="000000"/>
                <w:fitText w:val="62" w:id="-1436282623"/>
                <w14:textFill>
                  <w14:solidFill>
                    <w14:srgbClr w14:val="000000">
                      <w14:alpha w14:val="100000"/>
                    </w14:srgbClr>
                  </w14:solidFill>
                </w14:textFill>
              </w:rPr>
              <w:t xml:space="preserve">　</w:t>
            </w:r>
            <w:r w:rsidR="00B572B1" w:rsidRPr="00B572B1">
              <w:rPr>
                <w:szCs w:val="20"/>
                <w:vertAlign w:val="superscript"/>
              </w:rPr>
              <w:t>5</w:t>
            </w:r>
          </w:p>
        </w:tc>
        <w:tc>
          <w:tcPr>
            <w:tcW w:w="1087" w:type="dxa"/>
            <w:tcBorders>
              <w:top w:val="single" w:sz="4" w:space="0" w:color="auto"/>
              <w:left w:val="nil"/>
              <w:bottom w:val="single" w:sz="4" w:space="0" w:color="auto"/>
              <w:right w:val="single" w:sz="4" w:space="0" w:color="auto"/>
            </w:tcBorders>
            <w:vAlign w:val="center"/>
          </w:tcPr>
          <w:p w14:paraId="0822C50B" w14:textId="6D5894D2" w:rsidR="00382031" w:rsidRPr="00B572B1" w:rsidRDefault="00164331" w:rsidP="00382031">
            <w:pPr>
              <w:pStyle w:val="TableText0"/>
              <w:keepLines/>
              <w:jc w:val="center"/>
              <w:rPr>
                <w:szCs w:val="20"/>
                <w:highlight w:val="lightGray"/>
              </w:rPr>
            </w:pPr>
            <w:r w:rsidRPr="00164331">
              <w:rPr>
                <w:rFonts w:hint="eastAsia"/>
                <w:color w:val="000000"/>
                <w:w w:val="19"/>
                <w:szCs w:val="20"/>
                <w:shd w:val="solid" w:color="000000" w:fill="000000"/>
                <w:fitText w:val="88" w:id="-1436282622"/>
                <w14:textFill>
                  <w14:solidFill>
                    <w14:srgbClr w14:val="000000">
                      <w14:alpha w14:val="100000"/>
                    </w14:srgbClr>
                  </w14:solidFill>
                </w14:textFill>
              </w:rPr>
              <w:t xml:space="preserve">　</w:t>
            </w:r>
            <w:r w:rsidRPr="00164331">
              <w:rPr>
                <w:color w:val="000000"/>
                <w:w w:val="19"/>
                <w:szCs w:val="20"/>
                <w:shd w:val="solid" w:color="000000" w:fill="000000"/>
                <w:fitText w:val="88" w:id="-1436282622"/>
                <w14:textFill>
                  <w14:solidFill>
                    <w14:srgbClr w14:val="000000">
                      <w14:alpha w14:val="100000"/>
                    </w14:srgbClr>
                  </w14:solidFill>
                </w14:textFill>
              </w:rPr>
              <w:t>|</w:t>
            </w:r>
            <w:r w:rsidRPr="00164331">
              <w:rPr>
                <w:rFonts w:hint="eastAsia"/>
                <w:color w:val="000000"/>
                <w:spacing w:val="4"/>
                <w:w w:val="19"/>
                <w:szCs w:val="20"/>
                <w:shd w:val="solid" w:color="000000" w:fill="000000"/>
                <w:fitText w:val="88" w:id="-1436282622"/>
                <w14:textFill>
                  <w14:solidFill>
                    <w14:srgbClr w14:val="000000">
                      <w14:alpha w14:val="100000"/>
                    </w14:srgbClr>
                  </w14:solidFill>
                </w14:textFill>
              </w:rPr>
              <w:t xml:space="preserve">　</w:t>
            </w:r>
            <w:r w:rsidR="00B572B1" w:rsidRPr="00B572B1">
              <w:rPr>
                <w:szCs w:val="20"/>
                <w:vertAlign w:val="superscript"/>
              </w:rPr>
              <w:t>18</w:t>
            </w:r>
          </w:p>
        </w:tc>
      </w:tr>
      <w:tr w:rsidR="00172107" w:rsidRPr="004A5DB5" w14:paraId="3ABE46EC" w14:textId="77777777" w:rsidTr="00172107">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57CDBEC" w14:textId="04A83AAB" w:rsidR="00172107" w:rsidRPr="00646959" w:rsidDel="00382031" w:rsidRDefault="00172107" w:rsidP="00172107">
            <w:pPr>
              <w:pStyle w:val="TableText0"/>
              <w:keepLines/>
              <w:rPr>
                <w:b/>
                <w:szCs w:val="20"/>
              </w:rPr>
            </w:pPr>
            <w:r>
              <w:rPr>
                <w:b/>
                <w:szCs w:val="20"/>
              </w:rPr>
              <w:t xml:space="preserve">Cost to R/PBS </w:t>
            </w:r>
            <w:r>
              <w:rPr>
                <w:b/>
                <w:szCs w:val="20"/>
                <w:vertAlign w:val="superscript"/>
              </w:rPr>
              <w:t>a</w:t>
            </w:r>
            <w:r w:rsidR="00646959">
              <w:rPr>
                <w:b/>
                <w:szCs w:val="20"/>
                <w:vertAlign w:val="superscript"/>
              </w:rPr>
              <w:t xml:space="preserve"> </w:t>
            </w:r>
            <w:r w:rsidR="00646959">
              <w:rPr>
                <w:b/>
                <w:szCs w:val="20"/>
              </w:rPr>
              <w:t>($)</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620DB689" w14:textId="456AD0B4" w:rsidR="00172107" w:rsidRPr="00646959" w:rsidRDefault="00164331" w:rsidP="00172107">
            <w:pPr>
              <w:pStyle w:val="TableText0"/>
              <w:keepLines/>
              <w:jc w:val="center"/>
              <w:rPr>
                <w:szCs w:val="20"/>
                <w:highlight w:val="lightGray"/>
              </w:rPr>
            </w:pPr>
            <w:r w:rsidRPr="00164331">
              <w:rPr>
                <w:rFonts w:hint="eastAsia"/>
                <w:color w:val="000000"/>
                <w:w w:val="19"/>
                <w:szCs w:val="20"/>
                <w:shd w:val="solid" w:color="000000" w:fill="000000"/>
                <w:fitText w:val="87" w:id="-1436282621"/>
                <w14:textFill>
                  <w14:solidFill>
                    <w14:srgbClr w14:val="000000">
                      <w14:alpha w14:val="100000"/>
                    </w14:srgbClr>
                  </w14:solidFill>
                </w14:textFill>
              </w:rPr>
              <w:t xml:space="preserve">　</w:t>
            </w:r>
            <w:r w:rsidRPr="00164331">
              <w:rPr>
                <w:color w:val="000000"/>
                <w:w w:val="19"/>
                <w:szCs w:val="20"/>
                <w:shd w:val="solid" w:color="000000" w:fill="000000"/>
                <w:fitText w:val="87" w:id="-1436282621"/>
                <w14:textFill>
                  <w14:solidFill>
                    <w14:srgbClr w14:val="000000">
                      <w14:alpha w14:val="100000"/>
                    </w14:srgbClr>
                  </w14:solidFill>
                </w14:textFill>
              </w:rPr>
              <w:t>|</w:t>
            </w:r>
            <w:r w:rsidRPr="00164331">
              <w:rPr>
                <w:rFonts w:hint="eastAsia"/>
                <w:color w:val="000000"/>
                <w:spacing w:val="3"/>
                <w:w w:val="19"/>
                <w:szCs w:val="20"/>
                <w:shd w:val="solid" w:color="000000" w:fill="000000"/>
                <w:fitText w:val="87" w:id="-1436282621"/>
                <w14:textFill>
                  <w14:solidFill>
                    <w14:srgbClr w14:val="000000">
                      <w14:alpha w14:val="100000"/>
                    </w14:srgbClr>
                  </w14:solidFill>
                </w14:textFill>
              </w:rPr>
              <w:t xml:space="preserve">　</w:t>
            </w:r>
            <w:r w:rsidR="00F91D8D" w:rsidRPr="00F91D8D">
              <w:rPr>
                <w:b/>
                <w:szCs w:val="20"/>
                <w:vertAlign w:val="superscript"/>
              </w:rPr>
              <w:t>11</w:t>
            </w:r>
          </w:p>
        </w:tc>
        <w:tc>
          <w:tcPr>
            <w:tcW w:w="1086" w:type="dxa"/>
            <w:tcBorders>
              <w:top w:val="single" w:sz="4" w:space="0" w:color="auto"/>
              <w:left w:val="nil"/>
              <w:bottom w:val="single" w:sz="4" w:space="0" w:color="auto"/>
              <w:right w:val="single" w:sz="4" w:space="0" w:color="auto"/>
            </w:tcBorders>
            <w:shd w:val="clear" w:color="auto" w:fill="auto"/>
            <w:vAlign w:val="center"/>
          </w:tcPr>
          <w:p w14:paraId="4320A2C0" w14:textId="5601D8AF" w:rsidR="00172107" w:rsidRPr="00D937B8" w:rsidRDefault="00164331" w:rsidP="00172107">
            <w:pPr>
              <w:pStyle w:val="TableText0"/>
              <w:keepLines/>
              <w:jc w:val="center"/>
              <w:rPr>
                <w:szCs w:val="20"/>
                <w:highlight w:val="lightGray"/>
              </w:rPr>
            </w:pPr>
            <w:r w:rsidRPr="00164331">
              <w:rPr>
                <w:rFonts w:hint="eastAsia"/>
                <w:color w:val="000000"/>
                <w:w w:val="19"/>
                <w:szCs w:val="20"/>
                <w:shd w:val="solid" w:color="000000" w:fill="000000"/>
                <w:fitText w:val="87" w:id="-1436282620"/>
                <w14:textFill>
                  <w14:solidFill>
                    <w14:srgbClr w14:val="000000">
                      <w14:alpha w14:val="100000"/>
                    </w14:srgbClr>
                  </w14:solidFill>
                </w14:textFill>
              </w:rPr>
              <w:t xml:space="preserve">　</w:t>
            </w:r>
            <w:r w:rsidRPr="00164331">
              <w:rPr>
                <w:color w:val="000000"/>
                <w:w w:val="19"/>
                <w:szCs w:val="20"/>
                <w:shd w:val="solid" w:color="000000" w:fill="000000"/>
                <w:fitText w:val="87" w:id="-1436282620"/>
                <w14:textFill>
                  <w14:solidFill>
                    <w14:srgbClr w14:val="000000">
                      <w14:alpha w14:val="100000"/>
                    </w14:srgbClr>
                  </w14:solidFill>
                </w14:textFill>
              </w:rPr>
              <w:t>|</w:t>
            </w:r>
            <w:r w:rsidRPr="00164331">
              <w:rPr>
                <w:rFonts w:hint="eastAsia"/>
                <w:color w:val="000000"/>
                <w:spacing w:val="3"/>
                <w:w w:val="19"/>
                <w:szCs w:val="20"/>
                <w:shd w:val="solid" w:color="000000" w:fill="000000"/>
                <w:fitText w:val="87" w:id="-1436282620"/>
                <w14:textFill>
                  <w14:solidFill>
                    <w14:srgbClr w14:val="000000">
                      <w14:alpha w14:val="100000"/>
                    </w14:srgbClr>
                  </w14:solidFill>
                </w14:textFill>
              </w:rPr>
              <w:t xml:space="preserve">　</w:t>
            </w:r>
            <w:r w:rsidR="00D937B8" w:rsidRPr="00D937B8">
              <w:rPr>
                <w:szCs w:val="20"/>
                <w:vertAlign w:val="superscript"/>
              </w:rPr>
              <w:t>13</w:t>
            </w:r>
          </w:p>
        </w:tc>
        <w:tc>
          <w:tcPr>
            <w:tcW w:w="1086" w:type="dxa"/>
            <w:tcBorders>
              <w:top w:val="single" w:sz="4" w:space="0" w:color="auto"/>
              <w:left w:val="nil"/>
              <w:bottom w:val="single" w:sz="4" w:space="0" w:color="auto"/>
              <w:right w:val="single" w:sz="4" w:space="0" w:color="auto"/>
            </w:tcBorders>
            <w:shd w:val="clear" w:color="auto" w:fill="auto"/>
            <w:vAlign w:val="center"/>
          </w:tcPr>
          <w:p w14:paraId="561078B0" w14:textId="7A1DFD91" w:rsidR="00172107" w:rsidRPr="00646959" w:rsidRDefault="00164331" w:rsidP="00172107">
            <w:pPr>
              <w:pStyle w:val="TableText0"/>
              <w:keepLines/>
              <w:jc w:val="center"/>
              <w:rPr>
                <w:szCs w:val="20"/>
                <w:highlight w:val="lightGray"/>
              </w:rPr>
            </w:pPr>
            <w:r w:rsidRPr="00164331">
              <w:rPr>
                <w:rFonts w:hint="eastAsia"/>
                <w:color w:val="000000"/>
                <w:w w:val="19"/>
                <w:szCs w:val="20"/>
                <w:shd w:val="solid" w:color="000000" w:fill="000000"/>
                <w:fitText w:val="88" w:id="-1436282619"/>
                <w14:textFill>
                  <w14:solidFill>
                    <w14:srgbClr w14:val="000000">
                      <w14:alpha w14:val="100000"/>
                    </w14:srgbClr>
                  </w14:solidFill>
                </w14:textFill>
              </w:rPr>
              <w:t xml:space="preserve">　</w:t>
            </w:r>
            <w:r w:rsidRPr="00164331">
              <w:rPr>
                <w:color w:val="000000"/>
                <w:w w:val="19"/>
                <w:szCs w:val="20"/>
                <w:shd w:val="solid" w:color="000000" w:fill="000000"/>
                <w:fitText w:val="88" w:id="-1436282619"/>
                <w14:textFill>
                  <w14:solidFill>
                    <w14:srgbClr w14:val="000000">
                      <w14:alpha w14:val="100000"/>
                    </w14:srgbClr>
                  </w14:solidFill>
                </w14:textFill>
              </w:rPr>
              <w:t>|</w:t>
            </w:r>
            <w:r w:rsidRPr="00164331">
              <w:rPr>
                <w:rFonts w:hint="eastAsia"/>
                <w:color w:val="000000"/>
                <w:spacing w:val="4"/>
                <w:w w:val="19"/>
                <w:szCs w:val="20"/>
                <w:shd w:val="solid" w:color="000000" w:fill="000000"/>
                <w:fitText w:val="88" w:id="-1436282619"/>
                <w14:textFill>
                  <w14:solidFill>
                    <w14:srgbClr w14:val="000000">
                      <w14:alpha w14:val="100000"/>
                    </w14:srgbClr>
                  </w14:solidFill>
                </w14:textFill>
              </w:rPr>
              <w:t xml:space="preserve">　</w:t>
            </w:r>
            <w:r w:rsidR="00D937B8" w:rsidRPr="00D937B8">
              <w:rPr>
                <w:szCs w:val="20"/>
                <w:vertAlign w:val="superscript"/>
              </w:rPr>
              <w:t>13</w:t>
            </w:r>
          </w:p>
        </w:tc>
        <w:tc>
          <w:tcPr>
            <w:tcW w:w="1087" w:type="dxa"/>
            <w:tcBorders>
              <w:top w:val="single" w:sz="4" w:space="0" w:color="auto"/>
              <w:left w:val="nil"/>
              <w:bottom w:val="single" w:sz="4" w:space="0" w:color="auto"/>
              <w:right w:val="single" w:sz="4" w:space="0" w:color="auto"/>
            </w:tcBorders>
            <w:shd w:val="clear" w:color="auto" w:fill="auto"/>
            <w:vAlign w:val="center"/>
          </w:tcPr>
          <w:p w14:paraId="50F2E914" w14:textId="534EF6BF" w:rsidR="00172107" w:rsidRPr="00646959" w:rsidRDefault="00164331" w:rsidP="00172107">
            <w:pPr>
              <w:pStyle w:val="TableText0"/>
              <w:keepLines/>
              <w:jc w:val="center"/>
              <w:rPr>
                <w:szCs w:val="20"/>
                <w:highlight w:val="lightGray"/>
              </w:rPr>
            </w:pPr>
            <w:r w:rsidRPr="00164331">
              <w:rPr>
                <w:rFonts w:hint="eastAsia"/>
                <w:color w:val="000000"/>
                <w:w w:val="19"/>
                <w:szCs w:val="20"/>
                <w:shd w:val="solid" w:color="000000" w:fill="000000"/>
                <w:fitText w:val="87" w:id="-1436282618"/>
                <w14:textFill>
                  <w14:solidFill>
                    <w14:srgbClr w14:val="000000">
                      <w14:alpha w14:val="100000"/>
                    </w14:srgbClr>
                  </w14:solidFill>
                </w14:textFill>
              </w:rPr>
              <w:t xml:space="preserve">　</w:t>
            </w:r>
            <w:r w:rsidRPr="00164331">
              <w:rPr>
                <w:color w:val="000000"/>
                <w:w w:val="19"/>
                <w:szCs w:val="20"/>
                <w:shd w:val="solid" w:color="000000" w:fill="000000"/>
                <w:fitText w:val="87" w:id="-1436282618"/>
                <w14:textFill>
                  <w14:solidFill>
                    <w14:srgbClr w14:val="000000">
                      <w14:alpha w14:val="100000"/>
                    </w14:srgbClr>
                  </w14:solidFill>
                </w14:textFill>
              </w:rPr>
              <w:t>|</w:t>
            </w:r>
            <w:r w:rsidRPr="00164331">
              <w:rPr>
                <w:rFonts w:hint="eastAsia"/>
                <w:color w:val="000000"/>
                <w:spacing w:val="3"/>
                <w:w w:val="19"/>
                <w:szCs w:val="20"/>
                <w:shd w:val="solid" w:color="000000" w:fill="000000"/>
                <w:fitText w:val="87" w:id="-1436282618"/>
                <w14:textFill>
                  <w14:solidFill>
                    <w14:srgbClr w14:val="000000">
                      <w14:alpha w14:val="100000"/>
                    </w14:srgbClr>
                  </w14:solidFill>
                </w14:textFill>
              </w:rPr>
              <w:t xml:space="preserve">　</w:t>
            </w:r>
            <w:r w:rsidR="00D937B8" w:rsidRPr="00D937B8">
              <w:rPr>
                <w:szCs w:val="20"/>
                <w:vertAlign w:val="superscript"/>
              </w:rPr>
              <w:t>15</w:t>
            </w:r>
          </w:p>
        </w:tc>
        <w:tc>
          <w:tcPr>
            <w:tcW w:w="1086" w:type="dxa"/>
            <w:tcBorders>
              <w:top w:val="single" w:sz="4" w:space="0" w:color="auto"/>
              <w:left w:val="nil"/>
              <w:bottom w:val="single" w:sz="4" w:space="0" w:color="auto"/>
              <w:right w:val="single" w:sz="4" w:space="0" w:color="auto"/>
            </w:tcBorders>
            <w:shd w:val="clear" w:color="auto" w:fill="auto"/>
            <w:vAlign w:val="center"/>
          </w:tcPr>
          <w:p w14:paraId="11E488BF" w14:textId="755CAA8E" w:rsidR="00172107" w:rsidRPr="00646959" w:rsidRDefault="00164331" w:rsidP="00172107">
            <w:pPr>
              <w:pStyle w:val="TableText0"/>
              <w:keepLines/>
              <w:jc w:val="center"/>
              <w:rPr>
                <w:szCs w:val="20"/>
                <w:highlight w:val="lightGray"/>
              </w:rPr>
            </w:pPr>
            <w:r w:rsidRPr="00164331">
              <w:rPr>
                <w:rFonts w:hint="eastAsia"/>
                <w:color w:val="000000"/>
                <w:w w:val="19"/>
                <w:szCs w:val="20"/>
                <w:shd w:val="solid" w:color="000000" w:fill="000000"/>
                <w:fitText w:val="88" w:id="-1436282617"/>
                <w14:textFill>
                  <w14:solidFill>
                    <w14:srgbClr w14:val="000000">
                      <w14:alpha w14:val="100000"/>
                    </w14:srgbClr>
                  </w14:solidFill>
                </w14:textFill>
              </w:rPr>
              <w:t xml:space="preserve">　</w:t>
            </w:r>
            <w:r w:rsidRPr="00164331">
              <w:rPr>
                <w:color w:val="000000"/>
                <w:w w:val="19"/>
                <w:szCs w:val="20"/>
                <w:shd w:val="solid" w:color="000000" w:fill="000000"/>
                <w:fitText w:val="88" w:id="-1436282617"/>
                <w14:textFill>
                  <w14:solidFill>
                    <w14:srgbClr w14:val="000000">
                      <w14:alpha w14:val="100000"/>
                    </w14:srgbClr>
                  </w14:solidFill>
                </w14:textFill>
              </w:rPr>
              <w:t>|</w:t>
            </w:r>
            <w:r w:rsidRPr="00164331">
              <w:rPr>
                <w:rFonts w:hint="eastAsia"/>
                <w:color w:val="000000"/>
                <w:spacing w:val="4"/>
                <w:w w:val="19"/>
                <w:szCs w:val="20"/>
                <w:shd w:val="solid" w:color="000000" w:fill="000000"/>
                <w:fitText w:val="88" w:id="-1436282617"/>
                <w14:textFill>
                  <w14:solidFill>
                    <w14:srgbClr w14:val="000000">
                      <w14:alpha w14:val="100000"/>
                    </w14:srgbClr>
                  </w14:solidFill>
                </w14:textFill>
              </w:rPr>
              <w:t xml:space="preserve">　</w:t>
            </w:r>
            <w:r w:rsidR="00D937B8" w:rsidRPr="00D937B8">
              <w:rPr>
                <w:szCs w:val="20"/>
                <w:vertAlign w:val="superscript"/>
              </w:rPr>
              <w:t>15</w:t>
            </w:r>
          </w:p>
        </w:tc>
        <w:tc>
          <w:tcPr>
            <w:tcW w:w="1086" w:type="dxa"/>
            <w:tcBorders>
              <w:top w:val="single" w:sz="4" w:space="0" w:color="auto"/>
              <w:left w:val="nil"/>
              <w:bottom w:val="single" w:sz="4" w:space="0" w:color="auto"/>
              <w:right w:val="single" w:sz="4" w:space="0" w:color="auto"/>
            </w:tcBorders>
            <w:shd w:val="clear" w:color="auto" w:fill="auto"/>
            <w:vAlign w:val="center"/>
          </w:tcPr>
          <w:p w14:paraId="075ED11F" w14:textId="49374BDD" w:rsidR="00172107" w:rsidRPr="00646959" w:rsidRDefault="00164331" w:rsidP="00172107">
            <w:pPr>
              <w:pStyle w:val="TableText0"/>
              <w:keepLines/>
              <w:jc w:val="center"/>
              <w:rPr>
                <w:szCs w:val="20"/>
                <w:highlight w:val="lightGray"/>
              </w:rPr>
            </w:pPr>
            <w:r w:rsidRPr="00164331">
              <w:rPr>
                <w:rFonts w:hint="eastAsia"/>
                <w:color w:val="000000"/>
                <w:w w:val="19"/>
                <w:szCs w:val="20"/>
                <w:shd w:val="solid" w:color="000000" w:fill="000000"/>
                <w:fitText w:val="87" w:id="-1436282616"/>
                <w14:textFill>
                  <w14:solidFill>
                    <w14:srgbClr w14:val="000000">
                      <w14:alpha w14:val="100000"/>
                    </w14:srgbClr>
                  </w14:solidFill>
                </w14:textFill>
              </w:rPr>
              <w:t xml:space="preserve">　</w:t>
            </w:r>
            <w:r w:rsidRPr="00164331">
              <w:rPr>
                <w:color w:val="000000"/>
                <w:w w:val="19"/>
                <w:szCs w:val="20"/>
                <w:shd w:val="solid" w:color="000000" w:fill="000000"/>
                <w:fitText w:val="87" w:id="-1436282616"/>
                <w14:textFill>
                  <w14:solidFill>
                    <w14:srgbClr w14:val="000000">
                      <w14:alpha w14:val="100000"/>
                    </w14:srgbClr>
                  </w14:solidFill>
                </w14:textFill>
              </w:rPr>
              <w:t>|</w:t>
            </w:r>
            <w:r w:rsidRPr="00164331">
              <w:rPr>
                <w:rFonts w:hint="eastAsia"/>
                <w:color w:val="000000"/>
                <w:spacing w:val="3"/>
                <w:w w:val="19"/>
                <w:szCs w:val="20"/>
                <w:shd w:val="solid" w:color="000000" w:fill="000000"/>
                <w:fitText w:val="87" w:id="-1436282616"/>
                <w14:textFill>
                  <w14:solidFill>
                    <w14:srgbClr w14:val="000000">
                      <w14:alpha w14:val="100000"/>
                    </w14:srgbClr>
                  </w14:solidFill>
                </w14:textFill>
              </w:rPr>
              <w:t xml:space="preserve">　</w:t>
            </w:r>
            <w:r w:rsidR="00D937B8" w:rsidRPr="00D937B8">
              <w:rPr>
                <w:szCs w:val="20"/>
                <w:vertAlign w:val="superscript"/>
              </w:rPr>
              <w:t>15</w:t>
            </w:r>
          </w:p>
        </w:tc>
        <w:tc>
          <w:tcPr>
            <w:tcW w:w="1087" w:type="dxa"/>
            <w:tcBorders>
              <w:top w:val="single" w:sz="4" w:space="0" w:color="auto"/>
              <w:left w:val="nil"/>
              <w:bottom w:val="single" w:sz="4" w:space="0" w:color="auto"/>
              <w:right w:val="single" w:sz="4" w:space="0" w:color="auto"/>
            </w:tcBorders>
            <w:shd w:val="clear" w:color="auto" w:fill="auto"/>
            <w:vAlign w:val="center"/>
          </w:tcPr>
          <w:p w14:paraId="5B893B8C" w14:textId="6DCD4B06" w:rsidR="00172107" w:rsidRPr="00D937B8" w:rsidRDefault="00164331" w:rsidP="00172107">
            <w:pPr>
              <w:pStyle w:val="TableText0"/>
              <w:keepLines/>
              <w:jc w:val="center"/>
              <w:rPr>
                <w:szCs w:val="20"/>
                <w:highlight w:val="lightGray"/>
                <w:vertAlign w:val="superscript"/>
              </w:rPr>
            </w:pPr>
            <w:r w:rsidRPr="00164331">
              <w:rPr>
                <w:rFonts w:hint="eastAsia"/>
                <w:color w:val="000000"/>
                <w:w w:val="19"/>
                <w:szCs w:val="20"/>
                <w:shd w:val="solid" w:color="000000" w:fill="000000"/>
                <w:fitText w:val="88" w:id="-1436282615"/>
                <w14:textFill>
                  <w14:solidFill>
                    <w14:srgbClr w14:val="000000">
                      <w14:alpha w14:val="100000"/>
                    </w14:srgbClr>
                  </w14:solidFill>
                </w14:textFill>
              </w:rPr>
              <w:t xml:space="preserve">　</w:t>
            </w:r>
            <w:r w:rsidRPr="00164331">
              <w:rPr>
                <w:color w:val="000000"/>
                <w:w w:val="19"/>
                <w:szCs w:val="20"/>
                <w:shd w:val="solid" w:color="000000" w:fill="000000"/>
                <w:fitText w:val="88" w:id="-1436282615"/>
                <w14:textFill>
                  <w14:solidFill>
                    <w14:srgbClr w14:val="000000">
                      <w14:alpha w14:val="100000"/>
                    </w14:srgbClr>
                  </w14:solidFill>
                </w14:textFill>
              </w:rPr>
              <w:t>|</w:t>
            </w:r>
            <w:r w:rsidRPr="00164331">
              <w:rPr>
                <w:rFonts w:hint="eastAsia"/>
                <w:color w:val="000000"/>
                <w:spacing w:val="4"/>
                <w:w w:val="19"/>
                <w:szCs w:val="20"/>
                <w:shd w:val="solid" w:color="000000" w:fill="000000"/>
                <w:fitText w:val="88" w:id="-1436282615"/>
                <w14:textFill>
                  <w14:solidFill>
                    <w14:srgbClr w14:val="000000">
                      <w14:alpha w14:val="100000"/>
                    </w14:srgbClr>
                  </w14:solidFill>
                </w14:textFill>
              </w:rPr>
              <w:t xml:space="preserve">　</w:t>
            </w:r>
            <w:r w:rsidR="00D937B8" w:rsidRPr="00D937B8">
              <w:rPr>
                <w:szCs w:val="20"/>
                <w:vertAlign w:val="superscript"/>
              </w:rPr>
              <w:t>17</w:t>
            </w:r>
          </w:p>
        </w:tc>
      </w:tr>
      <w:tr w:rsidR="00172107" w:rsidRPr="004A5DB5" w14:paraId="730BBC90" w14:textId="77777777" w:rsidTr="007C1CBF">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4B2D9A1" w14:textId="6793A40C" w:rsidR="00172107" w:rsidRPr="004A5DB5" w:rsidDel="00382031" w:rsidRDefault="00172107" w:rsidP="00172107">
            <w:pPr>
              <w:pStyle w:val="TableText0"/>
              <w:keepLines/>
              <w:rPr>
                <w:b/>
                <w:szCs w:val="20"/>
              </w:rPr>
            </w:pPr>
            <w:r>
              <w:rPr>
                <w:b/>
                <w:szCs w:val="20"/>
              </w:rPr>
              <w:t>Cost to R/PBS and MBS</w:t>
            </w:r>
            <w:r w:rsidR="00646959">
              <w:rPr>
                <w:b/>
                <w:szCs w:val="20"/>
              </w:rPr>
              <w:t xml:space="preserve"> ($)</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7C53BA7E" w14:textId="3C34866C" w:rsidR="00172107" w:rsidRPr="00646959" w:rsidRDefault="00164331" w:rsidP="00172107">
            <w:pPr>
              <w:pStyle w:val="TableText0"/>
              <w:keepLines/>
              <w:jc w:val="center"/>
              <w:rPr>
                <w:szCs w:val="20"/>
                <w:highlight w:val="lightGray"/>
              </w:rPr>
            </w:pPr>
            <w:r w:rsidRPr="00164331">
              <w:rPr>
                <w:rFonts w:hint="eastAsia"/>
                <w:color w:val="000000"/>
                <w:w w:val="19"/>
                <w:szCs w:val="20"/>
                <w:shd w:val="solid" w:color="000000" w:fill="000000"/>
                <w:fitText w:val="87" w:id="-1436282614"/>
                <w14:textFill>
                  <w14:solidFill>
                    <w14:srgbClr w14:val="000000">
                      <w14:alpha w14:val="100000"/>
                    </w14:srgbClr>
                  </w14:solidFill>
                </w14:textFill>
              </w:rPr>
              <w:t xml:space="preserve">　</w:t>
            </w:r>
            <w:r w:rsidRPr="00164331">
              <w:rPr>
                <w:color w:val="000000"/>
                <w:w w:val="19"/>
                <w:szCs w:val="20"/>
                <w:shd w:val="solid" w:color="000000" w:fill="000000"/>
                <w:fitText w:val="87" w:id="-1436282614"/>
                <w14:textFill>
                  <w14:solidFill>
                    <w14:srgbClr w14:val="000000">
                      <w14:alpha w14:val="100000"/>
                    </w14:srgbClr>
                  </w14:solidFill>
                </w14:textFill>
              </w:rPr>
              <w:t>|</w:t>
            </w:r>
            <w:r w:rsidRPr="00164331">
              <w:rPr>
                <w:rFonts w:hint="eastAsia"/>
                <w:color w:val="000000"/>
                <w:spacing w:val="3"/>
                <w:w w:val="19"/>
                <w:szCs w:val="20"/>
                <w:shd w:val="solid" w:color="000000" w:fill="000000"/>
                <w:fitText w:val="87" w:id="-1436282614"/>
                <w14:textFill>
                  <w14:solidFill>
                    <w14:srgbClr w14:val="000000">
                      <w14:alpha w14:val="100000"/>
                    </w14:srgbClr>
                  </w14:solidFill>
                </w14:textFill>
              </w:rPr>
              <w:t xml:space="preserve">　</w:t>
            </w:r>
            <w:r w:rsidR="00F91D8D" w:rsidRPr="00F91D8D">
              <w:rPr>
                <w:b/>
                <w:szCs w:val="20"/>
                <w:vertAlign w:val="superscript"/>
              </w:rPr>
              <w:t>11</w:t>
            </w:r>
          </w:p>
        </w:tc>
        <w:tc>
          <w:tcPr>
            <w:tcW w:w="1086" w:type="dxa"/>
            <w:tcBorders>
              <w:top w:val="single" w:sz="4" w:space="0" w:color="auto"/>
              <w:left w:val="nil"/>
              <w:bottom w:val="single" w:sz="4" w:space="0" w:color="auto"/>
              <w:right w:val="single" w:sz="4" w:space="0" w:color="auto"/>
            </w:tcBorders>
            <w:shd w:val="clear" w:color="auto" w:fill="auto"/>
            <w:vAlign w:val="center"/>
          </w:tcPr>
          <w:p w14:paraId="33267F24" w14:textId="37EF9A3B" w:rsidR="00172107" w:rsidRPr="00646959" w:rsidRDefault="00164331" w:rsidP="00172107">
            <w:pPr>
              <w:pStyle w:val="TableText0"/>
              <w:keepLines/>
              <w:jc w:val="center"/>
              <w:rPr>
                <w:szCs w:val="20"/>
                <w:highlight w:val="lightGray"/>
              </w:rPr>
            </w:pPr>
            <w:r w:rsidRPr="00164331">
              <w:rPr>
                <w:rFonts w:hint="eastAsia"/>
                <w:color w:val="000000"/>
                <w:w w:val="19"/>
                <w:szCs w:val="20"/>
                <w:shd w:val="solid" w:color="000000" w:fill="000000"/>
                <w:fitText w:val="87" w:id="-1436282613"/>
                <w14:textFill>
                  <w14:solidFill>
                    <w14:srgbClr w14:val="000000">
                      <w14:alpha w14:val="100000"/>
                    </w14:srgbClr>
                  </w14:solidFill>
                </w14:textFill>
              </w:rPr>
              <w:t xml:space="preserve">　</w:t>
            </w:r>
            <w:r w:rsidRPr="00164331">
              <w:rPr>
                <w:color w:val="000000"/>
                <w:w w:val="19"/>
                <w:szCs w:val="20"/>
                <w:shd w:val="solid" w:color="000000" w:fill="000000"/>
                <w:fitText w:val="87" w:id="-1436282613"/>
                <w14:textFill>
                  <w14:solidFill>
                    <w14:srgbClr w14:val="000000">
                      <w14:alpha w14:val="100000"/>
                    </w14:srgbClr>
                  </w14:solidFill>
                </w14:textFill>
              </w:rPr>
              <w:t>|</w:t>
            </w:r>
            <w:r w:rsidRPr="00164331">
              <w:rPr>
                <w:rFonts w:hint="eastAsia"/>
                <w:color w:val="000000"/>
                <w:spacing w:val="3"/>
                <w:w w:val="19"/>
                <w:szCs w:val="20"/>
                <w:shd w:val="solid" w:color="000000" w:fill="000000"/>
                <w:fitText w:val="87" w:id="-1436282613"/>
                <w14:textFill>
                  <w14:solidFill>
                    <w14:srgbClr w14:val="000000">
                      <w14:alpha w14:val="100000"/>
                    </w14:srgbClr>
                  </w14:solidFill>
                </w14:textFill>
              </w:rPr>
              <w:t xml:space="preserve">　</w:t>
            </w:r>
            <w:r w:rsidR="00D937B8" w:rsidRPr="00D937B8">
              <w:rPr>
                <w:szCs w:val="20"/>
                <w:vertAlign w:val="superscript"/>
              </w:rPr>
              <w:t>13</w:t>
            </w:r>
          </w:p>
        </w:tc>
        <w:tc>
          <w:tcPr>
            <w:tcW w:w="1086" w:type="dxa"/>
            <w:tcBorders>
              <w:top w:val="single" w:sz="4" w:space="0" w:color="auto"/>
              <w:left w:val="nil"/>
              <w:bottom w:val="single" w:sz="4" w:space="0" w:color="auto"/>
              <w:right w:val="single" w:sz="4" w:space="0" w:color="auto"/>
            </w:tcBorders>
            <w:shd w:val="clear" w:color="auto" w:fill="auto"/>
            <w:vAlign w:val="center"/>
          </w:tcPr>
          <w:p w14:paraId="66E85C38" w14:textId="69F7D957" w:rsidR="00172107" w:rsidRPr="00D937B8" w:rsidRDefault="00164331" w:rsidP="00172107">
            <w:pPr>
              <w:pStyle w:val="TableText0"/>
              <w:keepLines/>
              <w:jc w:val="center"/>
              <w:rPr>
                <w:szCs w:val="20"/>
                <w:highlight w:val="lightGray"/>
              </w:rPr>
            </w:pPr>
            <w:r w:rsidRPr="00164331">
              <w:rPr>
                <w:rFonts w:hint="eastAsia"/>
                <w:color w:val="000000"/>
                <w:w w:val="19"/>
                <w:szCs w:val="20"/>
                <w:shd w:val="solid" w:color="000000" w:fill="000000"/>
                <w:fitText w:val="88" w:id="-1436282612"/>
                <w14:textFill>
                  <w14:solidFill>
                    <w14:srgbClr w14:val="000000">
                      <w14:alpha w14:val="100000"/>
                    </w14:srgbClr>
                  </w14:solidFill>
                </w14:textFill>
              </w:rPr>
              <w:t xml:space="preserve">　</w:t>
            </w:r>
            <w:r w:rsidRPr="00164331">
              <w:rPr>
                <w:color w:val="000000"/>
                <w:w w:val="19"/>
                <w:szCs w:val="20"/>
                <w:shd w:val="solid" w:color="000000" w:fill="000000"/>
                <w:fitText w:val="88" w:id="-1436282612"/>
                <w14:textFill>
                  <w14:solidFill>
                    <w14:srgbClr w14:val="000000">
                      <w14:alpha w14:val="100000"/>
                    </w14:srgbClr>
                  </w14:solidFill>
                </w14:textFill>
              </w:rPr>
              <w:t>|</w:t>
            </w:r>
            <w:r w:rsidRPr="00164331">
              <w:rPr>
                <w:rFonts w:hint="eastAsia"/>
                <w:color w:val="000000"/>
                <w:spacing w:val="4"/>
                <w:w w:val="19"/>
                <w:szCs w:val="20"/>
                <w:shd w:val="solid" w:color="000000" w:fill="000000"/>
                <w:fitText w:val="88" w:id="-1436282612"/>
                <w14:textFill>
                  <w14:solidFill>
                    <w14:srgbClr w14:val="000000">
                      <w14:alpha w14:val="100000"/>
                    </w14:srgbClr>
                  </w14:solidFill>
                </w14:textFill>
              </w:rPr>
              <w:t xml:space="preserve">　</w:t>
            </w:r>
            <w:r w:rsidR="00D937B8" w:rsidRPr="00D937B8">
              <w:rPr>
                <w:szCs w:val="20"/>
                <w:vertAlign w:val="superscript"/>
              </w:rPr>
              <w:t>15</w:t>
            </w:r>
          </w:p>
        </w:tc>
        <w:tc>
          <w:tcPr>
            <w:tcW w:w="1087" w:type="dxa"/>
            <w:tcBorders>
              <w:top w:val="single" w:sz="4" w:space="0" w:color="auto"/>
              <w:left w:val="nil"/>
              <w:bottom w:val="single" w:sz="4" w:space="0" w:color="auto"/>
              <w:right w:val="single" w:sz="4" w:space="0" w:color="auto"/>
            </w:tcBorders>
            <w:shd w:val="clear" w:color="auto" w:fill="auto"/>
            <w:vAlign w:val="center"/>
          </w:tcPr>
          <w:p w14:paraId="7B26CFDE" w14:textId="77526F4D" w:rsidR="00172107" w:rsidRPr="00646959" w:rsidRDefault="00164331" w:rsidP="00172107">
            <w:pPr>
              <w:pStyle w:val="TableText0"/>
              <w:keepLines/>
              <w:jc w:val="center"/>
              <w:rPr>
                <w:szCs w:val="20"/>
                <w:highlight w:val="lightGray"/>
              </w:rPr>
            </w:pPr>
            <w:r w:rsidRPr="00164331">
              <w:rPr>
                <w:rFonts w:hint="eastAsia"/>
                <w:color w:val="000000"/>
                <w:w w:val="19"/>
                <w:szCs w:val="20"/>
                <w:shd w:val="solid" w:color="000000" w:fill="000000"/>
                <w:fitText w:val="87" w:id="-1436282611"/>
                <w14:textFill>
                  <w14:solidFill>
                    <w14:srgbClr w14:val="000000">
                      <w14:alpha w14:val="100000"/>
                    </w14:srgbClr>
                  </w14:solidFill>
                </w14:textFill>
              </w:rPr>
              <w:t xml:space="preserve">　</w:t>
            </w:r>
            <w:r w:rsidRPr="00164331">
              <w:rPr>
                <w:color w:val="000000"/>
                <w:w w:val="19"/>
                <w:szCs w:val="20"/>
                <w:shd w:val="solid" w:color="000000" w:fill="000000"/>
                <w:fitText w:val="87" w:id="-1436282611"/>
                <w14:textFill>
                  <w14:solidFill>
                    <w14:srgbClr w14:val="000000">
                      <w14:alpha w14:val="100000"/>
                    </w14:srgbClr>
                  </w14:solidFill>
                </w14:textFill>
              </w:rPr>
              <w:t>|</w:t>
            </w:r>
            <w:r w:rsidRPr="00164331">
              <w:rPr>
                <w:rFonts w:hint="eastAsia"/>
                <w:color w:val="000000"/>
                <w:spacing w:val="3"/>
                <w:w w:val="19"/>
                <w:szCs w:val="20"/>
                <w:shd w:val="solid" w:color="000000" w:fill="000000"/>
                <w:fitText w:val="87" w:id="-1436282611"/>
                <w14:textFill>
                  <w14:solidFill>
                    <w14:srgbClr w14:val="000000">
                      <w14:alpha w14:val="100000"/>
                    </w14:srgbClr>
                  </w14:solidFill>
                </w14:textFill>
              </w:rPr>
              <w:t xml:space="preserve">　</w:t>
            </w:r>
            <w:r w:rsidR="00D937B8" w:rsidRPr="00D937B8">
              <w:rPr>
                <w:szCs w:val="20"/>
                <w:vertAlign w:val="superscript"/>
              </w:rPr>
              <w:t>15</w:t>
            </w:r>
          </w:p>
        </w:tc>
        <w:tc>
          <w:tcPr>
            <w:tcW w:w="1086" w:type="dxa"/>
            <w:tcBorders>
              <w:top w:val="single" w:sz="4" w:space="0" w:color="auto"/>
              <w:left w:val="nil"/>
              <w:bottom w:val="single" w:sz="4" w:space="0" w:color="auto"/>
              <w:right w:val="single" w:sz="4" w:space="0" w:color="auto"/>
            </w:tcBorders>
            <w:shd w:val="clear" w:color="auto" w:fill="auto"/>
            <w:vAlign w:val="center"/>
          </w:tcPr>
          <w:p w14:paraId="1B017DB3" w14:textId="5C3F076C" w:rsidR="00172107" w:rsidRPr="00646959" w:rsidRDefault="00164331" w:rsidP="00172107">
            <w:pPr>
              <w:pStyle w:val="TableText0"/>
              <w:keepLines/>
              <w:jc w:val="center"/>
              <w:rPr>
                <w:szCs w:val="20"/>
                <w:highlight w:val="lightGray"/>
              </w:rPr>
            </w:pPr>
            <w:r w:rsidRPr="00164331">
              <w:rPr>
                <w:rFonts w:hint="eastAsia"/>
                <w:color w:val="000000"/>
                <w:w w:val="19"/>
                <w:szCs w:val="20"/>
                <w:shd w:val="solid" w:color="000000" w:fill="000000"/>
                <w:fitText w:val="88" w:id="-1436282610"/>
                <w14:textFill>
                  <w14:solidFill>
                    <w14:srgbClr w14:val="000000">
                      <w14:alpha w14:val="100000"/>
                    </w14:srgbClr>
                  </w14:solidFill>
                </w14:textFill>
              </w:rPr>
              <w:t xml:space="preserve">　</w:t>
            </w:r>
            <w:r w:rsidRPr="00164331">
              <w:rPr>
                <w:color w:val="000000"/>
                <w:w w:val="19"/>
                <w:szCs w:val="20"/>
                <w:shd w:val="solid" w:color="000000" w:fill="000000"/>
                <w:fitText w:val="88" w:id="-1436282610"/>
                <w14:textFill>
                  <w14:solidFill>
                    <w14:srgbClr w14:val="000000">
                      <w14:alpha w14:val="100000"/>
                    </w14:srgbClr>
                  </w14:solidFill>
                </w14:textFill>
              </w:rPr>
              <w:t>|</w:t>
            </w:r>
            <w:r w:rsidRPr="00164331">
              <w:rPr>
                <w:rFonts w:hint="eastAsia"/>
                <w:color w:val="000000"/>
                <w:spacing w:val="4"/>
                <w:w w:val="19"/>
                <w:szCs w:val="20"/>
                <w:shd w:val="solid" w:color="000000" w:fill="000000"/>
                <w:fitText w:val="88" w:id="-1436282610"/>
                <w14:textFill>
                  <w14:solidFill>
                    <w14:srgbClr w14:val="000000">
                      <w14:alpha w14:val="100000"/>
                    </w14:srgbClr>
                  </w14:solidFill>
                </w14:textFill>
              </w:rPr>
              <w:t xml:space="preserve">　</w:t>
            </w:r>
            <w:r w:rsidR="00D937B8" w:rsidRPr="00D937B8">
              <w:rPr>
                <w:szCs w:val="20"/>
                <w:vertAlign w:val="superscript"/>
              </w:rPr>
              <w:t>15</w:t>
            </w:r>
          </w:p>
        </w:tc>
        <w:tc>
          <w:tcPr>
            <w:tcW w:w="1086" w:type="dxa"/>
            <w:tcBorders>
              <w:top w:val="single" w:sz="4" w:space="0" w:color="auto"/>
              <w:left w:val="nil"/>
              <w:bottom w:val="single" w:sz="4" w:space="0" w:color="auto"/>
              <w:right w:val="single" w:sz="4" w:space="0" w:color="auto"/>
            </w:tcBorders>
            <w:shd w:val="clear" w:color="auto" w:fill="auto"/>
            <w:vAlign w:val="center"/>
          </w:tcPr>
          <w:p w14:paraId="233FEDDB" w14:textId="3905C5C5" w:rsidR="00172107" w:rsidRPr="00D937B8" w:rsidRDefault="00164331" w:rsidP="00172107">
            <w:pPr>
              <w:pStyle w:val="TableText0"/>
              <w:keepLines/>
              <w:jc w:val="center"/>
              <w:rPr>
                <w:szCs w:val="20"/>
                <w:highlight w:val="lightGray"/>
                <w:vertAlign w:val="superscript"/>
              </w:rPr>
            </w:pPr>
            <w:r w:rsidRPr="00164331">
              <w:rPr>
                <w:rFonts w:hint="eastAsia"/>
                <w:color w:val="000000"/>
                <w:w w:val="19"/>
                <w:szCs w:val="20"/>
                <w:shd w:val="solid" w:color="000000" w:fill="000000"/>
                <w:fitText w:val="87" w:id="-1436282609"/>
                <w14:textFill>
                  <w14:solidFill>
                    <w14:srgbClr w14:val="000000">
                      <w14:alpha w14:val="100000"/>
                    </w14:srgbClr>
                  </w14:solidFill>
                </w14:textFill>
              </w:rPr>
              <w:t xml:space="preserve">　</w:t>
            </w:r>
            <w:r w:rsidRPr="00164331">
              <w:rPr>
                <w:color w:val="000000"/>
                <w:w w:val="19"/>
                <w:szCs w:val="20"/>
                <w:shd w:val="solid" w:color="000000" w:fill="000000"/>
                <w:fitText w:val="87" w:id="-1436282609"/>
                <w14:textFill>
                  <w14:solidFill>
                    <w14:srgbClr w14:val="000000">
                      <w14:alpha w14:val="100000"/>
                    </w14:srgbClr>
                  </w14:solidFill>
                </w14:textFill>
              </w:rPr>
              <w:t>|</w:t>
            </w:r>
            <w:r w:rsidRPr="00164331">
              <w:rPr>
                <w:rFonts w:hint="eastAsia"/>
                <w:color w:val="000000"/>
                <w:spacing w:val="3"/>
                <w:w w:val="19"/>
                <w:szCs w:val="20"/>
                <w:shd w:val="solid" w:color="000000" w:fill="000000"/>
                <w:fitText w:val="87" w:id="-1436282609"/>
                <w14:textFill>
                  <w14:solidFill>
                    <w14:srgbClr w14:val="000000">
                      <w14:alpha w14:val="100000"/>
                    </w14:srgbClr>
                  </w14:solidFill>
                </w14:textFill>
              </w:rPr>
              <w:t xml:space="preserve">　</w:t>
            </w:r>
            <w:r w:rsidR="00D937B8" w:rsidRPr="00D937B8">
              <w:rPr>
                <w:szCs w:val="20"/>
                <w:vertAlign w:val="superscript"/>
              </w:rPr>
              <w:t>12</w:t>
            </w:r>
          </w:p>
        </w:tc>
        <w:tc>
          <w:tcPr>
            <w:tcW w:w="1087" w:type="dxa"/>
            <w:tcBorders>
              <w:top w:val="single" w:sz="4" w:space="0" w:color="auto"/>
              <w:left w:val="nil"/>
              <w:bottom w:val="single" w:sz="4" w:space="0" w:color="auto"/>
              <w:right w:val="single" w:sz="4" w:space="0" w:color="auto"/>
            </w:tcBorders>
            <w:vAlign w:val="center"/>
          </w:tcPr>
          <w:p w14:paraId="6694BC61" w14:textId="427DC8A4" w:rsidR="00172107" w:rsidRPr="00646959" w:rsidRDefault="00164331" w:rsidP="00172107">
            <w:pPr>
              <w:pStyle w:val="TableText0"/>
              <w:keepLines/>
              <w:jc w:val="center"/>
              <w:rPr>
                <w:szCs w:val="20"/>
                <w:highlight w:val="lightGray"/>
              </w:rPr>
            </w:pPr>
            <w:r w:rsidRPr="00164331">
              <w:rPr>
                <w:rFonts w:hint="eastAsia"/>
                <w:color w:val="000000"/>
                <w:w w:val="19"/>
                <w:szCs w:val="20"/>
                <w:shd w:val="solid" w:color="000000" w:fill="000000"/>
                <w:fitText w:val="88" w:id="-1436282608"/>
                <w14:textFill>
                  <w14:solidFill>
                    <w14:srgbClr w14:val="000000">
                      <w14:alpha w14:val="100000"/>
                    </w14:srgbClr>
                  </w14:solidFill>
                </w14:textFill>
              </w:rPr>
              <w:t xml:space="preserve">　</w:t>
            </w:r>
            <w:r w:rsidRPr="00164331">
              <w:rPr>
                <w:color w:val="000000"/>
                <w:w w:val="19"/>
                <w:szCs w:val="20"/>
                <w:shd w:val="solid" w:color="000000" w:fill="000000"/>
                <w:fitText w:val="88" w:id="-1436282608"/>
                <w14:textFill>
                  <w14:solidFill>
                    <w14:srgbClr w14:val="000000">
                      <w14:alpha w14:val="100000"/>
                    </w14:srgbClr>
                  </w14:solidFill>
                </w14:textFill>
              </w:rPr>
              <w:t>|</w:t>
            </w:r>
            <w:r w:rsidRPr="00164331">
              <w:rPr>
                <w:rFonts w:hint="eastAsia"/>
                <w:color w:val="000000"/>
                <w:spacing w:val="4"/>
                <w:w w:val="19"/>
                <w:szCs w:val="20"/>
                <w:shd w:val="solid" w:color="000000" w:fill="000000"/>
                <w:fitText w:val="88" w:id="-1436282608"/>
                <w14:textFill>
                  <w14:solidFill>
                    <w14:srgbClr w14:val="000000">
                      <w14:alpha w14:val="100000"/>
                    </w14:srgbClr>
                  </w14:solidFill>
                </w14:textFill>
              </w:rPr>
              <w:t xml:space="preserve">　</w:t>
            </w:r>
            <w:r w:rsidR="00D937B8" w:rsidRPr="00D937B8">
              <w:rPr>
                <w:szCs w:val="20"/>
                <w:vertAlign w:val="superscript"/>
              </w:rPr>
              <w:t>17</w:t>
            </w:r>
          </w:p>
        </w:tc>
      </w:tr>
    </w:tbl>
    <w:p w14:paraId="0B7E5497" w14:textId="16B270D3" w:rsidR="00567A68" w:rsidRPr="00382031" w:rsidRDefault="00567A68" w:rsidP="00567A68">
      <w:pPr>
        <w:pStyle w:val="TableFigureFooter"/>
        <w:keepNext/>
        <w:keepLines/>
        <w:rPr>
          <w:rStyle w:val="CommentReference"/>
          <w:b w:val="0"/>
          <w:sz w:val="18"/>
          <w:szCs w:val="22"/>
        </w:rPr>
      </w:pPr>
      <w:r w:rsidRPr="0049552D">
        <w:rPr>
          <w:rStyle w:val="CommentReference"/>
          <w:b w:val="0"/>
          <w:sz w:val="18"/>
          <w:szCs w:val="22"/>
        </w:rPr>
        <w:t>Source: Tables 4.2-1,4.2-6, 4.5-1, 4.5-2, 4.5-4, 4.5-5 of the submission</w:t>
      </w:r>
      <w:r w:rsidR="00382031">
        <w:rPr>
          <w:rStyle w:val="CommentReference"/>
          <w:b w:val="0"/>
          <w:sz w:val="18"/>
          <w:szCs w:val="22"/>
        </w:rPr>
        <w:t xml:space="preserve">, </w:t>
      </w:r>
      <w:proofErr w:type="gramStart"/>
      <w:r w:rsidR="00172107">
        <w:rPr>
          <w:rStyle w:val="CommentReference"/>
          <w:b w:val="0"/>
          <w:sz w:val="18"/>
          <w:szCs w:val="22"/>
        </w:rPr>
        <w:t>Financial</w:t>
      </w:r>
      <w:proofErr w:type="gramEnd"/>
      <w:r w:rsidR="00172107">
        <w:rPr>
          <w:rStyle w:val="CommentReference"/>
          <w:b w:val="0"/>
          <w:sz w:val="18"/>
          <w:szCs w:val="22"/>
        </w:rPr>
        <w:t xml:space="preserve"> impacts worksheet submitted with</w:t>
      </w:r>
      <w:r w:rsidR="00382031">
        <w:rPr>
          <w:rStyle w:val="CommentReference"/>
          <w:b w:val="0"/>
          <w:sz w:val="18"/>
          <w:szCs w:val="22"/>
        </w:rPr>
        <w:t xml:space="preserve"> the pre-PBAC response</w:t>
      </w:r>
      <w:r w:rsidRPr="0049552D">
        <w:rPr>
          <w:rStyle w:val="CommentReference"/>
          <w:b w:val="0"/>
          <w:sz w:val="18"/>
          <w:szCs w:val="22"/>
        </w:rPr>
        <w:t xml:space="preserve"> </w:t>
      </w:r>
    </w:p>
    <w:p w14:paraId="087FDFE7" w14:textId="569F1289" w:rsidR="00567A68" w:rsidRDefault="00567A68" w:rsidP="00567A68">
      <w:pPr>
        <w:pStyle w:val="TableFigureFooter"/>
        <w:keepNext/>
        <w:keepLines/>
      </w:pPr>
      <w:r w:rsidRPr="0049552D">
        <w:t xml:space="preserve">pop = population, </w:t>
      </w:r>
      <w:proofErr w:type="spellStart"/>
      <w:r w:rsidRPr="0049552D">
        <w:t>pt</w:t>
      </w:r>
      <w:proofErr w:type="spellEnd"/>
      <w:r w:rsidRPr="0049552D">
        <w:t xml:space="preserve"> = patient; </w:t>
      </w:r>
      <w:proofErr w:type="spellStart"/>
      <w:r w:rsidRPr="0049552D">
        <w:t>yr</w:t>
      </w:r>
      <w:proofErr w:type="spellEnd"/>
      <w:r w:rsidRPr="0049552D">
        <w:t xml:space="preserve"> = year</w:t>
      </w:r>
    </w:p>
    <w:p w14:paraId="2FD4F94E" w14:textId="212FB740" w:rsidR="00172107" w:rsidRDefault="00172107" w:rsidP="00567A68">
      <w:pPr>
        <w:pStyle w:val="TableFigureFooter"/>
        <w:keepNext/>
        <w:keepLines/>
      </w:pPr>
      <w:proofErr w:type="spellStart"/>
      <w:r>
        <w:rPr>
          <w:vertAlign w:val="superscript"/>
        </w:rPr>
        <w:t>a</w:t>
      </w:r>
      <w:proofErr w:type="spellEnd"/>
      <w:r>
        <w:t xml:space="preserve"> This differs to the values in Table 3 of the pre-PBAC response, which appeared to be based on the proposed published price (rather than the proposed effective price of $</w:t>
      </w:r>
      <w:proofErr w:type="gramStart"/>
      <w:r w:rsidR="00164331" w:rsidRPr="00164331">
        <w:rPr>
          <w:color w:val="000000"/>
          <w:spacing w:val="36"/>
          <w:shd w:val="solid" w:color="000000" w:fill="000000"/>
          <w:fitText w:val="268" w:id="-1436282624"/>
          <w14:textFill>
            <w14:solidFill>
              <w14:srgbClr w14:val="000000">
                <w14:alpha w14:val="100000"/>
              </w14:srgbClr>
            </w14:solidFill>
          </w14:textFill>
        </w:rPr>
        <w:t xml:space="preserve">|  </w:t>
      </w:r>
      <w:r w:rsidR="00164331" w:rsidRPr="00164331">
        <w:rPr>
          <w:color w:val="000000"/>
          <w:spacing w:val="2"/>
          <w:shd w:val="solid" w:color="000000" w:fill="000000"/>
          <w:fitText w:val="268" w:id="-1436282624"/>
          <w14:textFill>
            <w14:solidFill>
              <w14:srgbClr w14:val="000000">
                <w14:alpha w14:val="100000"/>
              </w14:srgbClr>
            </w14:solidFill>
          </w14:textFill>
        </w:rPr>
        <w:t>|</w:t>
      </w:r>
      <w:proofErr w:type="gramEnd"/>
      <w:r w:rsidRPr="00DA3FF8">
        <w:t>)</w:t>
      </w:r>
    </w:p>
    <w:p w14:paraId="0DFA8663" w14:textId="5F023C16" w:rsidR="00F91D8D" w:rsidRDefault="00F91D8D" w:rsidP="00567A68">
      <w:pPr>
        <w:pStyle w:val="TableFigureFooter"/>
        <w:keepNext/>
        <w:keepLines/>
      </w:pPr>
    </w:p>
    <w:p w14:paraId="6F0911B3" w14:textId="77777777" w:rsidR="00F91D8D" w:rsidRPr="00E670E0" w:rsidRDefault="00F91D8D" w:rsidP="00F91D8D">
      <w:pPr>
        <w:pStyle w:val="TableFigureFooter"/>
        <w:keepNext/>
        <w:spacing w:after="0"/>
        <w:contextualSpacing w:val="0"/>
        <w:rPr>
          <w:i/>
        </w:rPr>
      </w:pPr>
      <w:r w:rsidRPr="00E670E0">
        <w:rPr>
          <w:i/>
        </w:rPr>
        <w:t>The redacted values correspond to the following ranges:</w:t>
      </w:r>
    </w:p>
    <w:p w14:paraId="3CE621AB" w14:textId="77777777" w:rsidR="00F91D8D" w:rsidRDefault="00F91D8D" w:rsidP="00F91D8D">
      <w:pPr>
        <w:pStyle w:val="TableFigureFooter"/>
        <w:keepNext/>
        <w:keepLines/>
      </w:pPr>
      <w:r>
        <w:rPr>
          <w:vertAlign w:val="superscript"/>
        </w:rPr>
        <w:t>1</w:t>
      </w:r>
      <w:r>
        <w:t>10,000 to &lt; 20,000</w:t>
      </w:r>
    </w:p>
    <w:p w14:paraId="0B55FA59" w14:textId="77777777" w:rsidR="00F91D8D" w:rsidRDefault="00F91D8D" w:rsidP="00F91D8D">
      <w:pPr>
        <w:pStyle w:val="TableFigureFooter"/>
        <w:keepNext/>
        <w:keepLines/>
        <w:rPr>
          <w:color w:val="333333"/>
          <w:szCs w:val="18"/>
        </w:rPr>
      </w:pPr>
      <w:r w:rsidRPr="00F91D8D">
        <w:rPr>
          <w:szCs w:val="18"/>
          <w:vertAlign w:val="superscript"/>
        </w:rPr>
        <w:t>2</w:t>
      </w:r>
      <w:r w:rsidRPr="00F91D8D">
        <w:rPr>
          <w:color w:val="333333"/>
          <w:szCs w:val="18"/>
        </w:rPr>
        <w:t>5,000 to &lt; 10,000</w:t>
      </w:r>
    </w:p>
    <w:p w14:paraId="0D84B32E" w14:textId="77777777" w:rsidR="00F91D8D" w:rsidRDefault="00F91D8D" w:rsidP="00F91D8D">
      <w:pPr>
        <w:pStyle w:val="TableFigureFooter"/>
        <w:keepNext/>
        <w:keepLines/>
        <w:rPr>
          <w:color w:val="333333"/>
          <w:szCs w:val="18"/>
        </w:rPr>
      </w:pPr>
      <w:r w:rsidRPr="00F91D8D">
        <w:rPr>
          <w:color w:val="333333"/>
          <w:szCs w:val="18"/>
          <w:vertAlign w:val="superscript"/>
        </w:rPr>
        <w:t>3</w:t>
      </w:r>
      <w:r w:rsidRPr="00F91D8D">
        <w:rPr>
          <w:color w:val="333333"/>
          <w:szCs w:val="18"/>
        </w:rPr>
        <w:t>500 to &lt; 5,000</w:t>
      </w:r>
    </w:p>
    <w:p w14:paraId="6670D0DA" w14:textId="77777777" w:rsidR="00F91D8D" w:rsidRDefault="00F91D8D" w:rsidP="00F91D8D">
      <w:pPr>
        <w:pStyle w:val="TableFigureFooter"/>
        <w:keepNext/>
        <w:keepLines/>
        <w:rPr>
          <w:color w:val="333333"/>
          <w:szCs w:val="18"/>
        </w:rPr>
      </w:pPr>
      <w:r w:rsidRPr="00F91D8D">
        <w:rPr>
          <w:color w:val="333333"/>
          <w:szCs w:val="18"/>
          <w:vertAlign w:val="superscript"/>
        </w:rPr>
        <w:t>4</w:t>
      </w:r>
      <w:r w:rsidRPr="00F91D8D">
        <w:rPr>
          <w:color w:val="333333"/>
          <w:szCs w:val="18"/>
        </w:rPr>
        <w:t>20,000 to &lt; 30,000</w:t>
      </w:r>
    </w:p>
    <w:p w14:paraId="0B545D66" w14:textId="77777777" w:rsidR="00F91D8D" w:rsidRDefault="00F91D8D" w:rsidP="00F91D8D">
      <w:pPr>
        <w:pStyle w:val="TableFigureFooter"/>
        <w:keepNext/>
        <w:keepLines/>
        <w:rPr>
          <w:color w:val="333333"/>
          <w:szCs w:val="18"/>
        </w:rPr>
      </w:pPr>
      <w:r w:rsidRPr="00F91D8D">
        <w:rPr>
          <w:color w:val="333333"/>
          <w:szCs w:val="18"/>
          <w:vertAlign w:val="superscript"/>
        </w:rPr>
        <w:t>5</w:t>
      </w:r>
      <w:r w:rsidRPr="00F91D8D">
        <w:rPr>
          <w:color w:val="333333"/>
          <w:szCs w:val="18"/>
        </w:rPr>
        <w:t>30,000 to &lt; 40,000</w:t>
      </w:r>
    </w:p>
    <w:p w14:paraId="74B114CB" w14:textId="77777777" w:rsidR="00F91D8D" w:rsidRDefault="00F91D8D" w:rsidP="00F91D8D">
      <w:pPr>
        <w:pStyle w:val="TableFigureFooter"/>
        <w:keepNext/>
        <w:keepLines/>
        <w:rPr>
          <w:color w:val="333333"/>
          <w:szCs w:val="18"/>
        </w:rPr>
      </w:pPr>
      <w:r w:rsidRPr="00F91D8D">
        <w:rPr>
          <w:color w:val="333333"/>
          <w:szCs w:val="18"/>
          <w:vertAlign w:val="superscript"/>
        </w:rPr>
        <w:t>6</w:t>
      </w:r>
      <w:r w:rsidRPr="00F91D8D">
        <w:rPr>
          <w:color w:val="333333"/>
          <w:szCs w:val="18"/>
        </w:rPr>
        <w:t>40,000 to &lt; 50,000</w:t>
      </w:r>
    </w:p>
    <w:p w14:paraId="76C30530" w14:textId="77777777" w:rsidR="00F91D8D" w:rsidRDefault="00F91D8D" w:rsidP="00F91D8D">
      <w:pPr>
        <w:pStyle w:val="TableFigureFooter"/>
        <w:keepNext/>
        <w:keepLines/>
        <w:rPr>
          <w:color w:val="333333"/>
          <w:szCs w:val="18"/>
        </w:rPr>
      </w:pPr>
      <w:r w:rsidRPr="00F91D8D">
        <w:rPr>
          <w:color w:val="333333"/>
          <w:szCs w:val="18"/>
          <w:vertAlign w:val="superscript"/>
        </w:rPr>
        <w:t>7</w:t>
      </w:r>
      <w:r w:rsidRPr="00F91D8D">
        <w:rPr>
          <w:color w:val="333333"/>
          <w:szCs w:val="18"/>
        </w:rPr>
        <w:t>60,000 to &lt; 70,000</w:t>
      </w:r>
    </w:p>
    <w:p w14:paraId="5E37B8C2" w14:textId="77777777" w:rsidR="00F91D8D" w:rsidRDefault="00F91D8D" w:rsidP="00F91D8D">
      <w:pPr>
        <w:pStyle w:val="TableFigureFooter"/>
        <w:keepNext/>
        <w:keepLines/>
        <w:rPr>
          <w:color w:val="333333"/>
          <w:szCs w:val="18"/>
        </w:rPr>
      </w:pPr>
      <w:r w:rsidRPr="00F91D8D">
        <w:rPr>
          <w:color w:val="333333"/>
          <w:szCs w:val="18"/>
          <w:vertAlign w:val="superscript"/>
        </w:rPr>
        <w:t>8</w:t>
      </w:r>
      <w:r w:rsidRPr="00F91D8D">
        <w:rPr>
          <w:color w:val="333333"/>
          <w:szCs w:val="18"/>
        </w:rPr>
        <w:t>80,000 to &lt; 90,000</w:t>
      </w:r>
    </w:p>
    <w:p w14:paraId="3E8A22B1" w14:textId="77777777" w:rsidR="00F91D8D" w:rsidRDefault="00F91D8D" w:rsidP="00F91D8D">
      <w:pPr>
        <w:pStyle w:val="TableFigureFooter"/>
        <w:keepNext/>
        <w:keepLines/>
        <w:rPr>
          <w:color w:val="333333"/>
          <w:szCs w:val="18"/>
        </w:rPr>
      </w:pPr>
      <w:r w:rsidRPr="00F91D8D">
        <w:rPr>
          <w:color w:val="333333"/>
          <w:szCs w:val="18"/>
          <w:vertAlign w:val="superscript"/>
        </w:rPr>
        <w:t>9</w:t>
      </w:r>
      <w:r w:rsidRPr="00F91D8D">
        <w:rPr>
          <w:color w:val="333333"/>
          <w:szCs w:val="18"/>
        </w:rPr>
        <w:t>90,000 to &lt; 100,000</w:t>
      </w:r>
    </w:p>
    <w:p w14:paraId="78995FCA" w14:textId="3AE58D72" w:rsidR="00F91D8D" w:rsidRDefault="00F91D8D" w:rsidP="00F91D8D">
      <w:pPr>
        <w:pStyle w:val="TableFigureFooter"/>
        <w:keepNext/>
        <w:keepLines/>
        <w:rPr>
          <w:color w:val="333333"/>
          <w:szCs w:val="18"/>
        </w:rPr>
      </w:pPr>
      <w:r w:rsidRPr="00F91D8D">
        <w:rPr>
          <w:color w:val="333333"/>
          <w:szCs w:val="18"/>
          <w:vertAlign w:val="superscript"/>
        </w:rPr>
        <w:t>10</w:t>
      </w:r>
      <w:r w:rsidRPr="00F91D8D">
        <w:rPr>
          <w:color w:val="333333"/>
          <w:szCs w:val="18"/>
        </w:rPr>
        <w:t>300,000 to &lt; 400,000</w:t>
      </w:r>
    </w:p>
    <w:p w14:paraId="13701539" w14:textId="161B5E01" w:rsidR="00F91D8D" w:rsidRDefault="00F91D8D" w:rsidP="00F91D8D">
      <w:pPr>
        <w:pStyle w:val="TableFigureFooter"/>
        <w:keepNext/>
        <w:keepLines/>
        <w:rPr>
          <w:color w:val="333333"/>
          <w:szCs w:val="18"/>
        </w:rPr>
      </w:pPr>
      <w:r>
        <w:rPr>
          <w:color w:val="333333"/>
          <w:szCs w:val="18"/>
          <w:vertAlign w:val="superscript"/>
        </w:rPr>
        <w:t>11</w:t>
      </w:r>
      <w:r>
        <w:rPr>
          <w:color w:val="333333"/>
          <w:szCs w:val="18"/>
        </w:rPr>
        <w:t>$20 million to &lt; $30 million</w:t>
      </w:r>
    </w:p>
    <w:p w14:paraId="32F20F5A" w14:textId="562F6EA3" w:rsidR="00F91D8D" w:rsidRDefault="00F91D8D" w:rsidP="00F91D8D">
      <w:pPr>
        <w:pStyle w:val="TableFigureFooter"/>
        <w:keepNext/>
        <w:keepLines/>
        <w:rPr>
          <w:color w:val="333333"/>
          <w:szCs w:val="18"/>
        </w:rPr>
      </w:pPr>
      <w:r>
        <w:rPr>
          <w:color w:val="333333"/>
          <w:szCs w:val="18"/>
          <w:vertAlign w:val="superscript"/>
        </w:rPr>
        <w:t>12</w:t>
      </w:r>
      <w:r w:rsidR="00D937B8">
        <w:rPr>
          <w:color w:val="333333"/>
          <w:szCs w:val="18"/>
        </w:rPr>
        <w:t>$50 million to &lt; $60 million</w:t>
      </w:r>
    </w:p>
    <w:p w14:paraId="74B44418" w14:textId="1D69F2CE" w:rsidR="00D937B8" w:rsidRDefault="00D937B8" w:rsidP="00F91D8D">
      <w:pPr>
        <w:pStyle w:val="TableFigureFooter"/>
        <w:keepNext/>
        <w:keepLines/>
        <w:rPr>
          <w:color w:val="333333"/>
          <w:szCs w:val="18"/>
        </w:rPr>
      </w:pPr>
      <w:r>
        <w:rPr>
          <w:color w:val="333333"/>
          <w:szCs w:val="18"/>
          <w:vertAlign w:val="superscript"/>
        </w:rPr>
        <w:t>13</w:t>
      </w:r>
      <w:r>
        <w:rPr>
          <w:color w:val="333333"/>
          <w:szCs w:val="18"/>
        </w:rPr>
        <w:t>$30 million to &lt; $40 million</w:t>
      </w:r>
    </w:p>
    <w:p w14:paraId="04947DBD" w14:textId="11B19822" w:rsidR="00D937B8" w:rsidRDefault="00D937B8" w:rsidP="00F91D8D">
      <w:pPr>
        <w:pStyle w:val="TableFigureFooter"/>
        <w:keepNext/>
        <w:keepLines/>
        <w:rPr>
          <w:color w:val="333333"/>
          <w:szCs w:val="18"/>
        </w:rPr>
      </w:pPr>
      <w:r>
        <w:rPr>
          <w:color w:val="333333"/>
          <w:szCs w:val="18"/>
          <w:vertAlign w:val="superscript"/>
        </w:rPr>
        <w:t>14</w:t>
      </w:r>
      <w:r>
        <w:rPr>
          <w:color w:val="333333"/>
          <w:szCs w:val="18"/>
        </w:rPr>
        <w:t>$80 million to &lt;90 million</w:t>
      </w:r>
    </w:p>
    <w:p w14:paraId="65261D3A" w14:textId="1AA8B18C" w:rsidR="00D937B8" w:rsidRPr="00D937B8" w:rsidRDefault="00D937B8" w:rsidP="00F91D8D">
      <w:pPr>
        <w:pStyle w:val="TableFigureFooter"/>
        <w:keepNext/>
        <w:keepLines/>
        <w:rPr>
          <w:color w:val="333333"/>
          <w:szCs w:val="18"/>
        </w:rPr>
      </w:pPr>
      <w:r>
        <w:rPr>
          <w:color w:val="333333"/>
          <w:szCs w:val="18"/>
          <w:vertAlign w:val="superscript"/>
        </w:rPr>
        <w:t>15</w:t>
      </w:r>
      <w:r>
        <w:rPr>
          <w:color w:val="333333"/>
          <w:szCs w:val="18"/>
        </w:rPr>
        <w:t>$40 million to &lt; $50 million</w:t>
      </w:r>
    </w:p>
    <w:p w14:paraId="164F7913" w14:textId="4E3E25AA" w:rsidR="00F91D8D" w:rsidRDefault="00D937B8" w:rsidP="00567A68">
      <w:pPr>
        <w:pStyle w:val="TableFigureFooter"/>
        <w:keepNext/>
        <w:keepLines/>
        <w:rPr>
          <w:bCs/>
          <w:szCs w:val="20"/>
        </w:rPr>
      </w:pPr>
      <w:r w:rsidRPr="00D937B8">
        <w:rPr>
          <w:bCs/>
          <w:szCs w:val="20"/>
          <w:vertAlign w:val="superscript"/>
        </w:rPr>
        <w:t>16</w:t>
      </w:r>
      <w:r>
        <w:rPr>
          <w:bCs/>
          <w:szCs w:val="20"/>
        </w:rPr>
        <w:t>$100 million to &lt; $200 million</w:t>
      </w:r>
    </w:p>
    <w:p w14:paraId="05E84472" w14:textId="18727B53" w:rsidR="00D937B8" w:rsidRDefault="00D937B8" w:rsidP="00567A68">
      <w:pPr>
        <w:pStyle w:val="TableFigureFooter"/>
        <w:keepNext/>
        <w:keepLines/>
        <w:rPr>
          <w:bCs/>
          <w:szCs w:val="20"/>
        </w:rPr>
      </w:pPr>
      <w:r>
        <w:rPr>
          <w:bCs/>
          <w:szCs w:val="20"/>
          <w:vertAlign w:val="superscript"/>
        </w:rPr>
        <w:t>17</w:t>
      </w:r>
      <w:r>
        <w:rPr>
          <w:bCs/>
          <w:szCs w:val="20"/>
        </w:rPr>
        <w:t>$200 million to &lt; $300 million</w:t>
      </w:r>
    </w:p>
    <w:p w14:paraId="7AF1DA58" w14:textId="31A1D44B" w:rsidR="00B572B1" w:rsidRDefault="00B572B1" w:rsidP="00567A68">
      <w:pPr>
        <w:pStyle w:val="TableFigureFooter"/>
        <w:keepNext/>
        <w:keepLines/>
        <w:rPr>
          <w:bCs/>
          <w:szCs w:val="20"/>
        </w:rPr>
      </w:pPr>
      <w:r>
        <w:rPr>
          <w:bCs/>
          <w:szCs w:val="20"/>
          <w:vertAlign w:val="superscript"/>
        </w:rPr>
        <w:t>18</w:t>
      </w:r>
      <w:r>
        <w:rPr>
          <w:bCs/>
          <w:szCs w:val="20"/>
        </w:rPr>
        <w:t>100,000 to &lt; 200,000</w:t>
      </w:r>
    </w:p>
    <w:p w14:paraId="285A0E59" w14:textId="40C3A562" w:rsidR="00B572B1" w:rsidRPr="00B572B1" w:rsidRDefault="00B572B1" w:rsidP="00567A68">
      <w:pPr>
        <w:pStyle w:val="TableFigureFooter"/>
        <w:keepNext/>
        <w:keepLines/>
        <w:rPr>
          <w:bCs/>
        </w:rPr>
      </w:pPr>
      <w:r>
        <w:rPr>
          <w:bCs/>
          <w:szCs w:val="20"/>
          <w:vertAlign w:val="superscript"/>
        </w:rPr>
        <w:t>19</w:t>
      </w:r>
      <w:r>
        <w:rPr>
          <w:bCs/>
          <w:szCs w:val="20"/>
        </w:rPr>
        <w:t>$600 million to &lt;$700 million</w:t>
      </w:r>
    </w:p>
    <w:p w14:paraId="14620A1B" w14:textId="487FB149" w:rsidR="00172107" w:rsidRDefault="00172107" w:rsidP="00567A68">
      <w:pPr>
        <w:pStyle w:val="3-BodyText"/>
      </w:pPr>
      <w:r w:rsidRPr="0049552D">
        <w:t>The</w:t>
      </w:r>
      <w:r>
        <w:t xml:space="preserve"> submission estimated that the</w:t>
      </w:r>
      <w:r w:rsidRPr="0049552D">
        <w:t xml:space="preserve"> total net cost to </w:t>
      </w:r>
      <w:r>
        <w:t xml:space="preserve">the R/PBS and MBS would be </w:t>
      </w:r>
      <w:r w:rsidR="00B572B1">
        <w:t xml:space="preserve">$600 million to &lt; $700 million </w:t>
      </w:r>
      <w:r w:rsidRPr="0049552D">
        <w:t xml:space="preserve">over the first six years of </w:t>
      </w:r>
      <w:r>
        <w:t>listing</w:t>
      </w:r>
      <w:r w:rsidRPr="0049552D">
        <w:t>.</w:t>
      </w:r>
      <w:r>
        <w:t xml:space="preserve"> This was reduced to </w:t>
      </w:r>
      <w:r w:rsidR="00B572B1">
        <w:t>$200 million to &lt; $300 million</w:t>
      </w:r>
      <w:r>
        <w:t xml:space="preserve"> in the pre-PBAC response </w:t>
      </w:r>
      <w:r w:rsidR="00BB0A32">
        <w:t>(</w:t>
      </w:r>
      <w:r>
        <w:t>based on the effective price proposed</w:t>
      </w:r>
      <w:r w:rsidR="00BB0A32">
        <w:t xml:space="preserve">; </w:t>
      </w:r>
      <w:r>
        <w:t xml:space="preserve">the pre-PBAC response stated the cost </w:t>
      </w:r>
      <w:r w:rsidR="00942C22">
        <w:t xml:space="preserve">to the PBS/RPBS </w:t>
      </w:r>
      <w:r>
        <w:t xml:space="preserve">would be </w:t>
      </w:r>
      <w:r w:rsidR="00B572B1">
        <w:t>$300 million to &lt; $400 million</w:t>
      </w:r>
      <w:r>
        <w:t xml:space="preserve"> </w:t>
      </w:r>
      <w:r w:rsidR="00942C22">
        <w:t xml:space="preserve">over six years </w:t>
      </w:r>
      <w:r>
        <w:t>but this appeared to be based on the proposed published price).</w:t>
      </w:r>
    </w:p>
    <w:p w14:paraId="2961168B" w14:textId="3BCC748B" w:rsidR="00346717" w:rsidRPr="00C410DD" w:rsidRDefault="00567A68" w:rsidP="00567A68">
      <w:pPr>
        <w:pStyle w:val="3-BodyText"/>
        <w:rPr>
          <w:rFonts w:ascii="Arial Narrow" w:hAnsi="Arial Narrow"/>
          <w:b/>
          <w:iCs/>
          <w:sz w:val="20"/>
        </w:rPr>
      </w:pPr>
      <w:bookmarkStart w:id="80" w:name="_Ref110331728"/>
      <w:r w:rsidRPr="00346717">
        <w:lastRenderedPageBreak/>
        <w:t xml:space="preserve">The submission estimated that there would be over </w:t>
      </w:r>
      <w:r w:rsidR="00B572B1">
        <w:t>90,000 to &lt;100,000</w:t>
      </w:r>
      <w:r w:rsidRPr="00346717">
        <w:t xml:space="preserve"> </w:t>
      </w:r>
      <w:proofErr w:type="spellStart"/>
      <w:r w:rsidRPr="00346717">
        <w:t>anifrolumab</w:t>
      </w:r>
      <w:proofErr w:type="spellEnd"/>
      <w:r w:rsidRPr="00346717">
        <w:t xml:space="preserve"> scripts dispensed in Year 6, which is significantly higher than the number estimated for belimumab in July 2020, with the PSD stating ‘the redacted table shows that at Year</w:t>
      </w:r>
      <w:r w:rsidR="00995D27">
        <w:t> </w:t>
      </w:r>
      <w:r w:rsidRPr="00346717">
        <w:t>6, the estimated total number of belimumab scripts was 10,000 to &lt;20,000 (page 39, belimumab PSD</w:t>
      </w:r>
      <w:r w:rsidR="008E6D28">
        <w:t>,</w:t>
      </w:r>
      <w:r w:rsidRPr="00346717">
        <w:t xml:space="preserve"> July 2020 PBAC meeting).</w:t>
      </w:r>
      <w:r w:rsidR="00A52C32">
        <w:t xml:space="preserve"> The pre-PBAC response continued to estimate a substantially higher number of scripts in Year 6 (</w:t>
      </w:r>
      <w:r w:rsidR="00B572B1">
        <w:t>30,000 to &lt; 40,000</w:t>
      </w:r>
      <w:r w:rsidR="00A52C32">
        <w:t>)</w:t>
      </w:r>
      <w:r w:rsidR="006272F7">
        <w:t xml:space="preserve"> compared with the range reported in the belimumab PSD</w:t>
      </w:r>
      <w:r w:rsidR="00A52C32">
        <w:t xml:space="preserve">. </w:t>
      </w:r>
      <w:bookmarkEnd w:id="80"/>
    </w:p>
    <w:p w14:paraId="0F25A915" w14:textId="0A7783C5" w:rsidR="00C410DD" w:rsidRPr="00C410DD" w:rsidRDefault="00C410DD" w:rsidP="00567A68">
      <w:pPr>
        <w:pStyle w:val="3-BodyText"/>
        <w:rPr>
          <w:rFonts w:ascii="Arial Narrow" w:hAnsi="Arial Narrow"/>
          <w:b/>
          <w:iCs/>
          <w:sz w:val="20"/>
        </w:rPr>
      </w:pPr>
      <w:r>
        <w:rPr>
          <w:bCs/>
        </w:rPr>
        <w:t xml:space="preserve">The </w:t>
      </w:r>
      <w:r w:rsidRPr="00C410DD">
        <w:rPr>
          <w:bCs/>
        </w:rPr>
        <w:t xml:space="preserve">DUSC </w:t>
      </w:r>
      <w:r w:rsidR="00A52C32">
        <w:rPr>
          <w:bCs/>
        </w:rPr>
        <w:t>considered</w:t>
      </w:r>
      <w:r>
        <w:rPr>
          <w:bCs/>
        </w:rPr>
        <w:t xml:space="preserve"> that </w:t>
      </w:r>
      <w:r w:rsidRPr="00C410DD">
        <w:rPr>
          <w:bCs/>
        </w:rPr>
        <w:t xml:space="preserve">the estimates presented in the submission </w:t>
      </w:r>
      <w:r>
        <w:rPr>
          <w:bCs/>
        </w:rPr>
        <w:t>were</w:t>
      </w:r>
      <w:r w:rsidRPr="00C410DD">
        <w:rPr>
          <w:bCs/>
        </w:rPr>
        <w:t xml:space="preserve"> significantly overestimated. The</w:t>
      </w:r>
      <w:r>
        <w:rPr>
          <w:bCs/>
        </w:rPr>
        <w:t xml:space="preserve"> DUSC listed the</w:t>
      </w:r>
      <w:r w:rsidRPr="00C410DD">
        <w:rPr>
          <w:bCs/>
        </w:rPr>
        <w:t xml:space="preserve"> main issues </w:t>
      </w:r>
      <w:r>
        <w:rPr>
          <w:bCs/>
        </w:rPr>
        <w:t>as</w:t>
      </w:r>
      <w:r w:rsidRPr="00C410DD">
        <w:rPr>
          <w:bCs/>
        </w:rPr>
        <w:t>:</w:t>
      </w:r>
    </w:p>
    <w:p w14:paraId="32D43ABC" w14:textId="6864175E" w:rsidR="00C410DD" w:rsidRPr="00854261" w:rsidRDefault="00C410DD" w:rsidP="006107F0">
      <w:pPr>
        <w:pStyle w:val="ListParagraph"/>
        <w:numPr>
          <w:ilvl w:val="0"/>
          <w:numId w:val="23"/>
        </w:numPr>
        <w:tabs>
          <w:tab w:val="clear" w:pos="720"/>
        </w:tabs>
        <w:ind w:left="1134" w:hanging="357"/>
      </w:pPr>
      <w:r>
        <w:t>T</w:t>
      </w:r>
      <w:r w:rsidRPr="00854261">
        <w:t xml:space="preserve">he </w:t>
      </w:r>
      <w:r w:rsidR="00642C69">
        <w:t>proportion of eligible patients (</w:t>
      </w:r>
      <w:r w:rsidRPr="00854261">
        <w:t>32.12%</w:t>
      </w:r>
      <w:r w:rsidR="00642C69">
        <w:t>)</w:t>
      </w:r>
      <w:r w:rsidRPr="00854261">
        <w:t xml:space="preserve"> </w:t>
      </w:r>
      <w:r w:rsidR="00642C69">
        <w:t>was</w:t>
      </w:r>
      <w:r w:rsidRPr="00854261">
        <w:t xml:space="preserve"> overestimated. </w:t>
      </w:r>
      <w:r w:rsidR="00415D21">
        <w:t xml:space="preserve">This </w:t>
      </w:r>
      <w:r w:rsidR="003A7A0B">
        <w:t xml:space="preserve">estimate </w:t>
      </w:r>
      <w:r w:rsidR="00415D21">
        <w:t xml:space="preserve">was </w:t>
      </w:r>
      <w:r w:rsidR="00415D21" w:rsidRPr="00415D21">
        <w:t xml:space="preserve">based on the Australian Lupus Registry and Biobank </w:t>
      </w:r>
      <w:r w:rsidR="00415D21">
        <w:t xml:space="preserve">(ALRB) </w:t>
      </w:r>
      <w:r w:rsidR="00415D21" w:rsidRPr="00415D21">
        <w:t>data for patients with SLEDAI-2K≥10 irrespective of triple therapy</w:t>
      </w:r>
      <w:r w:rsidR="00415D21">
        <w:t xml:space="preserve">, </w:t>
      </w:r>
      <w:r w:rsidR="00642C69">
        <w:t xml:space="preserve">and so was broader than the proposed population. Further, </w:t>
      </w:r>
      <w:r w:rsidRPr="00854261">
        <w:t xml:space="preserve">DUSC </w:t>
      </w:r>
      <w:r w:rsidR="00415D21">
        <w:t xml:space="preserve">noted </w:t>
      </w:r>
      <w:r w:rsidR="00642C69">
        <w:t xml:space="preserve">the ALRB data </w:t>
      </w:r>
      <w:r w:rsidRPr="00854261">
        <w:t xml:space="preserve">contained information from specialist centres and </w:t>
      </w:r>
      <w:r w:rsidR="00642C69">
        <w:t xml:space="preserve">considered it </w:t>
      </w:r>
      <w:r w:rsidRPr="00854261">
        <w:t xml:space="preserve">was not necessarily representative of the entire PBS population. </w:t>
      </w:r>
      <w:r w:rsidR="00415D21">
        <w:t>The evaluation noted that i</w:t>
      </w:r>
      <w:r w:rsidR="00415D21" w:rsidRPr="00415D21">
        <w:t xml:space="preserve">n the TULIP trials and ALRB data this subgroup was small (&lt;16% in TULIP and 14.42% in ALRB). </w:t>
      </w:r>
      <w:r w:rsidR="00642C69">
        <w:t>Further, the evaluation and DUSC noted that</w:t>
      </w:r>
      <w:r w:rsidR="003A7A0B">
        <w:t>,</w:t>
      </w:r>
      <w:r w:rsidR="00642C69">
        <w:t xml:space="preserve"> i</w:t>
      </w:r>
      <w:r w:rsidR="00415D21" w:rsidRPr="00415D21">
        <w:t xml:space="preserve">n its consideration of belimumab for SLE, the PBAC </w:t>
      </w:r>
      <w:r w:rsidR="00415D21">
        <w:t xml:space="preserve">had previously </w:t>
      </w:r>
      <w:r w:rsidR="00415D21" w:rsidRPr="00415D21">
        <w:t xml:space="preserve">considered the estimate of 15.36% may be an overestimate as two of the four experts’ opinions presented in the submission were that 5% of all SLE patients may be considered for a biologic (para 6.63, belimumab PSD, November 2019). </w:t>
      </w:r>
      <w:r w:rsidR="00415D21">
        <w:t>Overall,</w:t>
      </w:r>
      <w:r w:rsidR="003A7A0B">
        <w:t xml:space="preserve"> </w:t>
      </w:r>
      <w:r w:rsidRPr="00854261">
        <w:t xml:space="preserve">DUSC considered </w:t>
      </w:r>
      <w:r w:rsidR="00415D21">
        <w:t>a</w:t>
      </w:r>
      <w:r w:rsidR="00415D21" w:rsidRPr="00854261">
        <w:t xml:space="preserve"> </w:t>
      </w:r>
      <w:r w:rsidRPr="00854261">
        <w:t xml:space="preserve">value of &lt;16% </w:t>
      </w:r>
      <w:r w:rsidR="00415D21">
        <w:t>would</w:t>
      </w:r>
      <w:r w:rsidRPr="00854261">
        <w:t xml:space="preserve"> be more appropriate.</w:t>
      </w:r>
      <w:r w:rsidR="00415D21">
        <w:t xml:space="preserve"> </w:t>
      </w:r>
      <w:r w:rsidR="00415D21" w:rsidRPr="00415D21">
        <w:t xml:space="preserve">This was revised to 15.83% in the pre-PBAC response, which was stated to be adapted from </w:t>
      </w:r>
      <w:r w:rsidR="00415D21">
        <w:t>a commissioned survey</w:t>
      </w:r>
      <w:r w:rsidR="00415D21" w:rsidRPr="00415D21">
        <w:t xml:space="preserve"> report.</w:t>
      </w:r>
    </w:p>
    <w:p w14:paraId="12DE094E" w14:textId="5CECDB61" w:rsidR="00C410DD" w:rsidRPr="00854261" w:rsidRDefault="00F55FF5" w:rsidP="006107F0">
      <w:pPr>
        <w:pStyle w:val="ListParagraph"/>
        <w:numPr>
          <w:ilvl w:val="0"/>
          <w:numId w:val="23"/>
        </w:numPr>
        <w:tabs>
          <w:tab w:val="clear" w:pos="720"/>
        </w:tabs>
        <w:ind w:left="1134" w:hanging="357"/>
      </w:pPr>
      <w:r>
        <w:t>T</w:t>
      </w:r>
      <w:r w:rsidR="00C410DD" w:rsidRPr="00854261">
        <w:t xml:space="preserve">here was significant double counting. </w:t>
      </w:r>
      <w:r w:rsidR="00415D21">
        <w:t>As noted in the evaluation, the</w:t>
      </w:r>
      <w:r w:rsidR="00415D21" w:rsidRPr="00415D21">
        <w:t xml:space="preserve"> prevalent population each year was not adjusted for the number of prevalent patients in the previous year who had already received/were still receiving </w:t>
      </w:r>
      <w:proofErr w:type="spellStart"/>
      <w:r w:rsidR="00415D21" w:rsidRPr="00415D21">
        <w:t>anifrolumab</w:t>
      </w:r>
      <w:proofErr w:type="spellEnd"/>
      <w:r w:rsidR="00415D21" w:rsidRPr="00415D21">
        <w:t xml:space="preserve">. </w:t>
      </w:r>
      <w:r w:rsidR="00C410DD" w:rsidRPr="00854261">
        <w:t xml:space="preserve">DUSC </w:t>
      </w:r>
      <w:r w:rsidR="00B37175">
        <w:t>presented</w:t>
      </w:r>
      <w:r w:rsidR="00C410DD" w:rsidRPr="00854261">
        <w:t xml:space="preserve"> revised estimates</w:t>
      </w:r>
      <w:r w:rsidR="00B37175">
        <w:t xml:space="preserve"> to address the double </w:t>
      </w:r>
      <w:r w:rsidR="00B37175" w:rsidRPr="00B37175">
        <w:t>counting,</w:t>
      </w:r>
      <w:r w:rsidR="00DA3FF8">
        <w:t xml:space="preserve"> a</w:t>
      </w:r>
      <w:r w:rsidR="00B37175" w:rsidRPr="00B37175">
        <w:t>nd considered</w:t>
      </w:r>
      <w:r w:rsidR="00B37175">
        <w:t xml:space="preserve"> that</w:t>
      </w:r>
      <w:r w:rsidR="00C410DD" w:rsidRPr="00854261">
        <w:t xml:space="preserve"> a total </w:t>
      </w:r>
      <w:proofErr w:type="gramStart"/>
      <w:r w:rsidR="00C410DD" w:rsidRPr="00854261">
        <w:t>six year</w:t>
      </w:r>
      <w:proofErr w:type="gramEnd"/>
      <w:r w:rsidR="00C410DD" w:rsidRPr="00854261">
        <w:t xml:space="preserve"> cost of </w:t>
      </w:r>
      <w:r w:rsidR="00B572B1">
        <w:t>$300 million to &lt; $400 million</w:t>
      </w:r>
      <w:r w:rsidR="00C410DD" w:rsidRPr="00854261">
        <w:t xml:space="preserve"> rather than </w:t>
      </w:r>
      <w:r w:rsidR="00B572B1">
        <w:t>$600 million to &lt; $700 million</w:t>
      </w:r>
      <w:r w:rsidR="00C410DD" w:rsidRPr="00854261">
        <w:t xml:space="preserve"> would be closer to real world practice.</w:t>
      </w:r>
      <w:r w:rsidR="003A7A0B">
        <w:t xml:space="preserve"> The pre-PBAC response stated that its revised estimates had addressed concerns around double-counting.</w:t>
      </w:r>
    </w:p>
    <w:p w14:paraId="6B17A1FE" w14:textId="2097CA29" w:rsidR="00C410DD" w:rsidRPr="00854261" w:rsidRDefault="00C410DD" w:rsidP="006107F0">
      <w:pPr>
        <w:pStyle w:val="ListParagraph"/>
        <w:numPr>
          <w:ilvl w:val="0"/>
          <w:numId w:val="23"/>
        </w:numPr>
        <w:tabs>
          <w:tab w:val="clear" w:pos="720"/>
        </w:tabs>
        <w:ind w:left="1134" w:hanging="357"/>
      </w:pPr>
      <w:r w:rsidRPr="00854261">
        <w:t xml:space="preserve">DUSC </w:t>
      </w:r>
      <w:r w:rsidR="002966D3">
        <w:t xml:space="preserve">noted that the uptake rate was </w:t>
      </w:r>
      <w:proofErr w:type="gramStart"/>
      <w:r w:rsidR="00164331" w:rsidRPr="005A67B5">
        <w:rPr>
          <w:color w:val="000000"/>
          <w:w w:val="15"/>
          <w:shd w:val="solid" w:color="000000" w:fill="000000"/>
          <w:fitText w:val="-20" w:id="-1436282623"/>
          <w14:textFill>
            <w14:solidFill>
              <w14:srgbClr w14:val="000000">
                <w14:alpha w14:val="100000"/>
              </w14:srgbClr>
            </w14:solidFill>
          </w14:textFill>
        </w:rPr>
        <w:t xml:space="preserve">|  </w:t>
      </w:r>
      <w:r w:rsidR="00164331" w:rsidRPr="005A67B5">
        <w:rPr>
          <w:color w:val="000000"/>
          <w:spacing w:val="-69"/>
          <w:w w:val="15"/>
          <w:shd w:val="solid" w:color="000000" w:fill="000000"/>
          <w:fitText w:val="-20" w:id="-1436282623"/>
          <w14:textFill>
            <w14:solidFill>
              <w14:srgbClr w14:val="000000">
                <w14:alpha w14:val="100000"/>
              </w14:srgbClr>
            </w14:solidFill>
          </w14:textFill>
        </w:rPr>
        <w:t>|</w:t>
      </w:r>
      <w:proofErr w:type="gramEnd"/>
      <w:r w:rsidR="002966D3">
        <w:t xml:space="preserve">% in Year 1 increasing to </w:t>
      </w:r>
      <w:r w:rsidR="00164331" w:rsidRPr="005A67B5">
        <w:rPr>
          <w:color w:val="000000"/>
          <w:w w:val="15"/>
          <w:shd w:val="solid" w:color="000000" w:fill="000000"/>
          <w:fitText w:val="-20" w:id="-1436282622"/>
          <w14:textFill>
            <w14:solidFill>
              <w14:srgbClr w14:val="000000">
                <w14:alpha w14:val="100000"/>
              </w14:srgbClr>
            </w14:solidFill>
          </w14:textFill>
        </w:rPr>
        <w:t xml:space="preserve">|  </w:t>
      </w:r>
      <w:r w:rsidR="00164331" w:rsidRPr="005A67B5">
        <w:rPr>
          <w:color w:val="000000"/>
          <w:spacing w:val="-69"/>
          <w:w w:val="15"/>
          <w:shd w:val="solid" w:color="000000" w:fill="000000"/>
          <w:fitText w:val="-20" w:id="-1436282622"/>
          <w14:textFill>
            <w14:solidFill>
              <w14:srgbClr w14:val="000000">
                <w14:alpha w14:val="100000"/>
              </w14:srgbClr>
            </w14:solidFill>
          </w14:textFill>
        </w:rPr>
        <w:t>|</w:t>
      </w:r>
      <w:r w:rsidR="002966D3">
        <w:t>% b</w:t>
      </w:r>
      <w:r w:rsidR="001C5CA3">
        <w:t>e</w:t>
      </w:r>
      <w:r w:rsidR="002966D3">
        <w:t>yond Year</w:t>
      </w:r>
      <w:r w:rsidR="001C5CA3">
        <w:t> </w:t>
      </w:r>
      <w:r w:rsidR="002966D3">
        <w:t xml:space="preserve">3. DUSC </w:t>
      </w:r>
      <w:r w:rsidRPr="00854261">
        <w:t xml:space="preserve">considered that the static uptake rate </w:t>
      </w:r>
      <w:r w:rsidRPr="00B37175">
        <w:t xml:space="preserve">of </w:t>
      </w:r>
      <w:proofErr w:type="gramStart"/>
      <w:r w:rsidR="00164331" w:rsidRPr="005A67B5">
        <w:rPr>
          <w:color w:val="000000"/>
          <w:w w:val="15"/>
          <w:shd w:val="solid" w:color="000000" w:fill="000000"/>
          <w:fitText w:val="-20" w:id="-1436282621"/>
          <w14:textFill>
            <w14:solidFill>
              <w14:srgbClr w14:val="000000">
                <w14:alpha w14:val="100000"/>
              </w14:srgbClr>
            </w14:solidFill>
          </w14:textFill>
        </w:rPr>
        <w:t xml:space="preserve">|  </w:t>
      </w:r>
      <w:r w:rsidR="00164331" w:rsidRPr="005A67B5">
        <w:rPr>
          <w:color w:val="000000"/>
          <w:spacing w:val="-69"/>
          <w:w w:val="15"/>
          <w:shd w:val="solid" w:color="000000" w:fill="000000"/>
          <w:fitText w:val="-20" w:id="-1436282621"/>
          <w14:textFill>
            <w14:solidFill>
              <w14:srgbClr w14:val="000000">
                <w14:alpha w14:val="100000"/>
              </w14:srgbClr>
            </w14:solidFill>
          </w14:textFill>
        </w:rPr>
        <w:t>|</w:t>
      </w:r>
      <w:proofErr w:type="gramEnd"/>
      <w:r w:rsidRPr="00B37175">
        <w:t>% applied beyond Year 3 was unlikely to occur in practice as clin</w:t>
      </w:r>
      <w:r w:rsidRPr="00854261">
        <w:t>icians are familiar with prescribing monoclonal antibody products especially when treating immune disorders.</w:t>
      </w:r>
      <w:r w:rsidR="00642C69">
        <w:t xml:space="preserve"> The pre-PBAC response increased the uptake rates to </w:t>
      </w:r>
      <w:proofErr w:type="gramStart"/>
      <w:r w:rsidR="00164331" w:rsidRPr="005A67B5">
        <w:rPr>
          <w:color w:val="000000"/>
          <w:w w:val="15"/>
          <w:shd w:val="solid" w:color="000000" w:fill="000000"/>
          <w:fitText w:val="-20" w:id="-1436282620"/>
          <w14:textFill>
            <w14:solidFill>
              <w14:srgbClr w14:val="000000">
                <w14:alpha w14:val="100000"/>
              </w14:srgbClr>
            </w14:solidFill>
          </w14:textFill>
        </w:rPr>
        <w:t xml:space="preserve">|  </w:t>
      </w:r>
      <w:r w:rsidR="00164331" w:rsidRPr="005A67B5">
        <w:rPr>
          <w:color w:val="000000"/>
          <w:spacing w:val="-69"/>
          <w:w w:val="15"/>
          <w:shd w:val="solid" w:color="000000" w:fill="000000"/>
          <w:fitText w:val="-20" w:id="-1436282620"/>
          <w14:textFill>
            <w14:solidFill>
              <w14:srgbClr w14:val="000000">
                <w14:alpha w14:val="100000"/>
              </w14:srgbClr>
            </w14:solidFill>
          </w14:textFill>
        </w:rPr>
        <w:t>|</w:t>
      </w:r>
      <w:proofErr w:type="gramEnd"/>
      <w:r w:rsidR="00642C69">
        <w:t xml:space="preserve">% in Year 1 to </w:t>
      </w:r>
      <w:r w:rsidR="00164331" w:rsidRPr="005A67B5">
        <w:rPr>
          <w:color w:val="000000"/>
          <w:w w:val="15"/>
          <w:shd w:val="solid" w:color="000000" w:fill="000000"/>
          <w:fitText w:val="-20" w:id="-1436282619"/>
          <w14:textFill>
            <w14:solidFill>
              <w14:srgbClr w14:val="000000">
                <w14:alpha w14:val="100000"/>
              </w14:srgbClr>
            </w14:solidFill>
          </w14:textFill>
        </w:rPr>
        <w:t xml:space="preserve">|  </w:t>
      </w:r>
      <w:r w:rsidR="00164331" w:rsidRPr="005A67B5">
        <w:rPr>
          <w:color w:val="000000"/>
          <w:spacing w:val="-69"/>
          <w:w w:val="15"/>
          <w:shd w:val="solid" w:color="000000" w:fill="000000"/>
          <w:fitText w:val="-20" w:id="-1436282619"/>
          <w14:textFill>
            <w14:solidFill>
              <w14:srgbClr w14:val="000000">
                <w14:alpha w14:val="100000"/>
              </w14:srgbClr>
            </w14:solidFill>
          </w14:textFill>
        </w:rPr>
        <w:t>|</w:t>
      </w:r>
      <w:r w:rsidR="00642C69">
        <w:t xml:space="preserve">% in Year 6. </w:t>
      </w:r>
    </w:p>
    <w:p w14:paraId="73E1ED55" w14:textId="7F63A53A" w:rsidR="00642C69" w:rsidRPr="00642C69" w:rsidRDefault="00642C69" w:rsidP="00642C69">
      <w:pPr>
        <w:pStyle w:val="3-BodyText"/>
      </w:pPr>
      <w:r w:rsidRPr="00642C69">
        <w:t xml:space="preserve">The evaluation </w:t>
      </w:r>
      <w:r>
        <w:t>noted the following additional issues with the financial estimates</w:t>
      </w:r>
      <w:r w:rsidRPr="00642C69">
        <w:t>:</w:t>
      </w:r>
    </w:p>
    <w:p w14:paraId="104E04E8" w14:textId="1653CB72" w:rsidR="00642C69" w:rsidRPr="00642C69" w:rsidRDefault="00642C69" w:rsidP="006107F0">
      <w:pPr>
        <w:pStyle w:val="ListParagraph"/>
        <w:numPr>
          <w:ilvl w:val="0"/>
          <w:numId w:val="23"/>
        </w:numPr>
        <w:tabs>
          <w:tab w:val="clear" w:pos="720"/>
        </w:tabs>
        <w:ind w:left="1134" w:hanging="357"/>
      </w:pPr>
      <w:r w:rsidRPr="00642C69">
        <w:t>The SLE population was estimated to be larger than previous estimates (94.33 per 100,000 compared to 65.26 per 100,000 presented in the belimumab submission, para 6.62, belimumab PSD, November 2019 PBAC meeting).</w:t>
      </w:r>
      <w:r w:rsidR="003A7A0B">
        <w:t xml:space="preserve"> However, </w:t>
      </w:r>
      <w:r w:rsidR="003A7A0B" w:rsidRPr="003A7A0B">
        <w:t xml:space="preserve">DUSC considered that it was likely that the prevalence of SLE in Australia had grown over </w:t>
      </w:r>
      <w:r w:rsidR="003A7A0B" w:rsidRPr="003A7A0B">
        <w:lastRenderedPageBreak/>
        <w:t xml:space="preserve">time particularly due to the growth of sub-populations with predispositions towards SLE. DUSC </w:t>
      </w:r>
      <w:r w:rsidR="003A7A0B">
        <w:t>consider</w:t>
      </w:r>
      <w:r w:rsidR="003A7A0B" w:rsidRPr="003A7A0B">
        <w:t xml:space="preserve">ed that the estimated prevalence proposed in this submission was more appropriate than the belimumab submission given the paucity of current data. </w:t>
      </w:r>
    </w:p>
    <w:p w14:paraId="33370340" w14:textId="77777777" w:rsidR="00642C69" w:rsidRPr="00642C69" w:rsidRDefault="00642C69" w:rsidP="006107F0">
      <w:pPr>
        <w:pStyle w:val="ListParagraph"/>
        <w:numPr>
          <w:ilvl w:val="0"/>
          <w:numId w:val="23"/>
        </w:numPr>
        <w:tabs>
          <w:tab w:val="clear" w:pos="720"/>
        </w:tabs>
        <w:ind w:left="1134" w:hanging="357"/>
      </w:pPr>
      <w:r w:rsidRPr="00642C69">
        <w:t xml:space="preserve">The estimates did not account for patient mortality, which may overestimate the length of time on treatment. </w:t>
      </w:r>
    </w:p>
    <w:p w14:paraId="60848564" w14:textId="77777777" w:rsidR="00642C69" w:rsidRPr="00642C69" w:rsidRDefault="00642C69" w:rsidP="006107F0">
      <w:pPr>
        <w:pStyle w:val="ListParagraph"/>
        <w:numPr>
          <w:ilvl w:val="0"/>
          <w:numId w:val="23"/>
        </w:numPr>
        <w:tabs>
          <w:tab w:val="clear" w:pos="720"/>
        </w:tabs>
        <w:ind w:left="1134" w:hanging="357"/>
      </w:pPr>
      <w:r w:rsidRPr="00642C69">
        <w:t>The estimates assumed all patients who responded at 6 months would receive a further 6 months of treatment, but in the economic model this only applied to 92.4% of the patients.</w:t>
      </w:r>
    </w:p>
    <w:p w14:paraId="277D838C" w14:textId="6C089B53" w:rsidR="00A52C32" w:rsidRDefault="00F55FF5" w:rsidP="009D1A8F">
      <w:pPr>
        <w:pStyle w:val="3-BodyText"/>
      </w:pPr>
      <w:r>
        <w:t xml:space="preserve">The pre-PBAC response provided revised financial estimates, incorporating revised financial inputs </w:t>
      </w:r>
      <w:r w:rsidR="008E3BCD">
        <w:t>and a</w:t>
      </w:r>
      <w:r w:rsidR="00014CB5">
        <w:t>n</w:t>
      </w:r>
      <w:r w:rsidRPr="00F55FF5">
        <w:t xml:space="preserve"> effective </w:t>
      </w:r>
      <w:r w:rsidR="00014CB5">
        <w:t>DPMQ</w:t>
      </w:r>
      <w:r w:rsidRPr="00F55FF5">
        <w:t xml:space="preserve"> of $</w:t>
      </w:r>
      <w:proofErr w:type="gramStart"/>
      <w:r w:rsidR="00164331" w:rsidRPr="005A67B5">
        <w:rPr>
          <w:color w:val="000000"/>
          <w:w w:val="15"/>
          <w:shd w:val="solid" w:color="000000" w:fill="000000"/>
          <w:fitText w:val="-20" w:id="-1436282618"/>
          <w14:textFill>
            <w14:solidFill>
              <w14:srgbClr w14:val="000000">
                <w14:alpha w14:val="100000"/>
              </w14:srgbClr>
            </w14:solidFill>
          </w14:textFill>
        </w:rPr>
        <w:t xml:space="preserve">|  </w:t>
      </w:r>
      <w:r w:rsidR="00164331" w:rsidRPr="005A67B5">
        <w:rPr>
          <w:color w:val="000000"/>
          <w:spacing w:val="-69"/>
          <w:w w:val="15"/>
          <w:shd w:val="solid" w:color="000000" w:fill="000000"/>
          <w:fitText w:val="-20" w:id="-1436282618"/>
          <w14:textFill>
            <w14:solidFill>
              <w14:srgbClr w14:val="000000">
                <w14:alpha w14:val="100000"/>
              </w14:srgbClr>
            </w14:solidFill>
          </w14:textFill>
        </w:rPr>
        <w:t>|</w:t>
      </w:r>
      <w:proofErr w:type="gramEnd"/>
      <w:r w:rsidR="00014CB5" w:rsidRPr="001C5CA3">
        <w:t xml:space="preserve"> (paragraph</w:t>
      </w:r>
      <w:r w:rsidR="001C5CA3" w:rsidRPr="001C5CA3">
        <w:t xml:space="preserve"> </w:t>
      </w:r>
      <w:r w:rsidR="001C5CA3" w:rsidRPr="001C5CA3">
        <w:fldChar w:fldCharType="begin"/>
      </w:r>
      <w:r w:rsidR="001C5CA3" w:rsidRPr="001C5CA3">
        <w:instrText xml:space="preserve"> REF _Ref109840884 \r \h </w:instrText>
      </w:r>
      <w:r w:rsidR="001C5CA3">
        <w:instrText xml:space="preserve"> \* MERGEFORMAT </w:instrText>
      </w:r>
      <w:r w:rsidR="001C5CA3" w:rsidRPr="001C5CA3">
        <w:fldChar w:fldCharType="separate"/>
      </w:r>
      <w:r w:rsidR="00942C22">
        <w:t>6.54</w:t>
      </w:r>
      <w:r w:rsidR="001C5CA3" w:rsidRPr="001C5CA3">
        <w:fldChar w:fldCharType="end"/>
      </w:r>
      <w:r w:rsidR="00014CB5">
        <w:t>)</w:t>
      </w:r>
      <w:r w:rsidR="008E3BCD">
        <w:t>.</w:t>
      </w:r>
      <w:r w:rsidRPr="00F55FF5">
        <w:t xml:space="preserve"> </w:t>
      </w:r>
      <w:r w:rsidR="008E3BCD">
        <w:t xml:space="preserve">The revised financial inputs assumed the </w:t>
      </w:r>
      <w:r w:rsidR="00924D77">
        <w:t>proportion of</w:t>
      </w:r>
      <w:r w:rsidR="008E3BCD">
        <w:t xml:space="preserve"> eligible patients </w:t>
      </w:r>
      <w:r w:rsidR="00924D77">
        <w:t>would</w:t>
      </w:r>
      <w:r w:rsidR="008E3BCD">
        <w:t xml:space="preserve"> be 15.83% (revised down from 32.12%) and the prevalent population</w:t>
      </w:r>
      <w:r w:rsidR="00014CB5">
        <w:t xml:space="preserve"> was adjusted</w:t>
      </w:r>
      <w:r w:rsidR="008E3BCD">
        <w:t xml:space="preserve"> to avoid double counting. In addition, the uptake rate</w:t>
      </w:r>
      <w:r w:rsidR="00924D77">
        <w:t>s</w:t>
      </w:r>
      <w:r w:rsidR="008E3BCD">
        <w:t xml:space="preserve"> w</w:t>
      </w:r>
      <w:r w:rsidR="00924D77">
        <w:t>ere</w:t>
      </w:r>
      <w:r w:rsidR="008E3BCD">
        <w:t xml:space="preserve"> increased from </w:t>
      </w:r>
      <w:proofErr w:type="gramStart"/>
      <w:r w:rsidR="00164331" w:rsidRPr="005A67B5">
        <w:rPr>
          <w:color w:val="000000"/>
          <w:w w:val="15"/>
          <w:shd w:val="solid" w:color="000000" w:fill="000000"/>
          <w:fitText w:val="-20" w:id="-1436282617"/>
          <w14:textFill>
            <w14:solidFill>
              <w14:srgbClr w14:val="000000">
                <w14:alpha w14:val="100000"/>
              </w14:srgbClr>
            </w14:solidFill>
          </w14:textFill>
        </w:rPr>
        <w:t xml:space="preserve">|  </w:t>
      </w:r>
      <w:r w:rsidR="00164331" w:rsidRPr="005A67B5">
        <w:rPr>
          <w:color w:val="000000"/>
          <w:spacing w:val="-69"/>
          <w:w w:val="15"/>
          <w:shd w:val="solid" w:color="000000" w:fill="000000"/>
          <w:fitText w:val="-20" w:id="-1436282617"/>
          <w14:textFill>
            <w14:solidFill>
              <w14:srgbClr w14:val="000000">
                <w14:alpha w14:val="100000"/>
              </w14:srgbClr>
            </w14:solidFill>
          </w14:textFill>
        </w:rPr>
        <w:t>|</w:t>
      </w:r>
      <w:proofErr w:type="gramEnd"/>
      <w:r w:rsidR="008E3BCD">
        <w:t>%–</w:t>
      </w:r>
      <w:r w:rsidR="00164331" w:rsidRPr="005A67B5">
        <w:rPr>
          <w:color w:val="000000"/>
          <w:w w:val="15"/>
          <w:shd w:val="solid" w:color="000000" w:fill="000000"/>
          <w:fitText w:val="-20" w:id="-1436282616"/>
          <w14:textFill>
            <w14:solidFill>
              <w14:srgbClr w14:val="000000">
                <w14:alpha w14:val="100000"/>
              </w14:srgbClr>
            </w14:solidFill>
          </w14:textFill>
        </w:rPr>
        <w:t xml:space="preserve">|  </w:t>
      </w:r>
      <w:r w:rsidR="00164331" w:rsidRPr="005A67B5">
        <w:rPr>
          <w:color w:val="000000"/>
          <w:spacing w:val="-69"/>
          <w:w w:val="15"/>
          <w:shd w:val="solid" w:color="000000" w:fill="000000"/>
          <w:fitText w:val="-20" w:id="-1436282616"/>
          <w14:textFill>
            <w14:solidFill>
              <w14:srgbClr w14:val="000000">
                <w14:alpha w14:val="100000"/>
              </w14:srgbClr>
            </w14:solidFill>
          </w14:textFill>
        </w:rPr>
        <w:t>|</w:t>
      </w:r>
      <w:r w:rsidR="008E3BCD">
        <w:t xml:space="preserve">% (Years 1 to 6, respectively) to </w:t>
      </w:r>
      <w:r w:rsidR="00164331" w:rsidRPr="005A67B5">
        <w:rPr>
          <w:color w:val="000000"/>
          <w:w w:val="15"/>
          <w:shd w:val="solid" w:color="000000" w:fill="000000"/>
          <w:fitText w:val="-20" w:id="-1436282615"/>
          <w14:textFill>
            <w14:solidFill>
              <w14:srgbClr w14:val="000000">
                <w14:alpha w14:val="100000"/>
              </w14:srgbClr>
            </w14:solidFill>
          </w14:textFill>
        </w:rPr>
        <w:t xml:space="preserve">|  </w:t>
      </w:r>
      <w:r w:rsidR="00164331" w:rsidRPr="005A67B5">
        <w:rPr>
          <w:color w:val="000000"/>
          <w:spacing w:val="-69"/>
          <w:w w:val="15"/>
          <w:shd w:val="solid" w:color="000000" w:fill="000000"/>
          <w:fitText w:val="-20" w:id="-1436282615"/>
          <w14:textFill>
            <w14:solidFill>
              <w14:srgbClr w14:val="000000">
                <w14:alpha w14:val="100000"/>
              </w14:srgbClr>
            </w14:solidFill>
          </w14:textFill>
        </w:rPr>
        <w:t>|</w:t>
      </w:r>
      <w:r w:rsidR="008E3BCD">
        <w:t>%–</w:t>
      </w:r>
      <w:r w:rsidR="00164331" w:rsidRPr="005A67B5">
        <w:rPr>
          <w:color w:val="000000"/>
          <w:w w:val="15"/>
          <w:shd w:val="solid" w:color="000000" w:fill="000000"/>
          <w:fitText w:val="-20" w:id="-1436282614"/>
          <w14:textFill>
            <w14:solidFill>
              <w14:srgbClr w14:val="000000">
                <w14:alpha w14:val="100000"/>
              </w14:srgbClr>
            </w14:solidFill>
          </w14:textFill>
        </w:rPr>
        <w:t xml:space="preserve">|  </w:t>
      </w:r>
      <w:r w:rsidR="00164331" w:rsidRPr="005A67B5">
        <w:rPr>
          <w:color w:val="000000"/>
          <w:spacing w:val="-69"/>
          <w:w w:val="15"/>
          <w:shd w:val="solid" w:color="000000" w:fill="000000"/>
          <w:fitText w:val="-20" w:id="-1436282614"/>
          <w14:textFill>
            <w14:solidFill>
              <w14:srgbClr w14:val="000000">
                <w14:alpha w14:val="100000"/>
              </w14:srgbClr>
            </w14:solidFill>
          </w14:textFill>
        </w:rPr>
        <w:t>|</w:t>
      </w:r>
      <w:r w:rsidR="008E3BCD">
        <w:t>%.</w:t>
      </w:r>
      <w:r w:rsidR="00966DD8">
        <w:t xml:space="preserve"> </w:t>
      </w:r>
      <w:r w:rsidR="00A52C32">
        <w:t xml:space="preserve">The pre-PBAC response also included </w:t>
      </w:r>
      <w:proofErr w:type="gramStart"/>
      <w:r w:rsidR="00164331" w:rsidRPr="005A67B5">
        <w:rPr>
          <w:color w:val="000000"/>
          <w:w w:val="15"/>
          <w:shd w:val="solid" w:color="000000" w:fill="000000"/>
          <w:fitText w:val="-20" w:id="-1436282613"/>
          <w14:textFill>
            <w14:solidFill>
              <w14:srgbClr w14:val="000000">
                <w14:alpha w14:val="100000"/>
              </w14:srgbClr>
            </w14:solidFill>
          </w14:textFill>
        </w:rPr>
        <w:t xml:space="preserve">|  </w:t>
      </w:r>
      <w:r w:rsidR="00164331" w:rsidRPr="005A67B5">
        <w:rPr>
          <w:color w:val="000000"/>
          <w:spacing w:val="-69"/>
          <w:w w:val="15"/>
          <w:shd w:val="solid" w:color="000000" w:fill="000000"/>
          <w:fitText w:val="-20" w:id="-1436282613"/>
          <w14:textFill>
            <w14:solidFill>
              <w14:srgbClr w14:val="000000">
                <w14:alpha w14:val="100000"/>
              </w14:srgbClr>
            </w14:solidFill>
          </w14:textFill>
        </w:rPr>
        <w:t>|</w:t>
      </w:r>
      <w:proofErr w:type="gramEnd"/>
      <w:r w:rsidR="00A52C32">
        <w:t xml:space="preserve"> grandfather patient</w:t>
      </w:r>
      <w:r w:rsidR="003A7A0B">
        <w:t xml:space="preserve">s. These patients were added onto the prevalent population, which would lead to </w:t>
      </w:r>
      <w:proofErr w:type="gramStart"/>
      <w:r w:rsidR="003A7A0B">
        <w:t>double-counting</w:t>
      </w:r>
      <w:proofErr w:type="gramEnd"/>
      <w:r w:rsidR="003A7A0B">
        <w:t xml:space="preserve"> as these patients would already be included in the prevalence approach used.</w:t>
      </w:r>
    </w:p>
    <w:p w14:paraId="41BA3ECF" w14:textId="16BE08BA" w:rsidR="000D2C16" w:rsidRPr="0049552D" w:rsidRDefault="000D2C16" w:rsidP="006812E9">
      <w:pPr>
        <w:pStyle w:val="4-SubsectionHeading"/>
        <w:keepNext w:val="0"/>
      </w:pPr>
      <w:bookmarkStart w:id="81" w:name="_Toc102831370"/>
      <w:bookmarkStart w:id="82" w:name="_Toc103015541"/>
      <w:r w:rsidRPr="0049552D">
        <w:t>Quality Use of Medicines</w:t>
      </w:r>
      <w:bookmarkEnd w:id="81"/>
      <w:bookmarkEnd w:id="82"/>
    </w:p>
    <w:p w14:paraId="58C8B16F" w14:textId="04BF611D" w:rsidR="000D2C16" w:rsidRPr="0049552D" w:rsidRDefault="000D2C16" w:rsidP="009D1A8F">
      <w:pPr>
        <w:pStyle w:val="3-BodyText"/>
      </w:pPr>
      <w:r>
        <w:t xml:space="preserve">The submission indicated that </w:t>
      </w:r>
      <w:r w:rsidRPr="0049552D">
        <w:t>several post marketing surveillance studies were planned in EU and US</w:t>
      </w:r>
      <w:r>
        <w:t>, however results were not available at the time of evaluation.</w:t>
      </w:r>
      <w:r w:rsidR="00BB0A32">
        <w:t xml:space="preserve"> </w:t>
      </w:r>
      <w:r>
        <w:t xml:space="preserve">The sponsor </w:t>
      </w:r>
      <w:r w:rsidR="00BB0A32">
        <w:t xml:space="preserve">stated that it </w:t>
      </w:r>
      <w:r>
        <w:t xml:space="preserve">plans to provide </w:t>
      </w:r>
      <w:r w:rsidRPr="0049552D">
        <w:t>educational materials to patients and healthcare professionals including a website and text message reminders for infusions.</w:t>
      </w:r>
    </w:p>
    <w:p w14:paraId="264BDE85" w14:textId="2AF51F2F" w:rsidR="000D2C16" w:rsidRPr="007A1ABC" w:rsidRDefault="000D2C16" w:rsidP="006812E9">
      <w:pPr>
        <w:pStyle w:val="4-SubsectionHeading"/>
        <w:keepNext w:val="0"/>
      </w:pPr>
      <w:r w:rsidRPr="007A1ABC">
        <w:t>Risk-sharing arrangements</w:t>
      </w:r>
    </w:p>
    <w:p w14:paraId="5C974950" w14:textId="48E7EDC2" w:rsidR="00241B2E" w:rsidRDefault="002C614B" w:rsidP="0011034F">
      <w:pPr>
        <w:pStyle w:val="3-BodyText"/>
        <w:rPr>
          <w:iCs/>
        </w:rPr>
      </w:pPr>
      <w:r w:rsidRPr="00B86F70">
        <w:rPr>
          <w:iCs/>
        </w:rPr>
        <w:t xml:space="preserve">The submission did not propose a risk sharing arrangement (RSA) for </w:t>
      </w:r>
      <w:proofErr w:type="spellStart"/>
      <w:r w:rsidRPr="00B86F70">
        <w:rPr>
          <w:iCs/>
        </w:rPr>
        <w:t>anifrolumab</w:t>
      </w:r>
      <w:proofErr w:type="spellEnd"/>
      <w:r w:rsidRPr="00B86F70">
        <w:rPr>
          <w:iCs/>
        </w:rPr>
        <w:t xml:space="preserve">. In its consideration of belimumab, the PBAC had previously considered there was a high risk of use outside the restriction and that a RSA with a rebate above the cap would be required given the </w:t>
      </w:r>
      <w:bookmarkStart w:id="83" w:name="_Hlk110332169"/>
      <w:r w:rsidRPr="00B86F70">
        <w:rPr>
          <w:iCs/>
        </w:rPr>
        <w:t>uncertain size of the patient population, uncertain treatment duration</w:t>
      </w:r>
      <w:bookmarkEnd w:id="83"/>
      <w:r w:rsidRPr="00B86F70">
        <w:rPr>
          <w:iCs/>
        </w:rPr>
        <w:t xml:space="preserve"> and potential leakage (paragraph 7.11, belimumab PSD July 2020 PBAC meeting).</w:t>
      </w:r>
      <w:r w:rsidR="00241B2E" w:rsidRPr="00603AFC">
        <w:rPr>
          <w:iCs/>
        </w:rPr>
        <w:t xml:space="preserve"> </w:t>
      </w:r>
    </w:p>
    <w:p w14:paraId="049914E8" w14:textId="5515C86E" w:rsidR="009225AB" w:rsidRPr="00603AFC" w:rsidRDefault="009225AB" w:rsidP="009225AB">
      <w:pPr>
        <w:pStyle w:val="3-BodyText"/>
        <w:numPr>
          <w:ilvl w:val="0"/>
          <w:numId w:val="0"/>
        </w:numPr>
        <w:ind w:left="720"/>
        <w:rPr>
          <w:iCs/>
        </w:rPr>
      </w:pPr>
      <w:r w:rsidRPr="00C33D30">
        <w:rPr>
          <w:i/>
        </w:rPr>
        <w:t>For more detail on PBAC’s view, see section 7 PBAC outcome.</w:t>
      </w:r>
    </w:p>
    <w:p w14:paraId="5290A90D" w14:textId="2397485D" w:rsidR="00854261" w:rsidRPr="0090150D" w:rsidRDefault="00854261" w:rsidP="00854261">
      <w:pPr>
        <w:pStyle w:val="2-SectionHeading"/>
        <w:numPr>
          <w:ilvl w:val="0"/>
          <w:numId w:val="1"/>
        </w:numPr>
        <w:outlineLvl w:val="1"/>
      </w:pPr>
      <w:bookmarkStart w:id="84" w:name="_Hlk76381249"/>
      <w:bookmarkStart w:id="85" w:name="_Hlk76377955"/>
      <w:bookmarkStart w:id="86" w:name="_Toc100422508"/>
      <w:r w:rsidRPr="0090150D">
        <w:t>PBAC Outcome</w:t>
      </w:r>
    </w:p>
    <w:p w14:paraId="6789DDA4" w14:textId="1844D6BF" w:rsidR="00854261" w:rsidRPr="000C6734" w:rsidRDefault="000C6734" w:rsidP="000C6734">
      <w:pPr>
        <w:widowControl w:val="0"/>
        <w:numPr>
          <w:ilvl w:val="1"/>
          <w:numId w:val="1"/>
        </w:numPr>
        <w:spacing w:after="120"/>
        <w:rPr>
          <w:rFonts w:asciiTheme="minorHAnsi" w:hAnsiTheme="minorHAnsi"/>
          <w:snapToGrid w:val="0"/>
          <w:lang w:val="en-GB"/>
        </w:rPr>
      </w:pPr>
      <w:r w:rsidRPr="00CE42B4">
        <w:rPr>
          <w:rFonts w:asciiTheme="minorHAnsi" w:hAnsiTheme="minorHAnsi"/>
          <w:snapToGrid w:val="0"/>
          <w:lang w:val="en-GB"/>
        </w:rPr>
        <w:t>The PBAC did not recommend</w:t>
      </w:r>
      <w:r>
        <w:rPr>
          <w:rFonts w:asciiTheme="minorHAnsi" w:hAnsiTheme="minorHAnsi"/>
          <w:snapToGrid w:val="0"/>
          <w:lang w:val="en-GB"/>
        </w:rPr>
        <w:t xml:space="preserve"> </w:t>
      </w:r>
      <w:proofErr w:type="spellStart"/>
      <w:r>
        <w:rPr>
          <w:rFonts w:asciiTheme="minorHAnsi" w:hAnsiTheme="minorHAnsi"/>
          <w:snapToGrid w:val="0"/>
          <w:lang w:val="en-GB"/>
        </w:rPr>
        <w:t>anifrolumab</w:t>
      </w:r>
      <w:proofErr w:type="spellEnd"/>
      <w:r>
        <w:rPr>
          <w:rFonts w:asciiTheme="minorHAnsi" w:hAnsiTheme="minorHAnsi"/>
          <w:snapToGrid w:val="0"/>
          <w:lang w:val="en-GB"/>
        </w:rPr>
        <w:t xml:space="preserve"> </w:t>
      </w:r>
      <w:r>
        <w:t>for the treatment of patients with severe systemic lupus erythematosus (SLE) with high disease activity despite standard of care (SOC). The PBAC acknowledged there is a clinical need in the requested patient population</w:t>
      </w:r>
      <w:r w:rsidR="001275DF">
        <w:t xml:space="preserve">, but </w:t>
      </w:r>
      <w:r>
        <w:t>considered the magnitude of benefit was modest</w:t>
      </w:r>
      <w:r w:rsidR="001C5CA3">
        <w:t xml:space="preserve"> </w:t>
      </w:r>
      <w:r w:rsidR="00D62746">
        <w:t xml:space="preserve">and uncertain, </w:t>
      </w:r>
      <w:r w:rsidR="00D62799">
        <w:t>and</w:t>
      </w:r>
      <w:r>
        <w:t xml:space="preserve"> the ICER was </w:t>
      </w:r>
      <w:r w:rsidR="00D62746">
        <w:t>underestimated and highly uncertain</w:t>
      </w:r>
      <w:r>
        <w:t xml:space="preserve">. The PBAC considered that a revised economic model, along with a price reduction, would be required to achieve </w:t>
      </w:r>
      <w:r w:rsidR="00605A67">
        <w:lastRenderedPageBreak/>
        <w:t>acceptable incremental</w:t>
      </w:r>
      <w:r>
        <w:t xml:space="preserve"> cost-effective</w:t>
      </w:r>
      <w:r w:rsidR="00605A67">
        <w:t>ness</w:t>
      </w:r>
      <w:r>
        <w:t>.</w:t>
      </w:r>
    </w:p>
    <w:p w14:paraId="2F08DD4E" w14:textId="1530C37B" w:rsidR="00854261" w:rsidRPr="00CE42B4" w:rsidRDefault="000C6734" w:rsidP="00854261">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BA4E11">
        <w:rPr>
          <w:rFonts w:asciiTheme="minorHAnsi" w:hAnsiTheme="minorHAnsi"/>
          <w:snapToGrid w:val="0"/>
          <w:lang w:val="en-GB"/>
        </w:rPr>
        <w:t>accepted</w:t>
      </w:r>
      <w:r>
        <w:rPr>
          <w:rFonts w:asciiTheme="minorHAnsi" w:hAnsiTheme="minorHAnsi"/>
          <w:snapToGrid w:val="0"/>
          <w:lang w:val="en-GB"/>
        </w:rPr>
        <w:t xml:space="preserve"> that the</w:t>
      </w:r>
      <w:r w:rsidR="001C5CA3">
        <w:rPr>
          <w:rFonts w:asciiTheme="minorHAnsi" w:hAnsiTheme="minorHAnsi"/>
          <w:snapToGrid w:val="0"/>
          <w:lang w:val="en-GB"/>
        </w:rPr>
        <w:t>re is a</w:t>
      </w:r>
      <w:r>
        <w:rPr>
          <w:rFonts w:asciiTheme="minorHAnsi" w:hAnsiTheme="minorHAnsi"/>
          <w:snapToGrid w:val="0"/>
          <w:lang w:val="en-GB"/>
        </w:rPr>
        <w:t xml:space="preserve"> clinical need</w:t>
      </w:r>
      <w:r w:rsidR="00BA4E11">
        <w:rPr>
          <w:rFonts w:asciiTheme="minorHAnsi" w:hAnsiTheme="minorHAnsi"/>
          <w:snapToGrid w:val="0"/>
          <w:lang w:val="en-GB"/>
        </w:rPr>
        <w:t xml:space="preserve"> for </w:t>
      </w:r>
      <w:r w:rsidR="001C5CA3">
        <w:rPr>
          <w:rFonts w:asciiTheme="minorHAnsi" w:hAnsiTheme="minorHAnsi"/>
          <w:snapToGrid w:val="0"/>
          <w:lang w:val="en-GB"/>
        </w:rPr>
        <w:t xml:space="preserve">effective </w:t>
      </w:r>
      <w:r w:rsidR="00BA4E11">
        <w:rPr>
          <w:rFonts w:asciiTheme="minorHAnsi" w:hAnsiTheme="minorHAnsi"/>
          <w:snapToGrid w:val="0"/>
          <w:lang w:val="en-GB"/>
        </w:rPr>
        <w:t>treatment</w:t>
      </w:r>
      <w:r w:rsidR="001C5CA3">
        <w:rPr>
          <w:rFonts w:asciiTheme="minorHAnsi" w:hAnsiTheme="minorHAnsi"/>
          <w:snapToGrid w:val="0"/>
          <w:lang w:val="en-GB"/>
        </w:rPr>
        <w:t>s</w:t>
      </w:r>
      <w:r w:rsidR="00BA4E11">
        <w:rPr>
          <w:rFonts w:asciiTheme="minorHAnsi" w:hAnsiTheme="minorHAnsi"/>
          <w:snapToGrid w:val="0"/>
          <w:lang w:val="en-GB"/>
        </w:rPr>
        <w:t xml:space="preserve"> </w:t>
      </w:r>
      <w:r w:rsidR="00567A42">
        <w:rPr>
          <w:rFonts w:asciiTheme="minorHAnsi" w:hAnsiTheme="minorHAnsi"/>
          <w:snapToGrid w:val="0"/>
          <w:lang w:val="en-GB"/>
        </w:rPr>
        <w:t>in</w:t>
      </w:r>
      <w:r>
        <w:rPr>
          <w:rFonts w:asciiTheme="minorHAnsi" w:hAnsiTheme="minorHAnsi"/>
          <w:snapToGrid w:val="0"/>
          <w:lang w:val="en-GB"/>
        </w:rPr>
        <w:t xml:space="preserve"> </w:t>
      </w:r>
      <w:r w:rsidR="00B272E2">
        <w:rPr>
          <w:rFonts w:asciiTheme="minorHAnsi" w:hAnsiTheme="minorHAnsi"/>
          <w:snapToGrid w:val="0"/>
          <w:lang w:val="en-GB"/>
        </w:rPr>
        <w:t>the requested population</w:t>
      </w:r>
      <w:r w:rsidR="00567A42" w:rsidRPr="00DE06B4">
        <w:t>.</w:t>
      </w:r>
      <w:r w:rsidR="00567A42">
        <w:t xml:space="preserve"> </w:t>
      </w:r>
      <w:r w:rsidR="00D62799">
        <w:t xml:space="preserve">However, the Committee </w:t>
      </w:r>
      <w:r w:rsidR="00567A42">
        <w:t xml:space="preserve">noted that the approved TGA indication for </w:t>
      </w:r>
      <w:proofErr w:type="spellStart"/>
      <w:r w:rsidR="00567A42">
        <w:t>anifrolumab</w:t>
      </w:r>
      <w:proofErr w:type="spellEnd"/>
      <w:r w:rsidR="00567A42">
        <w:t xml:space="preserve"> </w:t>
      </w:r>
      <w:r w:rsidR="00E304D0">
        <w:t>ex</w:t>
      </w:r>
      <w:r w:rsidR="00F41DD3">
        <w:t>c</w:t>
      </w:r>
      <w:r w:rsidR="00567A42">
        <w:t>lude</w:t>
      </w:r>
      <w:r w:rsidR="00F41DD3">
        <w:t>d</w:t>
      </w:r>
      <w:r w:rsidR="00567A42">
        <w:t xml:space="preserve"> </w:t>
      </w:r>
      <w:r w:rsidR="00F41DD3">
        <w:t xml:space="preserve">two groups </w:t>
      </w:r>
      <w:r w:rsidR="001275DF">
        <w:t>with</w:t>
      </w:r>
      <w:r w:rsidR="00F41DD3">
        <w:t xml:space="preserve"> a </w:t>
      </w:r>
      <w:r w:rsidR="00F41DD3">
        <w:rPr>
          <w:iCs/>
        </w:rPr>
        <w:t>particularly high clinical need:</w:t>
      </w:r>
      <w:r w:rsidR="00F41DD3">
        <w:t xml:space="preserve"> </w:t>
      </w:r>
      <w:r w:rsidR="00567A42">
        <w:t xml:space="preserve">patients with </w:t>
      </w:r>
      <w:r w:rsidR="00567A42" w:rsidRPr="00224C2E">
        <w:rPr>
          <w:iCs/>
        </w:rPr>
        <w:t>severe active lupus nephritis</w:t>
      </w:r>
      <w:r w:rsidR="00BA0F5D">
        <w:rPr>
          <w:iCs/>
        </w:rPr>
        <w:t>; and those with</w:t>
      </w:r>
      <w:r w:rsidR="00567A42" w:rsidRPr="00224C2E">
        <w:rPr>
          <w:iCs/>
        </w:rPr>
        <w:t xml:space="preserve"> severe active central nervous system lupus</w:t>
      </w:r>
      <w:r w:rsidR="00567A42">
        <w:rPr>
          <w:iCs/>
        </w:rPr>
        <w:t>.</w:t>
      </w:r>
    </w:p>
    <w:p w14:paraId="2756DCA9" w14:textId="6C98B2AD" w:rsidR="009A2512" w:rsidRPr="00BA4E11" w:rsidRDefault="000173CA" w:rsidP="00BA4E11">
      <w:pPr>
        <w:widowControl w:val="0"/>
        <w:numPr>
          <w:ilvl w:val="1"/>
          <w:numId w:val="1"/>
        </w:numPr>
        <w:spacing w:after="120"/>
        <w:rPr>
          <w:rFonts w:asciiTheme="minorHAnsi" w:hAnsiTheme="minorHAnsi"/>
          <w:snapToGrid w:val="0"/>
          <w:lang w:val="en-GB"/>
        </w:rPr>
      </w:pPr>
      <w:r w:rsidRPr="000173CA">
        <w:t xml:space="preserve">The PBAC considered that </w:t>
      </w:r>
      <w:r w:rsidR="001275DF">
        <w:t xml:space="preserve">the proposed clinical place for </w:t>
      </w:r>
      <w:proofErr w:type="spellStart"/>
      <w:r w:rsidR="001275DF">
        <w:t>anifrolumab</w:t>
      </w:r>
      <w:proofErr w:type="spellEnd"/>
      <w:r w:rsidR="001275DF">
        <w:t>, which was in</w:t>
      </w:r>
      <w:r w:rsidRPr="000173CA">
        <w:t xml:space="preserve"> patients</w:t>
      </w:r>
      <w:r>
        <w:t xml:space="preserve"> with persistent disease activity despite receiving SOC</w:t>
      </w:r>
      <w:r w:rsidR="001275DF">
        <w:t>,</w:t>
      </w:r>
      <w:r w:rsidRPr="000173CA">
        <w:t xml:space="preserve"> </w:t>
      </w:r>
      <w:r w:rsidR="001275DF">
        <w:t>was appropriate</w:t>
      </w:r>
      <w:r w:rsidRPr="000173CA">
        <w:t>.</w:t>
      </w:r>
      <w:r w:rsidRPr="000173CA">
        <w:rPr>
          <w:rFonts w:asciiTheme="minorHAnsi" w:hAnsiTheme="minorHAnsi"/>
          <w:snapToGrid w:val="0"/>
          <w:lang w:val="en-GB"/>
        </w:rPr>
        <w:t xml:space="preserve"> </w:t>
      </w:r>
      <w:r w:rsidR="007D34E0">
        <w:rPr>
          <w:rFonts w:asciiTheme="minorHAnsi" w:hAnsiTheme="minorHAnsi"/>
          <w:snapToGrid w:val="0"/>
          <w:lang w:val="en-GB"/>
        </w:rPr>
        <w:t xml:space="preserve">The PBAC agreed with the ESC that patients should be able to </w:t>
      </w:r>
      <w:r w:rsidR="007D34E0" w:rsidRPr="00F11EB3">
        <w:rPr>
          <w:rFonts w:cstheme="minorBidi"/>
        </w:rPr>
        <w:t>discontinue</w:t>
      </w:r>
      <w:r w:rsidR="007D34E0">
        <w:rPr>
          <w:rFonts w:cstheme="minorBidi"/>
        </w:rPr>
        <w:t xml:space="preserve"> </w:t>
      </w:r>
      <w:proofErr w:type="spellStart"/>
      <w:r w:rsidR="007D34E0">
        <w:rPr>
          <w:rFonts w:cstheme="minorBidi"/>
        </w:rPr>
        <w:t>anifrolumab</w:t>
      </w:r>
      <w:proofErr w:type="spellEnd"/>
      <w:r w:rsidR="007D34E0" w:rsidRPr="00F11EB3">
        <w:rPr>
          <w:rFonts w:cstheme="minorBidi"/>
        </w:rPr>
        <w:t xml:space="preserve"> without excluding them from future treatment for flares</w:t>
      </w:r>
      <w:r w:rsidR="007D34E0">
        <w:rPr>
          <w:rFonts w:cstheme="minorBidi"/>
        </w:rPr>
        <w:t xml:space="preserve">; therefore, the statement </w:t>
      </w:r>
      <w:r w:rsidR="00E23568">
        <w:t>“Patient must not have previously received PBS-subsidised treatment with this drug for this condition” is not required in the initial treatment restriction.</w:t>
      </w:r>
    </w:p>
    <w:p w14:paraId="4A5BF917" w14:textId="10365248" w:rsidR="009A2512" w:rsidRPr="001018F0" w:rsidRDefault="000F4547" w:rsidP="009A2512">
      <w:pPr>
        <w:widowControl w:val="0"/>
        <w:numPr>
          <w:ilvl w:val="1"/>
          <w:numId w:val="1"/>
        </w:numPr>
        <w:spacing w:after="120"/>
        <w:rPr>
          <w:rFonts w:asciiTheme="minorHAnsi" w:hAnsiTheme="minorHAnsi"/>
          <w:snapToGrid w:val="0"/>
          <w:lang w:val="en-GB"/>
        </w:rPr>
      </w:pPr>
      <w:r w:rsidRPr="000F4547">
        <w:rPr>
          <w:rFonts w:asciiTheme="minorHAnsi" w:hAnsiTheme="minorHAnsi"/>
          <w:snapToGrid w:val="0"/>
        </w:rPr>
        <w:t xml:space="preserve">The PBAC considered the nominated comparator of </w:t>
      </w:r>
      <w:r w:rsidRPr="0054136F">
        <w:rPr>
          <w:lang w:val="en-US"/>
        </w:rPr>
        <w:t>SOC alone</w:t>
      </w:r>
      <w:r w:rsidR="005A349F">
        <w:rPr>
          <w:lang w:val="en-US"/>
        </w:rPr>
        <w:t>,</w:t>
      </w:r>
      <w:r w:rsidRPr="0054136F">
        <w:rPr>
          <w:lang w:val="en-US"/>
        </w:rPr>
        <w:t xml:space="preserve"> comprising triple therapy </w:t>
      </w:r>
      <w:proofErr w:type="gramStart"/>
      <w:r w:rsidRPr="0054136F">
        <w:rPr>
          <w:lang w:val="en-US"/>
        </w:rPr>
        <w:t>with:</w:t>
      </w:r>
      <w:proofErr w:type="gramEnd"/>
      <w:r w:rsidRPr="0054136F">
        <w:rPr>
          <w:lang w:val="en-US"/>
        </w:rPr>
        <w:t xml:space="preserve"> </w:t>
      </w:r>
      <w:proofErr w:type="spellStart"/>
      <w:r w:rsidRPr="0054136F">
        <w:rPr>
          <w:lang w:val="en-US"/>
        </w:rPr>
        <w:t>i</w:t>
      </w:r>
      <w:proofErr w:type="spellEnd"/>
      <w:r w:rsidRPr="0054136F">
        <w:rPr>
          <w:lang w:val="en-US"/>
        </w:rPr>
        <w:t xml:space="preserve">) HCQ, ii) an immunosuppressant (minimum dose of MTX 20 mg per week, AZA 100 mg per day or mycophenolate 1000 mg per day) for at least 12 weeks, and iii) </w:t>
      </w:r>
      <w:r>
        <w:t xml:space="preserve">prednisone </w:t>
      </w:r>
      <w:r>
        <w:rPr>
          <w:rFonts w:cs="Calibri"/>
        </w:rPr>
        <w:t>≥</w:t>
      </w:r>
      <w:r>
        <w:t>7.5 mg per day (or equivalent) for at least 4 weeks</w:t>
      </w:r>
      <w:r w:rsidRPr="000F4547">
        <w:rPr>
          <w:rFonts w:asciiTheme="minorHAnsi" w:hAnsiTheme="minorHAnsi"/>
          <w:snapToGrid w:val="0"/>
        </w:rPr>
        <w:t>, was appropriate.</w:t>
      </w:r>
    </w:p>
    <w:p w14:paraId="107D7E59" w14:textId="34B72777" w:rsidR="00B61AA1" w:rsidRDefault="004E4EF3" w:rsidP="00197E61">
      <w:pPr>
        <w:widowControl w:val="0"/>
        <w:numPr>
          <w:ilvl w:val="1"/>
          <w:numId w:val="1"/>
        </w:numPr>
        <w:spacing w:after="120"/>
        <w:rPr>
          <w:rFonts w:asciiTheme="minorHAnsi" w:hAnsiTheme="minorHAnsi"/>
          <w:snapToGrid w:val="0"/>
          <w:lang w:val="en-GB"/>
        </w:rPr>
      </w:pPr>
      <w:r w:rsidRPr="008C5DBA">
        <w:rPr>
          <w:rFonts w:asciiTheme="minorHAnsi" w:hAnsiTheme="minorHAnsi"/>
          <w:snapToGrid w:val="0"/>
          <w:lang w:val="en-GB"/>
        </w:rPr>
        <w:t>The PBAC considered that</w:t>
      </w:r>
      <w:r w:rsidR="008C5DBA">
        <w:rPr>
          <w:rFonts w:asciiTheme="minorHAnsi" w:hAnsiTheme="minorHAnsi"/>
          <w:snapToGrid w:val="0"/>
          <w:lang w:val="en-GB"/>
        </w:rPr>
        <w:t xml:space="preserve"> </w:t>
      </w:r>
      <w:proofErr w:type="spellStart"/>
      <w:r w:rsidRPr="008C5DBA">
        <w:rPr>
          <w:rFonts w:asciiTheme="minorHAnsi" w:hAnsiTheme="minorHAnsi"/>
          <w:snapToGrid w:val="0"/>
          <w:lang w:val="en-GB"/>
        </w:rPr>
        <w:t>anifrolumab</w:t>
      </w:r>
      <w:proofErr w:type="spellEnd"/>
      <w:r w:rsidRPr="008C5DBA">
        <w:rPr>
          <w:rFonts w:asciiTheme="minorHAnsi" w:hAnsiTheme="minorHAnsi"/>
          <w:snapToGrid w:val="0"/>
          <w:lang w:val="en-GB"/>
        </w:rPr>
        <w:t xml:space="preserve"> likely confer</w:t>
      </w:r>
      <w:r w:rsidR="008D202A">
        <w:rPr>
          <w:rFonts w:asciiTheme="minorHAnsi" w:hAnsiTheme="minorHAnsi"/>
          <w:snapToGrid w:val="0"/>
          <w:lang w:val="en-GB"/>
        </w:rPr>
        <w:t>s</w:t>
      </w:r>
      <w:r w:rsidRPr="008C5DBA">
        <w:rPr>
          <w:rFonts w:asciiTheme="minorHAnsi" w:hAnsiTheme="minorHAnsi"/>
          <w:snapToGrid w:val="0"/>
          <w:lang w:val="en-GB"/>
        </w:rPr>
        <w:t xml:space="preserve"> a small reduction in disease activity, </w:t>
      </w:r>
      <w:r w:rsidR="006D188F">
        <w:rPr>
          <w:rFonts w:asciiTheme="minorHAnsi" w:hAnsiTheme="minorHAnsi"/>
          <w:snapToGrid w:val="0"/>
          <w:lang w:val="en-GB"/>
        </w:rPr>
        <w:t>with a</w:t>
      </w:r>
      <w:r w:rsidR="008D202A">
        <w:rPr>
          <w:rFonts w:asciiTheme="minorHAnsi" w:hAnsiTheme="minorHAnsi"/>
          <w:snapToGrid w:val="0"/>
          <w:lang w:val="en-GB"/>
        </w:rPr>
        <w:t xml:space="preserve"> risk difference</w:t>
      </w:r>
      <w:r w:rsidR="006D188F">
        <w:rPr>
          <w:rFonts w:asciiTheme="minorHAnsi" w:hAnsiTheme="minorHAnsi"/>
          <w:snapToGrid w:val="0"/>
          <w:lang w:val="en-GB"/>
        </w:rPr>
        <w:t xml:space="preserve"> in </w:t>
      </w:r>
      <w:proofErr w:type="gramStart"/>
      <w:r w:rsidR="006D188F">
        <w:rPr>
          <w:rFonts w:asciiTheme="minorHAnsi" w:hAnsiTheme="minorHAnsi"/>
          <w:snapToGrid w:val="0"/>
          <w:lang w:val="en-GB"/>
        </w:rPr>
        <w:t>SRI(</w:t>
      </w:r>
      <w:proofErr w:type="gramEnd"/>
      <w:r w:rsidR="006D188F">
        <w:rPr>
          <w:rFonts w:asciiTheme="minorHAnsi" w:hAnsiTheme="minorHAnsi"/>
          <w:snapToGrid w:val="0"/>
          <w:lang w:val="en-GB"/>
        </w:rPr>
        <w:t>4) response</w:t>
      </w:r>
      <w:r w:rsidR="008D202A">
        <w:rPr>
          <w:rFonts w:asciiTheme="minorHAnsi" w:hAnsiTheme="minorHAnsi"/>
          <w:snapToGrid w:val="0"/>
          <w:lang w:val="en-GB"/>
        </w:rPr>
        <w:t xml:space="preserve"> </w:t>
      </w:r>
      <w:r w:rsidR="006D188F">
        <w:rPr>
          <w:rFonts w:asciiTheme="minorHAnsi" w:hAnsiTheme="minorHAnsi"/>
          <w:snapToGrid w:val="0"/>
          <w:lang w:val="en-GB"/>
        </w:rPr>
        <w:t>of</w:t>
      </w:r>
      <w:r w:rsidR="008D202A">
        <w:rPr>
          <w:rFonts w:asciiTheme="minorHAnsi" w:hAnsiTheme="minorHAnsi"/>
          <w:snapToGrid w:val="0"/>
          <w:lang w:val="en-GB"/>
        </w:rPr>
        <w:t xml:space="preserve"> 12.1% (95% CI: 4.9%, 19.3%) </w:t>
      </w:r>
      <w:r w:rsidR="006D188F">
        <w:rPr>
          <w:rFonts w:asciiTheme="minorHAnsi" w:hAnsiTheme="minorHAnsi"/>
          <w:snapToGrid w:val="0"/>
          <w:lang w:val="en-GB"/>
        </w:rPr>
        <w:t xml:space="preserve">pooled across </w:t>
      </w:r>
      <w:r w:rsidR="00B238DC">
        <w:rPr>
          <w:rFonts w:asciiTheme="minorHAnsi" w:hAnsiTheme="minorHAnsi"/>
          <w:snapToGrid w:val="0"/>
          <w:lang w:val="en-GB"/>
        </w:rPr>
        <w:t xml:space="preserve">the </w:t>
      </w:r>
      <w:r w:rsidR="006D188F">
        <w:rPr>
          <w:rFonts w:asciiTheme="minorHAnsi" w:hAnsiTheme="minorHAnsi"/>
          <w:snapToGrid w:val="0"/>
          <w:lang w:val="en-GB"/>
        </w:rPr>
        <w:t>TULIP</w:t>
      </w:r>
      <w:r w:rsidR="00B238DC">
        <w:rPr>
          <w:rFonts w:asciiTheme="minorHAnsi" w:hAnsiTheme="minorHAnsi"/>
          <w:snapToGrid w:val="0"/>
          <w:lang w:val="en-GB"/>
        </w:rPr>
        <w:noBreakHyphen/>
      </w:r>
      <w:r w:rsidR="006D188F">
        <w:rPr>
          <w:rFonts w:asciiTheme="minorHAnsi" w:hAnsiTheme="minorHAnsi"/>
          <w:snapToGrid w:val="0"/>
          <w:lang w:val="en-GB"/>
        </w:rPr>
        <w:t>1 and TULIP-2</w:t>
      </w:r>
      <w:r w:rsidR="00B238DC">
        <w:rPr>
          <w:rFonts w:asciiTheme="minorHAnsi" w:hAnsiTheme="minorHAnsi"/>
          <w:snapToGrid w:val="0"/>
          <w:lang w:val="en-GB"/>
        </w:rPr>
        <w:t xml:space="preserve"> trials</w:t>
      </w:r>
      <w:r w:rsidR="006D188F">
        <w:rPr>
          <w:rFonts w:asciiTheme="minorHAnsi" w:hAnsiTheme="minorHAnsi"/>
          <w:snapToGrid w:val="0"/>
          <w:lang w:val="en-GB"/>
        </w:rPr>
        <w:t xml:space="preserve">, </w:t>
      </w:r>
      <w:r w:rsidR="008D202A">
        <w:rPr>
          <w:rFonts w:asciiTheme="minorHAnsi" w:hAnsiTheme="minorHAnsi"/>
          <w:snapToGrid w:val="0"/>
          <w:lang w:val="en-GB"/>
        </w:rPr>
        <w:t>noting the large placebo response</w:t>
      </w:r>
      <w:r w:rsidR="00C13993">
        <w:rPr>
          <w:rFonts w:asciiTheme="minorHAnsi" w:hAnsiTheme="minorHAnsi"/>
          <w:snapToGrid w:val="0"/>
          <w:lang w:val="en-GB"/>
        </w:rPr>
        <w:t xml:space="preserve"> (SRI(4) response rate of 52.5% in the </w:t>
      </w:r>
      <w:proofErr w:type="spellStart"/>
      <w:r w:rsidR="00C13993">
        <w:rPr>
          <w:rFonts w:asciiTheme="minorHAnsi" w:hAnsiTheme="minorHAnsi"/>
          <w:snapToGrid w:val="0"/>
          <w:lang w:val="en-GB"/>
        </w:rPr>
        <w:t>anifrolumab</w:t>
      </w:r>
      <w:proofErr w:type="spellEnd"/>
      <w:r w:rsidR="00C13993">
        <w:rPr>
          <w:rFonts w:asciiTheme="minorHAnsi" w:hAnsiTheme="minorHAnsi"/>
          <w:snapToGrid w:val="0"/>
          <w:lang w:val="en-GB"/>
        </w:rPr>
        <w:t xml:space="preserve"> arm versus 40.2% in the placebo arm, pooled results)</w:t>
      </w:r>
      <w:r w:rsidR="008D202A">
        <w:rPr>
          <w:rFonts w:asciiTheme="minorHAnsi" w:hAnsiTheme="minorHAnsi"/>
          <w:snapToGrid w:val="0"/>
          <w:lang w:val="en-GB"/>
        </w:rPr>
        <w:t>. However, the PBAC considered that</w:t>
      </w:r>
      <w:r w:rsidRPr="008C5DBA">
        <w:rPr>
          <w:rFonts w:asciiTheme="minorHAnsi" w:hAnsiTheme="minorHAnsi"/>
          <w:snapToGrid w:val="0"/>
          <w:lang w:val="en-GB"/>
        </w:rPr>
        <w:t xml:space="preserve"> the magnitude of benefit was uncertain due to</w:t>
      </w:r>
      <w:r w:rsidR="00B61AA1">
        <w:rPr>
          <w:rFonts w:asciiTheme="minorHAnsi" w:hAnsiTheme="minorHAnsi"/>
          <w:snapToGrid w:val="0"/>
          <w:lang w:val="en-GB"/>
        </w:rPr>
        <w:t xml:space="preserve"> the:</w:t>
      </w:r>
    </w:p>
    <w:p w14:paraId="04E90FBB" w14:textId="21ACA7A7" w:rsidR="00B61AA1" w:rsidRDefault="001039D9" w:rsidP="006107F0">
      <w:pPr>
        <w:pStyle w:val="ListParagraph"/>
        <w:widowControl w:val="0"/>
        <w:numPr>
          <w:ilvl w:val="1"/>
          <w:numId w:val="23"/>
        </w:numPr>
        <w:rPr>
          <w:lang w:val="en-GB"/>
        </w:rPr>
      </w:pPr>
      <w:r>
        <w:rPr>
          <w:lang w:val="en-US"/>
        </w:rPr>
        <w:t xml:space="preserve">differing results between TULIP-1 and TULIP-2 with respect to </w:t>
      </w:r>
      <w:proofErr w:type="gramStart"/>
      <w:r>
        <w:rPr>
          <w:lang w:val="en-US"/>
        </w:rPr>
        <w:t>SRI(</w:t>
      </w:r>
      <w:proofErr w:type="gramEnd"/>
      <w:r>
        <w:rPr>
          <w:lang w:val="en-US"/>
        </w:rPr>
        <w:t xml:space="preserve">4), despite </w:t>
      </w:r>
      <w:r w:rsidR="00B238DC">
        <w:rPr>
          <w:lang w:val="en-US"/>
        </w:rPr>
        <w:t>similar</w:t>
      </w:r>
      <w:r>
        <w:rPr>
          <w:lang w:val="en-US"/>
        </w:rPr>
        <w:t xml:space="preserve"> trial designs and patient characteristics. While the </w:t>
      </w:r>
      <w:r w:rsidRPr="001039D9">
        <w:rPr>
          <w:lang w:val="en-US"/>
        </w:rPr>
        <w:t>submission and PSCR</w:t>
      </w:r>
      <w:r>
        <w:rPr>
          <w:lang w:val="en-US"/>
        </w:rPr>
        <w:t xml:space="preserve"> argued this heterogeneity was</w:t>
      </w:r>
      <w:r w:rsidRPr="001039D9">
        <w:rPr>
          <w:lang w:val="en-US"/>
        </w:rPr>
        <w:t xml:space="preserve"> primarily driven by the sensitivity of </w:t>
      </w:r>
      <w:proofErr w:type="gramStart"/>
      <w:r w:rsidRPr="001039D9">
        <w:rPr>
          <w:lang w:val="en-US"/>
        </w:rPr>
        <w:t>SRI(</w:t>
      </w:r>
      <w:proofErr w:type="gramEnd"/>
      <w:r w:rsidRPr="001039D9">
        <w:rPr>
          <w:lang w:val="en-US"/>
        </w:rPr>
        <w:t>4) to single organ (arthritis) improvement</w:t>
      </w:r>
      <w:r>
        <w:rPr>
          <w:lang w:val="en-US"/>
        </w:rPr>
        <w:t>, t</w:t>
      </w:r>
      <w:r w:rsidRPr="001039D9">
        <w:rPr>
          <w:lang w:val="en-US"/>
        </w:rPr>
        <w:t xml:space="preserve">he </w:t>
      </w:r>
      <w:r>
        <w:rPr>
          <w:lang w:val="en-US"/>
        </w:rPr>
        <w:t xml:space="preserve">PBAC considered </w:t>
      </w:r>
      <w:r w:rsidRPr="001039D9">
        <w:rPr>
          <w:lang w:val="en-US"/>
        </w:rPr>
        <w:t>this explanation was unlikely to fully account for the differences</w:t>
      </w:r>
      <w:r w:rsidR="00F41DD3">
        <w:rPr>
          <w:lang w:val="en-US"/>
        </w:rPr>
        <w:t>,</w:t>
      </w:r>
      <w:r w:rsidRPr="001039D9">
        <w:rPr>
          <w:lang w:val="en-US"/>
        </w:rPr>
        <w:t xml:space="preserve"> </w:t>
      </w:r>
      <w:r w:rsidR="00F41DD3">
        <w:rPr>
          <w:lang w:val="en-US"/>
        </w:rPr>
        <w:t xml:space="preserve">as outlined in Paragraph </w:t>
      </w:r>
      <w:r w:rsidR="00F41DD3">
        <w:rPr>
          <w:lang w:val="en-US"/>
        </w:rPr>
        <w:fldChar w:fldCharType="begin"/>
      </w:r>
      <w:r w:rsidR="00F41DD3">
        <w:rPr>
          <w:lang w:val="en-US"/>
        </w:rPr>
        <w:instrText xml:space="preserve"> REF _Ref110338424 \r \h </w:instrText>
      </w:r>
      <w:r w:rsidR="00F41DD3">
        <w:rPr>
          <w:lang w:val="en-US"/>
        </w:rPr>
      </w:r>
      <w:r w:rsidR="00F41DD3">
        <w:rPr>
          <w:lang w:val="en-US"/>
        </w:rPr>
        <w:fldChar w:fldCharType="separate"/>
      </w:r>
      <w:r w:rsidR="00942C22">
        <w:rPr>
          <w:lang w:val="en-US"/>
        </w:rPr>
        <w:t>6.15</w:t>
      </w:r>
      <w:r w:rsidR="00F41DD3">
        <w:rPr>
          <w:lang w:val="en-US"/>
        </w:rPr>
        <w:fldChar w:fldCharType="end"/>
      </w:r>
      <w:r w:rsidRPr="001039D9">
        <w:rPr>
          <w:lang w:val="en-US"/>
        </w:rPr>
        <w:t xml:space="preserve">. </w:t>
      </w:r>
    </w:p>
    <w:p w14:paraId="2142573E" w14:textId="2F365A66" w:rsidR="00B61AA1" w:rsidRDefault="00133329" w:rsidP="006107F0">
      <w:pPr>
        <w:pStyle w:val="ListParagraph"/>
        <w:widowControl w:val="0"/>
        <w:numPr>
          <w:ilvl w:val="1"/>
          <w:numId w:val="23"/>
        </w:numPr>
        <w:rPr>
          <w:lang w:val="en-GB"/>
        </w:rPr>
      </w:pPr>
      <w:r>
        <w:rPr>
          <w:lang w:val="en-GB"/>
        </w:rPr>
        <w:t xml:space="preserve">the changes in trial design which likely biased results in favour of </w:t>
      </w:r>
      <w:proofErr w:type="spellStart"/>
      <w:r>
        <w:rPr>
          <w:lang w:val="en-GB"/>
        </w:rPr>
        <w:t>anifrolumab</w:t>
      </w:r>
      <w:proofErr w:type="spellEnd"/>
      <w:r w:rsidR="004E4EF3" w:rsidRPr="00B61AA1">
        <w:rPr>
          <w:lang w:val="en-GB"/>
        </w:rPr>
        <w:t>.</w:t>
      </w:r>
      <w:r w:rsidR="008C5DBA" w:rsidRPr="00B61AA1">
        <w:rPr>
          <w:lang w:val="en-GB"/>
        </w:rPr>
        <w:t xml:space="preserve"> </w:t>
      </w:r>
      <w:r w:rsidR="00291E82">
        <w:rPr>
          <w:lang w:val="en-GB"/>
        </w:rPr>
        <w:t xml:space="preserve">The PBAC noted that </w:t>
      </w:r>
      <w:r w:rsidR="00291E82" w:rsidRPr="00291E82">
        <w:rPr>
          <w:lang w:val="en-GB"/>
        </w:rPr>
        <w:t xml:space="preserve">two amendments to outcome assessment occurred </w:t>
      </w:r>
      <w:r w:rsidR="006D188F">
        <w:rPr>
          <w:lang w:val="en-GB"/>
        </w:rPr>
        <w:t>during</w:t>
      </w:r>
      <w:r w:rsidR="00291E82" w:rsidRPr="00291E82">
        <w:rPr>
          <w:lang w:val="en-GB"/>
        </w:rPr>
        <w:t xml:space="preserve"> the TULIP trials</w:t>
      </w:r>
      <w:r w:rsidR="00291E82">
        <w:rPr>
          <w:lang w:val="en-GB"/>
        </w:rPr>
        <w:t xml:space="preserve">, which were: (1) a </w:t>
      </w:r>
      <w:r w:rsidR="00291E82" w:rsidRPr="00291E82">
        <w:rPr>
          <w:lang w:val="en-GB"/>
        </w:rPr>
        <w:t xml:space="preserve">change in the primary </w:t>
      </w:r>
      <w:r w:rsidR="00291E82">
        <w:rPr>
          <w:lang w:val="en-GB"/>
        </w:rPr>
        <w:t>endpoint</w:t>
      </w:r>
      <w:r w:rsidR="00291E82" w:rsidRPr="00291E82">
        <w:rPr>
          <w:lang w:val="en-GB"/>
        </w:rPr>
        <w:t xml:space="preserve"> for TULIP-2 from </w:t>
      </w:r>
      <w:proofErr w:type="gramStart"/>
      <w:r w:rsidR="00291E82" w:rsidRPr="00291E82">
        <w:rPr>
          <w:lang w:val="en-GB"/>
        </w:rPr>
        <w:t>SRI(</w:t>
      </w:r>
      <w:proofErr w:type="gramEnd"/>
      <w:r w:rsidR="00291E82" w:rsidRPr="00291E82">
        <w:rPr>
          <w:lang w:val="en-GB"/>
        </w:rPr>
        <w:t>4) response to BICLA response</w:t>
      </w:r>
      <w:r w:rsidR="00291E82">
        <w:rPr>
          <w:lang w:val="en-GB"/>
        </w:rPr>
        <w:t xml:space="preserve">; </w:t>
      </w:r>
      <w:r w:rsidR="00291E82" w:rsidRPr="00291E82">
        <w:rPr>
          <w:lang w:val="en-GB"/>
        </w:rPr>
        <w:t xml:space="preserve">and </w:t>
      </w:r>
      <w:r w:rsidR="00291E82">
        <w:rPr>
          <w:lang w:val="en-GB"/>
        </w:rPr>
        <w:t xml:space="preserve">(2) a </w:t>
      </w:r>
      <w:r w:rsidR="00291E82" w:rsidRPr="00291E82">
        <w:rPr>
          <w:lang w:val="en-GB"/>
        </w:rPr>
        <w:t xml:space="preserve">change in the threshold for use of restricted medications </w:t>
      </w:r>
      <w:r w:rsidR="00B272E2">
        <w:rPr>
          <w:lang w:val="en-GB"/>
        </w:rPr>
        <w:t>during</w:t>
      </w:r>
      <w:r w:rsidR="00291E82" w:rsidRPr="00291E82">
        <w:rPr>
          <w:lang w:val="en-GB"/>
        </w:rPr>
        <w:t xml:space="preserve"> both TULIP-1 </w:t>
      </w:r>
      <w:r w:rsidR="00291E82">
        <w:rPr>
          <w:lang w:val="en-GB"/>
        </w:rPr>
        <w:t xml:space="preserve">(in the final 2 weeks of the 52-week trial) </w:t>
      </w:r>
      <w:r w:rsidR="00291E82" w:rsidRPr="00291E82">
        <w:rPr>
          <w:lang w:val="en-GB"/>
        </w:rPr>
        <w:t>and TULIP</w:t>
      </w:r>
      <w:r w:rsidR="00291E82">
        <w:rPr>
          <w:lang w:val="en-GB"/>
        </w:rPr>
        <w:t>-2</w:t>
      </w:r>
      <w:r w:rsidR="00291E82" w:rsidRPr="00291E82">
        <w:rPr>
          <w:lang w:val="en-GB"/>
        </w:rPr>
        <w:t xml:space="preserve">. The PBAC noted these amendments were introduced </w:t>
      </w:r>
      <w:r w:rsidR="00291E82">
        <w:rPr>
          <w:lang w:val="en-GB"/>
        </w:rPr>
        <w:t xml:space="preserve">following unblinding of TULIP-1, in which no difference </w:t>
      </w:r>
      <w:r w:rsidR="00291E82" w:rsidRPr="00291E82">
        <w:rPr>
          <w:lang w:val="en-GB"/>
        </w:rPr>
        <w:t xml:space="preserve">between </w:t>
      </w:r>
      <w:proofErr w:type="spellStart"/>
      <w:r w:rsidR="00291E82" w:rsidRPr="00291E82">
        <w:rPr>
          <w:lang w:val="en-GB"/>
        </w:rPr>
        <w:t>anifrolumab</w:t>
      </w:r>
      <w:proofErr w:type="spellEnd"/>
      <w:r w:rsidR="00291E82" w:rsidRPr="00291E82">
        <w:rPr>
          <w:lang w:val="en-GB"/>
        </w:rPr>
        <w:t xml:space="preserve"> and placebo </w:t>
      </w:r>
      <w:r w:rsidR="006D188F">
        <w:rPr>
          <w:lang w:val="en-GB"/>
        </w:rPr>
        <w:t xml:space="preserve">was </w:t>
      </w:r>
      <w:r w:rsidR="00F41DD3">
        <w:rPr>
          <w:lang w:val="en-GB"/>
        </w:rPr>
        <w:t>observ</w:t>
      </w:r>
      <w:r w:rsidR="006D188F">
        <w:rPr>
          <w:lang w:val="en-GB"/>
        </w:rPr>
        <w:t>ed</w:t>
      </w:r>
      <w:r w:rsidR="006D188F" w:rsidRPr="00291E82">
        <w:rPr>
          <w:lang w:val="en-GB"/>
        </w:rPr>
        <w:t xml:space="preserve"> </w:t>
      </w:r>
      <w:r w:rsidR="00291E82" w:rsidRPr="00291E82">
        <w:rPr>
          <w:lang w:val="en-GB"/>
        </w:rPr>
        <w:t xml:space="preserve">in terms of </w:t>
      </w:r>
      <w:proofErr w:type="gramStart"/>
      <w:r w:rsidR="00291E82" w:rsidRPr="00291E82">
        <w:rPr>
          <w:lang w:val="en-GB"/>
        </w:rPr>
        <w:t>SRI(</w:t>
      </w:r>
      <w:proofErr w:type="gramEnd"/>
      <w:r w:rsidR="00291E82" w:rsidRPr="00291E82">
        <w:rPr>
          <w:lang w:val="en-GB"/>
        </w:rPr>
        <w:t>4) response</w:t>
      </w:r>
      <w:r w:rsidR="00291E82">
        <w:rPr>
          <w:lang w:val="en-GB"/>
        </w:rPr>
        <w:t xml:space="preserve">. </w:t>
      </w:r>
    </w:p>
    <w:p w14:paraId="6A8A35E3" w14:textId="4502E32C" w:rsidR="009A2512" w:rsidRPr="00B61AA1" w:rsidRDefault="008C5DBA" w:rsidP="00ED36EE">
      <w:pPr>
        <w:widowControl w:val="0"/>
        <w:numPr>
          <w:ilvl w:val="1"/>
          <w:numId w:val="1"/>
        </w:numPr>
        <w:spacing w:after="120"/>
        <w:rPr>
          <w:snapToGrid w:val="0"/>
          <w:lang w:val="en-GB"/>
        </w:rPr>
      </w:pPr>
      <w:r w:rsidRPr="00B61AA1">
        <w:rPr>
          <w:snapToGrid w:val="0"/>
          <w:lang w:val="en-GB"/>
        </w:rPr>
        <w:t xml:space="preserve">The PBAC </w:t>
      </w:r>
      <w:r w:rsidR="00701A47" w:rsidRPr="00B61AA1">
        <w:rPr>
          <w:snapToGrid w:val="0"/>
          <w:lang w:val="en-GB"/>
        </w:rPr>
        <w:t>acknowledged</w:t>
      </w:r>
      <w:r w:rsidRPr="00B61AA1">
        <w:rPr>
          <w:snapToGrid w:val="0"/>
          <w:lang w:val="en-GB"/>
        </w:rPr>
        <w:t xml:space="preserve"> that the low </w:t>
      </w:r>
      <w:r w:rsidR="008D202A">
        <w:rPr>
          <w:snapToGrid w:val="0"/>
          <w:lang w:val="en-GB"/>
        </w:rPr>
        <w:t xml:space="preserve">level of </w:t>
      </w:r>
      <w:r w:rsidRPr="00B61AA1">
        <w:rPr>
          <w:snapToGrid w:val="0"/>
          <w:lang w:val="en-GB"/>
        </w:rPr>
        <w:t xml:space="preserve">certainty </w:t>
      </w:r>
      <w:r w:rsidR="008D202A">
        <w:rPr>
          <w:snapToGrid w:val="0"/>
          <w:lang w:val="en-GB"/>
        </w:rPr>
        <w:t xml:space="preserve">in the </w:t>
      </w:r>
      <w:r w:rsidRPr="00B61AA1">
        <w:rPr>
          <w:snapToGrid w:val="0"/>
          <w:lang w:val="en-GB"/>
        </w:rPr>
        <w:t xml:space="preserve">evidence and the small difference between </w:t>
      </w:r>
      <w:proofErr w:type="spellStart"/>
      <w:r w:rsidRPr="00B61AA1">
        <w:rPr>
          <w:snapToGrid w:val="0"/>
          <w:lang w:val="en-GB"/>
        </w:rPr>
        <w:t>anifrolumab</w:t>
      </w:r>
      <w:proofErr w:type="spellEnd"/>
      <w:r w:rsidRPr="00B61AA1">
        <w:rPr>
          <w:snapToGrid w:val="0"/>
          <w:lang w:val="en-GB"/>
        </w:rPr>
        <w:t xml:space="preserve"> and placebo </w:t>
      </w:r>
      <w:r w:rsidR="00B61AA1">
        <w:rPr>
          <w:snapToGrid w:val="0"/>
          <w:lang w:val="en-GB"/>
        </w:rPr>
        <w:t xml:space="preserve">likely </w:t>
      </w:r>
      <w:r w:rsidRPr="00B61AA1">
        <w:rPr>
          <w:snapToGrid w:val="0"/>
          <w:lang w:val="en-GB"/>
        </w:rPr>
        <w:t>reflects</w:t>
      </w:r>
      <w:r w:rsidR="00B61AA1">
        <w:rPr>
          <w:snapToGrid w:val="0"/>
          <w:lang w:val="en-GB"/>
        </w:rPr>
        <w:t>, in part,</w:t>
      </w:r>
      <w:r w:rsidRPr="00B61AA1">
        <w:rPr>
          <w:snapToGrid w:val="0"/>
          <w:lang w:val="en-GB"/>
        </w:rPr>
        <w:t xml:space="preserve"> </w:t>
      </w:r>
      <w:r w:rsidR="001039D9">
        <w:rPr>
          <w:snapToGrid w:val="0"/>
          <w:lang w:val="en-GB"/>
        </w:rPr>
        <w:t xml:space="preserve">the </w:t>
      </w:r>
      <w:r w:rsidR="00C13993" w:rsidRPr="00B61AA1">
        <w:rPr>
          <w:snapToGrid w:val="0"/>
          <w:lang w:val="en-GB"/>
        </w:rPr>
        <w:t xml:space="preserve">complex and variable nature of the </w:t>
      </w:r>
      <w:r w:rsidR="00C13993">
        <w:rPr>
          <w:snapToGrid w:val="0"/>
          <w:lang w:val="en-GB"/>
        </w:rPr>
        <w:t>condition</w:t>
      </w:r>
      <w:r w:rsidR="00C13993" w:rsidRPr="00B61AA1">
        <w:rPr>
          <w:snapToGrid w:val="0"/>
          <w:lang w:val="en-GB"/>
        </w:rPr>
        <w:t xml:space="preserve"> </w:t>
      </w:r>
      <w:r w:rsidR="00C13993">
        <w:rPr>
          <w:snapToGrid w:val="0"/>
          <w:lang w:val="en-GB"/>
        </w:rPr>
        <w:t xml:space="preserve">and </w:t>
      </w:r>
      <w:r w:rsidR="00433F78" w:rsidRPr="00B61AA1">
        <w:rPr>
          <w:snapToGrid w:val="0"/>
          <w:lang w:val="en-GB"/>
        </w:rPr>
        <w:t xml:space="preserve">the </w:t>
      </w:r>
      <w:r w:rsidRPr="00B61AA1">
        <w:rPr>
          <w:snapToGrid w:val="0"/>
          <w:lang w:val="en-GB"/>
        </w:rPr>
        <w:t xml:space="preserve">challenges associated with </w:t>
      </w:r>
      <w:r w:rsidR="008D202A">
        <w:rPr>
          <w:snapToGrid w:val="0"/>
          <w:lang w:val="en-GB"/>
        </w:rPr>
        <w:t xml:space="preserve">assessing outcomes in </w:t>
      </w:r>
      <w:r w:rsidRPr="00B61AA1">
        <w:rPr>
          <w:snapToGrid w:val="0"/>
          <w:lang w:val="en-GB"/>
        </w:rPr>
        <w:t>SLE</w:t>
      </w:r>
      <w:r w:rsidR="00141014">
        <w:rPr>
          <w:snapToGrid w:val="0"/>
          <w:lang w:val="en-GB"/>
        </w:rPr>
        <w:t xml:space="preserve">. The PBAC noted that </w:t>
      </w:r>
      <w:r w:rsidR="00133329">
        <w:rPr>
          <w:snapToGrid w:val="0"/>
          <w:lang w:val="en-GB"/>
        </w:rPr>
        <w:t xml:space="preserve">there </w:t>
      </w:r>
      <w:proofErr w:type="gramStart"/>
      <w:r w:rsidR="00133329">
        <w:rPr>
          <w:snapToGrid w:val="0"/>
          <w:lang w:val="en-GB"/>
        </w:rPr>
        <w:t>is</w:t>
      </w:r>
      <w:proofErr w:type="gramEnd"/>
      <w:r w:rsidR="00133329">
        <w:rPr>
          <w:snapToGrid w:val="0"/>
          <w:lang w:val="en-GB"/>
        </w:rPr>
        <w:t xml:space="preserve"> no</w:t>
      </w:r>
      <w:r w:rsidR="00141014">
        <w:rPr>
          <w:snapToGrid w:val="0"/>
          <w:lang w:val="en-GB"/>
        </w:rPr>
        <w:t xml:space="preserve"> </w:t>
      </w:r>
      <w:r w:rsidR="008D202A">
        <w:rPr>
          <w:snapToGrid w:val="0"/>
          <w:lang w:val="en-GB"/>
        </w:rPr>
        <w:t>core outcomes set for SLE</w:t>
      </w:r>
      <w:r w:rsidR="008F63A0">
        <w:rPr>
          <w:snapToGrid w:val="0"/>
          <w:lang w:val="en-GB"/>
        </w:rPr>
        <w:t xml:space="preserve"> (</w:t>
      </w:r>
      <w:r w:rsidR="00133329">
        <w:rPr>
          <w:snapToGrid w:val="0"/>
          <w:lang w:val="en-GB"/>
        </w:rPr>
        <w:t>i.e</w:t>
      </w:r>
      <w:r w:rsidR="008F63A0">
        <w:rPr>
          <w:snapToGrid w:val="0"/>
          <w:lang w:val="en-GB"/>
        </w:rPr>
        <w:t xml:space="preserve">. </w:t>
      </w:r>
      <w:r w:rsidR="00133329">
        <w:rPr>
          <w:snapToGrid w:val="0"/>
          <w:lang w:val="en-GB"/>
        </w:rPr>
        <w:t xml:space="preserve">there </w:t>
      </w:r>
      <w:r w:rsidR="00133329">
        <w:rPr>
          <w:snapToGrid w:val="0"/>
          <w:lang w:val="en-GB"/>
        </w:rPr>
        <w:lastRenderedPageBreak/>
        <w:t xml:space="preserve">is a lack of consensus on core outcomes for use in clinical trials in SLE, </w:t>
      </w:r>
      <w:r w:rsidR="008F63A0">
        <w:rPr>
          <w:snapToGrid w:val="0"/>
          <w:lang w:val="en-GB"/>
        </w:rPr>
        <w:t xml:space="preserve">unlike </w:t>
      </w:r>
      <w:r w:rsidR="00133329">
        <w:rPr>
          <w:snapToGrid w:val="0"/>
          <w:lang w:val="en-GB"/>
        </w:rPr>
        <w:t>in rheumatoid arthritis</w:t>
      </w:r>
      <w:r w:rsidR="00133329" w:rsidRPr="008F63A0">
        <w:rPr>
          <w:snapToGrid w:val="0"/>
          <w:lang w:val="en-GB"/>
        </w:rPr>
        <w:t xml:space="preserve"> </w:t>
      </w:r>
      <w:r w:rsidR="00133329">
        <w:rPr>
          <w:snapToGrid w:val="0"/>
          <w:lang w:val="en-GB"/>
        </w:rPr>
        <w:t xml:space="preserve">where </w:t>
      </w:r>
      <w:r w:rsidR="008F63A0" w:rsidRPr="008F63A0">
        <w:rPr>
          <w:snapToGrid w:val="0"/>
          <w:lang w:val="en-GB"/>
        </w:rPr>
        <w:t xml:space="preserve">the American College of </w:t>
      </w:r>
      <w:proofErr w:type="spellStart"/>
      <w:r w:rsidR="008F63A0" w:rsidRPr="008F63A0">
        <w:rPr>
          <w:snapToGrid w:val="0"/>
          <w:lang w:val="en-GB"/>
        </w:rPr>
        <w:t>Rhematology</w:t>
      </w:r>
      <w:proofErr w:type="spellEnd"/>
      <w:r w:rsidR="008F63A0" w:rsidRPr="008F63A0">
        <w:rPr>
          <w:snapToGrid w:val="0"/>
          <w:lang w:val="en-GB"/>
        </w:rPr>
        <w:t xml:space="preserve"> (ACR) </w:t>
      </w:r>
      <w:r w:rsidR="008F63A0">
        <w:rPr>
          <w:snapToGrid w:val="0"/>
          <w:lang w:val="en-GB"/>
        </w:rPr>
        <w:t>response criteria</w:t>
      </w:r>
      <w:r w:rsidR="00133329">
        <w:rPr>
          <w:snapToGrid w:val="0"/>
          <w:lang w:val="en-GB"/>
        </w:rPr>
        <w:t xml:space="preserve"> are used</w:t>
      </w:r>
      <w:r w:rsidR="008F63A0">
        <w:rPr>
          <w:snapToGrid w:val="0"/>
          <w:lang w:val="en-GB"/>
        </w:rPr>
        <w:t xml:space="preserve">, or </w:t>
      </w:r>
      <w:r w:rsidR="00133329">
        <w:rPr>
          <w:snapToGrid w:val="0"/>
          <w:lang w:val="en-GB"/>
        </w:rPr>
        <w:t xml:space="preserve">psoriasis where </w:t>
      </w:r>
      <w:r w:rsidR="008F63A0">
        <w:rPr>
          <w:snapToGrid w:val="0"/>
          <w:lang w:val="en-GB"/>
        </w:rPr>
        <w:t xml:space="preserve">the </w:t>
      </w:r>
      <w:r w:rsidR="008F63A0" w:rsidRPr="008F63A0">
        <w:rPr>
          <w:snapToGrid w:val="0"/>
          <w:lang w:val="en-GB"/>
        </w:rPr>
        <w:t xml:space="preserve">Psoriasis Area and Severity Index (PASI) score </w:t>
      </w:r>
      <w:r w:rsidR="008F63A0">
        <w:rPr>
          <w:snapToGrid w:val="0"/>
          <w:lang w:val="en-GB"/>
        </w:rPr>
        <w:t>i</w:t>
      </w:r>
      <w:r w:rsidR="00133329">
        <w:rPr>
          <w:snapToGrid w:val="0"/>
          <w:lang w:val="en-GB"/>
        </w:rPr>
        <w:t>s used</w:t>
      </w:r>
      <w:r w:rsidR="008F63A0">
        <w:rPr>
          <w:snapToGrid w:val="0"/>
          <w:lang w:val="en-GB"/>
        </w:rPr>
        <w:t>)</w:t>
      </w:r>
      <w:r w:rsidR="00433F78" w:rsidRPr="00B61AA1">
        <w:rPr>
          <w:snapToGrid w:val="0"/>
          <w:lang w:val="en-GB"/>
        </w:rPr>
        <w:t>.</w:t>
      </w:r>
      <w:r w:rsidR="00701A47" w:rsidRPr="00B61AA1">
        <w:rPr>
          <w:snapToGrid w:val="0"/>
          <w:lang w:val="en-GB"/>
        </w:rPr>
        <w:t xml:space="preserve"> Overall, the PBAC considered the claim of superiority </w:t>
      </w:r>
      <w:r w:rsidR="00701A47" w:rsidRPr="00B61AA1">
        <w:rPr>
          <w:iCs/>
        </w:rPr>
        <w:t xml:space="preserve">to SOC alone in terms of effectiveness </w:t>
      </w:r>
      <w:r w:rsidR="001039D9">
        <w:rPr>
          <w:iCs/>
        </w:rPr>
        <w:t>was</w:t>
      </w:r>
      <w:r w:rsidR="00701A47" w:rsidRPr="00B61AA1">
        <w:rPr>
          <w:iCs/>
        </w:rPr>
        <w:t xml:space="preserve"> supported </w:t>
      </w:r>
      <w:r w:rsidR="00B30807">
        <w:rPr>
          <w:iCs/>
        </w:rPr>
        <w:t>based on</w:t>
      </w:r>
      <w:r w:rsidR="001039D9">
        <w:rPr>
          <w:iCs/>
        </w:rPr>
        <w:t xml:space="preserve"> the</w:t>
      </w:r>
      <w:r w:rsidR="00701A47" w:rsidRPr="00B61AA1">
        <w:rPr>
          <w:iCs/>
        </w:rPr>
        <w:t xml:space="preserve"> </w:t>
      </w:r>
      <w:r w:rsidR="00A42607" w:rsidRPr="00B61AA1">
        <w:rPr>
          <w:iCs/>
        </w:rPr>
        <w:t xml:space="preserve">small improvement in disease activity </w:t>
      </w:r>
      <w:r w:rsidR="001039D9">
        <w:rPr>
          <w:iCs/>
        </w:rPr>
        <w:t>observed</w:t>
      </w:r>
      <w:r w:rsidR="00A42607" w:rsidRPr="00B61AA1">
        <w:rPr>
          <w:iCs/>
        </w:rPr>
        <w:t>.</w:t>
      </w:r>
      <w:r w:rsidR="00701A47" w:rsidRPr="00B61AA1">
        <w:rPr>
          <w:iCs/>
        </w:rPr>
        <w:t xml:space="preserve"> </w:t>
      </w:r>
    </w:p>
    <w:p w14:paraId="534232C9" w14:textId="30811C7C" w:rsidR="009A2512" w:rsidRPr="00A64CA8" w:rsidRDefault="00A64CA8" w:rsidP="00A64CA8">
      <w:pPr>
        <w:widowControl w:val="0"/>
        <w:numPr>
          <w:ilvl w:val="1"/>
          <w:numId w:val="1"/>
        </w:numPr>
        <w:spacing w:after="120"/>
        <w:rPr>
          <w:rFonts w:asciiTheme="minorHAnsi" w:hAnsiTheme="minorHAnsi"/>
          <w:snapToGrid w:val="0"/>
          <w:lang w:val="en-GB"/>
        </w:rPr>
      </w:pPr>
      <w:r w:rsidRPr="00A64CA8">
        <w:rPr>
          <w:rFonts w:asciiTheme="minorHAnsi" w:hAnsiTheme="minorHAnsi"/>
          <w:snapToGrid w:val="0"/>
          <w:lang w:val="en-GB"/>
        </w:rPr>
        <w:t>The PBAC considered that a claim of inferior but manageable safety was reasonable</w:t>
      </w:r>
      <w:r w:rsidR="00A96327">
        <w:rPr>
          <w:rFonts w:asciiTheme="minorHAnsi" w:hAnsiTheme="minorHAnsi"/>
          <w:snapToGrid w:val="0"/>
          <w:lang w:val="en-GB"/>
        </w:rPr>
        <w:t>.</w:t>
      </w:r>
      <w:r w:rsidRPr="00A64CA8">
        <w:rPr>
          <w:rFonts w:asciiTheme="minorHAnsi" w:hAnsiTheme="minorHAnsi"/>
          <w:snapToGrid w:val="0"/>
          <w:lang w:val="en-GB"/>
        </w:rPr>
        <w:t xml:space="preserve"> </w:t>
      </w:r>
    </w:p>
    <w:p w14:paraId="65347818" w14:textId="0AC7F81D" w:rsidR="0032714A" w:rsidRPr="0032714A" w:rsidRDefault="001F4E5D" w:rsidP="0032714A">
      <w:pPr>
        <w:widowControl w:val="0"/>
        <w:numPr>
          <w:ilvl w:val="1"/>
          <w:numId w:val="1"/>
        </w:numPr>
        <w:spacing w:after="120"/>
        <w:rPr>
          <w:rFonts w:asciiTheme="minorHAnsi" w:hAnsiTheme="minorHAnsi"/>
          <w:snapToGrid w:val="0"/>
          <w:lang w:val="en-GB"/>
        </w:rPr>
      </w:pPr>
      <w:r>
        <w:rPr>
          <w:lang w:val="en-US"/>
        </w:rPr>
        <w:t xml:space="preserve">The PBAC </w:t>
      </w:r>
      <w:r w:rsidR="00F41DD3">
        <w:rPr>
          <w:lang w:val="en-US"/>
        </w:rPr>
        <w:t>noted that the economic model</w:t>
      </w:r>
      <w:r w:rsidR="0032714A" w:rsidRPr="0032714A">
        <w:rPr>
          <w:lang w:val="en-US"/>
        </w:rPr>
        <w:t xml:space="preserve"> </w:t>
      </w:r>
      <w:r w:rsidR="00F9519E">
        <w:rPr>
          <w:lang w:val="en-US"/>
        </w:rPr>
        <w:t>use</w:t>
      </w:r>
      <w:r w:rsidR="00F41DD3">
        <w:rPr>
          <w:lang w:val="en-US"/>
        </w:rPr>
        <w:t>d</w:t>
      </w:r>
      <w:r w:rsidR="00F9519E">
        <w:rPr>
          <w:lang w:val="en-US"/>
        </w:rPr>
        <w:t xml:space="preserve"> data from </w:t>
      </w:r>
      <w:r w:rsidR="0032714A" w:rsidRPr="0032714A">
        <w:rPr>
          <w:lang w:val="en-US"/>
        </w:rPr>
        <w:t xml:space="preserve">the subgroup </w:t>
      </w:r>
      <w:r w:rsidR="00F9519E">
        <w:rPr>
          <w:lang w:val="en-US"/>
        </w:rPr>
        <w:t xml:space="preserve">of patients </w:t>
      </w:r>
      <w:r w:rsidR="008F63A0">
        <w:rPr>
          <w:lang w:val="en-US"/>
        </w:rPr>
        <w:t xml:space="preserve">in the TULIP trials </w:t>
      </w:r>
      <w:r w:rsidR="0032714A" w:rsidRPr="0032714A">
        <w:rPr>
          <w:lang w:val="en-US"/>
        </w:rPr>
        <w:t xml:space="preserve">with </w:t>
      </w:r>
      <w:r w:rsidR="008F63A0">
        <w:rPr>
          <w:lang w:val="en-US"/>
        </w:rPr>
        <w:t xml:space="preserve">a </w:t>
      </w:r>
      <w:r w:rsidR="0032714A" w:rsidRPr="0032714A">
        <w:rPr>
          <w:lang w:val="en-US"/>
        </w:rPr>
        <w:t>SLEDAI-2K ≥</w:t>
      </w:r>
      <w:proofErr w:type="gramStart"/>
      <w:r w:rsidR="0032714A" w:rsidRPr="0032714A">
        <w:rPr>
          <w:lang w:val="en-US"/>
        </w:rPr>
        <w:t>10</w:t>
      </w:r>
      <w:r w:rsidR="00F41DD3">
        <w:rPr>
          <w:lang w:val="en-US"/>
        </w:rPr>
        <w:t>, and</w:t>
      </w:r>
      <w:proofErr w:type="gramEnd"/>
      <w:r w:rsidR="00F41DD3">
        <w:rPr>
          <w:lang w:val="en-US"/>
        </w:rPr>
        <w:t xml:space="preserve"> considered this</w:t>
      </w:r>
      <w:r w:rsidR="00F9519E">
        <w:rPr>
          <w:lang w:val="en-US"/>
        </w:rPr>
        <w:t xml:space="preserve"> was appropriate</w:t>
      </w:r>
      <w:r w:rsidR="0032714A" w:rsidRPr="0032714A">
        <w:rPr>
          <w:lang w:val="en-US"/>
        </w:rPr>
        <w:t xml:space="preserve">. </w:t>
      </w:r>
      <w:r w:rsidR="00F9519E">
        <w:rPr>
          <w:iCs/>
        </w:rPr>
        <w:t>T</w:t>
      </w:r>
      <w:r w:rsidR="00F9519E" w:rsidRPr="00F11EB3">
        <w:rPr>
          <w:iCs/>
        </w:rPr>
        <w:t xml:space="preserve">he </w:t>
      </w:r>
      <w:r w:rsidR="00F9519E">
        <w:rPr>
          <w:iCs/>
        </w:rPr>
        <w:t>PBAC</w:t>
      </w:r>
      <w:r w:rsidR="00F9519E" w:rsidRPr="00F11EB3">
        <w:rPr>
          <w:iCs/>
        </w:rPr>
        <w:t xml:space="preserve"> considered </w:t>
      </w:r>
      <w:r w:rsidR="008F63A0">
        <w:rPr>
          <w:iCs/>
        </w:rPr>
        <w:t xml:space="preserve">that </w:t>
      </w:r>
      <w:r w:rsidR="00F9519E" w:rsidRPr="00F11EB3">
        <w:rPr>
          <w:iCs/>
        </w:rPr>
        <w:t xml:space="preserve">the subgroup analyses </w:t>
      </w:r>
      <w:r w:rsidR="008F63A0" w:rsidRPr="00F11EB3">
        <w:rPr>
          <w:iCs/>
        </w:rPr>
        <w:t>presented</w:t>
      </w:r>
      <w:r w:rsidR="008F63A0">
        <w:rPr>
          <w:iCs/>
        </w:rPr>
        <w:t>,</w:t>
      </w:r>
      <w:r w:rsidR="008F63A0" w:rsidRPr="00F11EB3">
        <w:rPr>
          <w:iCs/>
        </w:rPr>
        <w:t xml:space="preserve"> </w:t>
      </w:r>
      <w:r w:rsidR="00F9519E" w:rsidRPr="00F11EB3">
        <w:rPr>
          <w:iCs/>
        </w:rPr>
        <w:t>while exploratory, did not raise concerns of potentially lower efficacy in the proposed PBS population.</w:t>
      </w:r>
      <w:r w:rsidR="00F9519E">
        <w:rPr>
          <w:lang w:val="en-US"/>
        </w:rPr>
        <w:t xml:space="preserve"> </w:t>
      </w:r>
    </w:p>
    <w:p w14:paraId="60AC6B4A" w14:textId="65386F6A" w:rsidR="008D0777" w:rsidRDefault="008D0777" w:rsidP="00550FB2">
      <w:pPr>
        <w:widowControl w:val="0"/>
        <w:numPr>
          <w:ilvl w:val="1"/>
          <w:numId w:val="1"/>
        </w:numPr>
        <w:spacing w:after="120"/>
        <w:rPr>
          <w:rFonts w:asciiTheme="minorHAnsi" w:hAnsiTheme="minorHAnsi"/>
          <w:snapToGrid w:val="0"/>
          <w:lang w:val="en-GB"/>
        </w:rPr>
      </w:pPr>
      <w:bookmarkStart w:id="87" w:name="_Ref110519173"/>
      <w:r>
        <w:rPr>
          <w:rFonts w:asciiTheme="minorHAnsi" w:hAnsiTheme="minorHAnsi"/>
          <w:snapToGrid w:val="0"/>
          <w:lang w:val="en-GB"/>
        </w:rPr>
        <w:t xml:space="preserve">The PBAC noted that </w:t>
      </w:r>
      <w:r w:rsidR="00DC5E23">
        <w:rPr>
          <w:rFonts w:asciiTheme="minorHAnsi" w:hAnsiTheme="minorHAnsi"/>
          <w:snapToGrid w:val="0"/>
          <w:lang w:val="en-GB"/>
        </w:rPr>
        <w:t xml:space="preserve">the </w:t>
      </w:r>
      <w:r>
        <w:rPr>
          <w:rFonts w:asciiTheme="minorHAnsi" w:hAnsiTheme="minorHAnsi"/>
          <w:snapToGrid w:val="0"/>
          <w:lang w:val="en-GB"/>
        </w:rPr>
        <w:t xml:space="preserve">ESC had raised </w:t>
      </w:r>
      <w:proofErr w:type="gramStart"/>
      <w:r>
        <w:rPr>
          <w:rFonts w:asciiTheme="minorHAnsi" w:hAnsiTheme="minorHAnsi"/>
          <w:snapToGrid w:val="0"/>
          <w:lang w:val="en-GB"/>
        </w:rPr>
        <w:t>a number of</w:t>
      </w:r>
      <w:proofErr w:type="gramEnd"/>
      <w:r>
        <w:rPr>
          <w:rFonts w:asciiTheme="minorHAnsi" w:hAnsiTheme="minorHAnsi"/>
          <w:snapToGrid w:val="0"/>
          <w:lang w:val="en-GB"/>
        </w:rPr>
        <w:t xml:space="preserve"> concerns with the economic model</w:t>
      </w:r>
      <w:r w:rsidR="00333D96">
        <w:rPr>
          <w:rFonts w:asciiTheme="minorHAnsi" w:hAnsiTheme="minorHAnsi"/>
          <w:snapToGrid w:val="0"/>
          <w:lang w:val="en-GB"/>
        </w:rPr>
        <w:t xml:space="preserve"> presented with the submission</w:t>
      </w:r>
      <w:r>
        <w:rPr>
          <w:rFonts w:asciiTheme="minorHAnsi" w:hAnsiTheme="minorHAnsi"/>
          <w:snapToGrid w:val="0"/>
          <w:lang w:val="en-GB"/>
        </w:rPr>
        <w:t xml:space="preserve"> including</w:t>
      </w:r>
      <w:r w:rsidR="0034702A">
        <w:rPr>
          <w:rFonts w:asciiTheme="minorHAnsi" w:hAnsiTheme="minorHAnsi"/>
          <w:snapToGrid w:val="0"/>
          <w:lang w:val="en-GB"/>
        </w:rPr>
        <w:t>:</w:t>
      </w:r>
      <w:bookmarkEnd w:id="87"/>
    </w:p>
    <w:p w14:paraId="22E6D6FA" w14:textId="533B56FE" w:rsidR="0034702A" w:rsidRDefault="00E52B85" w:rsidP="008F63A0">
      <w:pPr>
        <w:pStyle w:val="ListParagraph"/>
        <w:widowControl w:val="0"/>
        <w:numPr>
          <w:ilvl w:val="0"/>
          <w:numId w:val="31"/>
        </w:numPr>
        <w:spacing w:after="0"/>
        <w:ind w:left="1434" w:hanging="357"/>
        <w:rPr>
          <w:lang w:val="en-GB"/>
        </w:rPr>
      </w:pPr>
      <w:r>
        <w:rPr>
          <w:lang w:val="en-GB"/>
        </w:rPr>
        <w:t>t</w:t>
      </w:r>
      <w:r w:rsidR="008F63A0">
        <w:rPr>
          <w:lang w:val="en-GB"/>
        </w:rPr>
        <w:t xml:space="preserve">he trial follow-up (52 weeks) was </w:t>
      </w:r>
      <w:r w:rsidR="008F63A0" w:rsidRPr="008F63A0">
        <w:rPr>
          <w:lang w:val="en-GB"/>
        </w:rPr>
        <w:t>comparatively short in relation to the time horizon applied (30 years)</w:t>
      </w:r>
      <w:r w:rsidR="0034702A">
        <w:rPr>
          <w:lang w:val="en-GB"/>
        </w:rPr>
        <w:t>.</w:t>
      </w:r>
    </w:p>
    <w:p w14:paraId="737440F2" w14:textId="5CF936DC" w:rsidR="008F63A0" w:rsidRDefault="00E52B85" w:rsidP="008F63A0">
      <w:pPr>
        <w:pStyle w:val="ListParagraph"/>
        <w:widowControl w:val="0"/>
        <w:numPr>
          <w:ilvl w:val="0"/>
          <w:numId w:val="31"/>
        </w:numPr>
        <w:spacing w:after="0"/>
        <w:ind w:left="1434" w:hanging="357"/>
        <w:rPr>
          <w:lang w:val="en-GB"/>
        </w:rPr>
      </w:pPr>
      <w:r>
        <w:rPr>
          <w:lang w:val="en-GB"/>
        </w:rPr>
        <w:t>t</w:t>
      </w:r>
      <w:r w:rsidR="0034702A">
        <w:rPr>
          <w:lang w:val="en-GB"/>
        </w:rPr>
        <w:t xml:space="preserve">here was a </w:t>
      </w:r>
      <w:r w:rsidR="008F63A0" w:rsidRPr="008F63A0">
        <w:rPr>
          <w:lang w:val="en-GB"/>
        </w:rPr>
        <w:t>lack of direct evidence on organ damage and mortality</w:t>
      </w:r>
      <w:r>
        <w:rPr>
          <w:lang w:val="en-GB"/>
        </w:rPr>
        <w:t xml:space="preserve"> and</w:t>
      </w:r>
      <w:r w:rsidR="0034702A" w:rsidRPr="00A80DA9">
        <w:rPr>
          <w:lang w:val="en-GB"/>
        </w:rPr>
        <w:t xml:space="preserve"> limited clinical evidence of the relationship between SLEDAI-2K and the long-term outcomes to which it contributed</w:t>
      </w:r>
      <w:r w:rsidR="0034702A">
        <w:rPr>
          <w:lang w:val="en-GB"/>
        </w:rPr>
        <w:t xml:space="preserve">. </w:t>
      </w:r>
    </w:p>
    <w:p w14:paraId="3D66672B" w14:textId="05A85FCC" w:rsidR="0034702A" w:rsidRPr="0034702A" w:rsidRDefault="00E52B85" w:rsidP="00E52B85">
      <w:pPr>
        <w:pStyle w:val="ListBullet"/>
        <w:tabs>
          <w:tab w:val="clear" w:pos="360"/>
          <w:tab w:val="num" w:pos="1380"/>
        </w:tabs>
        <w:spacing w:after="120"/>
        <w:ind w:left="1378" w:hanging="357"/>
        <w:rPr>
          <w:lang w:val="en-GB"/>
        </w:rPr>
      </w:pPr>
      <w:r>
        <w:rPr>
          <w:iCs/>
        </w:rPr>
        <w:t>the</w:t>
      </w:r>
      <w:r w:rsidRPr="00554A38">
        <w:rPr>
          <w:iCs/>
        </w:rPr>
        <w:t xml:space="preserve"> multicollinearity of regressors, </w:t>
      </w:r>
      <w:r>
        <w:rPr>
          <w:iCs/>
        </w:rPr>
        <w:t xml:space="preserve">the </w:t>
      </w:r>
      <w:r w:rsidRPr="00554A38">
        <w:rPr>
          <w:iCs/>
        </w:rPr>
        <w:t>appropriateness of model fit</w:t>
      </w:r>
      <w:r>
        <w:rPr>
          <w:iCs/>
        </w:rPr>
        <w:t xml:space="preserve"> and</w:t>
      </w:r>
      <w:r w:rsidRPr="00554A38">
        <w:rPr>
          <w:iCs/>
        </w:rPr>
        <w:t xml:space="preserve"> the extrapolation of the regression coefficients across the time horizon</w:t>
      </w:r>
      <w:r>
        <w:rPr>
          <w:lang w:val="en-GB"/>
        </w:rPr>
        <w:t xml:space="preserve"> (as outlined in paragraph </w:t>
      </w:r>
      <w:r>
        <w:rPr>
          <w:lang w:val="en-GB"/>
        </w:rPr>
        <w:fldChar w:fldCharType="begin"/>
      </w:r>
      <w:r>
        <w:rPr>
          <w:lang w:val="en-GB"/>
        </w:rPr>
        <w:instrText xml:space="preserve"> REF _Ref110516928 \r \h </w:instrText>
      </w:r>
      <w:r>
        <w:rPr>
          <w:lang w:val="en-GB"/>
        </w:rPr>
      </w:r>
      <w:r>
        <w:rPr>
          <w:lang w:val="en-GB"/>
        </w:rPr>
        <w:fldChar w:fldCharType="separate"/>
      </w:r>
      <w:r w:rsidR="00942C22">
        <w:rPr>
          <w:lang w:val="en-GB"/>
        </w:rPr>
        <w:t>6.42</w:t>
      </w:r>
      <w:r>
        <w:rPr>
          <w:lang w:val="en-GB"/>
        </w:rPr>
        <w:fldChar w:fldCharType="end"/>
      </w:r>
      <w:r>
        <w:rPr>
          <w:lang w:val="en-GB"/>
        </w:rPr>
        <w:t xml:space="preserve">). Further, ESC considered </w:t>
      </w:r>
      <w:r w:rsidR="0034702A">
        <w:rPr>
          <w:lang w:val="en-GB"/>
        </w:rPr>
        <w:t>there was</w:t>
      </w:r>
      <w:r w:rsidR="0034702A" w:rsidRPr="00A80DA9">
        <w:rPr>
          <w:lang w:val="en-GB"/>
        </w:rPr>
        <w:t xml:space="preserve"> a high chance of double counting the SLEDAI-2K effect</w:t>
      </w:r>
      <w:r w:rsidR="0034702A">
        <w:rPr>
          <w:lang w:val="en-GB"/>
        </w:rPr>
        <w:t xml:space="preserve"> (as outlined in paragraph </w:t>
      </w:r>
      <w:r w:rsidR="0034702A">
        <w:rPr>
          <w:lang w:val="en-GB"/>
        </w:rPr>
        <w:fldChar w:fldCharType="begin"/>
      </w:r>
      <w:r w:rsidR="0034702A">
        <w:rPr>
          <w:lang w:val="en-GB"/>
        </w:rPr>
        <w:instrText xml:space="preserve"> REF _Ref110516663 \r \h </w:instrText>
      </w:r>
      <w:r w:rsidR="0034702A">
        <w:rPr>
          <w:lang w:val="en-GB"/>
        </w:rPr>
      </w:r>
      <w:r w:rsidR="0034702A">
        <w:rPr>
          <w:lang w:val="en-GB"/>
        </w:rPr>
        <w:fldChar w:fldCharType="separate"/>
      </w:r>
      <w:r w:rsidR="00942C22">
        <w:rPr>
          <w:lang w:val="en-GB"/>
        </w:rPr>
        <w:t>6.39</w:t>
      </w:r>
      <w:r w:rsidR="0034702A">
        <w:rPr>
          <w:lang w:val="en-GB"/>
        </w:rPr>
        <w:fldChar w:fldCharType="end"/>
      </w:r>
      <w:r w:rsidR="0034702A">
        <w:rPr>
          <w:lang w:val="en-GB"/>
        </w:rPr>
        <w:t>)</w:t>
      </w:r>
      <w:r w:rsidR="00F641D8">
        <w:rPr>
          <w:lang w:val="en-GB"/>
        </w:rPr>
        <w:t>.</w:t>
      </w:r>
      <w:r w:rsidR="0034702A">
        <w:rPr>
          <w:lang w:val="en-GB"/>
        </w:rPr>
        <w:t xml:space="preserve"> </w:t>
      </w:r>
    </w:p>
    <w:p w14:paraId="4AD038C8" w14:textId="3D17E73E" w:rsidR="008D0777" w:rsidRDefault="00A80DA9" w:rsidP="00550FB2">
      <w:pPr>
        <w:widowControl w:val="0"/>
        <w:numPr>
          <w:ilvl w:val="1"/>
          <w:numId w:val="1"/>
        </w:numPr>
        <w:spacing w:after="120"/>
        <w:rPr>
          <w:rFonts w:asciiTheme="minorHAnsi" w:hAnsiTheme="minorHAnsi"/>
          <w:snapToGrid w:val="0"/>
          <w:lang w:val="en-GB"/>
        </w:rPr>
      </w:pPr>
      <w:bookmarkStart w:id="88" w:name="_Ref110519176"/>
      <w:r>
        <w:rPr>
          <w:rFonts w:asciiTheme="minorHAnsi" w:hAnsiTheme="minorHAnsi"/>
          <w:snapToGrid w:val="0"/>
          <w:lang w:val="en-GB"/>
        </w:rPr>
        <w:t>Further, t</w:t>
      </w:r>
      <w:r w:rsidR="008D0777">
        <w:rPr>
          <w:rFonts w:asciiTheme="minorHAnsi" w:hAnsiTheme="minorHAnsi"/>
          <w:snapToGrid w:val="0"/>
          <w:lang w:val="en-GB"/>
        </w:rPr>
        <w:t xml:space="preserve">he PBAC considered that </w:t>
      </w:r>
      <w:r w:rsidR="00AE5D25">
        <w:rPr>
          <w:rFonts w:asciiTheme="minorHAnsi" w:hAnsiTheme="minorHAnsi"/>
          <w:snapToGrid w:val="0"/>
          <w:lang w:val="en-GB"/>
        </w:rPr>
        <w:t xml:space="preserve">some </w:t>
      </w:r>
      <w:r w:rsidR="008D0777">
        <w:rPr>
          <w:rFonts w:asciiTheme="minorHAnsi" w:hAnsiTheme="minorHAnsi"/>
          <w:snapToGrid w:val="0"/>
          <w:lang w:val="en-GB"/>
        </w:rPr>
        <w:t xml:space="preserve">outputs of the </w:t>
      </w:r>
      <w:r w:rsidR="00DC5E23">
        <w:rPr>
          <w:rFonts w:asciiTheme="minorHAnsi" w:hAnsiTheme="minorHAnsi"/>
          <w:snapToGrid w:val="0"/>
          <w:lang w:val="en-GB"/>
        </w:rPr>
        <w:t>economic</w:t>
      </w:r>
      <w:r w:rsidR="008D0777">
        <w:rPr>
          <w:rFonts w:asciiTheme="minorHAnsi" w:hAnsiTheme="minorHAnsi"/>
          <w:snapToGrid w:val="0"/>
          <w:lang w:val="en-GB"/>
        </w:rPr>
        <w:t xml:space="preserve"> model did not appear </w:t>
      </w:r>
      <w:r w:rsidR="00DC5E23">
        <w:rPr>
          <w:rFonts w:asciiTheme="minorHAnsi" w:hAnsiTheme="minorHAnsi"/>
          <w:snapToGrid w:val="0"/>
          <w:lang w:val="en-GB"/>
        </w:rPr>
        <w:t xml:space="preserve">to be </w:t>
      </w:r>
      <w:r w:rsidR="008D0777">
        <w:rPr>
          <w:rFonts w:asciiTheme="minorHAnsi" w:hAnsiTheme="minorHAnsi"/>
          <w:snapToGrid w:val="0"/>
          <w:lang w:val="en-GB"/>
        </w:rPr>
        <w:t>clinically plausible:</w:t>
      </w:r>
      <w:bookmarkEnd w:id="88"/>
    </w:p>
    <w:p w14:paraId="14F15FB8" w14:textId="16D7327A" w:rsidR="008D0777" w:rsidRDefault="00872AB4" w:rsidP="006107F0">
      <w:pPr>
        <w:pStyle w:val="ListParagraph"/>
        <w:widowControl w:val="0"/>
        <w:numPr>
          <w:ilvl w:val="0"/>
          <w:numId w:val="31"/>
        </w:numPr>
        <w:spacing w:after="0"/>
        <w:ind w:left="1434" w:hanging="357"/>
        <w:rPr>
          <w:lang w:val="en-GB"/>
        </w:rPr>
      </w:pPr>
      <w:r>
        <w:rPr>
          <w:lang w:val="en-GB"/>
        </w:rPr>
        <w:t xml:space="preserve">the PBAC noted </w:t>
      </w:r>
      <w:r w:rsidR="00854D1B">
        <w:rPr>
          <w:lang w:val="en-GB"/>
        </w:rPr>
        <w:fldChar w:fldCharType="begin"/>
      </w:r>
      <w:r w:rsidR="00854D1B">
        <w:rPr>
          <w:lang w:val="en-GB"/>
        </w:rPr>
        <w:instrText xml:space="preserve"> REF _Ref102828988 \h  \* MERGEFORMAT </w:instrText>
      </w:r>
      <w:r w:rsidR="00854D1B">
        <w:rPr>
          <w:lang w:val="en-GB"/>
        </w:rPr>
      </w:r>
      <w:r w:rsidR="00854D1B">
        <w:rPr>
          <w:lang w:val="en-GB"/>
        </w:rPr>
        <w:fldChar w:fldCharType="separate"/>
      </w:r>
      <w:r w:rsidR="00942C22" w:rsidRPr="00942C22">
        <w:rPr>
          <w:lang w:val="en-GB"/>
        </w:rPr>
        <w:t>Figure 3</w:t>
      </w:r>
      <w:r w:rsidR="00854D1B">
        <w:rPr>
          <w:lang w:val="en-GB"/>
        </w:rPr>
        <w:fldChar w:fldCharType="end"/>
      </w:r>
      <w:r w:rsidR="00854D1B">
        <w:rPr>
          <w:lang w:val="en-GB"/>
        </w:rPr>
        <w:t xml:space="preserve">, </w:t>
      </w:r>
      <w:r>
        <w:rPr>
          <w:lang w:val="en-GB"/>
        </w:rPr>
        <w:t xml:space="preserve">which shows </w:t>
      </w:r>
      <w:r w:rsidR="00854D1B">
        <w:rPr>
          <w:lang w:val="en-GB"/>
        </w:rPr>
        <w:t>the modelled changes in SLEDAI-2K for a particular simulated patient</w:t>
      </w:r>
      <w:r>
        <w:rPr>
          <w:lang w:val="en-GB"/>
        </w:rPr>
        <w:t>. The PBAC considered the changes in SLEDAI-2K</w:t>
      </w:r>
      <w:r w:rsidR="00854D1B">
        <w:rPr>
          <w:lang w:val="en-GB"/>
        </w:rPr>
        <w:t xml:space="preserve"> were implausible as the patient discontinued </w:t>
      </w:r>
      <w:proofErr w:type="spellStart"/>
      <w:r w:rsidR="00854D1B">
        <w:rPr>
          <w:lang w:val="en-GB"/>
        </w:rPr>
        <w:t>anifrolumab</w:t>
      </w:r>
      <w:proofErr w:type="spellEnd"/>
      <w:r w:rsidR="00854D1B">
        <w:rPr>
          <w:lang w:val="en-GB"/>
        </w:rPr>
        <w:t xml:space="preserve"> at Year 1, however the greatest difference between the arms </w:t>
      </w:r>
      <w:r w:rsidR="00B238DC">
        <w:rPr>
          <w:lang w:val="en-GB"/>
        </w:rPr>
        <w:t xml:space="preserve">in SLEDAI-2K </w:t>
      </w:r>
      <w:r w:rsidR="00854D1B">
        <w:rPr>
          <w:lang w:val="en-GB"/>
        </w:rPr>
        <w:t>occur</w:t>
      </w:r>
      <w:r w:rsidR="00DC5E23">
        <w:rPr>
          <w:lang w:val="en-GB"/>
        </w:rPr>
        <w:t>r</w:t>
      </w:r>
      <w:r>
        <w:rPr>
          <w:lang w:val="en-GB"/>
        </w:rPr>
        <w:t>ed</w:t>
      </w:r>
      <w:r w:rsidR="00854D1B">
        <w:rPr>
          <w:lang w:val="en-GB"/>
        </w:rPr>
        <w:t xml:space="preserve"> after Year 10. The PBAC considered that it was </w:t>
      </w:r>
      <w:r w:rsidR="00A80DA9">
        <w:rPr>
          <w:lang w:val="en-GB"/>
        </w:rPr>
        <w:t>unreasonabl</w:t>
      </w:r>
      <w:r w:rsidR="00854D1B">
        <w:rPr>
          <w:lang w:val="en-GB"/>
        </w:rPr>
        <w:t xml:space="preserve">e </w:t>
      </w:r>
      <w:r w:rsidR="00B238DC">
        <w:rPr>
          <w:lang w:val="en-GB"/>
        </w:rPr>
        <w:t>that</w:t>
      </w:r>
      <w:r w:rsidR="00854D1B">
        <w:rPr>
          <w:lang w:val="en-GB"/>
        </w:rPr>
        <w:t xml:space="preserve"> </w:t>
      </w:r>
      <w:r w:rsidR="008D0777" w:rsidRPr="008D0777">
        <w:rPr>
          <w:lang w:val="en-GB"/>
        </w:rPr>
        <w:t xml:space="preserve">differences </w:t>
      </w:r>
      <w:r w:rsidR="00A80DA9">
        <w:rPr>
          <w:lang w:val="en-GB"/>
        </w:rPr>
        <w:t>would commence</w:t>
      </w:r>
      <w:r w:rsidR="008D0777" w:rsidRPr="008D0777">
        <w:rPr>
          <w:lang w:val="en-GB"/>
        </w:rPr>
        <w:t xml:space="preserve"> so </w:t>
      </w:r>
      <w:r w:rsidR="00854D1B">
        <w:rPr>
          <w:lang w:val="en-GB"/>
        </w:rPr>
        <w:t>long after the patient</w:t>
      </w:r>
      <w:r w:rsidR="008D0777" w:rsidRPr="008D0777">
        <w:rPr>
          <w:lang w:val="en-GB"/>
        </w:rPr>
        <w:t xml:space="preserve"> had discontinued</w:t>
      </w:r>
      <w:r w:rsidR="00854D1B">
        <w:rPr>
          <w:lang w:val="en-GB"/>
        </w:rPr>
        <w:t xml:space="preserve"> </w:t>
      </w:r>
      <w:proofErr w:type="spellStart"/>
      <w:r w:rsidR="00854D1B">
        <w:rPr>
          <w:lang w:val="en-GB"/>
        </w:rPr>
        <w:t>anifrolumab</w:t>
      </w:r>
      <w:proofErr w:type="spellEnd"/>
      <w:r w:rsidR="00854D1B">
        <w:rPr>
          <w:lang w:val="en-GB"/>
        </w:rPr>
        <w:t xml:space="preserve"> therapy</w:t>
      </w:r>
      <w:r w:rsidR="00F41DD3">
        <w:rPr>
          <w:lang w:val="en-GB"/>
        </w:rPr>
        <w:t>.</w:t>
      </w:r>
      <w:r w:rsidR="00854D1B">
        <w:rPr>
          <w:lang w:val="en-GB"/>
        </w:rPr>
        <w:t xml:space="preserve"> </w:t>
      </w:r>
    </w:p>
    <w:p w14:paraId="6E3A22CD" w14:textId="5B5193A9" w:rsidR="008D0777" w:rsidRDefault="00DC5E23" w:rsidP="006107F0">
      <w:pPr>
        <w:pStyle w:val="ListParagraph"/>
        <w:widowControl w:val="0"/>
        <w:numPr>
          <w:ilvl w:val="0"/>
          <w:numId w:val="31"/>
        </w:numPr>
        <w:spacing w:after="0"/>
        <w:ind w:left="1434" w:hanging="357"/>
      </w:pPr>
      <w:r>
        <w:t xml:space="preserve">the PBAC noted there was a </w:t>
      </w:r>
      <w:r w:rsidRPr="000D2C16">
        <w:t xml:space="preserve">10% difference </w:t>
      </w:r>
      <w:r>
        <w:t xml:space="preserve">in survival between the arms </w:t>
      </w:r>
      <w:r w:rsidRPr="000D2C16">
        <w:t xml:space="preserve">at </w:t>
      </w:r>
      <w:r w:rsidRPr="00603AFC">
        <w:t>Year 30</w:t>
      </w:r>
      <w:r>
        <w:t xml:space="preserve"> (as shown in </w:t>
      </w:r>
      <w:r>
        <w:fldChar w:fldCharType="begin"/>
      </w:r>
      <w:r>
        <w:instrText xml:space="preserve"> REF _Ref103692239 \h  \* MERGEFORMAT </w:instrText>
      </w:r>
      <w:r>
        <w:fldChar w:fldCharType="separate"/>
      </w:r>
      <w:r w:rsidR="00942C22" w:rsidRPr="00942C22">
        <w:t>Figure 4</w:t>
      </w:r>
      <w:r>
        <w:fldChar w:fldCharType="end"/>
      </w:r>
      <w:r>
        <w:t xml:space="preserve">) despite fewer than </w:t>
      </w:r>
      <w:r w:rsidRPr="00DC5E23">
        <w:t xml:space="preserve">10% </w:t>
      </w:r>
      <w:r>
        <w:t xml:space="preserve">of </w:t>
      </w:r>
      <w:r w:rsidRPr="00DC5E23">
        <w:t xml:space="preserve">patients still </w:t>
      </w:r>
      <w:r>
        <w:t xml:space="preserve">being </w:t>
      </w:r>
      <w:r w:rsidRPr="00DC5E23">
        <w:t>on treatment at Year 15</w:t>
      </w:r>
      <w:r>
        <w:t xml:space="preserve">. </w:t>
      </w:r>
    </w:p>
    <w:p w14:paraId="1CC4C1E1" w14:textId="01067499" w:rsidR="00DC5E23" w:rsidRDefault="00A80DA9" w:rsidP="006C5727">
      <w:pPr>
        <w:pStyle w:val="ListBullet"/>
        <w:tabs>
          <w:tab w:val="clear" w:pos="360"/>
          <w:tab w:val="num" w:pos="1380"/>
        </w:tabs>
        <w:spacing w:after="120"/>
        <w:ind w:left="1378" w:hanging="357"/>
      </w:pPr>
      <w:r>
        <w:rPr>
          <w:rFonts w:asciiTheme="minorHAnsi" w:hAnsiTheme="minorHAnsi"/>
          <w:iCs/>
          <w:snapToGrid w:val="0"/>
        </w:rPr>
        <w:t>c</w:t>
      </w:r>
      <w:r w:rsidR="00DC5E23">
        <w:rPr>
          <w:rFonts w:asciiTheme="minorHAnsi" w:hAnsiTheme="minorHAnsi"/>
          <w:iCs/>
          <w:snapToGrid w:val="0"/>
        </w:rPr>
        <w:t xml:space="preserve">ompared with data from the </w:t>
      </w:r>
      <w:r w:rsidR="00DC5E23" w:rsidRPr="00DC5E23">
        <w:rPr>
          <w:rFonts w:asciiTheme="minorHAnsi" w:hAnsiTheme="minorHAnsi"/>
          <w:iCs/>
          <w:snapToGrid w:val="0"/>
        </w:rPr>
        <w:t>Australian Lupus Registry and Biobank</w:t>
      </w:r>
      <w:r w:rsidR="00DC5E23">
        <w:rPr>
          <w:rFonts w:asciiTheme="minorHAnsi" w:hAnsiTheme="minorHAnsi"/>
          <w:iCs/>
          <w:snapToGrid w:val="0"/>
        </w:rPr>
        <w:t xml:space="preserve">, the </w:t>
      </w:r>
      <w:r w:rsidR="00DC5E23" w:rsidRPr="00603AFC">
        <w:rPr>
          <w:rFonts w:asciiTheme="minorHAnsi" w:hAnsiTheme="minorHAnsi"/>
          <w:iCs/>
          <w:snapToGrid w:val="0"/>
        </w:rPr>
        <w:t xml:space="preserve">model appeared to overestimate the average mean SLEDAI-2K for patients receiving only SOC </w:t>
      </w:r>
      <w:r w:rsidR="00DC5E23">
        <w:rPr>
          <w:rFonts w:asciiTheme="minorHAnsi" w:hAnsiTheme="minorHAnsi"/>
          <w:iCs/>
          <w:snapToGrid w:val="0"/>
        </w:rPr>
        <w:t xml:space="preserve">(as shown in </w:t>
      </w:r>
      <w:r w:rsidR="00DC5E23" w:rsidRPr="00603AFC">
        <w:rPr>
          <w:rFonts w:asciiTheme="minorHAnsi" w:hAnsiTheme="minorHAnsi"/>
          <w:iCs/>
          <w:snapToGrid w:val="0"/>
        </w:rPr>
        <w:fldChar w:fldCharType="begin"/>
      </w:r>
      <w:r w:rsidR="00DC5E23" w:rsidRPr="00603AFC">
        <w:rPr>
          <w:rFonts w:asciiTheme="minorHAnsi" w:hAnsiTheme="minorHAnsi"/>
          <w:iCs/>
          <w:snapToGrid w:val="0"/>
        </w:rPr>
        <w:instrText xml:space="preserve"> REF _Ref102830645  \* MERGEFORMAT </w:instrText>
      </w:r>
      <w:r w:rsidR="00DC5E23" w:rsidRPr="00603AFC">
        <w:rPr>
          <w:rFonts w:asciiTheme="minorHAnsi" w:hAnsiTheme="minorHAnsi"/>
          <w:iCs/>
          <w:snapToGrid w:val="0"/>
        </w:rPr>
        <w:fldChar w:fldCharType="separate"/>
      </w:r>
      <w:r w:rsidR="00942C22" w:rsidRPr="00942C22">
        <w:rPr>
          <w:rFonts w:asciiTheme="minorHAnsi" w:hAnsiTheme="minorHAnsi"/>
          <w:iCs/>
          <w:snapToGrid w:val="0"/>
        </w:rPr>
        <w:t>Figure 6</w:t>
      </w:r>
      <w:r w:rsidR="00DC5E23" w:rsidRPr="00603AFC">
        <w:rPr>
          <w:rFonts w:asciiTheme="minorHAnsi" w:hAnsiTheme="minorHAnsi"/>
          <w:iCs/>
          <w:snapToGrid w:val="0"/>
        </w:rPr>
        <w:fldChar w:fldCharType="end"/>
      </w:r>
      <w:r w:rsidR="00DC5E23" w:rsidRPr="00603AFC">
        <w:rPr>
          <w:rFonts w:asciiTheme="minorHAnsi" w:hAnsiTheme="minorHAnsi"/>
          <w:iCs/>
          <w:snapToGrid w:val="0"/>
        </w:rPr>
        <w:t>).</w:t>
      </w:r>
      <w:r w:rsidR="00DC5E23">
        <w:t xml:space="preserve"> </w:t>
      </w:r>
    </w:p>
    <w:p w14:paraId="20B5778B" w14:textId="6AD9AF0A" w:rsidR="008F63A0" w:rsidRPr="00152E7C" w:rsidRDefault="0034702A" w:rsidP="008F63A0">
      <w:pPr>
        <w:pStyle w:val="ListBullet"/>
        <w:tabs>
          <w:tab w:val="clear" w:pos="360"/>
          <w:tab w:val="num" w:pos="1380"/>
        </w:tabs>
        <w:spacing w:after="120"/>
        <w:ind w:left="1378" w:hanging="357"/>
        <w:rPr>
          <w:lang w:val="en-GB"/>
        </w:rPr>
      </w:pPr>
      <w:r>
        <w:rPr>
          <w:lang w:val="en-GB"/>
        </w:rPr>
        <w:t xml:space="preserve">small changes in flare duration had very large impacts on the ICER, which the PBAC considered may not be plausible. Further, the PBAC considered that flare duration was </w:t>
      </w:r>
      <w:r w:rsidR="008F63A0">
        <w:rPr>
          <w:lang w:val="en-GB"/>
        </w:rPr>
        <w:t>likely overestimated in the model.</w:t>
      </w:r>
    </w:p>
    <w:p w14:paraId="007158A4" w14:textId="184054F4" w:rsidR="008D0777" w:rsidRPr="008D0777" w:rsidRDefault="008D0777" w:rsidP="00591AD5">
      <w:pPr>
        <w:widowControl w:val="0"/>
        <w:numPr>
          <w:ilvl w:val="1"/>
          <w:numId w:val="1"/>
        </w:numPr>
        <w:spacing w:after="120"/>
        <w:rPr>
          <w:rFonts w:asciiTheme="minorHAnsi" w:hAnsiTheme="minorHAnsi"/>
          <w:snapToGrid w:val="0"/>
          <w:lang w:val="en-GB"/>
        </w:rPr>
      </w:pPr>
      <w:bookmarkStart w:id="89" w:name="_Ref110519178"/>
      <w:r w:rsidRPr="00B238DC">
        <w:rPr>
          <w:rFonts w:asciiTheme="minorHAnsi" w:hAnsiTheme="minorHAnsi"/>
          <w:snapToGrid w:val="0"/>
          <w:lang w:val="en-GB"/>
        </w:rPr>
        <w:t>Overall</w:t>
      </w:r>
      <w:r>
        <w:rPr>
          <w:rFonts w:asciiTheme="minorHAnsi" w:hAnsiTheme="minorHAnsi"/>
          <w:snapToGrid w:val="0"/>
          <w:lang w:val="en-GB"/>
        </w:rPr>
        <w:t xml:space="preserve">, the PBAC considered that the ICER was highly uncertain and favourable to </w:t>
      </w:r>
      <w:proofErr w:type="spellStart"/>
      <w:r>
        <w:rPr>
          <w:rFonts w:asciiTheme="minorHAnsi" w:hAnsiTheme="minorHAnsi"/>
          <w:snapToGrid w:val="0"/>
          <w:lang w:val="en-GB"/>
        </w:rPr>
        <w:lastRenderedPageBreak/>
        <w:t>anifrolumab</w:t>
      </w:r>
      <w:proofErr w:type="spellEnd"/>
      <w:r>
        <w:rPr>
          <w:rFonts w:asciiTheme="minorHAnsi" w:hAnsiTheme="minorHAnsi"/>
          <w:snapToGrid w:val="0"/>
          <w:lang w:val="en-GB"/>
        </w:rPr>
        <w:t xml:space="preserve">. </w:t>
      </w:r>
      <w:r w:rsidRPr="008D0777">
        <w:rPr>
          <w:rFonts w:asciiTheme="minorHAnsi" w:hAnsiTheme="minorHAnsi"/>
          <w:snapToGrid w:val="0"/>
          <w:lang w:val="en-GB"/>
        </w:rPr>
        <w:t>The PBAC considered that a revised economic model</w:t>
      </w:r>
      <w:r w:rsidR="00333D96">
        <w:rPr>
          <w:rFonts w:asciiTheme="minorHAnsi" w:hAnsiTheme="minorHAnsi"/>
          <w:snapToGrid w:val="0"/>
          <w:lang w:val="en-GB"/>
        </w:rPr>
        <w:t xml:space="preserve"> addressing the ESC’s concerns</w:t>
      </w:r>
      <w:r w:rsidRPr="008D0777">
        <w:rPr>
          <w:rFonts w:asciiTheme="minorHAnsi" w:hAnsiTheme="minorHAnsi"/>
          <w:snapToGrid w:val="0"/>
          <w:lang w:val="en-GB"/>
        </w:rPr>
        <w:t>, along with a price reduction, would be required to achieve a</w:t>
      </w:r>
      <w:r w:rsidR="00E14E17">
        <w:rPr>
          <w:rFonts w:asciiTheme="minorHAnsi" w:hAnsiTheme="minorHAnsi"/>
          <w:snapToGrid w:val="0"/>
          <w:lang w:val="en-GB"/>
        </w:rPr>
        <w:t>cceptable</w:t>
      </w:r>
      <w:r w:rsidRPr="008D0777">
        <w:rPr>
          <w:rFonts w:asciiTheme="minorHAnsi" w:hAnsiTheme="minorHAnsi"/>
          <w:snapToGrid w:val="0"/>
          <w:lang w:val="en-GB"/>
        </w:rPr>
        <w:t xml:space="preserve"> cost-effective</w:t>
      </w:r>
      <w:r w:rsidR="00E14E17">
        <w:rPr>
          <w:rFonts w:asciiTheme="minorHAnsi" w:hAnsiTheme="minorHAnsi"/>
          <w:snapToGrid w:val="0"/>
          <w:lang w:val="en-GB"/>
        </w:rPr>
        <w:t>ness</w:t>
      </w:r>
      <w:r w:rsidRPr="008D0777">
        <w:rPr>
          <w:rFonts w:asciiTheme="minorHAnsi" w:hAnsiTheme="minorHAnsi"/>
          <w:snapToGrid w:val="0"/>
          <w:lang w:val="en-GB"/>
        </w:rPr>
        <w:t>.</w:t>
      </w:r>
      <w:bookmarkEnd w:id="89"/>
    </w:p>
    <w:p w14:paraId="426E254E" w14:textId="3FF530B3" w:rsidR="00591AD5" w:rsidRPr="00591AD5" w:rsidRDefault="00591AD5" w:rsidP="00841364">
      <w:pPr>
        <w:widowControl w:val="0"/>
        <w:numPr>
          <w:ilvl w:val="1"/>
          <w:numId w:val="1"/>
        </w:numPr>
        <w:spacing w:after="120"/>
      </w:pPr>
      <w:bookmarkStart w:id="90" w:name="_Ref110346315"/>
      <w:r>
        <w:rPr>
          <w:rFonts w:asciiTheme="minorHAnsi" w:hAnsiTheme="minorHAnsi"/>
          <w:snapToGrid w:val="0"/>
          <w:lang w:val="en-GB"/>
        </w:rPr>
        <w:t xml:space="preserve">The PBAC noted that </w:t>
      </w:r>
      <w:r w:rsidR="00AD4BE0">
        <w:rPr>
          <w:rFonts w:asciiTheme="minorHAnsi" w:hAnsiTheme="minorHAnsi"/>
          <w:snapToGrid w:val="0"/>
          <w:lang w:val="en-GB"/>
        </w:rPr>
        <w:t xml:space="preserve">the </w:t>
      </w:r>
      <w:r w:rsidR="00942C22">
        <w:rPr>
          <w:rFonts w:asciiTheme="minorHAnsi" w:hAnsiTheme="minorHAnsi"/>
          <w:snapToGrid w:val="0"/>
          <w:lang w:val="en-GB"/>
        </w:rPr>
        <w:t>net cost to the PBS/RPBS and MBS was</w:t>
      </w:r>
      <w:r w:rsidR="00AD4BE0">
        <w:rPr>
          <w:rFonts w:asciiTheme="minorHAnsi" w:hAnsiTheme="minorHAnsi"/>
          <w:snapToGrid w:val="0"/>
          <w:lang w:val="en-GB"/>
        </w:rPr>
        <w:t xml:space="preserve"> revised from </w:t>
      </w:r>
      <w:r w:rsidR="00B572B1">
        <w:rPr>
          <w:rFonts w:asciiTheme="minorHAnsi" w:hAnsiTheme="minorHAnsi"/>
          <w:snapToGrid w:val="0"/>
          <w:lang w:val="en-GB"/>
        </w:rPr>
        <w:t xml:space="preserve">$600 million to &lt; $700 million </w:t>
      </w:r>
      <w:r w:rsidR="00AD4BE0">
        <w:rPr>
          <w:rFonts w:asciiTheme="minorHAnsi" w:hAnsiTheme="minorHAnsi"/>
          <w:snapToGrid w:val="0"/>
          <w:lang w:val="en-GB"/>
        </w:rPr>
        <w:t xml:space="preserve">over six years in the submission to </w:t>
      </w:r>
      <w:r w:rsidR="00B572B1">
        <w:rPr>
          <w:rFonts w:asciiTheme="minorHAnsi" w:hAnsiTheme="minorHAnsi"/>
          <w:snapToGrid w:val="0"/>
          <w:lang w:val="en-GB"/>
        </w:rPr>
        <w:t>$200 million to &lt; $300 million</w:t>
      </w:r>
      <w:r w:rsidR="00AD4BE0">
        <w:rPr>
          <w:rFonts w:asciiTheme="minorHAnsi" w:hAnsiTheme="minorHAnsi"/>
          <w:snapToGrid w:val="0"/>
          <w:lang w:val="en-GB"/>
        </w:rPr>
        <w:t xml:space="preserve"> in the pre-PBAC response</w:t>
      </w:r>
      <w:r w:rsidR="00B64D20">
        <w:rPr>
          <w:rFonts w:asciiTheme="minorHAnsi" w:hAnsiTheme="minorHAnsi"/>
          <w:snapToGrid w:val="0"/>
          <w:lang w:val="en-GB"/>
        </w:rPr>
        <w:t xml:space="preserve"> </w:t>
      </w:r>
      <w:r w:rsidR="00B64D20">
        <w:t xml:space="preserve">(the pre-PBAC response stated the cost </w:t>
      </w:r>
      <w:r w:rsidR="00942C22">
        <w:t xml:space="preserve">to the PBS/RPBS </w:t>
      </w:r>
      <w:r w:rsidR="00B64D20">
        <w:t xml:space="preserve">would be </w:t>
      </w:r>
      <w:r w:rsidR="00B572B1">
        <w:t>$300 million to &lt; $400 million</w:t>
      </w:r>
      <w:r w:rsidR="00B64D20">
        <w:t xml:space="preserve"> but this appeared to be based on the published price).</w:t>
      </w:r>
      <w:r w:rsidR="00AD4BE0">
        <w:rPr>
          <w:rFonts w:asciiTheme="minorHAnsi" w:hAnsiTheme="minorHAnsi"/>
          <w:snapToGrid w:val="0"/>
          <w:lang w:val="en-GB"/>
        </w:rPr>
        <w:t xml:space="preserve"> </w:t>
      </w:r>
      <w:r w:rsidR="00B64D20">
        <w:rPr>
          <w:rFonts w:asciiTheme="minorHAnsi" w:hAnsiTheme="minorHAnsi"/>
          <w:snapToGrid w:val="0"/>
          <w:lang w:val="en-GB"/>
        </w:rPr>
        <w:t xml:space="preserve">The PBAC noted the </w:t>
      </w:r>
      <w:r w:rsidR="00FE3D04">
        <w:rPr>
          <w:rFonts w:asciiTheme="minorHAnsi" w:hAnsiTheme="minorHAnsi"/>
          <w:snapToGrid w:val="0"/>
          <w:lang w:val="en-GB"/>
        </w:rPr>
        <w:t xml:space="preserve">pre-PBAC responses’ estimate of the </w:t>
      </w:r>
      <w:r w:rsidR="00B64D20">
        <w:rPr>
          <w:rFonts w:asciiTheme="minorHAnsi" w:hAnsiTheme="minorHAnsi"/>
          <w:snapToGrid w:val="0"/>
          <w:lang w:val="en-GB"/>
        </w:rPr>
        <w:t xml:space="preserve">total number of scripts in Year 6 was </w:t>
      </w:r>
      <w:r w:rsidR="00F609CB">
        <w:rPr>
          <w:rFonts w:asciiTheme="minorHAnsi" w:hAnsiTheme="minorHAnsi"/>
          <w:snapToGrid w:val="0"/>
          <w:lang w:val="en-GB"/>
        </w:rPr>
        <w:t xml:space="preserve">still </w:t>
      </w:r>
      <w:r w:rsidR="00B64D20">
        <w:rPr>
          <w:rFonts w:asciiTheme="minorHAnsi" w:hAnsiTheme="minorHAnsi"/>
          <w:snapToGrid w:val="0"/>
          <w:lang w:val="en-GB"/>
        </w:rPr>
        <w:t xml:space="preserve">substantially higher than estimated for belimumab (refer to Paragraph </w:t>
      </w:r>
      <w:r w:rsidR="00B64D20">
        <w:rPr>
          <w:rFonts w:asciiTheme="minorHAnsi" w:hAnsiTheme="minorHAnsi"/>
          <w:snapToGrid w:val="0"/>
          <w:lang w:val="en-GB"/>
        </w:rPr>
        <w:fldChar w:fldCharType="begin"/>
      </w:r>
      <w:r w:rsidR="00B64D20">
        <w:rPr>
          <w:rFonts w:asciiTheme="minorHAnsi" w:hAnsiTheme="minorHAnsi"/>
          <w:snapToGrid w:val="0"/>
          <w:lang w:val="en-GB"/>
        </w:rPr>
        <w:instrText xml:space="preserve"> REF _Ref110331728 \r \h </w:instrText>
      </w:r>
      <w:r w:rsidR="00B64D20">
        <w:rPr>
          <w:rFonts w:asciiTheme="minorHAnsi" w:hAnsiTheme="minorHAnsi"/>
          <w:snapToGrid w:val="0"/>
          <w:lang w:val="en-GB"/>
        </w:rPr>
      </w:r>
      <w:r w:rsidR="00B64D20">
        <w:rPr>
          <w:rFonts w:asciiTheme="minorHAnsi" w:hAnsiTheme="minorHAnsi"/>
          <w:snapToGrid w:val="0"/>
          <w:lang w:val="en-GB"/>
        </w:rPr>
        <w:fldChar w:fldCharType="separate"/>
      </w:r>
      <w:r w:rsidR="00942C22">
        <w:rPr>
          <w:rFonts w:asciiTheme="minorHAnsi" w:hAnsiTheme="minorHAnsi"/>
          <w:snapToGrid w:val="0"/>
          <w:lang w:val="en-GB"/>
        </w:rPr>
        <w:t>6.61</w:t>
      </w:r>
      <w:r w:rsidR="00B64D20">
        <w:rPr>
          <w:rFonts w:asciiTheme="minorHAnsi" w:hAnsiTheme="minorHAnsi"/>
          <w:snapToGrid w:val="0"/>
          <w:lang w:val="en-GB"/>
        </w:rPr>
        <w:fldChar w:fldCharType="end"/>
      </w:r>
      <w:r w:rsidR="00B64D20">
        <w:rPr>
          <w:rFonts w:asciiTheme="minorHAnsi" w:hAnsiTheme="minorHAnsi"/>
          <w:snapToGrid w:val="0"/>
          <w:lang w:val="en-GB"/>
        </w:rPr>
        <w:t>)</w:t>
      </w:r>
      <w:r w:rsidR="00F609CB">
        <w:rPr>
          <w:rFonts w:asciiTheme="minorHAnsi" w:hAnsiTheme="minorHAnsi"/>
          <w:snapToGrid w:val="0"/>
          <w:lang w:val="en-GB"/>
        </w:rPr>
        <w:t>. The PBAC considered that the pre-PBAC responses’ adjustment to the proportion of eligible patients was appropriate as it was more closely aligned with the proportion in the TULIP trials and ALRB data. However, the PBAC considered that the uptake rates applied in the pre-PBAC response (</w:t>
      </w:r>
      <w:proofErr w:type="gramStart"/>
      <w:r w:rsidR="00164331" w:rsidRPr="005A67B5">
        <w:rPr>
          <w:rFonts w:asciiTheme="minorHAnsi" w:hAnsiTheme="minorHAnsi"/>
          <w:snapToGrid w:val="0"/>
          <w:color w:val="000000"/>
          <w:w w:val="15"/>
          <w:shd w:val="solid" w:color="000000" w:fill="000000"/>
          <w:fitText w:val="-20" w:id="-1436282612"/>
          <w:lang w:val="en-GB"/>
          <w14:textFill>
            <w14:solidFill>
              <w14:srgbClr w14:val="000000">
                <w14:alpha w14:val="100000"/>
              </w14:srgbClr>
            </w14:solidFill>
          </w14:textFill>
        </w:rPr>
        <w:t xml:space="preserve">|  </w:t>
      </w:r>
      <w:r w:rsidR="00164331" w:rsidRPr="005A67B5">
        <w:rPr>
          <w:rFonts w:asciiTheme="minorHAnsi" w:hAnsiTheme="minorHAnsi"/>
          <w:snapToGrid w:val="0"/>
          <w:color w:val="000000"/>
          <w:spacing w:val="-69"/>
          <w:w w:val="15"/>
          <w:shd w:val="solid" w:color="000000" w:fill="000000"/>
          <w:fitText w:val="-20" w:id="-1436282612"/>
          <w:lang w:val="en-GB"/>
          <w14:textFill>
            <w14:solidFill>
              <w14:srgbClr w14:val="000000">
                <w14:alpha w14:val="100000"/>
              </w14:srgbClr>
            </w14:solidFill>
          </w14:textFill>
        </w:rPr>
        <w:t>|</w:t>
      </w:r>
      <w:proofErr w:type="gramEnd"/>
      <w:r w:rsidR="00F609CB" w:rsidRPr="00F609CB">
        <w:rPr>
          <w:rFonts w:asciiTheme="minorHAnsi" w:hAnsiTheme="minorHAnsi"/>
          <w:snapToGrid w:val="0"/>
          <w:lang w:val="en-GB"/>
        </w:rPr>
        <w:t xml:space="preserve">% in Year 1 </w:t>
      </w:r>
      <w:r w:rsidR="00F609CB">
        <w:rPr>
          <w:rFonts w:asciiTheme="minorHAnsi" w:hAnsiTheme="minorHAnsi"/>
          <w:snapToGrid w:val="0"/>
          <w:lang w:val="en-GB"/>
        </w:rPr>
        <w:t xml:space="preserve">increasing </w:t>
      </w:r>
      <w:r w:rsidR="00F609CB" w:rsidRPr="00F609CB">
        <w:rPr>
          <w:rFonts w:asciiTheme="minorHAnsi" w:hAnsiTheme="minorHAnsi"/>
          <w:snapToGrid w:val="0"/>
          <w:lang w:val="en-GB"/>
        </w:rPr>
        <w:t xml:space="preserve">to </w:t>
      </w:r>
      <w:r w:rsidR="00164331" w:rsidRPr="005A67B5">
        <w:rPr>
          <w:rFonts w:asciiTheme="minorHAnsi" w:hAnsiTheme="minorHAnsi"/>
          <w:snapToGrid w:val="0"/>
          <w:color w:val="000000"/>
          <w:w w:val="15"/>
          <w:shd w:val="solid" w:color="000000" w:fill="000000"/>
          <w:fitText w:val="-20" w:id="-1436282611"/>
          <w:lang w:val="en-GB"/>
          <w14:textFill>
            <w14:solidFill>
              <w14:srgbClr w14:val="000000">
                <w14:alpha w14:val="100000"/>
              </w14:srgbClr>
            </w14:solidFill>
          </w14:textFill>
        </w:rPr>
        <w:t xml:space="preserve">|  </w:t>
      </w:r>
      <w:r w:rsidR="00164331" w:rsidRPr="005A67B5">
        <w:rPr>
          <w:rFonts w:asciiTheme="minorHAnsi" w:hAnsiTheme="minorHAnsi"/>
          <w:snapToGrid w:val="0"/>
          <w:color w:val="000000"/>
          <w:spacing w:val="-69"/>
          <w:w w:val="15"/>
          <w:shd w:val="solid" w:color="000000" w:fill="000000"/>
          <w:fitText w:val="-20" w:id="-1436282611"/>
          <w:lang w:val="en-GB"/>
          <w14:textFill>
            <w14:solidFill>
              <w14:srgbClr w14:val="000000">
                <w14:alpha w14:val="100000"/>
              </w14:srgbClr>
            </w14:solidFill>
          </w14:textFill>
        </w:rPr>
        <w:t>|</w:t>
      </w:r>
      <w:r w:rsidR="00F609CB" w:rsidRPr="00F609CB">
        <w:rPr>
          <w:rFonts w:asciiTheme="minorHAnsi" w:hAnsiTheme="minorHAnsi"/>
          <w:snapToGrid w:val="0"/>
          <w:lang w:val="en-GB"/>
        </w:rPr>
        <w:t>% in Year</w:t>
      </w:r>
      <w:r w:rsidR="00B572B1">
        <w:rPr>
          <w:rFonts w:asciiTheme="minorHAnsi" w:hAnsiTheme="minorHAnsi"/>
          <w:snapToGrid w:val="0"/>
          <w:lang w:val="en-GB"/>
        </w:rPr>
        <w:t> </w:t>
      </w:r>
      <w:r w:rsidR="00F609CB" w:rsidRPr="00F609CB">
        <w:rPr>
          <w:rFonts w:asciiTheme="minorHAnsi" w:hAnsiTheme="minorHAnsi"/>
          <w:snapToGrid w:val="0"/>
          <w:lang w:val="en-GB"/>
        </w:rPr>
        <w:t>6</w:t>
      </w:r>
      <w:r w:rsidR="00F609CB">
        <w:rPr>
          <w:rFonts w:asciiTheme="minorHAnsi" w:hAnsiTheme="minorHAnsi"/>
          <w:snapToGrid w:val="0"/>
          <w:lang w:val="en-GB"/>
        </w:rPr>
        <w:t>) may have been overestimated</w:t>
      </w:r>
      <w:r w:rsidR="0007166E">
        <w:rPr>
          <w:rFonts w:asciiTheme="minorHAnsi" w:hAnsiTheme="minorHAnsi"/>
          <w:snapToGrid w:val="0"/>
          <w:lang w:val="en-GB"/>
        </w:rPr>
        <w:t xml:space="preserve"> in the later years</w:t>
      </w:r>
      <w:r w:rsidR="00F609CB">
        <w:rPr>
          <w:rFonts w:asciiTheme="minorHAnsi" w:hAnsiTheme="minorHAnsi"/>
          <w:snapToGrid w:val="0"/>
          <w:lang w:val="en-GB"/>
        </w:rPr>
        <w:t xml:space="preserve">. </w:t>
      </w:r>
      <w:bookmarkEnd w:id="90"/>
      <w:r w:rsidR="00E14E17">
        <w:rPr>
          <w:rFonts w:asciiTheme="minorHAnsi" w:hAnsiTheme="minorHAnsi"/>
          <w:snapToGrid w:val="0"/>
          <w:lang w:val="en-GB"/>
        </w:rPr>
        <w:t>Further, the PBAC noted that the financial estimates had assumed 100% compliance, which it considered was unreasonable in the context of an IV infusion.</w:t>
      </w:r>
    </w:p>
    <w:p w14:paraId="5002FB51" w14:textId="53C17D25" w:rsidR="009A2512" w:rsidRPr="00AA30F1" w:rsidRDefault="00591AD5" w:rsidP="00841364">
      <w:pPr>
        <w:widowControl w:val="0"/>
        <w:numPr>
          <w:ilvl w:val="1"/>
          <w:numId w:val="1"/>
        </w:numPr>
        <w:spacing w:after="120"/>
      </w:pPr>
      <w:r>
        <w:rPr>
          <w:rFonts w:asciiTheme="minorHAnsi" w:hAnsiTheme="minorHAnsi"/>
          <w:snapToGrid w:val="0"/>
          <w:lang w:val="en-GB"/>
        </w:rPr>
        <w:t xml:space="preserve">The PBAC considered that </w:t>
      </w:r>
      <w:proofErr w:type="gramStart"/>
      <w:r w:rsidR="00F609CB">
        <w:rPr>
          <w:rFonts w:asciiTheme="minorHAnsi" w:hAnsiTheme="minorHAnsi"/>
          <w:snapToGrid w:val="0"/>
          <w:lang w:val="en-GB"/>
        </w:rPr>
        <w:t>a</w:t>
      </w:r>
      <w:proofErr w:type="gramEnd"/>
      <w:r w:rsidR="00F609CB">
        <w:rPr>
          <w:rFonts w:asciiTheme="minorHAnsi" w:hAnsiTheme="minorHAnsi"/>
          <w:snapToGrid w:val="0"/>
          <w:lang w:val="en-GB"/>
        </w:rPr>
        <w:t xml:space="preserve"> RSA with a rebate for use over the expenditure caps would be required given the </w:t>
      </w:r>
      <w:r w:rsidR="00F609CB" w:rsidRPr="00F609CB">
        <w:rPr>
          <w:rFonts w:asciiTheme="minorHAnsi" w:hAnsiTheme="minorHAnsi"/>
          <w:snapToGrid w:val="0"/>
          <w:lang w:val="en-GB"/>
        </w:rPr>
        <w:t>uncertain size of the patient population</w:t>
      </w:r>
      <w:r w:rsidR="00F609CB">
        <w:rPr>
          <w:rFonts w:asciiTheme="minorHAnsi" w:hAnsiTheme="minorHAnsi"/>
          <w:snapToGrid w:val="0"/>
          <w:lang w:val="en-GB"/>
        </w:rPr>
        <w:t>.</w:t>
      </w:r>
    </w:p>
    <w:p w14:paraId="73537EE4" w14:textId="2E911AEC" w:rsidR="009A2512" w:rsidRPr="005443DB" w:rsidRDefault="009A2512" w:rsidP="005443DB">
      <w:pPr>
        <w:pStyle w:val="3-BodyText"/>
        <w:rPr>
          <w:lang w:val="en-GB"/>
        </w:rPr>
      </w:pPr>
      <w:r w:rsidRPr="005443DB">
        <w:rPr>
          <w:bCs/>
          <w:lang w:val="en-GB"/>
        </w:rPr>
        <w:t xml:space="preserve">The PBAC considered a resubmission for </w:t>
      </w:r>
      <w:proofErr w:type="spellStart"/>
      <w:r w:rsidR="005443DB" w:rsidRPr="005443DB">
        <w:rPr>
          <w:bCs/>
          <w:lang w:val="en-GB"/>
        </w:rPr>
        <w:t>anifrolumab</w:t>
      </w:r>
      <w:proofErr w:type="spellEnd"/>
      <w:r w:rsidRPr="005443DB">
        <w:rPr>
          <w:bCs/>
          <w:lang w:val="en-GB"/>
        </w:rPr>
        <w:t xml:space="preserve"> should address the following issues:</w:t>
      </w:r>
    </w:p>
    <w:p w14:paraId="4742279D" w14:textId="232D145D" w:rsidR="00FE3D04" w:rsidRDefault="005443DB" w:rsidP="007D02ED">
      <w:pPr>
        <w:pStyle w:val="ListParagraph"/>
        <w:widowControl w:val="0"/>
        <w:numPr>
          <w:ilvl w:val="0"/>
          <w:numId w:val="27"/>
        </w:numPr>
        <w:spacing w:after="0"/>
        <w:ind w:left="1135" w:hanging="284"/>
        <w:rPr>
          <w:bCs/>
          <w:lang w:val="en-GB"/>
        </w:rPr>
      </w:pPr>
      <w:r w:rsidRPr="00605A67">
        <w:rPr>
          <w:bCs/>
          <w:lang w:val="en-GB"/>
        </w:rPr>
        <w:t xml:space="preserve">Present a </w:t>
      </w:r>
      <w:r w:rsidR="00FE3D04">
        <w:rPr>
          <w:bCs/>
          <w:lang w:val="en-GB"/>
        </w:rPr>
        <w:t>revis</w:t>
      </w:r>
      <w:r w:rsidR="00FE3D04" w:rsidRPr="00605A67">
        <w:rPr>
          <w:bCs/>
          <w:lang w:val="en-GB"/>
        </w:rPr>
        <w:t xml:space="preserve">ed </w:t>
      </w:r>
      <w:r w:rsidRPr="00605A67">
        <w:rPr>
          <w:bCs/>
          <w:lang w:val="en-GB"/>
        </w:rPr>
        <w:t xml:space="preserve">economic </w:t>
      </w:r>
      <w:r w:rsidR="002966D3" w:rsidRPr="00605A67">
        <w:rPr>
          <w:bCs/>
          <w:lang w:val="en-GB"/>
        </w:rPr>
        <w:t xml:space="preserve">evaluation addressing </w:t>
      </w:r>
      <w:r w:rsidR="00605A67" w:rsidRPr="00605A67">
        <w:rPr>
          <w:bCs/>
          <w:lang w:val="en-GB"/>
        </w:rPr>
        <w:t xml:space="preserve">the </w:t>
      </w:r>
      <w:r w:rsidR="002966D3" w:rsidRPr="00605A67">
        <w:rPr>
          <w:bCs/>
          <w:lang w:val="en-GB"/>
        </w:rPr>
        <w:t xml:space="preserve">concerns raised </w:t>
      </w:r>
      <w:r w:rsidR="009910E0">
        <w:rPr>
          <w:bCs/>
          <w:lang w:val="en-GB"/>
        </w:rPr>
        <w:t xml:space="preserve">in paragraphs </w:t>
      </w:r>
      <w:r w:rsidR="009910E0">
        <w:rPr>
          <w:bCs/>
          <w:lang w:val="en-GB"/>
        </w:rPr>
        <w:fldChar w:fldCharType="begin"/>
      </w:r>
      <w:r w:rsidR="009910E0">
        <w:rPr>
          <w:bCs/>
          <w:lang w:val="en-GB"/>
        </w:rPr>
        <w:instrText xml:space="preserve"> REF _Ref110519173 \r \h </w:instrText>
      </w:r>
      <w:r w:rsidR="009910E0">
        <w:rPr>
          <w:bCs/>
          <w:lang w:val="en-GB"/>
        </w:rPr>
      </w:r>
      <w:r w:rsidR="009910E0">
        <w:rPr>
          <w:bCs/>
          <w:lang w:val="en-GB"/>
        </w:rPr>
        <w:fldChar w:fldCharType="separate"/>
      </w:r>
      <w:r w:rsidR="00942C22">
        <w:rPr>
          <w:bCs/>
          <w:lang w:val="en-GB"/>
        </w:rPr>
        <w:t>7.9</w:t>
      </w:r>
      <w:r w:rsidR="009910E0">
        <w:rPr>
          <w:bCs/>
          <w:lang w:val="en-GB"/>
        </w:rPr>
        <w:fldChar w:fldCharType="end"/>
      </w:r>
      <w:r w:rsidR="009910E0">
        <w:rPr>
          <w:bCs/>
          <w:lang w:val="en-GB"/>
        </w:rPr>
        <w:t xml:space="preserve">, </w:t>
      </w:r>
      <w:r w:rsidR="009910E0">
        <w:rPr>
          <w:bCs/>
          <w:lang w:val="en-GB"/>
        </w:rPr>
        <w:fldChar w:fldCharType="begin"/>
      </w:r>
      <w:r w:rsidR="009910E0">
        <w:rPr>
          <w:bCs/>
          <w:lang w:val="en-GB"/>
        </w:rPr>
        <w:instrText xml:space="preserve"> REF _Ref110519176 \r \h </w:instrText>
      </w:r>
      <w:r w:rsidR="009910E0">
        <w:rPr>
          <w:bCs/>
          <w:lang w:val="en-GB"/>
        </w:rPr>
      </w:r>
      <w:r w:rsidR="009910E0">
        <w:rPr>
          <w:bCs/>
          <w:lang w:val="en-GB"/>
        </w:rPr>
        <w:fldChar w:fldCharType="separate"/>
      </w:r>
      <w:r w:rsidR="00942C22">
        <w:rPr>
          <w:bCs/>
          <w:lang w:val="en-GB"/>
        </w:rPr>
        <w:t>7.10</w:t>
      </w:r>
      <w:r w:rsidR="009910E0">
        <w:rPr>
          <w:bCs/>
          <w:lang w:val="en-GB"/>
        </w:rPr>
        <w:fldChar w:fldCharType="end"/>
      </w:r>
      <w:r w:rsidR="009910E0">
        <w:rPr>
          <w:bCs/>
          <w:lang w:val="en-GB"/>
        </w:rPr>
        <w:t xml:space="preserve">, </w:t>
      </w:r>
      <w:r w:rsidR="009910E0">
        <w:rPr>
          <w:bCs/>
          <w:lang w:val="en-GB"/>
        </w:rPr>
        <w:fldChar w:fldCharType="begin"/>
      </w:r>
      <w:r w:rsidR="009910E0">
        <w:rPr>
          <w:bCs/>
          <w:lang w:val="en-GB"/>
        </w:rPr>
        <w:instrText xml:space="preserve"> REF _Ref110519178 \r \h </w:instrText>
      </w:r>
      <w:r w:rsidR="009910E0">
        <w:rPr>
          <w:bCs/>
          <w:lang w:val="en-GB"/>
        </w:rPr>
      </w:r>
      <w:r w:rsidR="009910E0">
        <w:rPr>
          <w:bCs/>
          <w:lang w:val="en-GB"/>
        </w:rPr>
        <w:fldChar w:fldCharType="separate"/>
      </w:r>
      <w:r w:rsidR="00942C22">
        <w:rPr>
          <w:bCs/>
          <w:lang w:val="en-GB"/>
        </w:rPr>
        <w:t>7.11</w:t>
      </w:r>
      <w:r w:rsidR="009910E0">
        <w:rPr>
          <w:bCs/>
          <w:lang w:val="en-GB"/>
        </w:rPr>
        <w:fldChar w:fldCharType="end"/>
      </w:r>
      <w:r w:rsidR="009910E0">
        <w:rPr>
          <w:bCs/>
          <w:lang w:val="en-GB"/>
        </w:rPr>
        <w:t xml:space="preserve"> and the ‘economic analysis’ section</w:t>
      </w:r>
      <w:r w:rsidR="00605A67" w:rsidRPr="00605A67">
        <w:rPr>
          <w:bCs/>
          <w:lang w:val="en-GB"/>
        </w:rPr>
        <w:t xml:space="preserve">, including </w:t>
      </w:r>
      <w:r w:rsidR="00605A67">
        <w:rPr>
          <w:bCs/>
          <w:lang w:val="en-GB"/>
        </w:rPr>
        <w:t xml:space="preserve">a reduction in </w:t>
      </w:r>
      <w:r w:rsidR="00FE3D04">
        <w:rPr>
          <w:bCs/>
          <w:lang w:val="en-GB"/>
        </w:rPr>
        <w:t xml:space="preserve">the </w:t>
      </w:r>
      <w:proofErr w:type="spellStart"/>
      <w:r w:rsidRPr="00605A67">
        <w:rPr>
          <w:bCs/>
          <w:lang w:val="en-GB"/>
        </w:rPr>
        <w:t>anifrolumab</w:t>
      </w:r>
      <w:proofErr w:type="spellEnd"/>
      <w:r w:rsidRPr="00605A67">
        <w:rPr>
          <w:bCs/>
          <w:lang w:val="en-GB"/>
        </w:rPr>
        <w:t xml:space="preserve"> price to achieve </w:t>
      </w:r>
      <w:r w:rsidR="00605A67" w:rsidRPr="00605A67">
        <w:rPr>
          <w:bCs/>
          <w:lang w:val="en-GB"/>
        </w:rPr>
        <w:t xml:space="preserve">acceptable incremental </w:t>
      </w:r>
      <w:r w:rsidRPr="00605A67">
        <w:rPr>
          <w:bCs/>
          <w:lang w:val="en-GB"/>
        </w:rPr>
        <w:t xml:space="preserve">cost-effectiveness; </w:t>
      </w:r>
    </w:p>
    <w:p w14:paraId="4090AF9E" w14:textId="3CC5287E" w:rsidR="005443DB" w:rsidRPr="00605A67" w:rsidRDefault="00FE3D04" w:rsidP="009910E0">
      <w:pPr>
        <w:pStyle w:val="ListParagraph"/>
        <w:widowControl w:val="0"/>
        <w:numPr>
          <w:ilvl w:val="0"/>
          <w:numId w:val="27"/>
        </w:numPr>
        <w:spacing w:after="0"/>
        <w:ind w:left="1135" w:hanging="284"/>
        <w:rPr>
          <w:bCs/>
          <w:lang w:val="en-GB"/>
        </w:rPr>
      </w:pPr>
      <w:r>
        <w:rPr>
          <w:bCs/>
          <w:lang w:val="en-GB"/>
        </w:rPr>
        <w:t xml:space="preserve">Address the issues with the financial estimates raised in paragraph </w:t>
      </w:r>
      <w:r>
        <w:rPr>
          <w:bCs/>
          <w:lang w:val="en-GB"/>
        </w:rPr>
        <w:fldChar w:fldCharType="begin"/>
      </w:r>
      <w:r>
        <w:rPr>
          <w:bCs/>
          <w:lang w:val="en-GB"/>
        </w:rPr>
        <w:instrText xml:space="preserve"> REF _Ref110346315 \r \h </w:instrText>
      </w:r>
      <w:r>
        <w:rPr>
          <w:bCs/>
          <w:lang w:val="en-GB"/>
        </w:rPr>
      </w:r>
      <w:r>
        <w:rPr>
          <w:bCs/>
          <w:lang w:val="en-GB"/>
        </w:rPr>
        <w:fldChar w:fldCharType="separate"/>
      </w:r>
      <w:r w:rsidR="00942C22">
        <w:rPr>
          <w:bCs/>
          <w:lang w:val="en-GB"/>
        </w:rPr>
        <w:t>7.12</w:t>
      </w:r>
      <w:r>
        <w:rPr>
          <w:bCs/>
          <w:lang w:val="en-GB"/>
        </w:rPr>
        <w:fldChar w:fldCharType="end"/>
      </w:r>
      <w:r>
        <w:rPr>
          <w:bCs/>
          <w:lang w:val="en-GB"/>
        </w:rPr>
        <w:t xml:space="preserve">; </w:t>
      </w:r>
      <w:r w:rsidR="005443DB" w:rsidRPr="00605A67">
        <w:rPr>
          <w:bCs/>
          <w:lang w:val="en-GB"/>
        </w:rPr>
        <w:t>and</w:t>
      </w:r>
    </w:p>
    <w:p w14:paraId="143C190C" w14:textId="34C8A73F" w:rsidR="005443DB" w:rsidRPr="00433F78" w:rsidRDefault="00433F78" w:rsidP="006107F0">
      <w:pPr>
        <w:pStyle w:val="ListParagraph"/>
        <w:widowControl w:val="0"/>
        <w:numPr>
          <w:ilvl w:val="0"/>
          <w:numId w:val="27"/>
        </w:numPr>
        <w:ind w:left="1134" w:hanging="283"/>
        <w:rPr>
          <w:bCs/>
          <w:lang w:val="en-GB"/>
        </w:rPr>
      </w:pPr>
      <w:r w:rsidRPr="00433F78">
        <w:rPr>
          <w:bCs/>
          <w:lang w:val="en-GB"/>
        </w:rPr>
        <w:t xml:space="preserve">Include </w:t>
      </w:r>
      <w:proofErr w:type="gramStart"/>
      <w:r w:rsidRPr="00433F78">
        <w:rPr>
          <w:bCs/>
          <w:lang w:val="en-GB"/>
        </w:rPr>
        <w:t>a</w:t>
      </w:r>
      <w:proofErr w:type="gramEnd"/>
      <w:r w:rsidRPr="00433F78">
        <w:rPr>
          <w:bCs/>
          <w:lang w:val="en-GB"/>
        </w:rPr>
        <w:t xml:space="preserve"> RSA with a rebate above the cap to account for </w:t>
      </w:r>
      <w:r w:rsidR="00206A55">
        <w:rPr>
          <w:iCs/>
        </w:rPr>
        <w:t xml:space="preserve">the </w:t>
      </w:r>
      <w:r w:rsidR="005443DB" w:rsidRPr="00433F78">
        <w:rPr>
          <w:iCs/>
        </w:rPr>
        <w:t>uncertain size of the patient population</w:t>
      </w:r>
      <w:r w:rsidRPr="00433F78">
        <w:rPr>
          <w:iCs/>
        </w:rPr>
        <w:t>.</w:t>
      </w:r>
    </w:p>
    <w:p w14:paraId="2ACDF832" w14:textId="59510510" w:rsidR="009A2512" w:rsidRPr="005443DB" w:rsidRDefault="009A2512" w:rsidP="005443DB">
      <w:pPr>
        <w:pStyle w:val="3-BodyText"/>
        <w:rPr>
          <w:rFonts w:cstheme="minorHAnsi"/>
        </w:rPr>
      </w:pPr>
      <w:r w:rsidRPr="005443DB">
        <w:rPr>
          <w:lang w:val="en-GB"/>
        </w:rPr>
        <w:t>The resubmission may be lodged at any future standard due date for PBAC submissions using the standard re-entry pathway.</w:t>
      </w:r>
    </w:p>
    <w:p w14:paraId="3AB7509C" w14:textId="77777777" w:rsidR="009A2512" w:rsidRPr="009A2512" w:rsidRDefault="009A2512" w:rsidP="009A2512">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noted that this submission is eligible for an Independent Review. </w:t>
      </w:r>
    </w:p>
    <w:p w14:paraId="259C3E39" w14:textId="77777777" w:rsidR="009A2512" w:rsidRPr="00525B39" w:rsidRDefault="009A2512" w:rsidP="009A2512">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760BEA78" w14:textId="32A4812E" w:rsidR="009A2512" w:rsidRDefault="009A2512" w:rsidP="009A2512">
      <w:pPr>
        <w:rPr>
          <w:rFonts w:asciiTheme="minorHAnsi" w:hAnsiTheme="minorHAnsi"/>
          <w:bCs/>
          <w:snapToGrid w:val="0"/>
          <w:lang w:val="en-GB"/>
        </w:rPr>
      </w:pPr>
      <w:r>
        <w:rPr>
          <w:rFonts w:asciiTheme="minorHAnsi" w:hAnsiTheme="minorHAnsi"/>
          <w:bCs/>
          <w:snapToGrid w:val="0"/>
          <w:lang w:val="en-GB"/>
        </w:rPr>
        <w:t>Not recommended</w:t>
      </w:r>
    </w:p>
    <w:p w14:paraId="6BFC963B" w14:textId="6D2BDD6F" w:rsidR="00D349B9" w:rsidRDefault="00D349B9" w:rsidP="009A2512">
      <w:pPr>
        <w:rPr>
          <w:rFonts w:asciiTheme="minorHAnsi" w:hAnsiTheme="minorHAnsi"/>
          <w:bCs/>
          <w:snapToGrid w:val="0"/>
          <w:lang w:val="en-GB"/>
        </w:rPr>
      </w:pPr>
    </w:p>
    <w:p w14:paraId="273F45D9" w14:textId="0B6E1169" w:rsidR="00D349B9" w:rsidRPr="00D349B9" w:rsidRDefault="00D349B9" w:rsidP="00D349B9">
      <w:pPr>
        <w:pStyle w:val="2-SectionHeading"/>
        <w:numPr>
          <w:ilvl w:val="0"/>
          <w:numId w:val="1"/>
        </w:numPr>
        <w:outlineLvl w:val="1"/>
      </w:pPr>
      <w:r w:rsidRPr="00C07617">
        <w:t>Context for Decision</w:t>
      </w:r>
    </w:p>
    <w:p w14:paraId="416750E0" w14:textId="77777777" w:rsidR="00D349B9" w:rsidRPr="007129F2" w:rsidRDefault="00D349B9" w:rsidP="00D349B9">
      <w:pPr>
        <w:spacing w:after="120"/>
        <w:ind w:left="426"/>
        <w:rPr>
          <w:bCs/>
          <w:lang w:val="en-GB"/>
        </w:rPr>
      </w:pPr>
      <w:r w:rsidRPr="007129F2">
        <w:rPr>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w:t>
      </w:r>
      <w:r w:rsidRPr="007129F2">
        <w:rPr>
          <w:bCs/>
          <w:lang w:val="en-GB"/>
        </w:rPr>
        <w:lastRenderedPageBreak/>
        <w:t>listings does not necessarily represent a final PBAC view about the merits of the medicine or the circumstances in which it should be made available through the PBS. The PBAC welcomes applications containing new information at any time.</w:t>
      </w:r>
    </w:p>
    <w:p w14:paraId="3396804F" w14:textId="5C23502A" w:rsidR="00D349B9" w:rsidRPr="00D349B9" w:rsidRDefault="00D349B9" w:rsidP="00D349B9">
      <w:pPr>
        <w:pStyle w:val="2-SectionHeading"/>
        <w:numPr>
          <w:ilvl w:val="0"/>
          <w:numId w:val="1"/>
        </w:numPr>
        <w:outlineLvl w:val="1"/>
      </w:pPr>
      <w:r>
        <w:t>Sponsor’s Comment</w:t>
      </w:r>
    </w:p>
    <w:bookmarkEnd w:id="84"/>
    <w:bookmarkEnd w:id="85"/>
    <w:bookmarkEnd w:id="86"/>
    <w:p w14:paraId="46DACB3B" w14:textId="6AE46432" w:rsidR="00D349B9" w:rsidRDefault="00D349B9" w:rsidP="009A2512">
      <w:pPr>
        <w:rPr>
          <w:rFonts w:asciiTheme="minorHAnsi" w:hAnsiTheme="minorHAnsi"/>
          <w:bCs/>
          <w:snapToGrid w:val="0"/>
          <w:lang w:val="en-GB"/>
        </w:rPr>
      </w:pPr>
    </w:p>
    <w:p w14:paraId="22505E84" w14:textId="77777777" w:rsidR="00F4714A" w:rsidRPr="001179AC" w:rsidRDefault="00F4714A" w:rsidP="00F4714A">
      <w:pPr>
        <w:spacing w:after="120"/>
        <w:ind w:left="426"/>
        <w:rPr>
          <w:rFonts w:asciiTheme="minorHAnsi" w:hAnsiTheme="minorHAnsi"/>
          <w:bCs/>
        </w:rPr>
      </w:pPr>
      <w:r w:rsidRPr="00C07617">
        <w:rPr>
          <w:rFonts w:asciiTheme="minorHAnsi" w:hAnsiTheme="minorHAnsi"/>
          <w:bCs/>
        </w:rPr>
        <w:t>The sponsor had no comment.</w:t>
      </w:r>
    </w:p>
    <w:p w14:paraId="56E4CB19" w14:textId="77777777" w:rsidR="00F4714A" w:rsidRPr="00525B39" w:rsidRDefault="00F4714A" w:rsidP="009A2512">
      <w:pPr>
        <w:rPr>
          <w:rFonts w:asciiTheme="minorHAnsi" w:hAnsiTheme="minorHAnsi"/>
          <w:bCs/>
          <w:snapToGrid w:val="0"/>
          <w:lang w:val="en-GB"/>
        </w:rPr>
      </w:pPr>
    </w:p>
    <w:sectPr w:rsidR="00F4714A" w:rsidRPr="00525B39" w:rsidSect="00970286">
      <w:headerReference w:type="even" r:id="rId17"/>
      <w:headerReference w:type="default" r:id="rId18"/>
      <w:footerReference w:type="even" r:id="rId19"/>
      <w:footerReference w:type="default" r:id="rId20"/>
      <w:headerReference w:type="first" r:id="rId21"/>
      <w:footerReference w:type="first" r:id="rId22"/>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67B3" w14:textId="77777777" w:rsidR="005C5383" w:rsidRDefault="005C5383" w:rsidP="00124A51">
      <w:r>
        <w:separator/>
      </w:r>
    </w:p>
    <w:p w14:paraId="3496F207" w14:textId="77777777" w:rsidR="005C5383" w:rsidRDefault="005C5383"/>
  </w:endnote>
  <w:endnote w:type="continuationSeparator" w:id="0">
    <w:p w14:paraId="48D04D65" w14:textId="77777777" w:rsidR="005C5383" w:rsidRDefault="005C5383" w:rsidP="00124A51">
      <w:r>
        <w:continuationSeparator/>
      </w:r>
    </w:p>
    <w:p w14:paraId="7A35EC89" w14:textId="77777777" w:rsidR="005C5383" w:rsidRDefault="005C5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A4B9" w14:textId="77777777" w:rsidR="00164331" w:rsidRDefault="00164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9AAC" w14:textId="77777777" w:rsidR="005C5383" w:rsidRDefault="005C5383">
    <w:pPr>
      <w:pStyle w:val="Footer"/>
      <w:jc w:val="center"/>
    </w:pPr>
  </w:p>
  <w:sdt>
    <w:sdtPr>
      <w:id w:val="15900494"/>
      <w:docPartObj>
        <w:docPartGallery w:val="Page Numbers (Bottom of Page)"/>
        <w:docPartUnique/>
      </w:docPartObj>
    </w:sdtPr>
    <w:sdtEndPr>
      <w:rPr>
        <w:b/>
        <w:bCs/>
        <w:noProof/>
      </w:rPr>
    </w:sdtEndPr>
    <w:sdtContent>
      <w:p w14:paraId="719C579B" w14:textId="66A508BE" w:rsidR="005C5383" w:rsidRPr="00E02F62" w:rsidRDefault="005C5383" w:rsidP="00E02F62">
        <w:pPr>
          <w:pStyle w:val="Footer"/>
          <w:jc w:val="center"/>
          <w:rPr>
            <w:b/>
            <w:bCs/>
          </w:rPr>
        </w:pPr>
        <w:r w:rsidRPr="00217205">
          <w:rPr>
            <w:b/>
            <w:bCs/>
          </w:rPr>
          <w:fldChar w:fldCharType="begin"/>
        </w:r>
        <w:r w:rsidRPr="00217205">
          <w:rPr>
            <w:b/>
            <w:bCs/>
          </w:rPr>
          <w:instrText xml:space="preserve"> PAGE   \* MERGEFORMAT </w:instrText>
        </w:r>
        <w:r w:rsidRPr="00217205">
          <w:rPr>
            <w:b/>
            <w:bCs/>
          </w:rPr>
          <w:fldChar w:fldCharType="separate"/>
        </w:r>
        <w:r w:rsidRPr="00217205">
          <w:rPr>
            <w:b/>
            <w:bCs/>
            <w:noProof/>
          </w:rPr>
          <w:t>2</w:t>
        </w:r>
        <w:r w:rsidRPr="00217205">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9CFA" w14:textId="77777777" w:rsidR="00164331" w:rsidRDefault="00164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7EC6" w14:textId="77777777" w:rsidR="005C5383" w:rsidRDefault="005C5383" w:rsidP="00124A51">
      <w:r>
        <w:separator/>
      </w:r>
    </w:p>
    <w:p w14:paraId="28EB26AE" w14:textId="77777777" w:rsidR="005C5383" w:rsidRDefault="005C5383"/>
  </w:footnote>
  <w:footnote w:type="continuationSeparator" w:id="0">
    <w:p w14:paraId="5457BBAC" w14:textId="77777777" w:rsidR="005C5383" w:rsidRDefault="005C5383" w:rsidP="00124A51">
      <w:r>
        <w:continuationSeparator/>
      </w:r>
    </w:p>
    <w:p w14:paraId="44C78A14" w14:textId="77777777" w:rsidR="005C5383" w:rsidRDefault="005C5383"/>
  </w:footnote>
  <w:footnote w:id="1">
    <w:p w14:paraId="3AD727A4" w14:textId="05B6F268" w:rsidR="005C5383" w:rsidRDefault="005C5383" w:rsidP="00BF2805">
      <w:pPr>
        <w:pStyle w:val="FootnoteText"/>
      </w:pPr>
      <w:r>
        <w:rPr>
          <w:rStyle w:val="FootnoteReference"/>
        </w:rPr>
        <w:footnoteRef/>
      </w:r>
      <w:r>
        <w:t xml:space="preserve"> CADTH </w:t>
      </w:r>
      <w:proofErr w:type="spellStart"/>
      <w:r>
        <w:t>anifrolumab</w:t>
      </w:r>
      <w:proofErr w:type="spellEnd"/>
      <w:r>
        <w:t xml:space="preserve">, available from: </w:t>
      </w:r>
      <w:hyperlink r:id="rId1" w:history="1">
        <w:r w:rsidRPr="001F2DB3">
          <w:rPr>
            <w:rStyle w:val="Hyperlink"/>
          </w:rPr>
          <w:t>https://www.cadth.ca/anifrolumab</w:t>
        </w:r>
      </w:hyperlink>
      <w:r>
        <w:t>, accessed 21/7/2022.</w:t>
      </w:r>
    </w:p>
  </w:footnote>
  <w:footnote w:id="2">
    <w:p w14:paraId="6F501926" w14:textId="567E3CD9" w:rsidR="005C5383" w:rsidRPr="00F1190A" w:rsidRDefault="005C5383" w:rsidP="00B63A4D">
      <w:pPr>
        <w:pStyle w:val="FootnoteText"/>
      </w:pPr>
      <w:r w:rsidRPr="00F1190A">
        <w:rPr>
          <w:rStyle w:val="FootnoteReference"/>
        </w:rPr>
        <w:footnoteRef/>
      </w:r>
      <w:r w:rsidRPr="00F1190A">
        <w:t xml:space="preserve"> NICE </w:t>
      </w:r>
      <w:proofErr w:type="spellStart"/>
      <w:r w:rsidRPr="00F1190A">
        <w:t>anifrolumab</w:t>
      </w:r>
      <w:proofErr w:type="spellEnd"/>
      <w:r w:rsidRPr="00F1190A">
        <w:t xml:space="preserve">, available from: </w:t>
      </w:r>
      <w:hyperlink r:id="rId2" w:history="1">
        <w:r w:rsidRPr="00E35DDA">
          <w:rPr>
            <w:rStyle w:val="Hyperlink"/>
          </w:rPr>
          <w:t>https://www.nice.org.uk/guidance/ta793</w:t>
        </w:r>
      </w:hyperlink>
      <w:r w:rsidRPr="00F1190A">
        <w:t xml:space="preserve">, accessed </w:t>
      </w:r>
      <w:r>
        <w:t>21/7/</w:t>
      </w:r>
      <w:r w:rsidRPr="00F1190A">
        <w:t>2022.</w:t>
      </w:r>
    </w:p>
  </w:footnote>
  <w:footnote w:id="3">
    <w:p w14:paraId="59BFBE52" w14:textId="77777777" w:rsidR="005C5383" w:rsidRDefault="005C5383" w:rsidP="009034B5">
      <w:pPr>
        <w:pStyle w:val="FootnoteText"/>
      </w:pPr>
      <w:r>
        <w:rPr>
          <w:rStyle w:val="FootnoteReference"/>
        </w:rPr>
        <w:footnoteRef/>
      </w:r>
      <w:r>
        <w:t xml:space="preserve"> </w:t>
      </w:r>
      <w:r w:rsidRPr="00573B72">
        <w:t xml:space="preserve">Gordon C, Amissah-Arthur MB, </w:t>
      </w:r>
      <w:proofErr w:type="spellStart"/>
      <w:r w:rsidRPr="00573B72">
        <w:t>Gayed</w:t>
      </w:r>
      <w:proofErr w:type="spellEnd"/>
      <w:r w:rsidRPr="00573B72">
        <w:t xml:space="preserve"> M, Brown S, Bruce IN, </w:t>
      </w:r>
      <w:proofErr w:type="spellStart"/>
      <w:r w:rsidRPr="00573B72">
        <w:t>D'Cruz</w:t>
      </w:r>
      <w:proofErr w:type="spellEnd"/>
      <w:r w:rsidRPr="00573B72">
        <w:t xml:space="preserve"> D, Empson B, Griffiths B, Jayne D, </w:t>
      </w:r>
      <w:proofErr w:type="spellStart"/>
      <w:r w:rsidRPr="00573B72">
        <w:t>Khamashta</w:t>
      </w:r>
      <w:proofErr w:type="spellEnd"/>
      <w:r w:rsidRPr="00573B72">
        <w:t xml:space="preserve"> M, Lightstone L, Norton P, Norton Y, Schreiber K, Isenberg D; British Society for Rheumatology Standards, Audit and Guidelines Working Group.</w:t>
      </w:r>
      <w:r>
        <w:t xml:space="preserve"> 2018.</w:t>
      </w:r>
      <w:r w:rsidRPr="00573B72">
        <w:t xml:space="preserve"> The British Society for Rheumatology guideline for the management of systemic lupus erythematosus in adults. Rheumatology (Oxford). 57(1</w:t>
      </w:r>
      <w:proofErr w:type="gramStart"/>
      <w:r w:rsidRPr="00573B72">
        <w:t>)</w:t>
      </w:r>
      <w:r>
        <w:t>:e</w:t>
      </w:r>
      <w:proofErr w:type="gramEnd"/>
      <w:r>
        <w:t>1-e45.</w:t>
      </w:r>
      <w:r w:rsidRPr="00573B72">
        <w:t xml:space="preserve"> </w:t>
      </w:r>
      <w:proofErr w:type="spellStart"/>
      <w:r w:rsidRPr="00573B72">
        <w:t>doi</w:t>
      </w:r>
      <w:proofErr w:type="spellEnd"/>
      <w:r w:rsidRPr="00573B72">
        <w:t>: 10.1093/rheumatology/kex286.</w:t>
      </w:r>
    </w:p>
  </w:footnote>
  <w:footnote w:id="4">
    <w:p w14:paraId="205B5B5D" w14:textId="77777777" w:rsidR="005C5383" w:rsidRDefault="005C5383" w:rsidP="007663FA">
      <w:pPr>
        <w:pStyle w:val="FootnoteText"/>
      </w:pPr>
      <w:r>
        <w:rPr>
          <w:rStyle w:val="FootnoteReference"/>
        </w:rPr>
        <w:footnoteRef/>
      </w:r>
      <w:r>
        <w:t xml:space="preserve"> Connelly K, </w:t>
      </w:r>
      <w:proofErr w:type="spellStart"/>
      <w:r>
        <w:t>Morand</w:t>
      </w:r>
      <w:proofErr w:type="spellEnd"/>
      <w:r>
        <w:t xml:space="preserve"> EF, Hoi AY, 2013. Asian ethnicity in systemic lupus erythematosus: an Australian perspective. </w:t>
      </w:r>
      <w:r w:rsidRPr="00915712">
        <w:t>Internal Medicine Journal</w:t>
      </w:r>
      <w:r>
        <w:t>. 43(6):618-624.</w:t>
      </w:r>
    </w:p>
  </w:footnote>
  <w:footnote w:id="5">
    <w:p w14:paraId="0DFAE347" w14:textId="77777777" w:rsidR="005C5383" w:rsidRDefault="005C5383" w:rsidP="008D085E">
      <w:pPr>
        <w:pStyle w:val="FootnoteText"/>
      </w:pPr>
      <w:r>
        <w:rPr>
          <w:rStyle w:val="FootnoteReference"/>
        </w:rPr>
        <w:footnoteRef/>
      </w:r>
      <w:r>
        <w:t xml:space="preserve"> Ward MM, Marx AS, Barry NN. 2000. Comparison of the validity and sensitivity to change of 5 activity indices in systemic lupus erythematosus. J </w:t>
      </w:r>
      <w:proofErr w:type="spellStart"/>
      <w:r>
        <w:t>Rheumatol</w:t>
      </w:r>
      <w:proofErr w:type="spellEnd"/>
      <w:r>
        <w:t>; 27: 664-70.</w:t>
      </w:r>
    </w:p>
  </w:footnote>
  <w:footnote w:id="6">
    <w:p w14:paraId="690EE191" w14:textId="77777777" w:rsidR="005C5383" w:rsidRDefault="005C5383" w:rsidP="000D2C16">
      <w:pPr>
        <w:pStyle w:val="FootnoteText"/>
      </w:pPr>
      <w:r>
        <w:rPr>
          <w:rStyle w:val="FootnoteReference"/>
        </w:rPr>
        <w:footnoteRef/>
      </w:r>
      <w:r>
        <w:t xml:space="preserve"> </w:t>
      </w:r>
      <w:proofErr w:type="spellStart"/>
      <w:r w:rsidRPr="00BF309E">
        <w:t>Nikpour</w:t>
      </w:r>
      <w:proofErr w:type="spellEnd"/>
      <w:r w:rsidRPr="00BF309E">
        <w:t xml:space="preserve"> M, </w:t>
      </w:r>
      <w:proofErr w:type="spellStart"/>
      <w:r w:rsidRPr="00BF309E">
        <w:t>Urowitz</w:t>
      </w:r>
      <w:proofErr w:type="spellEnd"/>
      <w:r w:rsidRPr="00BF309E">
        <w:t xml:space="preserve"> MB, </w:t>
      </w:r>
      <w:proofErr w:type="spellStart"/>
      <w:r w:rsidRPr="00BF309E">
        <w:t>Ibañez</w:t>
      </w:r>
      <w:proofErr w:type="spellEnd"/>
      <w:r w:rsidRPr="00BF309E">
        <w:t xml:space="preserve"> D, Gladman DD. Frequency and determinants of flare and persistently active disease in systemic lupus erythematosus. Arthritis Rheum. 2009 Sep 15;61(9):1152-8. </w:t>
      </w:r>
      <w:proofErr w:type="spellStart"/>
      <w:r w:rsidRPr="00BF309E">
        <w:t>doi</w:t>
      </w:r>
      <w:proofErr w:type="spellEnd"/>
      <w:r w:rsidRPr="00BF309E">
        <w:t>: 10.1002/art.24741. PMID: 19714602.</w:t>
      </w:r>
    </w:p>
  </w:footnote>
  <w:footnote w:id="7">
    <w:p w14:paraId="7AF05B2D" w14:textId="77777777" w:rsidR="005C5383" w:rsidRDefault="005C5383" w:rsidP="000D2C16">
      <w:pPr>
        <w:pStyle w:val="FootnoteText"/>
      </w:pPr>
      <w:r>
        <w:rPr>
          <w:rStyle w:val="FootnoteReference"/>
        </w:rPr>
        <w:footnoteRef/>
      </w:r>
      <w:r>
        <w:t xml:space="preserve"> Hammond ER, Desta B, Near AM, et al Frequency, severity and costs of flares increase with disease severity in newly diagnosed systemic lupus erythematosus: a real-world cohort study, United States, 2004–2015</w:t>
      </w:r>
    </w:p>
    <w:p w14:paraId="71E6D5F0" w14:textId="77777777" w:rsidR="005C5383" w:rsidRPr="00BF309E" w:rsidRDefault="005C5383" w:rsidP="000D2C16">
      <w:pPr>
        <w:pStyle w:val="FootnoteText"/>
        <w:rPr>
          <w:lang w:val="en-US"/>
        </w:rPr>
      </w:pPr>
      <w:r>
        <w:t>Lupus Science &amp; Medicine 2021;</w:t>
      </w:r>
      <w:proofErr w:type="gramStart"/>
      <w:r>
        <w:t>8:e</w:t>
      </w:r>
      <w:proofErr w:type="gramEnd"/>
      <w:r>
        <w:t xml:space="preserve">000504. </w:t>
      </w:r>
      <w:proofErr w:type="spellStart"/>
      <w:r>
        <w:t>doi</w:t>
      </w:r>
      <w:proofErr w:type="spellEnd"/>
      <w:r>
        <w:t>: 10.1136/lupus-2021-000504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0124" w14:textId="77777777" w:rsidR="00164331" w:rsidRDefault="00164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39E7" w14:textId="57CEC5B4" w:rsidR="005C5383" w:rsidRPr="00056684" w:rsidRDefault="005C5383" w:rsidP="00217205">
    <w:pPr>
      <w:pStyle w:val="Header"/>
      <w:ind w:left="360"/>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July 2022</w:t>
    </w:r>
    <w:r w:rsidRPr="00056684">
      <w:rPr>
        <w:rFonts w:asciiTheme="minorHAnsi" w:hAnsiTheme="minorHAnsi"/>
        <w:i/>
        <w:color w:val="808080"/>
      </w:rPr>
      <w:t xml:space="preserve"> PBAC Meeting</w:t>
    </w:r>
  </w:p>
  <w:p w14:paraId="416A8B16" w14:textId="77777777" w:rsidR="005C5383" w:rsidRDefault="005C5383" w:rsidP="00702DCC">
    <w:pPr>
      <w:tabs>
        <w:tab w:val="left" w:pos="24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2B51" w14:textId="77777777" w:rsidR="00164331" w:rsidRDefault="00164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C69E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7F62A6"/>
    <w:multiLevelType w:val="hybridMultilevel"/>
    <w:tmpl w:val="7C008B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5B4C6E"/>
    <w:multiLevelType w:val="hybridMultilevel"/>
    <w:tmpl w:val="978A2144"/>
    <w:lvl w:ilvl="0" w:tplc="0C090001">
      <w:start w:val="1"/>
      <w:numFmt w:val="bullet"/>
      <w:lvlText w:val=""/>
      <w:lvlJc w:val="left"/>
      <w:pPr>
        <w:ind w:left="1440" w:hanging="360"/>
      </w:pPr>
      <w:rPr>
        <w:rFonts w:ascii="Symbol" w:hAnsi="Symbol" w:hint="default"/>
        <w:color w:val="000000" w:themeColor="text1"/>
      </w:rPr>
    </w:lvl>
    <w:lvl w:ilvl="1" w:tplc="0C090001">
      <w:start w:val="1"/>
      <w:numFmt w:val="bullet"/>
      <w:lvlText w:val=""/>
      <w:lvlJc w:val="left"/>
      <w:pPr>
        <w:ind w:left="2160" w:hanging="360"/>
      </w:pPr>
      <w:rPr>
        <w:rFonts w:ascii="Symbol" w:hAnsi="Symbo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D4233A5"/>
    <w:multiLevelType w:val="hybridMultilevel"/>
    <w:tmpl w:val="901AD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D160FE"/>
    <w:multiLevelType w:val="hybridMultilevel"/>
    <w:tmpl w:val="1BF87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B6274A"/>
    <w:multiLevelType w:val="hybridMultilevel"/>
    <w:tmpl w:val="399A2208"/>
    <w:lvl w:ilvl="0" w:tplc="CFF6B4E2">
      <w:start w:val="1"/>
      <w:numFmt w:val="decimal"/>
      <w:lvlText w:val="%1."/>
      <w:lvlJc w:val="left"/>
      <w:pPr>
        <w:ind w:left="720" w:hanging="360"/>
      </w:pPr>
      <w:rPr>
        <w:rFonts w:hint="default"/>
        <w:i w:val="0"/>
        <w:iCs/>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1C0219"/>
    <w:multiLevelType w:val="multilevel"/>
    <w:tmpl w:val="4C083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A67F7D"/>
    <w:multiLevelType w:val="hybridMultilevel"/>
    <w:tmpl w:val="68E81C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DD3A05"/>
    <w:multiLevelType w:val="hybridMultilevel"/>
    <w:tmpl w:val="E174E532"/>
    <w:lvl w:ilvl="0" w:tplc="0C090001">
      <w:start w:val="1"/>
      <w:numFmt w:val="bullet"/>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2E34DEC6">
      <w:numFmt w:val="bullet"/>
      <w:lvlText w:val="•"/>
      <w:lvlJc w:val="left"/>
      <w:pPr>
        <w:ind w:left="2480" w:hanging="360"/>
      </w:pPr>
      <w:rPr>
        <w:rFonts w:ascii="Calibri" w:eastAsia="Times New Roman" w:hAnsi="Calibri" w:cs="Calibri"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0" w15:restartNumberingAfterBreak="0">
    <w:nsid w:val="3D760B88"/>
    <w:multiLevelType w:val="hybridMultilevel"/>
    <w:tmpl w:val="6240AD6A"/>
    <w:lvl w:ilvl="0" w:tplc="C504DE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0B6ECC"/>
    <w:multiLevelType w:val="hybridMultilevel"/>
    <w:tmpl w:val="C23E7B90"/>
    <w:lvl w:ilvl="0" w:tplc="ED1E5F1E">
      <w:start w:val="1"/>
      <w:numFmt w:val="bullet"/>
      <w:pStyle w:val="BulletedList"/>
      <w:lvlText w:val=""/>
      <w:lvlJc w:val="left"/>
      <w:pPr>
        <w:ind w:left="720" w:hanging="360"/>
      </w:pPr>
      <w:rPr>
        <w:rFonts w:ascii="Symbol" w:hAnsi="Symbol" w:hint="default"/>
      </w:rPr>
    </w:lvl>
    <w:lvl w:ilvl="1" w:tplc="9452778A" w:tentative="1">
      <w:start w:val="1"/>
      <w:numFmt w:val="bullet"/>
      <w:lvlText w:val="o"/>
      <w:lvlJc w:val="left"/>
      <w:pPr>
        <w:ind w:left="1440" w:hanging="360"/>
      </w:pPr>
      <w:rPr>
        <w:rFonts w:ascii="Courier New" w:hAnsi="Courier New" w:hint="default"/>
      </w:rPr>
    </w:lvl>
    <w:lvl w:ilvl="2" w:tplc="87E4D1D6" w:tentative="1">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12" w15:restartNumberingAfterBreak="0">
    <w:nsid w:val="42376C72"/>
    <w:multiLevelType w:val="hybridMultilevel"/>
    <w:tmpl w:val="24264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92CA6"/>
    <w:multiLevelType w:val="hybridMultilevel"/>
    <w:tmpl w:val="4BA08D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D4106C9"/>
    <w:multiLevelType w:val="hybridMultilevel"/>
    <w:tmpl w:val="4EFEB764"/>
    <w:lvl w:ilvl="0" w:tplc="134240C6">
      <w:start w:val="1"/>
      <w:numFmt w:val="bullet"/>
      <w:lvlText w:val=""/>
      <w:lvlJc w:val="left"/>
      <w:pPr>
        <w:ind w:left="1040" w:hanging="360"/>
      </w:pPr>
      <w:rPr>
        <w:rFonts w:ascii="Symbol" w:hAnsi="Symbol" w:hint="default"/>
        <w:i w:val="0"/>
        <w:iCs/>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7" w15:restartNumberingAfterBreak="0">
    <w:nsid w:val="4DD11BD4"/>
    <w:multiLevelType w:val="hybridMultilevel"/>
    <w:tmpl w:val="9424A8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C4F06C4"/>
    <w:multiLevelType w:val="hybridMultilevel"/>
    <w:tmpl w:val="767A9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844F6F"/>
    <w:multiLevelType w:val="hybridMultilevel"/>
    <w:tmpl w:val="252AFF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506034"/>
    <w:multiLevelType w:val="hybridMultilevel"/>
    <w:tmpl w:val="0A1E9174"/>
    <w:lvl w:ilvl="0" w:tplc="6254C846">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813E5E"/>
    <w:multiLevelType w:val="hybridMultilevel"/>
    <w:tmpl w:val="D9C29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D1333A"/>
    <w:multiLevelType w:val="hybridMultilevel"/>
    <w:tmpl w:val="19B22948"/>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641F5076"/>
    <w:multiLevelType w:val="hybridMultilevel"/>
    <w:tmpl w:val="16F6436C"/>
    <w:lvl w:ilvl="0" w:tplc="0C090001">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rPr>
    </w:lvl>
    <w:lvl w:ilvl="2" w:tplc="121895C6">
      <w:numFmt w:val="bullet"/>
      <w:lvlText w:val="-"/>
      <w:lvlJc w:val="left"/>
      <w:pPr>
        <w:ind w:left="2160" w:hanging="360"/>
      </w:pPr>
      <w:rPr>
        <w:rFonts w:ascii="Calibri" w:eastAsia="Times New Roman" w:hAnsi="Calibri" w:cs="Calibri"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B4799B"/>
    <w:multiLevelType w:val="hybridMultilevel"/>
    <w:tmpl w:val="7F28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3178BD"/>
    <w:multiLevelType w:val="hybridMultilevel"/>
    <w:tmpl w:val="AFBAE1A0"/>
    <w:lvl w:ilvl="0" w:tplc="43706A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D76D6D"/>
    <w:multiLevelType w:val="hybridMultilevel"/>
    <w:tmpl w:val="68CE1AEA"/>
    <w:lvl w:ilvl="0" w:tplc="C876FBF0">
      <w:start w:val="1"/>
      <w:numFmt w:val="bullet"/>
      <w:lvlText w:val="•"/>
      <w:lvlJc w:val="left"/>
      <w:pPr>
        <w:tabs>
          <w:tab w:val="num" w:pos="720"/>
        </w:tabs>
        <w:ind w:left="720" w:hanging="360"/>
      </w:pPr>
      <w:rPr>
        <w:rFonts w:ascii="Arial" w:hAnsi="Arial" w:hint="default"/>
      </w:rPr>
    </w:lvl>
    <w:lvl w:ilvl="1" w:tplc="DBB06EA4">
      <w:start w:val="1"/>
      <w:numFmt w:val="bullet"/>
      <w:lvlText w:val="•"/>
      <w:lvlJc w:val="left"/>
      <w:pPr>
        <w:tabs>
          <w:tab w:val="num" w:pos="1440"/>
        </w:tabs>
        <w:ind w:left="1440" w:hanging="360"/>
      </w:pPr>
      <w:rPr>
        <w:rFonts w:ascii="Arial" w:hAnsi="Arial" w:hint="default"/>
      </w:rPr>
    </w:lvl>
    <w:lvl w:ilvl="2" w:tplc="0E6EDA72" w:tentative="1">
      <w:start w:val="1"/>
      <w:numFmt w:val="bullet"/>
      <w:lvlText w:val="•"/>
      <w:lvlJc w:val="left"/>
      <w:pPr>
        <w:tabs>
          <w:tab w:val="num" w:pos="2160"/>
        </w:tabs>
        <w:ind w:left="2160" w:hanging="360"/>
      </w:pPr>
      <w:rPr>
        <w:rFonts w:ascii="Arial" w:hAnsi="Arial" w:hint="default"/>
      </w:rPr>
    </w:lvl>
    <w:lvl w:ilvl="3" w:tplc="FD5A162A" w:tentative="1">
      <w:start w:val="1"/>
      <w:numFmt w:val="bullet"/>
      <w:lvlText w:val="•"/>
      <w:lvlJc w:val="left"/>
      <w:pPr>
        <w:tabs>
          <w:tab w:val="num" w:pos="2880"/>
        </w:tabs>
        <w:ind w:left="2880" w:hanging="360"/>
      </w:pPr>
      <w:rPr>
        <w:rFonts w:ascii="Arial" w:hAnsi="Arial" w:hint="default"/>
      </w:rPr>
    </w:lvl>
    <w:lvl w:ilvl="4" w:tplc="B1267FF6" w:tentative="1">
      <w:start w:val="1"/>
      <w:numFmt w:val="bullet"/>
      <w:lvlText w:val="•"/>
      <w:lvlJc w:val="left"/>
      <w:pPr>
        <w:tabs>
          <w:tab w:val="num" w:pos="3600"/>
        </w:tabs>
        <w:ind w:left="3600" w:hanging="360"/>
      </w:pPr>
      <w:rPr>
        <w:rFonts w:ascii="Arial" w:hAnsi="Arial" w:hint="default"/>
      </w:rPr>
    </w:lvl>
    <w:lvl w:ilvl="5" w:tplc="A258AD50" w:tentative="1">
      <w:start w:val="1"/>
      <w:numFmt w:val="bullet"/>
      <w:lvlText w:val="•"/>
      <w:lvlJc w:val="left"/>
      <w:pPr>
        <w:tabs>
          <w:tab w:val="num" w:pos="4320"/>
        </w:tabs>
        <w:ind w:left="4320" w:hanging="360"/>
      </w:pPr>
      <w:rPr>
        <w:rFonts w:ascii="Arial" w:hAnsi="Arial" w:hint="default"/>
      </w:rPr>
    </w:lvl>
    <w:lvl w:ilvl="6" w:tplc="87D4485A" w:tentative="1">
      <w:start w:val="1"/>
      <w:numFmt w:val="bullet"/>
      <w:lvlText w:val="•"/>
      <w:lvlJc w:val="left"/>
      <w:pPr>
        <w:tabs>
          <w:tab w:val="num" w:pos="5040"/>
        </w:tabs>
        <w:ind w:left="5040" w:hanging="360"/>
      </w:pPr>
      <w:rPr>
        <w:rFonts w:ascii="Arial" w:hAnsi="Arial" w:hint="default"/>
      </w:rPr>
    </w:lvl>
    <w:lvl w:ilvl="7" w:tplc="2EA4D516" w:tentative="1">
      <w:start w:val="1"/>
      <w:numFmt w:val="bullet"/>
      <w:lvlText w:val="•"/>
      <w:lvlJc w:val="left"/>
      <w:pPr>
        <w:tabs>
          <w:tab w:val="num" w:pos="5760"/>
        </w:tabs>
        <w:ind w:left="5760" w:hanging="360"/>
      </w:pPr>
      <w:rPr>
        <w:rFonts w:ascii="Arial" w:hAnsi="Arial" w:hint="default"/>
      </w:rPr>
    </w:lvl>
    <w:lvl w:ilvl="8" w:tplc="6DEEC8D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FA0A6C"/>
    <w:multiLevelType w:val="hybridMultilevel"/>
    <w:tmpl w:val="F0523264"/>
    <w:lvl w:ilvl="0" w:tplc="5706EEC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0"/>
  </w:num>
  <w:num w:numId="4">
    <w:abstractNumId w:val="29"/>
  </w:num>
  <w:num w:numId="5">
    <w:abstractNumId w:val="4"/>
  </w:num>
  <w:num w:numId="6">
    <w:abstractNumId w:val="8"/>
  </w:num>
  <w:num w:numId="7">
    <w:abstractNumId w:val="12"/>
  </w:num>
  <w:num w:numId="8">
    <w:abstractNumId w:val="9"/>
  </w:num>
  <w:num w:numId="9">
    <w:abstractNumId w:val="11"/>
  </w:num>
  <w:num w:numId="10">
    <w:abstractNumId w:val="21"/>
  </w:num>
  <w:num w:numId="11">
    <w:abstractNumId w:val="5"/>
  </w:num>
  <w:num w:numId="12">
    <w:abstractNumId w:val="23"/>
  </w:num>
  <w:num w:numId="13">
    <w:abstractNumId w:val="2"/>
  </w:num>
  <w:num w:numId="14">
    <w:abstractNumId w:val="10"/>
  </w:num>
  <w:num w:numId="15">
    <w:abstractNumId w:val="27"/>
  </w:num>
  <w:num w:numId="16">
    <w:abstractNumId w:val="26"/>
  </w:num>
  <w:num w:numId="17">
    <w:abstractNumId w:val="1"/>
  </w:num>
  <w:num w:numId="18">
    <w:abstractNumId w:val="7"/>
  </w:num>
  <w:num w:numId="19">
    <w:abstractNumId w:val="16"/>
  </w:num>
  <w:num w:numId="20">
    <w:abstractNumId w:val="20"/>
  </w:num>
  <w:num w:numId="21">
    <w:abstractNumId w:val="30"/>
  </w:num>
  <w:num w:numId="22">
    <w:abstractNumId w:val="14"/>
  </w:num>
  <w:num w:numId="23">
    <w:abstractNumId w:val="24"/>
  </w:num>
  <w:num w:numId="24">
    <w:abstractNumId w:val="19"/>
  </w:num>
  <w:num w:numId="25">
    <w:abstractNumId w:val="22"/>
  </w:num>
  <w:num w:numId="26">
    <w:abstractNumId w:val="18"/>
  </w:num>
  <w:num w:numId="27">
    <w:abstractNumId w:val="17"/>
  </w:num>
  <w:num w:numId="28">
    <w:abstractNumId w:val="3"/>
  </w:num>
  <w:num w:numId="29">
    <w:abstractNumId w:val="25"/>
  </w:num>
  <w:num w:numId="30">
    <w:abstractNumId w:val="28"/>
  </w:num>
  <w:num w:numId="31">
    <w:abstractNumId w:val="15"/>
  </w:num>
  <w:num w:numId="32">
    <w:abstractNumId w:val="6"/>
  </w:num>
  <w:num w:numId="33">
    <w:abstractNumId w:val="0"/>
  </w:num>
  <w:num w:numId="34">
    <w:abstractNumId w:val="0"/>
  </w:num>
  <w:num w:numId="35">
    <w:abstractNumId w:val="29"/>
  </w:num>
  <w:num w:numId="36">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C0C"/>
    <w:rsid w:val="0000110B"/>
    <w:rsid w:val="000019B2"/>
    <w:rsid w:val="00002009"/>
    <w:rsid w:val="00003499"/>
    <w:rsid w:val="000038FB"/>
    <w:rsid w:val="000039B7"/>
    <w:rsid w:val="00003B02"/>
    <w:rsid w:val="0000428B"/>
    <w:rsid w:val="0000639A"/>
    <w:rsid w:val="000068A0"/>
    <w:rsid w:val="00006D0D"/>
    <w:rsid w:val="000073A7"/>
    <w:rsid w:val="00007A67"/>
    <w:rsid w:val="000111BD"/>
    <w:rsid w:val="00013247"/>
    <w:rsid w:val="00014141"/>
    <w:rsid w:val="00014CB5"/>
    <w:rsid w:val="00015886"/>
    <w:rsid w:val="00015CF7"/>
    <w:rsid w:val="000162EF"/>
    <w:rsid w:val="000173CA"/>
    <w:rsid w:val="00017D18"/>
    <w:rsid w:val="000207C9"/>
    <w:rsid w:val="0002225F"/>
    <w:rsid w:val="000224A0"/>
    <w:rsid w:val="000226F5"/>
    <w:rsid w:val="00022CDE"/>
    <w:rsid w:val="00023752"/>
    <w:rsid w:val="00023763"/>
    <w:rsid w:val="00023E26"/>
    <w:rsid w:val="0002412D"/>
    <w:rsid w:val="000269EB"/>
    <w:rsid w:val="00026ADD"/>
    <w:rsid w:val="000274B8"/>
    <w:rsid w:val="0003241A"/>
    <w:rsid w:val="00033863"/>
    <w:rsid w:val="0003483B"/>
    <w:rsid w:val="00035381"/>
    <w:rsid w:val="00035DC0"/>
    <w:rsid w:val="00036829"/>
    <w:rsid w:val="00040895"/>
    <w:rsid w:val="00040A6D"/>
    <w:rsid w:val="0004190B"/>
    <w:rsid w:val="00041BF8"/>
    <w:rsid w:val="0004255C"/>
    <w:rsid w:val="00042C26"/>
    <w:rsid w:val="0004355F"/>
    <w:rsid w:val="000435EE"/>
    <w:rsid w:val="00043C37"/>
    <w:rsid w:val="00043F94"/>
    <w:rsid w:val="00045017"/>
    <w:rsid w:val="00045A2B"/>
    <w:rsid w:val="00045F67"/>
    <w:rsid w:val="0004698F"/>
    <w:rsid w:val="0005043D"/>
    <w:rsid w:val="00050C50"/>
    <w:rsid w:val="00050EAB"/>
    <w:rsid w:val="000519F7"/>
    <w:rsid w:val="000521AF"/>
    <w:rsid w:val="0005238C"/>
    <w:rsid w:val="000539D0"/>
    <w:rsid w:val="00054621"/>
    <w:rsid w:val="000546D7"/>
    <w:rsid w:val="00055E37"/>
    <w:rsid w:val="00056327"/>
    <w:rsid w:val="00056ECF"/>
    <w:rsid w:val="000604DF"/>
    <w:rsid w:val="000610B1"/>
    <w:rsid w:val="00062A2D"/>
    <w:rsid w:val="000653B5"/>
    <w:rsid w:val="00065AC2"/>
    <w:rsid w:val="00066210"/>
    <w:rsid w:val="00066360"/>
    <w:rsid w:val="00066AF8"/>
    <w:rsid w:val="00067CDA"/>
    <w:rsid w:val="00070AA9"/>
    <w:rsid w:val="000710D2"/>
    <w:rsid w:val="00071248"/>
    <w:rsid w:val="00071373"/>
    <w:rsid w:val="0007166E"/>
    <w:rsid w:val="0007185C"/>
    <w:rsid w:val="00071F1A"/>
    <w:rsid w:val="000720B9"/>
    <w:rsid w:val="0007260F"/>
    <w:rsid w:val="000737F7"/>
    <w:rsid w:val="00073AC5"/>
    <w:rsid w:val="00073DE0"/>
    <w:rsid w:val="00074C67"/>
    <w:rsid w:val="00075543"/>
    <w:rsid w:val="00075586"/>
    <w:rsid w:val="0007672F"/>
    <w:rsid w:val="000769F7"/>
    <w:rsid w:val="00076B54"/>
    <w:rsid w:val="000774F0"/>
    <w:rsid w:val="00077FA3"/>
    <w:rsid w:val="00080909"/>
    <w:rsid w:val="00080E9E"/>
    <w:rsid w:val="000812CA"/>
    <w:rsid w:val="00081E63"/>
    <w:rsid w:val="0008258D"/>
    <w:rsid w:val="0008323D"/>
    <w:rsid w:val="00083E99"/>
    <w:rsid w:val="000848F2"/>
    <w:rsid w:val="00084FA8"/>
    <w:rsid w:val="000856C5"/>
    <w:rsid w:val="00085C31"/>
    <w:rsid w:val="00087773"/>
    <w:rsid w:val="000902D9"/>
    <w:rsid w:val="00090C7E"/>
    <w:rsid w:val="0009224A"/>
    <w:rsid w:val="00092600"/>
    <w:rsid w:val="0009262B"/>
    <w:rsid w:val="00092D59"/>
    <w:rsid w:val="00093310"/>
    <w:rsid w:val="0009445C"/>
    <w:rsid w:val="00095200"/>
    <w:rsid w:val="00095AE3"/>
    <w:rsid w:val="00095FE5"/>
    <w:rsid w:val="00096284"/>
    <w:rsid w:val="00096F2E"/>
    <w:rsid w:val="000A1BC0"/>
    <w:rsid w:val="000A294D"/>
    <w:rsid w:val="000A2D57"/>
    <w:rsid w:val="000A3369"/>
    <w:rsid w:val="000A3C8E"/>
    <w:rsid w:val="000A4CFB"/>
    <w:rsid w:val="000A5CF5"/>
    <w:rsid w:val="000A6039"/>
    <w:rsid w:val="000A64D5"/>
    <w:rsid w:val="000A7453"/>
    <w:rsid w:val="000A7BE9"/>
    <w:rsid w:val="000A7D08"/>
    <w:rsid w:val="000B0121"/>
    <w:rsid w:val="000B062E"/>
    <w:rsid w:val="000B0670"/>
    <w:rsid w:val="000B0E75"/>
    <w:rsid w:val="000B1986"/>
    <w:rsid w:val="000B1BB7"/>
    <w:rsid w:val="000B1D7B"/>
    <w:rsid w:val="000B220B"/>
    <w:rsid w:val="000B2DCB"/>
    <w:rsid w:val="000B3789"/>
    <w:rsid w:val="000B5B3D"/>
    <w:rsid w:val="000B5CE0"/>
    <w:rsid w:val="000B6CAC"/>
    <w:rsid w:val="000B6D2C"/>
    <w:rsid w:val="000B7612"/>
    <w:rsid w:val="000B78AE"/>
    <w:rsid w:val="000B7DCE"/>
    <w:rsid w:val="000C0CD1"/>
    <w:rsid w:val="000C0F56"/>
    <w:rsid w:val="000C268A"/>
    <w:rsid w:val="000C3DF9"/>
    <w:rsid w:val="000C4A52"/>
    <w:rsid w:val="000C4DD6"/>
    <w:rsid w:val="000C5231"/>
    <w:rsid w:val="000C564F"/>
    <w:rsid w:val="000C5DEF"/>
    <w:rsid w:val="000C6713"/>
    <w:rsid w:val="000C6734"/>
    <w:rsid w:val="000C675D"/>
    <w:rsid w:val="000C6C5A"/>
    <w:rsid w:val="000C6F36"/>
    <w:rsid w:val="000C79BA"/>
    <w:rsid w:val="000D079D"/>
    <w:rsid w:val="000D1BFC"/>
    <w:rsid w:val="000D1D5D"/>
    <w:rsid w:val="000D281A"/>
    <w:rsid w:val="000D2848"/>
    <w:rsid w:val="000D2C16"/>
    <w:rsid w:val="000D326A"/>
    <w:rsid w:val="000D44B5"/>
    <w:rsid w:val="000D4998"/>
    <w:rsid w:val="000D4C18"/>
    <w:rsid w:val="000D5045"/>
    <w:rsid w:val="000D51FB"/>
    <w:rsid w:val="000D534B"/>
    <w:rsid w:val="000D6BD9"/>
    <w:rsid w:val="000E0640"/>
    <w:rsid w:val="000E135D"/>
    <w:rsid w:val="000E1CFB"/>
    <w:rsid w:val="000E3C51"/>
    <w:rsid w:val="000E6688"/>
    <w:rsid w:val="000E6D48"/>
    <w:rsid w:val="000F00BA"/>
    <w:rsid w:val="000F0F8C"/>
    <w:rsid w:val="000F316A"/>
    <w:rsid w:val="000F375F"/>
    <w:rsid w:val="000F379E"/>
    <w:rsid w:val="000F3C74"/>
    <w:rsid w:val="000F3CCA"/>
    <w:rsid w:val="000F41CD"/>
    <w:rsid w:val="000F41EB"/>
    <w:rsid w:val="000F4547"/>
    <w:rsid w:val="000F4BB8"/>
    <w:rsid w:val="000F4FA9"/>
    <w:rsid w:val="000F53FB"/>
    <w:rsid w:val="000F7127"/>
    <w:rsid w:val="000F724F"/>
    <w:rsid w:val="000F7B54"/>
    <w:rsid w:val="00100C81"/>
    <w:rsid w:val="00100F8A"/>
    <w:rsid w:val="0010122F"/>
    <w:rsid w:val="001018F0"/>
    <w:rsid w:val="00103110"/>
    <w:rsid w:val="001039D9"/>
    <w:rsid w:val="0010452E"/>
    <w:rsid w:val="00105AE2"/>
    <w:rsid w:val="001060C6"/>
    <w:rsid w:val="00106B80"/>
    <w:rsid w:val="00107054"/>
    <w:rsid w:val="00107A51"/>
    <w:rsid w:val="0011032E"/>
    <w:rsid w:val="0011034F"/>
    <w:rsid w:val="00110FDD"/>
    <w:rsid w:val="00111CCD"/>
    <w:rsid w:val="00111D73"/>
    <w:rsid w:val="001132DD"/>
    <w:rsid w:val="0011348B"/>
    <w:rsid w:val="001134C9"/>
    <w:rsid w:val="001134E8"/>
    <w:rsid w:val="0011380F"/>
    <w:rsid w:val="00113C88"/>
    <w:rsid w:val="001152CF"/>
    <w:rsid w:val="00115982"/>
    <w:rsid w:val="0011697B"/>
    <w:rsid w:val="00116C53"/>
    <w:rsid w:val="00120602"/>
    <w:rsid w:val="00120B20"/>
    <w:rsid w:val="00121799"/>
    <w:rsid w:val="001222FC"/>
    <w:rsid w:val="00122FB3"/>
    <w:rsid w:val="0012360D"/>
    <w:rsid w:val="001237A6"/>
    <w:rsid w:val="00123902"/>
    <w:rsid w:val="00123962"/>
    <w:rsid w:val="00124760"/>
    <w:rsid w:val="00124A51"/>
    <w:rsid w:val="00124BD0"/>
    <w:rsid w:val="00125EB1"/>
    <w:rsid w:val="00126245"/>
    <w:rsid w:val="001262EF"/>
    <w:rsid w:val="00126621"/>
    <w:rsid w:val="00126727"/>
    <w:rsid w:val="00126B1D"/>
    <w:rsid w:val="001275DF"/>
    <w:rsid w:val="001301E9"/>
    <w:rsid w:val="001306B5"/>
    <w:rsid w:val="00131D82"/>
    <w:rsid w:val="00132B22"/>
    <w:rsid w:val="00133329"/>
    <w:rsid w:val="00133980"/>
    <w:rsid w:val="00133D36"/>
    <w:rsid w:val="00134F4E"/>
    <w:rsid w:val="001351C4"/>
    <w:rsid w:val="001371F5"/>
    <w:rsid w:val="001372F8"/>
    <w:rsid w:val="00137645"/>
    <w:rsid w:val="0014015A"/>
    <w:rsid w:val="00140E99"/>
    <w:rsid w:val="00141014"/>
    <w:rsid w:val="00141314"/>
    <w:rsid w:val="00142E92"/>
    <w:rsid w:val="001430DF"/>
    <w:rsid w:val="001434A1"/>
    <w:rsid w:val="00143F67"/>
    <w:rsid w:val="00144301"/>
    <w:rsid w:val="001443F9"/>
    <w:rsid w:val="00144D66"/>
    <w:rsid w:val="00144EF7"/>
    <w:rsid w:val="00145540"/>
    <w:rsid w:val="001456B0"/>
    <w:rsid w:val="001462A4"/>
    <w:rsid w:val="0014684F"/>
    <w:rsid w:val="00146E7C"/>
    <w:rsid w:val="001472AE"/>
    <w:rsid w:val="0015232F"/>
    <w:rsid w:val="00152E7C"/>
    <w:rsid w:val="001531EC"/>
    <w:rsid w:val="001537CE"/>
    <w:rsid w:val="00153F2F"/>
    <w:rsid w:val="00154308"/>
    <w:rsid w:val="001556B5"/>
    <w:rsid w:val="0015587E"/>
    <w:rsid w:val="00155D2F"/>
    <w:rsid w:val="00156F8F"/>
    <w:rsid w:val="00157130"/>
    <w:rsid w:val="001576B1"/>
    <w:rsid w:val="0016047B"/>
    <w:rsid w:val="00160A4C"/>
    <w:rsid w:val="00161EF6"/>
    <w:rsid w:val="00162913"/>
    <w:rsid w:val="001631D7"/>
    <w:rsid w:val="00163EFF"/>
    <w:rsid w:val="00163F66"/>
    <w:rsid w:val="00164331"/>
    <w:rsid w:val="00164BF0"/>
    <w:rsid w:val="00164F5F"/>
    <w:rsid w:val="00166063"/>
    <w:rsid w:val="001661FB"/>
    <w:rsid w:val="001666E8"/>
    <w:rsid w:val="001671A0"/>
    <w:rsid w:val="00167583"/>
    <w:rsid w:val="0016767F"/>
    <w:rsid w:val="00170420"/>
    <w:rsid w:val="00172107"/>
    <w:rsid w:val="00173565"/>
    <w:rsid w:val="00173977"/>
    <w:rsid w:val="00173B07"/>
    <w:rsid w:val="00173FEE"/>
    <w:rsid w:val="001751FA"/>
    <w:rsid w:val="0017525A"/>
    <w:rsid w:val="0017570B"/>
    <w:rsid w:val="0017653F"/>
    <w:rsid w:val="001774EE"/>
    <w:rsid w:val="00177FE0"/>
    <w:rsid w:val="0018138E"/>
    <w:rsid w:val="00181D9C"/>
    <w:rsid w:val="00182897"/>
    <w:rsid w:val="0018406C"/>
    <w:rsid w:val="0018461D"/>
    <w:rsid w:val="00184B0E"/>
    <w:rsid w:val="00185A31"/>
    <w:rsid w:val="00186BFC"/>
    <w:rsid w:val="00186DB6"/>
    <w:rsid w:val="0018752F"/>
    <w:rsid w:val="00191895"/>
    <w:rsid w:val="00193838"/>
    <w:rsid w:val="00194692"/>
    <w:rsid w:val="0019472A"/>
    <w:rsid w:val="00194AD8"/>
    <w:rsid w:val="00195222"/>
    <w:rsid w:val="00195274"/>
    <w:rsid w:val="00195834"/>
    <w:rsid w:val="00196FDD"/>
    <w:rsid w:val="001975D8"/>
    <w:rsid w:val="00197E61"/>
    <w:rsid w:val="00197E67"/>
    <w:rsid w:val="001A0EBA"/>
    <w:rsid w:val="001A178E"/>
    <w:rsid w:val="001A3172"/>
    <w:rsid w:val="001A43FA"/>
    <w:rsid w:val="001A47C5"/>
    <w:rsid w:val="001A59FB"/>
    <w:rsid w:val="001A5E9E"/>
    <w:rsid w:val="001A6354"/>
    <w:rsid w:val="001A6366"/>
    <w:rsid w:val="001A7AE8"/>
    <w:rsid w:val="001A7D12"/>
    <w:rsid w:val="001B204E"/>
    <w:rsid w:val="001B2266"/>
    <w:rsid w:val="001B22AD"/>
    <w:rsid w:val="001B2372"/>
    <w:rsid w:val="001B3177"/>
    <w:rsid w:val="001B3443"/>
    <w:rsid w:val="001B385A"/>
    <w:rsid w:val="001B4D20"/>
    <w:rsid w:val="001B4E78"/>
    <w:rsid w:val="001B631C"/>
    <w:rsid w:val="001B66EB"/>
    <w:rsid w:val="001C0F85"/>
    <w:rsid w:val="001C1B51"/>
    <w:rsid w:val="001C211E"/>
    <w:rsid w:val="001C2958"/>
    <w:rsid w:val="001C2A9B"/>
    <w:rsid w:val="001C3BBE"/>
    <w:rsid w:val="001C3E97"/>
    <w:rsid w:val="001C4299"/>
    <w:rsid w:val="001C4874"/>
    <w:rsid w:val="001C4B45"/>
    <w:rsid w:val="001C58F2"/>
    <w:rsid w:val="001C5CA3"/>
    <w:rsid w:val="001C5F94"/>
    <w:rsid w:val="001C6E66"/>
    <w:rsid w:val="001C6E86"/>
    <w:rsid w:val="001C7F5D"/>
    <w:rsid w:val="001D1100"/>
    <w:rsid w:val="001D12FA"/>
    <w:rsid w:val="001D1391"/>
    <w:rsid w:val="001D1510"/>
    <w:rsid w:val="001D2135"/>
    <w:rsid w:val="001D24C0"/>
    <w:rsid w:val="001D25D7"/>
    <w:rsid w:val="001D2E66"/>
    <w:rsid w:val="001D50B2"/>
    <w:rsid w:val="001D5890"/>
    <w:rsid w:val="001D61EB"/>
    <w:rsid w:val="001D6D90"/>
    <w:rsid w:val="001D7645"/>
    <w:rsid w:val="001E081D"/>
    <w:rsid w:val="001E1AF5"/>
    <w:rsid w:val="001E1E86"/>
    <w:rsid w:val="001E20ED"/>
    <w:rsid w:val="001E238E"/>
    <w:rsid w:val="001E2483"/>
    <w:rsid w:val="001E2B1E"/>
    <w:rsid w:val="001E2CFF"/>
    <w:rsid w:val="001E2F24"/>
    <w:rsid w:val="001E30D4"/>
    <w:rsid w:val="001E34DF"/>
    <w:rsid w:val="001E3682"/>
    <w:rsid w:val="001E3BFF"/>
    <w:rsid w:val="001E52EB"/>
    <w:rsid w:val="001E5B66"/>
    <w:rsid w:val="001E61D2"/>
    <w:rsid w:val="001E7003"/>
    <w:rsid w:val="001E740C"/>
    <w:rsid w:val="001E7C1E"/>
    <w:rsid w:val="001F0C32"/>
    <w:rsid w:val="001F1235"/>
    <w:rsid w:val="001F1832"/>
    <w:rsid w:val="001F1CB3"/>
    <w:rsid w:val="001F38B5"/>
    <w:rsid w:val="001F4081"/>
    <w:rsid w:val="001F4E5D"/>
    <w:rsid w:val="001F6197"/>
    <w:rsid w:val="001F7361"/>
    <w:rsid w:val="001F741A"/>
    <w:rsid w:val="001F7E0C"/>
    <w:rsid w:val="002011B0"/>
    <w:rsid w:val="00201B6B"/>
    <w:rsid w:val="00203181"/>
    <w:rsid w:val="00203783"/>
    <w:rsid w:val="0020385F"/>
    <w:rsid w:val="00205DE3"/>
    <w:rsid w:val="002068A0"/>
    <w:rsid w:val="00206A55"/>
    <w:rsid w:val="00206DA8"/>
    <w:rsid w:val="00207021"/>
    <w:rsid w:val="0020732F"/>
    <w:rsid w:val="0020760E"/>
    <w:rsid w:val="00207D00"/>
    <w:rsid w:val="002105C1"/>
    <w:rsid w:val="0021176F"/>
    <w:rsid w:val="00213373"/>
    <w:rsid w:val="00213627"/>
    <w:rsid w:val="002139DF"/>
    <w:rsid w:val="00213EF5"/>
    <w:rsid w:val="00214C46"/>
    <w:rsid w:val="00215887"/>
    <w:rsid w:val="00215A1D"/>
    <w:rsid w:val="002168C2"/>
    <w:rsid w:val="00216BF5"/>
    <w:rsid w:val="00217205"/>
    <w:rsid w:val="00217DE2"/>
    <w:rsid w:val="0022008B"/>
    <w:rsid w:val="00221117"/>
    <w:rsid w:val="00222551"/>
    <w:rsid w:val="00222794"/>
    <w:rsid w:val="00222C20"/>
    <w:rsid w:val="00223359"/>
    <w:rsid w:val="00223429"/>
    <w:rsid w:val="00223B49"/>
    <w:rsid w:val="00223D5A"/>
    <w:rsid w:val="00223E22"/>
    <w:rsid w:val="00224C2E"/>
    <w:rsid w:val="00224DD4"/>
    <w:rsid w:val="0022580D"/>
    <w:rsid w:val="00225D66"/>
    <w:rsid w:val="00226194"/>
    <w:rsid w:val="00226386"/>
    <w:rsid w:val="00226637"/>
    <w:rsid w:val="00226762"/>
    <w:rsid w:val="00227032"/>
    <w:rsid w:val="002278A0"/>
    <w:rsid w:val="002305FA"/>
    <w:rsid w:val="002309CC"/>
    <w:rsid w:val="0023209F"/>
    <w:rsid w:val="00233C01"/>
    <w:rsid w:val="0023413C"/>
    <w:rsid w:val="002346F0"/>
    <w:rsid w:val="0023629D"/>
    <w:rsid w:val="00237255"/>
    <w:rsid w:val="002400B7"/>
    <w:rsid w:val="002404CA"/>
    <w:rsid w:val="002413D9"/>
    <w:rsid w:val="00241457"/>
    <w:rsid w:val="00241B2E"/>
    <w:rsid w:val="00242043"/>
    <w:rsid w:val="002424AF"/>
    <w:rsid w:val="002439DC"/>
    <w:rsid w:val="002441D2"/>
    <w:rsid w:val="00244BC4"/>
    <w:rsid w:val="00244DC8"/>
    <w:rsid w:val="002458BA"/>
    <w:rsid w:val="00245908"/>
    <w:rsid w:val="0024590A"/>
    <w:rsid w:val="00245CE9"/>
    <w:rsid w:val="00245E0C"/>
    <w:rsid w:val="0024636C"/>
    <w:rsid w:val="00247925"/>
    <w:rsid w:val="0025034B"/>
    <w:rsid w:val="00251006"/>
    <w:rsid w:val="00251C8D"/>
    <w:rsid w:val="002524D5"/>
    <w:rsid w:val="00252761"/>
    <w:rsid w:val="002535B7"/>
    <w:rsid w:val="00253B1D"/>
    <w:rsid w:val="0025469E"/>
    <w:rsid w:val="0025495C"/>
    <w:rsid w:val="00254DCF"/>
    <w:rsid w:val="002550C5"/>
    <w:rsid w:val="0025534B"/>
    <w:rsid w:val="00255429"/>
    <w:rsid w:val="00255BB7"/>
    <w:rsid w:val="00257541"/>
    <w:rsid w:val="00257A39"/>
    <w:rsid w:val="00257AC4"/>
    <w:rsid w:val="00261D68"/>
    <w:rsid w:val="00261EEF"/>
    <w:rsid w:val="00262A1A"/>
    <w:rsid w:val="00262A87"/>
    <w:rsid w:val="00263359"/>
    <w:rsid w:val="00263826"/>
    <w:rsid w:val="00263D9B"/>
    <w:rsid w:val="00264D26"/>
    <w:rsid w:val="00267642"/>
    <w:rsid w:val="00267AEA"/>
    <w:rsid w:val="002700E6"/>
    <w:rsid w:val="00270D30"/>
    <w:rsid w:val="00270D37"/>
    <w:rsid w:val="0027151D"/>
    <w:rsid w:val="0027294B"/>
    <w:rsid w:val="00273EB4"/>
    <w:rsid w:val="0027452D"/>
    <w:rsid w:val="00274682"/>
    <w:rsid w:val="00275C5A"/>
    <w:rsid w:val="0027632B"/>
    <w:rsid w:val="00280207"/>
    <w:rsid w:val="00281014"/>
    <w:rsid w:val="0028604C"/>
    <w:rsid w:val="00286232"/>
    <w:rsid w:val="0028665D"/>
    <w:rsid w:val="0029019F"/>
    <w:rsid w:val="00290832"/>
    <w:rsid w:val="00291E82"/>
    <w:rsid w:val="00292761"/>
    <w:rsid w:val="00293959"/>
    <w:rsid w:val="00294FB6"/>
    <w:rsid w:val="00295149"/>
    <w:rsid w:val="00296440"/>
    <w:rsid w:val="002966D3"/>
    <w:rsid w:val="00297304"/>
    <w:rsid w:val="00297AAC"/>
    <w:rsid w:val="00297E1B"/>
    <w:rsid w:val="002A14AB"/>
    <w:rsid w:val="002A15C2"/>
    <w:rsid w:val="002A172A"/>
    <w:rsid w:val="002A1A6E"/>
    <w:rsid w:val="002A2760"/>
    <w:rsid w:val="002A2ADE"/>
    <w:rsid w:val="002A2F50"/>
    <w:rsid w:val="002A329E"/>
    <w:rsid w:val="002A3D73"/>
    <w:rsid w:val="002A53E2"/>
    <w:rsid w:val="002B05A1"/>
    <w:rsid w:val="002B09A4"/>
    <w:rsid w:val="002B1C1F"/>
    <w:rsid w:val="002B2024"/>
    <w:rsid w:val="002B27D6"/>
    <w:rsid w:val="002B2BFE"/>
    <w:rsid w:val="002B2E38"/>
    <w:rsid w:val="002B3256"/>
    <w:rsid w:val="002B432F"/>
    <w:rsid w:val="002B5339"/>
    <w:rsid w:val="002B55E8"/>
    <w:rsid w:val="002B62B3"/>
    <w:rsid w:val="002B6754"/>
    <w:rsid w:val="002B6B19"/>
    <w:rsid w:val="002B6CCE"/>
    <w:rsid w:val="002B7245"/>
    <w:rsid w:val="002C0440"/>
    <w:rsid w:val="002C2510"/>
    <w:rsid w:val="002C2775"/>
    <w:rsid w:val="002C27C1"/>
    <w:rsid w:val="002C5099"/>
    <w:rsid w:val="002C5889"/>
    <w:rsid w:val="002C5B8E"/>
    <w:rsid w:val="002C614B"/>
    <w:rsid w:val="002C6403"/>
    <w:rsid w:val="002C71CE"/>
    <w:rsid w:val="002C7FE5"/>
    <w:rsid w:val="002D062C"/>
    <w:rsid w:val="002D08F8"/>
    <w:rsid w:val="002D1E22"/>
    <w:rsid w:val="002D2074"/>
    <w:rsid w:val="002D2A16"/>
    <w:rsid w:val="002D577C"/>
    <w:rsid w:val="002D6018"/>
    <w:rsid w:val="002E1071"/>
    <w:rsid w:val="002E15B9"/>
    <w:rsid w:val="002E2158"/>
    <w:rsid w:val="002E28FC"/>
    <w:rsid w:val="002E3671"/>
    <w:rsid w:val="002E37F4"/>
    <w:rsid w:val="002E4F02"/>
    <w:rsid w:val="002E57FB"/>
    <w:rsid w:val="002E5F94"/>
    <w:rsid w:val="002E6F47"/>
    <w:rsid w:val="002E7722"/>
    <w:rsid w:val="002F07BA"/>
    <w:rsid w:val="002F0DA9"/>
    <w:rsid w:val="002F1014"/>
    <w:rsid w:val="002F4537"/>
    <w:rsid w:val="002F4EC6"/>
    <w:rsid w:val="002F58B9"/>
    <w:rsid w:val="002F643C"/>
    <w:rsid w:val="002F68ED"/>
    <w:rsid w:val="002F71B1"/>
    <w:rsid w:val="002F71C0"/>
    <w:rsid w:val="002F74F1"/>
    <w:rsid w:val="00301017"/>
    <w:rsid w:val="00301258"/>
    <w:rsid w:val="0030126E"/>
    <w:rsid w:val="0030155F"/>
    <w:rsid w:val="003033DD"/>
    <w:rsid w:val="003044C7"/>
    <w:rsid w:val="00304C9C"/>
    <w:rsid w:val="0030587B"/>
    <w:rsid w:val="003066F4"/>
    <w:rsid w:val="00306AFC"/>
    <w:rsid w:val="00306D98"/>
    <w:rsid w:val="0030786C"/>
    <w:rsid w:val="0031018D"/>
    <w:rsid w:val="0031031A"/>
    <w:rsid w:val="00310580"/>
    <w:rsid w:val="00310981"/>
    <w:rsid w:val="00311429"/>
    <w:rsid w:val="003116AC"/>
    <w:rsid w:val="003124D9"/>
    <w:rsid w:val="00312568"/>
    <w:rsid w:val="00312594"/>
    <w:rsid w:val="00313197"/>
    <w:rsid w:val="003145D0"/>
    <w:rsid w:val="00314E99"/>
    <w:rsid w:val="00315498"/>
    <w:rsid w:val="00315F9D"/>
    <w:rsid w:val="00316474"/>
    <w:rsid w:val="003204A0"/>
    <w:rsid w:val="003215D7"/>
    <w:rsid w:val="00322107"/>
    <w:rsid w:val="00322355"/>
    <w:rsid w:val="00322680"/>
    <w:rsid w:val="003227A1"/>
    <w:rsid w:val="00322846"/>
    <w:rsid w:val="0032301E"/>
    <w:rsid w:val="00325757"/>
    <w:rsid w:val="00326027"/>
    <w:rsid w:val="003263E2"/>
    <w:rsid w:val="00326DA7"/>
    <w:rsid w:val="003270E4"/>
    <w:rsid w:val="0032714A"/>
    <w:rsid w:val="00330DAA"/>
    <w:rsid w:val="00330EF7"/>
    <w:rsid w:val="00330F5C"/>
    <w:rsid w:val="00331518"/>
    <w:rsid w:val="00331EF6"/>
    <w:rsid w:val="003327BD"/>
    <w:rsid w:val="00332F7E"/>
    <w:rsid w:val="0033340F"/>
    <w:rsid w:val="0033372B"/>
    <w:rsid w:val="00333D96"/>
    <w:rsid w:val="00334229"/>
    <w:rsid w:val="00334C18"/>
    <w:rsid w:val="0033549E"/>
    <w:rsid w:val="003361EA"/>
    <w:rsid w:val="003366C9"/>
    <w:rsid w:val="00336C6A"/>
    <w:rsid w:val="00337073"/>
    <w:rsid w:val="003371B0"/>
    <w:rsid w:val="003378B0"/>
    <w:rsid w:val="003403C8"/>
    <w:rsid w:val="00340597"/>
    <w:rsid w:val="00340DF1"/>
    <w:rsid w:val="00342FA2"/>
    <w:rsid w:val="0034362B"/>
    <w:rsid w:val="00343BA7"/>
    <w:rsid w:val="00344C33"/>
    <w:rsid w:val="003452C5"/>
    <w:rsid w:val="00346717"/>
    <w:rsid w:val="0034702A"/>
    <w:rsid w:val="003517F9"/>
    <w:rsid w:val="00351BA9"/>
    <w:rsid w:val="00352836"/>
    <w:rsid w:val="00353115"/>
    <w:rsid w:val="00354F64"/>
    <w:rsid w:val="0035607A"/>
    <w:rsid w:val="0035620E"/>
    <w:rsid w:val="003600BA"/>
    <w:rsid w:val="00360345"/>
    <w:rsid w:val="00361A05"/>
    <w:rsid w:val="00361D03"/>
    <w:rsid w:val="00361E8B"/>
    <w:rsid w:val="003624C4"/>
    <w:rsid w:val="00362897"/>
    <w:rsid w:val="00362E09"/>
    <w:rsid w:val="00363699"/>
    <w:rsid w:val="00363B00"/>
    <w:rsid w:val="00363CE0"/>
    <w:rsid w:val="00364829"/>
    <w:rsid w:val="00364A12"/>
    <w:rsid w:val="003654AC"/>
    <w:rsid w:val="00366381"/>
    <w:rsid w:val="00366801"/>
    <w:rsid w:val="003710CF"/>
    <w:rsid w:val="003730A4"/>
    <w:rsid w:val="0037358A"/>
    <w:rsid w:val="003735E4"/>
    <w:rsid w:val="0037360F"/>
    <w:rsid w:val="00373D43"/>
    <w:rsid w:val="003750F6"/>
    <w:rsid w:val="003752C6"/>
    <w:rsid w:val="00375DAC"/>
    <w:rsid w:val="00375F6D"/>
    <w:rsid w:val="003760FC"/>
    <w:rsid w:val="003769C8"/>
    <w:rsid w:val="00377FB7"/>
    <w:rsid w:val="0038176D"/>
    <w:rsid w:val="00382031"/>
    <w:rsid w:val="0038365C"/>
    <w:rsid w:val="0038369B"/>
    <w:rsid w:val="00383B78"/>
    <w:rsid w:val="003840D4"/>
    <w:rsid w:val="00384D6C"/>
    <w:rsid w:val="00385A9D"/>
    <w:rsid w:val="003902B1"/>
    <w:rsid w:val="003909BD"/>
    <w:rsid w:val="0039145D"/>
    <w:rsid w:val="0039179C"/>
    <w:rsid w:val="00391989"/>
    <w:rsid w:val="00393872"/>
    <w:rsid w:val="00393EBA"/>
    <w:rsid w:val="003966DC"/>
    <w:rsid w:val="003966E1"/>
    <w:rsid w:val="00396896"/>
    <w:rsid w:val="00396DB4"/>
    <w:rsid w:val="00396FD0"/>
    <w:rsid w:val="003A0926"/>
    <w:rsid w:val="003A1A7A"/>
    <w:rsid w:val="003A1FF8"/>
    <w:rsid w:val="003A2392"/>
    <w:rsid w:val="003A2773"/>
    <w:rsid w:val="003A2831"/>
    <w:rsid w:val="003A3CB6"/>
    <w:rsid w:val="003A3ED1"/>
    <w:rsid w:val="003A44DB"/>
    <w:rsid w:val="003A5330"/>
    <w:rsid w:val="003A5CA4"/>
    <w:rsid w:val="003A6EFF"/>
    <w:rsid w:val="003A7437"/>
    <w:rsid w:val="003A783A"/>
    <w:rsid w:val="003A7A0B"/>
    <w:rsid w:val="003B0835"/>
    <w:rsid w:val="003B31D6"/>
    <w:rsid w:val="003B3971"/>
    <w:rsid w:val="003B4351"/>
    <w:rsid w:val="003B4883"/>
    <w:rsid w:val="003B55D1"/>
    <w:rsid w:val="003B582C"/>
    <w:rsid w:val="003B597A"/>
    <w:rsid w:val="003B59ED"/>
    <w:rsid w:val="003B5B61"/>
    <w:rsid w:val="003B60BF"/>
    <w:rsid w:val="003B6439"/>
    <w:rsid w:val="003B76A9"/>
    <w:rsid w:val="003C11D3"/>
    <w:rsid w:val="003C1654"/>
    <w:rsid w:val="003C314A"/>
    <w:rsid w:val="003C46D9"/>
    <w:rsid w:val="003C5542"/>
    <w:rsid w:val="003C6454"/>
    <w:rsid w:val="003C74D0"/>
    <w:rsid w:val="003C7D19"/>
    <w:rsid w:val="003C7D2F"/>
    <w:rsid w:val="003D1098"/>
    <w:rsid w:val="003D1828"/>
    <w:rsid w:val="003D1DE4"/>
    <w:rsid w:val="003D1E9A"/>
    <w:rsid w:val="003D2422"/>
    <w:rsid w:val="003D28C8"/>
    <w:rsid w:val="003D38AD"/>
    <w:rsid w:val="003D39A1"/>
    <w:rsid w:val="003D3FBF"/>
    <w:rsid w:val="003D4A30"/>
    <w:rsid w:val="003D4ADB"/>
    <w:rsid w:val="003D62F1"/>
    <w:rsid w:val="003D7452"/>
    <w:rsid w:val="003D79BB"/>
    <w:rsid w:val="003D7C98"/>
    <w:rsid w:val="003D7D9D"/>
    <w:rsid w:val="003E0543"/>
    <w:rsid w:val="003E0F3C"/>
    <w:rsid w:val="003E1EE6"/>
    <w:rsid w:val="003E38EA"/>
    <w:rsid w:val="003E480D"/>
    <w:rsid w:val="003E4E5F"/>
    <w:rsid w:val="003E54E8"/>
    <w:rsid w:val="003E6C48"/>
    <w:rsid w:val="003E749E"/>
    <w:rsid w:val="003E7650"/>
    <w:rsid w:val="003F0314"/>
    <w:rsid w:val="003F4156"/>
    <w:rsid w:val="003F4293"/>
    <w:rsid w:val="003F4EF9"/>
    <w:rsid w:val="003F5659"/>
    <w:rsid w:val="003F5ADF"/>
    <w:rsid w:val="003F6DAD"/>
    <w:rsid w:val="003F78B2"/>
    <w:rsid w:val="00400B29"/>
    <w:rsid w:val="00401AB2"/>
    <w:rsid w:val="0040270D"/>
    <w:rsid w:val="00402748"/>
    <w:rsid w:val="00404283"/>
    <w:rsid w:val="0040504B"/>
    <w:rsid w:val="004059F4"/>
    <w:rsid w:val="004073B2"/>
    <w:rsid w:val="0040773C"/>
    <w:rsid w:val="00407FE5"/>
    <w:rsid w:val="004101B0"/>
    <w:rsid w:val="00410326"/>
    <w:rsid w:val="004105FF"/>
    <w:rsid w:val="00410708"/>
    <w:rsid w:val="00410EC7"/>
    <w:rsid w:val="00411B39"/>
    <w:rsid w:val="004120D6"/>
    <w:rsid w:val="004122E0"/>
    <w:rsid w:val="00412424"/>
    <w:rsid w:val="004127A7"/>
    <w:rsid w:val="00413A1E"/>
    <w:rsid w:val="00414476"/>
    <w:rsid w:val="00414C2E"/>
    <w:rsid w:val="004151CF"/>
    <w:rsid w:val="00415D21"/>
    <w:rsid w:val="00416364"/>
    <w:rsid w:val="00416E06"/>
    <w:rsid w:val="004201B3"/>
    <w:rsid w:val="0042047F"/>
    <w:rsid w:val="00420AA6"/>
    <w:rsid w:val="00420B9F"/>
    <w:rsid w:val="00421594"/>
    <w:rsid w:val="0042192C"/>
    <w:rsid w:val="00422260"/>
    <w:rsid w:val="0042413F"/>
    <w:rsid w:val="00424C34"/>
    <w:rsid w:val="00424F88"/>
    <w:rsid w:val="004258A3"/>
    <w:rsid w:val="00427289"/>
    <w:rsid w:val="00430A08"/>
    <w:rsid w:val="004319F8"/>
    <w:rsid w:val="00431E55"/>
    <w:rsid w:val="004321F6"/>
    <w:rsid w:val="00432313"/>
    <w:rsid w:val="00432495"/>
    <w:rsid w:val="00432A19"/>
    <w:rsid w:val="00433044"/>
    <w:rsid w:val="00433F78"/>
    <w:rsid w:val="00434088"/>
    <w:rsid w:val="0043438F"/>
    <w:rsid w:val="00434BDC"/>
    <w:rsid w:val="00434ECF"/>
    <w:rsid w:val="004355A9"/>
    <w:rsid w:val="004375B9"/>
    <w:rsid w:val="004376A5"/>
    <w:rsid w:val="00441F67"/>
    <w:rsid w:val="004428D0"/>
    <w:rsid w:val="00444185"/>
    <w:rsid w:val="004443A7"/>
    <w:rsid w:val="0044442C"/>
    <w:rsid w:val="0044566C"/>
    <w:rsid w:val="00445941"/>
    <w:rsid w:val="004464EB"/>
    <w:rsid w:val="00447A5C"/>
    <w:rsid w:val="00447D26"/>
    <w:rsid w:val="00447DFC"/>
    <w:rsid w:val="004519AC"/>
    <w:rsid w:val="00452170"/>
    <w:rsid w:val="00452E78"/>
    <w:rsid w:val="00453FC9"/>
    <w:rsid w:val="00454CCA"/>
    <w:rsid w:val="00455C8D"/>
    <w:rsid w:val="00455D45"/>
    <w:rsid w:val="0045714B"/>
    <w:rsid w:val="004575D6"/>
    <w:rsid w:val="00460B72"/>
    <w:rsid w:val="00460D59"/>
    <w:rsid w:val="00464011"/>
    <w:rsid w:val="00464595"/>
    <w:rsid w:val="0046556D"/>
    <w:rsid w:val="0046558E"/>
    <w:rsid w:val="004658B5"/>
    <w:rsid w:val="00466284"/>
    <w:rsid w:val="004665BC"/>
    <w:rsid w:val="0047196D"/>
    <w:rsid w:val="00471EA5"/>
    <w:rsid w:val="00472A79"/>
    <w:rsid w:val="0047334A"/>
    <w:rsid w:val="00473F19"/>
    <w:rsid w:val="00474EF0"/>
    <w:rsid w:val="00474F3A"/>
    <w:rsid w:val="00475018"/>
    <w:rsid w:val="00475E22"/>
    <w:rsid w:val="00476782"/>
    <w:rsid w:val="004800AB"/>
    <w:rsid w:val="004805C1"/>
    <w:rsid w:val="004806CE"/>
    <w:rsid w:val="0048088E"/>
    <w:rsid w:val="00480F2B"/>
    <w:rsid w:val="004818DD"/>
    <w:rsid w:val="00482720"/>
    <w:rsid w:val="004835E7"/>
    <w:rsid w:val="004846FD"/>
    <w:rsid w:val="00485EBF"/>
    <w:rsid w:val="0048641C"/>
    <w:rsid w:val="004867E2"/>
    <w:rsid w:val="004867FD"/>
    <w:rsid w:val="00486BF5"/>
    <w:rsid w:val="00490B17"/>
    <w:rsid w:val="00491B3A"/>
    <w:rsid w:val="004923CB"/>
    <w:rsid w:val="00492CFD"/>
    <w:rsid w:val="00493522"/>
    <w:rsid w:val="00494207"/>
    <w:rsid w:val="0049439F"/>
    <w:rsid w:val="00494DD5"/>
    <w:rsid w:val="004962D2"/>
    <w:rsid w:val="0049727F"/>
    <w:rsid w:val="00497467"/>
    <w:rsid w:val="004979D2"/>
    <w:rsid w:val="004A0DA1"/>
    <w:rsid w:val="004A13D6"/>
    <w:rsid w:val="004A2239"/>
    <w:rsid w:val="004A3A22"/>
    <w:rsid w:val="004A468F"/>
    <w:rsid w:val="004A52E9"/>
    <w:rsid w:val="004A5FE9"/>
    <w:rsid w:val="004A6040"/>
    <w:rsid w:val="004A6597"/>
    <w:rsid w:val="004A7848"/>
    <w:rsid w:val="004A7D03"/>
    <w:rsid w:val="004B1CB4"/>
    <w:rsid w:val="004B2F18"/>
    <w:rsid w:val="004B3DDB"/>
    <w:rsid w:val="004B4346"/>
    <w:rsid w:val="004B44FD"/>
    <w:rsid w:val="004B552F"/>
    <w:rsid w:val="004B5CFC"/>
    <w:rsid w:val="004B6F79"/>
    <w:rsid w:val="004B6FC8"/>
    <w:rsid w:val="004B774D"/>
    <w:rsid w:val="004C0039"/>
    <w:rsid w:val="004C0622"/>
    <w:rsid w:val="004C07DF"/>
    <w:rsid w:val="004C3704"/>
    <w:rsid w:val="004C4AED"/>
    <w:rsid w:val="004C4EF6"/>
    <w:rsid w:val="004C530D"/>
    <w:rsid w:val="004C5BDD"/>
    <w:rsid w:val="004C5FF0"/>
    <w:rsid w:val="004C6CE4"/>
    <w:rsid w:val="004D04EA"/>
    <w:rsid w:val="004D2C2D"/>
    <w:rsid w:val="004D37AF"/>
    <w:rsid w:val="004D3EB4"/>
    <w:rsid w:val="004D4B6B"/>
    <w:rsid w:val="004D69B5"/>
    <w:rsid w:val="004D7227"/>
    <w:rsid w:val="004D792A"/>
    <w:rsid w:val="004E0E7F"/>
    <w:rsid w:val="004E0EB8"/>
    <w:rsid w:val="004E18E9"/>
    <w:rsid w:val="004E2ADC"/>
    <w:rsid w:val="004E3A89"/>
    <w:rsid w:val="004E43B2"/>
    <w:rsid w:val="004E4EF3"/>
    <w:rsid w:val="004E5273"/>
    <w:rsid w:val="004E5359"/>
    <w:rsid w:val="004E5C2A"/>
    <w:rsid w:val="004E6D2F"/>
    <w:rsid w:val="004F1D02"/>
    <w:rsid w:val="004F2679"/>
    <w:rsid w:val="004F2F21"/>
    <w:rsid w:val="004F3BFD"/>
    <w:rsid w:val="004F3DE5"/>
    <w:rsid w:val="004F557C"/>
    <w:rsid w:val="004F62F2"/>
    <w:rsid w:val="004F6913"/>
    <w:rsid w:val="004F69B5"/>
    <w:rsid w:val="004F7865"/>
    <w:rsid w:val="0050174E"/>
    <w:rsid w:val="00501854"/>
    <w:rsid w:val="0050219B"/>
    <w:rsid w:val="00502A02"/>
    <w:rsid w:val="005036E4"/>
    <w:rsid w:val="005038F2"/>
    <w:rsid w:val="00503F17"/>
    <w:rsid w:val="00506928"/>
    <w:rsid w:val="00506F79"/>
    <w:rsid w:val="005077EF"/>
    <w:rsid w:val="00511AD5"/>
    <w:rsid w:val="00511DC7"/>
    <w:rsid w:val="00512B8F"/>
    <w:rsid w:val="00512C4B"/>
    <w:rsid w:val="00513158"/>
    <w:rsid w:val="005141AE"/>
    <w:rsid w:val="005142C5"/>
    <w:rsid w:val="00514845"/>
    <w:rsid w:val="0051501B"/>
    <w:rsid w:val="005152B5"/>
    <w:rsid w:val="00516B1A"/>
    <w:rsid w:val="005176AA"/>
    <w:rsid w:val="00520B14"/>
    <w:rsid w:val="0052123C"/>
    <w:rsid w:val="00521319"/>
    <w:rsid w:val="00521C49"/>
    <w:rsid w:val="00521DDD"/>
    <w:rsid w:val="00522BC8"/>
    <w:rsid w:val="00523C28"/>
    <w:rsid w:val="00525D88"/>
    <w:rsid w:val="005269FA"/>
    <w:rsid w:val="00526E75"/>
    <w:rsid w:val="00526EA8"/>
    <w:rsid w:val="0053078B"/>
    <w:rsid w:val="00530DED"/>
    <w:rsid w:val="005314B0"/>
    <w:rsid w:val="0053176B"/>
    <w:rsid w:val="0053227D"/>
    <w:rsid w:val="00532AF2"/>
    <w:rsid w:val="00535097"/>
    <w:rsid w:val="005369D3"/>
    <w:rsid w:val="00536F42"/>
    <w:rsid w:val="00537182"/>
    <w:rsid w:val="0053776E"/>
    <w:rsid w:val="00537923"/>
    <w:rsid w:val="00540007"/>
    <w:rsid w:val="00540820"/>
    <w:rsid w:val="0054136F"/>
    <w:rsid w:val="00541E18"/>
    <w:rsid w:val="00541EDD"/>
    <w:rsid w:val="00542743"/>
    <w:rsid w:val="00542C2D"/>
    <w:rsid w:val="00542F83"/>
    <w:rsid w:val="00543D2D"/>
    <w:rsid w:val="005443DB"/>
    <w:rsid w:val="00546021"/>
    <w:rsid w:val="00546830"/>
    <w:rsid w:val="00546F28"/>
    <w:rsid w:val="005478BD"/>
    <w:rsid w:val="005479E3"/>
    <w:rsid w:val="00550FB2"/>
    <w:rsid w:val="00551985"/>
    <w:rsid w:val="00552BD3"/>
    <w:rsid w:val="005532A0"/>
    <w:rsid w:val="00553333"/>
    <w:rsid w:val="00554A38"/>
    <w:rsid w:val="00555109"/>
    <w:rsid w:val="00555471"/>
    <w:rsid w:val="00556B35"/>
    <w:rsid w:val="0055741A"/>
    <w:rsid w:val="00557F4B"/>
    <w:rsid w:val="005611B7"/>
    <w:rsid w:val="005616A5"/>
    <w:rsid w:val="005618D4"/>
    <w:rsid w:val="005623B1"/>
    <w:rsid w:val="00562E02"/>
    <w:rsid w:val="00565DF0"/>
    <w:rsid w:val="0056696F"/>
    <w:rsid w:val="00567A42"/>
    <w:rsid w:val="00567A68"/>
    <w:rsid w:val="00570206"/>
    <w:rsid w:val="0057153E"/>
    <w:rsid w:val="00571E3E"/>
    <w:rsid w:val="00572269"/>
    <w:rsid w:val="0057244A"/>
    <w:rsid w:val="005724FE"/>
    <w:rsid w:val="00572D0C"/>
    <w:rsid w:val="00572F26"/>
    <w:rsid w:val="00573B72"/>
    <w:rsid w:val="0057445E"/>
    <w:rsid w:val="005744CD"/>
    <w:rsid w:val="0057473A"/>
    <w:rsid w:val="005750C5"/>
    <w:rsid w:val="005752DE"/>
    <w:rsid w:val="00575D8D"/>
    <w:rsid w:val="00576972"/>
    <w:rsid w:val="00576C85"/>
    <w:rsid w:val="00576C8F"/>
    <w:rsid w:val="005805D6"/>
    <w:rsid w:val="005825F6"/>
    <w:rsid w:val="005835D2"/>
    <w:rsid w:val="00583699"/>
    <w:rsid w:val="00585CDD"/>
    <w:rsid w:val="00586021"/>
    <w:rsid w:val="00587058"/>
    <w:rsid w:val="0058762F"/>
    <w:rsid w:val="00587A1D"/>
    <w:rsid w:val="00587AAE"/>
    <w:rsid w:val="00590F5B"/>
    <w:rsid w:val="00591957"/>
    <w:rsid w:val="00591AD5"/>
    <w:rsid w:val="005920D4"/>
    <w:rsid w:val="00595728"/>
    <w:rsid w:val="00597BF9"/>
    <w:rsid w:val="005A0CB8"/>
    <w:rsid w:val="005A1384"/>
    <w:rsid w:val="005A1CE6"/>
    <w:rsid w:val="005A1D29"/>
    <w:rsid w:val="005A3048"/>
    <w:rsid w:val="005A309A"/>
    <w:rsid w:val="005A349F"/>
    <w:rsid w:val="005A373D"/>
    <w:rsid w:val="005A45A9"/>
    <w:rsid w:val="005A4B89"/>
    <w:rsid w:val="005A4F0A"/>
    <w:rsid w:val="005A67B5"/>
    <w:rsid w:val="005A7815"/>
    <w:rsid w:val="005B021D"/>
    <w:rsid w:val="005B0B58"/>
    <w:rsid w:val="005B0FC8"/>
    <w:rsid w:val="005B1616"/>
    <w:rsid w:val="005B1F4C"/>
    <w:rsid w:val="005B3E94"/>
    <w:rsid w:val="005B4E53"/>
    <w:rsid w:val="005B5857"/>
    <w:rsid w:val="005B5CE6"/>
    <w:rsid w:val="005B69D0"/>
    <w:rsid w:val="005B6A7B"/>
    <w:rsid w:val="005B6C29"/>
    <w:rsid w:val="005B6C86"/>
    <w:rsid w:val="005B6D71"/>
    <w:rsid w:val="005C03E0"/>
    <w:rsid w:val="005C0A6A"/>
    <w:rsid w:val="005C1B83"/>
    <w:rsid w:val="005C21E8"/>
    <w:rsid w:val="005C25FF"/>
    <w:rsid w:val="005C2AAD"/>
    <w:rsid w:val="005C2BE8"/>
    <w:rsid w:val="005C2D55"/>
    <w:rsid w:val="005C3043"/>
    <w:rsid w:val="005C329A"/>
    <w:rsid w:val="005C346B"/>
    <w:rsid w:val="005C3BDA"/>
    <w:rsid w:val="005C5383"/>
    <w:rsid w:val="005C56F3"/>
    <w:rsid w:val="005C683E"/>
    <w:rsid w:val="005D02B3"/>
    <w:rsid w:val="005D044D"/>
    <w:rsid w:val="005D07F1"/>
    <w:rsid w:val="005D0ABD"/>
    <w:rsid w:val="005D18AD"/>
    <w:rsid w:val="005D26B4"/>
    <w:rsid w:val="005D2C27"/>
    <w:rsid w:val="005D6137"/>
    <w:rsid w:val="005E10DA"/>
    <w:rsid w:val="005E1918"/>
    <w:rsid w:val="005E1E9F"/>
    <w:rsid w:val="005E2A9F"/>
    <w:rsid w:val="005E3C3A"/>
    <w:rsid w:val="005E4430"/>
    <w:rsid w:val="005E6CBC"/>
    <w:rsid w:val="005E72FF"/>
    <w:rsid w:val="005E73C0"/>
    <w:rsid w:val="005F0170"/>
    <w:rsid w:val="005F1204"/>
    <w:rsid w:val="005F1FE1"/>
    <w:rsid w:val="005F2706"/>
    <w:rsid w:val="005F3FC6"/>
    <w:rsid w:val="005F467D"/>
    <w:rsid w:val="005F5621"/>
    <w:rsid w:val="005F5CED"/>
    <w:rsid w:val="005F6A8F"/>
    <w:rsid w:val="005F6BB7"/>
    <w:rsid w:val="005F6F59"/>
    <w:rsid w:val="005F7588"/>
    <w:rsid w:val="006003C3"/>
    <w:rsid w:val="0060143F"/>
    <w:rsid w:val="00603AFC"/>
    <w:rsid w:val="00603DB9"/>
    <w:rsid w:val="0060437A"/>
    <w:rsid w:val="00605A67"/>
    <w:rsid w:val="00605EE5"/>
    <w:rsid w:val="0060646A"/>
    <w:rsid w:val="00606FBA"/>
    <w:rsid w:val="00607669"/>
    <w:rsid w:val="006076F4"/>
    <w:rsid w:val="00607AFD"/>
    <w:rsid w:val="006107F0"/>
    <w:rsid w:val="00612752"/>
    <w:rsid w:val="00612A35"/>
    <w:rsid w:val="00612C5A"/>
    <w:rsid w:val="00612F97"/>
    <w:rsid w:val="0061345D"/>
    <w:rsid w:val="00613727"/>
    <w:rsid w:val="00613B98"/>
    <w:rsid w:val="0061549B"/>
    <w:rsid w:val="00615EBF"/>
    <w:rsid w:val="00616338"/>
    <w:rsid w:val="006163BD"/>
    <w:rsid w:val="006167B1"/>
    <w:rsid w:val="00616802"/>
    <w:rsid w:val="00616EBC"/>
    <w:rsid w:val="00617CF9"/>
    <w:rsid w:val="00617E12"/>
    <w:rsid w:val="00620C25"/>
    <w:rsid w:val="00620CFB"/>
    <w:rsid w:val="00621477"/>
    <w:rsid w:val="00621913"/>
    <w:rsid w:val="00621ADA"/>
    <w:rsid w:val="00622173"/>
    <w:rsid w:val="00623F7B"/>
    <w:rsid w:val="006243D2"/>
    <w:rsid w:val="0062568E"/>
    <w:rsid w:val="00626160"/>
    <w:rsid w:val="0062696A"/>
    <w:rsid w:val="006272F7"/>
    <w:rsid w:val="00630E69"/>
    <w:rsid w:val="0063158F"/>
    <w:rsid w:val="00631814"/>
    <w:rsid w:val="00631D6B"/>
    <w:rsid w:val="00632183"/>
    <w:rsid w:val="0063285D"/>
    <w:rsid w:val="00632CF8"/>
    <w:rsid w:val="00632E54"/>
    <w:rsid w:val="006330A1"/>
    <w:rsid w:val="00633BA3"/>
    <w:rsid w:val="00633E58"/>
    <w:rsid w:val="0063479F"/>
    <w:rsid w:val="006353F0"/>
    <w:rsid w:val="006357B5"/>
    <w:rsid w:val="006364A1"/>
    <w:rsid w:val="0063678E"/>
    <w:rsid w:val="00636D92"/>
    <w:rsid w:val="0063799A"/>
    <w:rsid w:val="00637BFD"/>
    <w:rsid w:val="0064084B"/>
    <w:rsid w:val="00641C4E"/>
    <w:rsid w:val="00641FB3"/>
    <w:rsid w:val="00642524"/>
    <w:rsid w:val="00642C69"/>
    <w:rsid w:val="00643A17"/>
    <w:rsid w:val="0064434C"/>
    <w:rsid w:val="00646959"/>
    <w:rsid w:val="006471CC"/>
    <w:rsid w:val="00647600"/>
    <w:rsid w:val="00647A29"/>
    <w:rsid w:val="00647EDB"/>
    <w:rsid w:val="006505B4"/>
    <w:rsid w:val="0065079F"/>
    <w:rsid w:val="00650F1D"/>
    <w:rsid w:val="0065232C"/>
    <w:rsid w:val="00652A28"/>
    <w:rsid w:val="0065379F"/>
    <w:rsid w:val="006559CE"/>
    <w:rsid w:val="00656188"/>
    <w:rsid w:val="0065689B"/>
    <w:rsid w:val="0065715A"/>
    <w:rsid w:val="00660B5B"/>
    <w:rsid w:val="006610F1"/>
    <w:rsid w:val="0066146E"/>
    <w:rsid w:val="00661C6B"/>
    <w:rsid w:val="00661E6B"/>
    <w:rsid w:val="00661E9A"/>
    <w:rsid w:val="00662154"/>
    <w:rsid w:val="00663DB8"/>
    <w:rsid w:val="00664407"/>
    <w:rsid w:val="00665554"/>
    <w:rsid w:val="00665F9B"/>
    <w:rsid w:val="00667B3A"/>
    <w:rsid w:val="00670467"/>
    <w:rsid w:val="00670CB6"/>
    <w:rsid w:val="00671004"/>
    <w:rsid w:val="006712EA"/>
    <w:rsid w:val="00671488"/>
    <w:rsid w:val="00671EC9"/>
    <w:rsid w:val="00672646"/>
    <w:rsid w:val="00673623"/>
    <w:rsid w:val="00674786"/>
    <w:rsid w:val="00674E42"/>
    <w:rsid w:val="0067708F"/>
    <w:rsid w:val="006812E9"/>
    <w:rsid w:val="006813F8"/>
    <w:rsid w:val="00682112"/>
    <w:rsid w:val="00682BA6"/>
    <w:rsid w:val="00683AA2"/>
    <w:rsid w:val="0068590E"/>
    <w:rsid w:val="0068612C"/>
    <w:rsid w:val="0068633B"/>
    <w:rsid w:val="0068686F"/>
    <w:rsid w:val="00686957"/>
    <w:rsid w:val="006872BA"/>
    <w:rsid w:val="0069077E"/>
    <w:rsid w:val="00690795"/>
    <w:rsid w:val="00690AC6"/>
    <w:rsid w:val="006912C6"/>
    <w:rsid w:val="00691648"/>
    <w:rsid w:val="006917D7"/>
    <w:rsid w:val="0069434C"/>
    <w:rsid w:val="00694F44"/>
    <w:rsid w:val="0069699C"/>
    <w:rsid w:val="00696F51"/>
    <w:rsid w:val="006976AB"/>
    <w:rsid w:val="006979A5"/>
    <w:rsid w:val="00697E6D"/>
    <w:rsid w:val="00697FC4"/>
    <w:rsid w:val="006A10BD"/>
    <w:rsid w:val="006A25FC"/>
    <w:rsid w:val="006A28F3"/>
    <w:rsid w:val="006A2B91"/>
    <w:rsid w:val="006A5BFE"/>
    <w:rsid w:val="006A5C46"/>
    <w:rsid w:val="006A6B99"/>
    <w:rsid w:val="006A7B31"/>
    <w:rsid w:val="006A7E5F"/>
    <w:rsid w:val="006B146F"/>
    <w:rsid w:val="006B2513"/>
    <w:rsid w:val="006B261B"/>
    <w:rsid w:val="006B2C90"/>
    <w:rsid w:val="006B35E6"/>
    <w:rsid w:val="006B465A"/>
    <w:rsid w:val="006B56ED"/>
    <w:rsid w:val="006B6DD0"/>
    <w:rsid w:val="006C0399"/>
    <w:rsid w:val="006C15F2"/>
    <w:rsid w:val="006C2A8E"/>
    <w:rsid w:val="006C3255"/>
    <w:rsid w:val="006C3F26"/>
    <w:rsid w:val="006C41CC"/>
    <w:rsid w:val="006C5727"/>
    <w:rsid w:val="006D05C9"/>
    <w:rsid w:val="006D05DE"/>
    <w:rsid w:val="006D0BE8"/>
    <w:rsid w:val="006D0D17"/>
    <w:rsid w:val="006D188F"/>
    <w:rsid w:val="006D1ED9"/>
    <w:rsid w:val="006D317E"/>
    <w:rsid w:val="006D3C7D"/>
    <w:rsid w:val="006D431E"/>
    <w:rsid w:val="006D4659"/>
    <w:rsid w:val="006D55A2"/>
    <w:rsid w:val="006D5A9C"/>
    <w:rsid w:val="006D5AF0"/>
    <w:rsid w:val="006D5D5F"/>
    <w:rsid w:val="006D68FB"/>
    <w:rsid w:val="006E0113"/>
    <w:rsid w:val="006E2868"/>
    <w:rsid w:val="006E5811"/>
    <w:rsid w:val="006E6A0D"/>
    <w:rsid w:val="006F01C6"/>
    <w:rsid w:val="006F0EB0"/>
    <w:rsid w:val="006F1AAC"/>
    <w:rsid w:val="006F21C6"/>
    <w:rsid w:val="006F2856"/>
    <w:rsid w:val="006F306C"/>
    <w:rsid w:val="006F36CF"/>
    <w:rsid w:val="006F3F6C"/>
    <w:rsid w:val="006F46BD"/>
    <w:rsid w:val="006F63A5"/>
    <w:rsid w:val="006F77C9"/>
    <w:rsid w:val="006F7BF7"/>
    <w:rsid w:val="007004E0"/>
    <w:rsid w:val="00700835"/>
    <w:rsid w:val="00700D9A"/>
    <w:rsid w:val="00701263"/>
    <w:rsid w:val="0070142B"/>
    <w:rsid w:val="007018CA"/>
    <w:rsid w:val="00701A47"/>
    <w:rsid w:val="0070276E"/>
    <w:rsid w:val="00702DCC"/>
    <w:rsid w:val="00702F8F"/>
    <w:rsid w:val="00703930"/>
    <w:rsid w:val="007043BD"/>
    <w:rsid w:val="00704B76"/>
    <w:rsid w:val="00706A2B"/>
    <w:rsid w:val="007079FC"/>
    <w:rsid w:val="0071032B"/>
    <w:rsid w:val="0071108E"/>
    <w:rsid w:val="00711460"/>
    <w:rsid w:val="00711A36"/>
    <w:rsid w:val="007124C9"/>
    <w:rsid w:val="00713357"/>
    <w:rsid w:val="007136D3"/>
    <w:rsid w:val="007136F8"/>
    <w:rsid w:val="007145F1"/>
    <w:rsid w:val="00714BDE"/>
    <w:rsid w:val="00714C26"/>
    <w:rsid w:val="00714DAB"/>
    <w:rsid w:val="00715093"/>
    <w:rsid w:val="0071529C"/>
    <w:rsid w:val="007165A6"/>
    <w:rsid w:val="00717087"/>
    <w:rsid w:val="007170DA"/>
    <w:rsid w:val="00717243"/>
    <w:rsid w:val="007172AD"/>
    <w:rsid w:val="00720801"/>
    <w:rsid w:val="00722B1B"/>
    <w:rsid w:val="00722BE1"/>
    <w:rsid w:val="007235AB"/>
    <w:rsid w:val="00723757"/>
    <w:rsid w:val="0072416F"/>
    <w:rsid w:val="00725910"/>
    <w:rsid w:val="00725B2E"/>
    <w:rsid w:val="007263DA"/>
    <w:rsid w:val="00727C94"/>
    <w:rsid w:val="00731B0A"/>
    <w:rsid w:val="00731EAE"/>
    <w:rsid w:val="0073300C"/>
    <w:rsid w:val="00733073"/>
    <w:rsid w:val="0073376C"/>
    <w:rsid w:val="007337DC"/>
    <w:rsid w:val="007338AC"/>
    <w:rsid w:val="007338DD"/>
    <w:rsid w:val="00733AE2"/>
    <w:rsid w:val="0073499A"/>
    <w:rsid w:val="00735033"/>
    <w:rsid w:val="00735328"/>
    <w:rsid w:val="00735EEB"/>
    <w:rsid w:val="007362CD"/>
    <w:rsid w:val="0073685B"/>
    <w:rsid w:val="007406CF"/>
    <w:rsid w:val="00740C85"/>
    <w:rsid w:val="007411E5"/>
    <w:rsid w:val="007428F8"/>
    <w:rsid w:val="007430CE"/>
    <w:rsid w:val="007449BF"/>
    <w:rsid w:val="00744BA7"/>
    <w:rsid w:val="00746BC0"/>
    <w:rsid w:val="007471AF"/>
    <w:rsid w:val="00750034"/>
    <w:rsid w:val="007510B4"/>
    <w:rsid w:val="007515F8"/>
    <w:rsid w:val="00752142"/>
    <w:rsid w:val="007523F9"/>
    <w:rsid w:val="0075357E"/>
    <w:rsid w:val="00753800"/>
    <w:rsid w:val="0075451C"/>
    <w:rsid w:val="00756219"/>
    <w:rsid w:val="007573E8"/>
    <w:rsid w:val="00760429"/>
    <w:rsid w:val="00760C2C"/>
    <w:rsid w:val="00760C4E"/>
    <w:rsid w:val="00760CC0"/>
    <w:rsid w:val="00760F9E"/>
    <w:rsid w:val="007614CF"/>
    <w:rsid w:val="007623E0"/>
    <w:rsid w:val="00762481"/>
    <w:rsid w:val="007627BE"/>
    <w:rsid w:val="00763C61"/>
    <w:rsid w:val="00763E6D"/>
    <w:rsid w:val="0076459F"/>
    <w:rsid w:val="00764F03"/>
    <w:rsid w:val="00765B1A"/>
    <w:rsid w:val="00765E68"/>
    <w:rsid w:val="007663FA"/>
    <w:rsid w:val="00766836"/>
    <w:rsid w:val="00771334"/>
    <w:rsid w:val="00771730"/>
    <w:rsid w:val="00771797"/>
    <w:rsid w:val="00772DD9"/>
    <w:rsid w:val="00772F4B"/>
    <w:rsid w:val="007746E4"/>
    <w:rsid w:val="00774AC8"/>
    <w:rsid w:val="00774AE2"/>
    <w:rsid w:val="007756E7"/>
    <w:rsid w:val="00776921"/>
    <w:rsid w:val="00777335"/>
    <w:rsid w:val="00777E80"/>
    <w:rsid w:val="00780501"/>
    <w:rsid w:val="00781191"/>
    <w:rsid w:val="00781DA4"/>
    <w:rsid w:val="00783F34"/>
    <w:rsid w:val="007843F2"/>
    <w:rsid w:val="00785A9F"/>
    <w:rsid w:val="007874A4"/>
    <w:rsid w:val="00790E4C"/>
    <w:rsid w:val="00792338"/>
    <w:rsid w:val="007925DF"/>
    <w:rsid w:val="00794099"/>
    <w:rsid w:val="007956BB"/>
    <w:rsid w:val="00797F29"/>
    <w:rsid w:val="007A08AA"/>
    <w:rsid w:val="007A0A12"/>
    <w:rsid w:val="007A0F41"/>
    <w:rsid w:val="007A0FCC"/>
    <w:rsid w:val="007A1145"/>
    <w:rsid w:val="007A132D"/>
    <w:rsid w:val="007A1345"/>
    <w:rsid w:val="007A1ABC"/>
    <w:rsid w:val="007A2DDB"/>
    <w:rsid w:val="007A3C12"/>
    <w:rsid w:val="007A4750"/>
    <w:rsid w:val="007A6EC5"/>
    <w:rsid w:val="007A70BA"/>
    <w:rsid w:val="007A7F56"/>
    <w:rsid w:val="007B02B4"/>
    <w:rsid w:val="007B0362"/>
    <w:rsid w:val="007B0D68"/>
    <w:rsid w:val="007B251D"/>
    <w:rsid w:val="007B3510"/>
    <w:rsid w:val="007B4282"/>
    <w:rsid w:val="007B4D68"/>
    <w:rsid w:val="007B4F58"/>
    <w:rsid w:val="007B528D"/>
    <w:rsid w:val="007B52A3"/>
    <w:rsid w:val="007B63CA"/>
    <w:rsid w:val="007B7005"/>
    <w:rsid w:val="007B77D1"/>
    <w:rsid w:val="007C0134"/>
    <w:rsid w:val="007C017E"/>
    <w:rsid w:val="007C07C7"/>
    <w:rsid w:val="007C1CBF"/>
    <w:rsid w:val="007C1CD9"/>
    <w:rsid w:val="007C3155"/>
    <w:rsid w:val="007C326D"/>
    <w:rsid w:val="007C32EF"/>
    <w:rsid w:val="007C361D"/>
    <w:rsid w:val="007C43A1"/>
    <w:rsid w:val="007C4B84"/>
    <w:rsid w:val="007C56BE"/>
    <w:rsid w:val="007C5F4E"/>
    <w:rsid w:val="007C70FF"/>
    <w:rsid w:val="007C7672"/>
    <w:rsid w:val="007C7C25"/>
    <w:rsid w:val="007D004F"/>
    <w:rsid w:val="007D02ED"/>
    <w:rsid w:val="007D0B38"/>
    <w:rsid w:val="007D0E90"/>
    <w:rsid w:val="007D11CD"/>
    <w:rsid w:val="007D1EE7"/>
    <w:rsid w:val="007D3192"/>
    <w:rsid w:val="007D34E0"/>
    <w:rsid w:val="007D39C2"/>
    <w:rsid w:val="007D40D8"/>
    <w:rsid w:val="007D4FEB"/>
    <w:rsid w:val="007D5173"/>
    <w:rsid w:val="007D5440"/>
    <w:rsid w:val="007D568C"/>
    <w:rsid w:val="007D6596"/>
    <w:rsid w:val="007D69EB"/>
    <w:rsid w:val="007D7A19"/>
    <w:rsid w:val="007D7B17"/>
    <w:rsid w:val="007E0224"/>
    <w:rsid w:val="007E128F"/>
    <w:rsid w:val="007E2002"/>
    <w:rsid w:val="007E63A2"/>
    <w:rsid w:val="007F0717"/>
    <w:rsid w:val="007F1017"/>
    <w:rsid w:val="007F251D"/>
    <w:rsid w:val="007F4A3F"/>
    <w:rsid w:val="007F4A61"/>
    <w:rsid w:val="007F5255"/>
    <w:rsid w:val="007F56CC"/>
    <w:rsid w:val="007F5C75"/>
    <w:rsid w:val="007F61C2"/>
    <w:rsid w:val="007F6464"/>
    <w:rsid w:val="007F6A83"/>
    <w:rsid w:val="007F770C"/>
    <w:rsid w:val="008011DE"/>
    <w:rsid w:val="00805142"/>
    <w:rsid w:val="0080543D"/>
    <w:rsid w:val="00805895"/>
    <w:rsid w:val="00805A34"/>
    <w:rsid w:val="00805FCE"/>
    <w:rsid w:val="00805FE5"/>
    <w:rsid w:val="008060C0"/>
    <w:rsid w:val="00807A8B"/>
    <w:rsid w:val="00807C32"/>
    <w:rsid w:val="00807E6B"/>
    <w:rsid w:val="00810E49"/>
    <w:rsid w:val="00811273"/>
    <w:rsid w:val="00811383"/>
    <w:rsid w:val="00812149"/>
    <w:rsid w:val="00812CAC"/>
    <w:rsid w:val="00814C81"/>
    <w:rsid w:val="00815214"/>
    <w:rsid w:val="00815615"/>
    <w:rsid w:val="00816361"/>
    <w:rsid w:val="008166EF"/>
    <w:rsid w:val="00816FEF"/>
    <w:rsid w:val="00817248"/>
    <w:rsid w:val="0081728E"/>
    <w:rsid w:val="00817B00"/>
    <w:rsid w:val="0082035B"/>
    <w:rsid w:val="008206F5"/>
    <w:rsid w:val="00820A8C"/>
    <w:rsid w:val="00820AB9"/>
    <w:rsid w:val="008215FB"/>
    <w:rsid w:val="00821D02"/>
    <w:rsid w:val="00823174"/>
    <w:rsid w:val="008231AE"/>
    <w:rsid w:val="00823F8E"/>
    <w:rsid w:val="008244BB"/>
    <w:rsid w:val="00825751"/>
    <w:rsid w:val="008264EB"/>
    <w:rsid w:val="008276C9"/>
    <w:rsid w:val="00827FCB"/>
    <w:rsid w:val="00833B05"/>
    <w:rsid w:val="00833EE4"/>
    <w:rsid w:val="0083400A"/>
    <w:rsid w:val="0083445E"/>
    <w:rsid w:val="00834747"/>
    <w:rsid w:val="00834826"/>
    <w:rsid w:val="008362B4"/>
    <w:rsid w:val="00840C85"/>
    <w:rsid w:val="00840CA2"/>
    <w:rsid w:val="00841364"/>
    <w:rsid w:val="008433B2"/>
    <w:rsid w:val="00843483"/>
    <w:rsid w:val="0084374F"/>
    <w:rsid w:val="00843D4F"/>
    <w:rsid w:val="00844827"/>
    <w:rsid w:val="00844A22"/>
    <w:rsid w:val="00844F42"/>
    <w:rsid w:val="008452E0"/>
    <w:rsid w:val="008453BE"/>
    <w:rsid w:val="00845F13"/>
    <w:rsid w:val="00846459"/>
    <w:rsid w:val="00847703"/>
    <w:rsid w:val="00847DF5"/>
    <w:rsid w:val="00847F1B"/>
    <w:rsid w:val="00852325"/>
    <w:rsid w:val="00852C90"/>
    <w:rsid w:val="00852E12"/>
    <w:rsid w:val="0085309D"/>
    <w:rsid w:val="00854261"/>
    <w:rsid w:val="008545F3"/>
    <w:rsid w:val="00854D1B"/>
    <w:rsid w:val="0085523E"/>
    <w:rsid w:val="00855357"/>
    <w:rsid w:val="00855755"/>
    <w:rsid w:val="00856305"/>
    <w:rsid w:val="00856897"/>
    <w:rsid w:val="00856964"/>
    <w:rsid w:val="0085696B"/>
    <w:rsid w:val="00856E9A"/>
    <w:rsid w:val="00857320"/>
    <w:rsid w:val="0086075D"/>
    <w:rsid w:val="00861A1E"/>
    <w:rsid w:val="00862502"/>
    <w:rsid w:val="00862CC1"/>
    <w:rsid w:val="00863024"/>
    <w:rsid w:val="00863457"/>
    <w:rsid w:val="00863514"/>
    <w:rsid w:val="008644F6"/>
    <w:rsid w:val="008660D4"/>
    <w:rsid w:val="00870AC2"/>
    <w:rsid w:val="00870D5D"/>
    <w:rsid w:val="00871A7D"/>
    <w:rsid w:val="00871FA9"/>
    <w:rsid w:val="008724E9"/>
    <w:rsid w:val="008728E9"/>
    <w:rsid w:val="00872AB4"/>
    <w:rsid w:val="0087322E"/>
    <w:rsid w:val="00874B79"/>
    <w:rsid w:val="0087674E"/>
    <w:rsid w:val="00877DD9"/>
    <w:rsid w:val="00881C6D"/>
    <w:rsid w:val="00882874"/>
    <w:rsid w:val="00882E3C"/>
    <w:rsid w:val="00883787"/>
    <w:rsid w:val="00883C11"/>
    <w:rsid w:val="00884642"/>
    <w:rsid w:val="00884D0D"/>
    <w:rsid w:val="008855E4"/>
    <w:rsid w:val="00885C35"/>
    <w:rsid w:val="008867B6"/>
    <w:rsid w:val="00886CD2"/>
    <w:rsid w:val="0088718E"/>
    <w:rsid w:val="00891E6F"/>
    <w:rsid w:val="0089275D"/>
    <w:rsid w:val="00892A36"/>
    <w:rsid w:val="00892EFD"/>
    <w:rsid w:val="00893239"/>
    <w:rsid w:val="0089434A"/>
    <w:rsid w:val="00894489"/>
    <w:rsid w:val="00894962"/>
    <w:rsid w:val="0089536C"/>
    <w:rsid w:val="008958DF"/>
    <w:rsid w:val="008963A5"/>
    <w:rsid w:val="00896531"/>
    <w:rsid w:val="00896D5D"/>
    <w:rsid w:val="00897E0C"/>
    <w:rsid w:val="008A0471"/>
    <w:rsid w:val="008A1C9B"/>
    <w:rsid w:val="008A3363"/>
    <w:rsid w:val="008A3371"/>
    <w:rsid w:val="008A3543"/>
    <w:rsid w:val="008A3C3E"/>
    <w:rsid w:val="008A5304"/>
    <w:rsid w:val="008A6143"/>
    <w:rsid w:val="008A7922"/>
    <w:rsid w:val="008A79DE"/>
    <w:rsid w:val="008A7CAD"/>
    <w:rsid w:val="008B1757"/>
    <w:rsid w:val="008B2A95"/>
    <w:rsid w:val="008B4AEB"/>
    <w:rsid w:val="008B4CF2"/>
    <w:rsid w:val="008B57EE"/>
    <w:rsid w:val="008B6035"/>
    <w:rsid w:val="008B7992"/>
    <w:rsid w:val="008B7D7E"/>
    <w:rsid w:val="008C184D"/>
    <w:rsid w:val="008C43A2"/>
    <w:rsid w:val="008C489B"/>
    <w:rsid w:val="008C5610"/>
    <w:rsid w:val="008C5739"/>
    <w:rsid w:val="008C5DBA"/>
    <w:rsid w:val="008C68C5"/>
    <w:rsid w:val="008C6B13"/>
    <w:rsid w:val="008C7B0B"/>
    <w:rsid w:val="008C7DF6"/>
    <w:rsid w:val="008C7ECB"/>
    <w:rsid w:val="008D0777"/>
    <w:rsid w:val="008D085E"/>
    <w:rsid w:val="008D0A35"/>
    <w:rsid w:val="008D0B15"/>
    <w:rsid w:val="008D1108"/>
    <w:rsid w:val="008D202A"/>
    <w:rsid w:val="008D2B5B"/>
    <w:rsid w:val="008D3B86"/>
    <w:rsid w:val="008D43C3"/>
    <w:rsid w:val="008D4755"/>
    <w:rsid w:val="008D48E3"/>
    <w:rsid w:val="008D4BF0"/>
    <w:rsid w:val="008D4C3D"/>
    <w:rsid w:val="008D4F20"/>
    <w:rsid w:val="008D743C"/>
    <w:rsid w:val="008E0122"/>
    <w:rsid w:val="008E0D3C"/>
    <w:rsid w:val="008E0F0D"/>
    <w:rsid w:val="008E1B9E"/>
    <w:rsid w:val="008E329A"/>
    <w:rsid w:val="008E3BCD"/>
    <w:rsid w:val="008E3F43"/>
    <w:rsid w:val="008E4B9C"/>
    <w:rsid w:val="008E55AB"/>
    <w:rsid w:val="008E675E"/>
    <w:rsid w:val="008E6D28"/>
    <w:rsid w:val="008E7770"/>
    <w:rsid w:val="008E7D2D"/>
    <w:rsid w:val="008F036B"/>
    <w:rsid w:val="008F120A"/>
    <w:rsid w:val="008F12BF"/>
    <w:rsid w:val="008F24F2"/>
    <w:rsid w:val="008F27E0"/>
    <w:rsid w:val="008F3254"/>
    <w:rsid w:val="008F33CB"/>
    <w:rsid w:val="008F48EB"/>
    <w:rsid w:val="008F4F0B"/>
    <w:rsid w:val="008F5836"/>
    <w:rsid w:val="008F5B3C"/>
    <w:rsid w:val="008F63A0"/>
    <w:rsid w:val="00900698"/>
    <w:rsid w:val="00900AEF"/>
    <w:rsid w:val="00900C53"/>
    <w:rsid w:val="009010F2"/>
    <w:rsid w:val="00901A77"/>
    <w:rsid w:val="009034B5"/>
    <w:rsid w:val="00903672"/>
    <w:rsid w:val="009046C4"/>
    <w:rsid w:val="009051FD"/>
    <w:rsid w:val="009062A5"/>
    <w:rsid w:val="00906662"/>
    <w:rsid w:val="00906CD5"/>
    <w:rsid w:val="00907534"/>
    <w:rsid w:val="009076FE"/>
    <w:rsid w:val="00910A6F"/>
    <w:rsid w:val="00910FA7"/>
    <w:rsid w:val="00911272"/>
    <w:rsid w:val="0091184E"/>
    <w:rsid w:val="009135D6"/>
    <w:rsid w:val="00913DF2"/>
    <w:rsid w:val="00914C77"/>
    <w:rsid w:val="00915712"/>
    <w:rsid w:val="009157C2"/>
    <w:rsid w:val="00915D52"/>
    <w:rsid w:val="00916362"/>
    <w:rsid w:val="0091648D"/>
    <w:rsid w:val="009211B9"/>
    <w:rsid w:val="00921ACB"/>
    <w:rsid w:val="009225AB"/>
    <w:rsid w:val="0092369B"/>
    <w:rsid w:val="00924299"/>
    <w:rsid w:val="00924D77"/>
    <w:rsid w:val="00926FB8"/>
    <w:rsid w:val="009270D6"/>
    <w:rsid w:val="009270EB"/>
    <w:rsid w:val="00931FE6"/>
    <w:rsid w:val="00932EBF"/>
    <w:rsid w:val="00933603"/>
    <w:rsid w:val="00934988"/>
    <w:rsid w:val="00934CA9"/>
    <w:rsid w:val="00937089"/>
    <w:rsid w:val="00937B2D"/>
    <w:rsid w:val="00940293"/>
    <w:rsid w:val="00941971"/>
    <w:rsid w:val="00942476"/>
    <w:rsid w:val="00942C22"/>
    <w:rsid w:val="00943495"/>
    <w:rsid w:val="0094429C"/>
    <w:rsid w:val="00944F8A"/>
    <w:rsid w:val="0094695F"/>
    <w:rsid w:val="00947DD0"/>
    <w:rsid w:val="009510A2"/>
    <w:rsid w:val="0095165B"/>
    <w:rsid w:val="009519CD"/>
    <w:rsid w:val="00952D4E"/>
    <w:rsid w:val="00953257"/>
    <w:rsid w:val="0095391D"/>
    <w:rsid w:val="0095474C"/>
    <w:rsid w:val="009559FE"/>
    <w:rsid w:val="009572CA"/>
    <w:rsid w:val="009578BD"/>
    <w:rsid w:val="00960199"/>
    <w:rsid w:val="0096024C"/>
    <w:rsid w:val="009602F2"/>
    <w:rsid w:val="00960EB2"/>
    <w:rsid w:val="00961E07"/>
    <w:rsid w:val="0096295C"/>
    <w:rsid w:val="00962CB9"/>
    <w:rsid w:val="00962DCB"/>
    <w:rsid w:val="009638B2"/>
    <w:rsid w:val="00963F85"/>
    <w:rsid w:val="00964312"/>
    <w:rsid w:val="009643A5"/>
    <w:rsid w:val="00965B8A"/>
    <w:rsid w:val="00966DD8"/>
    <w:rsid w:val="009670F2"/>
    <w:rsid w:val="0097002A"/>
    <w:rsid w:val="00970286"/>
    <w:rsid w:val="0097071F"/>
    <w:rsid w:val="009710E7"/>
    <w:rsid w:val="009717AC"/>
    <w:rsid w:val="00973390"/>
    <w:rsid w:val="009735C9"/>
    <w:rsid w:val="009751C1"/>
    <w:rsid w:val="00975F7D"/>
    <w:rsid w:val="009760C7"/>
    <w:rsid w:val="00977D3F"/>
    <w:rsid w:val="00980A99"/>
    <w:rsid w:val="009811F1"/>
    <w:rsid w:val="00981331"/>
    <w:rsid w:val="00982C9A"/>
    <w:rsid w:val="00983E57"/>
    <w:rsid w:val="00984D11"/>
    <w:rsid w:val="009853C5"/>
    <w:rsid w:val="00985DD6"/>
    <w:rsid w:val="00985DE2"/>
    <w:rsid w:val="0098675D"/>
    <w:rsid w:val="00990809"/>
    <w:rsid w:val="00990A47"/>
    <w:rsid w:val="009910E0"/>
    <w:rsid w:val="009926E0"/>
    <w:rsid w:val="00992B6C"/>
    <w:rsid w:val="00992E96"/>
    <w:rsid w:val="0099451E"/>
    <w:rsid w:val="00994C65"/>
    <w:rsid w:val="00995D27"/>
    <w:rsid w:val="00996B1A"/>
    <w:rsid w:val="00997424"/>
    <w:rsid w:val="00997426"/>
    <w:rsid w:val="009A0782"/>
    <w:rsid w:val="009A10D1"/>
    <w:rsid w:val="009A2512"/>
    <w:rsid w:val="009A2DCC"/>
    <w:rsid w:val="009A2F7D"/>
    <w:rsid w:val="009A5ABC"/>
    <w:rsid w:val="009A65A3"/>
    <w:rsid w:val="009A6B1B"/>
    <w:rsid w:val="009A6DD5"/>
    <w:rsid w:val="009A7DBE"/>
    <w:rsid w:val="009A7F10"/>
    <w:rsid w:val="009B0CC2"/>
    <w:rsid w:val="009B1514"/>
    <w:rsid w:val="009B28A4"/>
    <w:rsid w:val="009B2D57"/>
    <w:rsid w:val="009B31DE"/>
    <w:rsid w:val="009B326F"/>
    <w:rsid w:val="009B3D5C"/>
    <w:rsid w:val="009B3E26"/>
    <w:rsid w:val="009B65B9"/>
    <w:rsid w:val="009B77F9"/>
    <w:rsid w:val="009C0BC3"/>
    <w:rsid w:val="009C1035"/>
    <w:rsid w:val="009C1766"/>
    <w:rsid w:val="009C3706"/>
    <w:rsid w:val="009C3A3A"/>
    <w:rsid w:val="009C3D36"/>
    <w:rsid w:val="009C415E"/>
    <w:rsid w:val="009C4B0E"/>
    <w:rsid w:val="009C54FB"/>
    <w:rsid w:val="009C5A3C"/>
    <w:rsid w:val="009C5BD8"/>
    <w:rsid w:val="009C6958"/>
    <w:rsid w:val="009C6CEA"/>
    <w:rsid w:val="009C6F6F"/>
    <w:rsid w:val="009C7B85"/>
    <w:rsid w:val="009D0254"/>
    <w:rsid w:val="009D1A64"/>
    <w:rsid w:val="009D1A8F"/>
    <w:rsid w:val="009D34E7"/>
    <w:rsid w:val="009D47E0"/>
    <w:rsid w:val="009D481C"/>
    <w:rsid w:val="009D5B91"/>
    <w:rsid w:val="009D6457"/>
    <w:rsid w:val="009D6568"/>
    <w:rsid w:val="009D668B"/>
    <w:rsid w:val="009D7927"/>
    <w:rsid w:val="009D792E"/>
    <w:rsid w:val="009D7AB9"/>
    <w:rsid w:val="009E0DFE"/>
    <w:rsid w:val="009E2EEF"/>
    <w:rsid w:val="009E31F6"/>
    <w:rsid w:val="009E34B6"/>
    <w:rsid w:val="009E360C"/>
    <w:rsid w:val="009E3B8C"/>
    <w:rsid w:val="009E4C07"/>
    <w:rsid w:val="009F222D"/>
    <w:rsid w:val="009F266B"/>
    <w:rsid w:val="009F401B"/>
    <w:rsid w:val="009F44A4"/>
    <w:rsid w:val="009F5E1F"/>
    <w:rsid w:val="009F5F40"/>
    <w:rsid w:val="009F70F9"/>
    <w:rsid w:val="009F7394"/>
    <w:rsid w:val="009F7BDA"/>
    <w:rsid w:val="00A00643"/>
    <w:rsid w:val="00A01184"/>
    <w:rsid w:val="00A017DC"/>
    <w:rsid w:val="00A02B42"/>
    <w:rsid w:val="00A0304D"/>
    <w:rsid w:val="00A037C2"/>
    <w:rsid w:val="00A03D43"/>
    <w:rsid w:val="00A0418E"/>
    <w:rsid w:val="00A04380"/>
    <w:rsid w:val="00A04A8C"/>
    <w:rsid w:val="00A05472"/>
    <w:rsid w:val="00A05C32"/>
    <w:rsid w:val="00A05C35"/>
    <w:rsid w:val="00A0653F"/>
    <w:rsid w:val="00A11CD0"/>
    <w:rsid w:val="00A13948"/>
    <w:rsid w:val="00A1473F"/>
    <w:rsid w:val="00A15452"/>
    <w:rsid w:val="00A1555B"/>
    <w:rsid w:val="00A155C5"/>
    <w:rsid w:val="00A1597F"/>
    <w:rsid w:val="00A16272"/>
    <w:rsid w:val="00A16AD8"/>
    <w:rsid w:val="00A16B03"/>
    <w:rsid w:val="00A17EAD"/>
    <w:rsid w:val="00A21A38"/>
    <w:rsid w:val="00A21C95"/>
    <w:rsid w:val="00A21CF3"/>
    <w:rsid w:val="00A21EA5"/>
    <w:rsid w:val="00A22160"/>
    <w:rsid w:val="00A2281F"/>
    <w:rsid w:val="00A22828"/>
    <w:rsid w:val="00A22832"/>
    <w:rsid w:val="00A245E2"/>
    <w:rsid w:val="00A24813"/>
    <w:rsid w:val="00A26392"/>
    <w:rsid w:val="00A26FF7"/>
    <w:rsid w:val="00A27AEC"/>
    <w:rsid w:val="00A30FD2"/>
    <w:rsid w:val="00A3181F"/>
    <w:rsid w:val="00A320DB"/>
    <w:rsid w:val="00A32256"/>
    <w:rsid w:val="00A32257"/>
    <w:rsid w:val="00A33214"/>
    <w:rsid w:val="00A335C2"/>
    <w:rsid w:val="00A33AC2"/>
    <w:rsid w:val="00A35D16"/>
    <w:rsid w:val="00A37B59"/>
    <w:rsid w:val="00A37BCD"/>
    <w:rsid w:val="00A40260"/>
    <w:rsid w:val="00A40D98"/>
    <w:rsid w:val="00A41689"/>
    <w:rsid w:val="00A41CAC"/>
    <w:rsid w:val="00A42536"/>
    <w:rsid w:val="00A42592"/>
    <w:rsid w:val="00A42607"/>
    <w:rsid w:val="00A43C57"/>
    <w:rsid w:val="00A43C59"/>
    <w:rsid w:val="00A45B49"/>
    <w:rsid w:val="00A46A0A"/>
    <w:rsid w:val="00A46BBF"/>
    <w:rsid w:val="00A50B80"/>
    <w:rsid w:val="00A50ECD"/>
    <w:rsid w:val="00A518F3"/>
    <w:rsid w:val="00A51917"/>
    <w:rsid w:val="00A52729"/>
    <w:rsid w:val="00A52AF0"/>
    <w:rsid w:val="00A52C32"/>
    <w:rsid w:val="00A53675"/>
    <w:rsid w:val="00A54DD8"/>
    <w:rsid w:val="00A564D7"/>
    <w:rsid w:val="00A56A81"/>
    <w:rsid w:val="00A56B6A"/>
    <w:rsid w:val="00A578DC"/>
    <w:rsid w:val="00A604AF"/>
    <w:rsid w:val="00A60677"/>
    <w:rsid w:val="00A60ED1"/>
    <w:rsid w:val="00A61EFC"/>
    <w:rsid w:val="00A62D31"/>
    <w:rsid w:val="00A63C47"/>
    <w:rsid w:val="00A640E2"/>
    <w:rsid w:val="00A64CA8"/>
    <w:rsid w:val="00A64D65"/>
    <w:rsid w:val="00A65B56"/>
    <w:rsid w:val="00A6725B"/>
    <w:rsid w:val="00A67DF3"/>
    <w:rsid w:val="00A70594"/>
    <w:rsid w:val="00A70605"/>
    <w:rsid w:val="00A73134"/>
    <w:rsid w:val="00A733BB"/>
    <w:rsid w:val="00A73BDC"/>
    <w:rsid w:val="00A73CE0"/>
    <w:rsid w:val="00A74AF9"/>
    <w:rsid w:val="00A76001"/>
    <w:rsid w:val="00A7621D"/>
    <w:rsid w:val="00A76E4C"/>
    <w:rsid w:val="00A77498"/>
    <w:rsid w:val="00A777B2"/>
    <w:rsid w:val="00A804B7"/>
    <w:rsid w:val="00A80DA9"/>
    <w:rsid w:val="00A81ABD"/>
    <w:rsid w:val="00A825D4"/>
    <w:rsid w:val="00A828F6"/>
    <w:rsid w:val="00A82B73"/>
    <w:rsid w:val="00A83181"/>
    <w:rsid w:val="00A83D42"/>
    <w:rsid w:val="00A84A04"/>
    <w:rsid w:val="00A84F71"/>
    <w:rsid w:val="00A852DA"/>
    <w:rsid w:val="00A8581F"/>
    <w:rsid w:val="00A8653C"/>
    <w:rsid w:val="00A86737"/>
    <w:rsid w:val="00A86E8B"/>
    <w:rsid w:val="00A87164"/>
    <w:rsid w:val="00A874D3"/>
    <w:rsid w:val="00A90723"/>
    <w:rsid w:val="00A91EB6"/>
    <w:rsid w:val="00A924BB"/>
    <w:rsid w:val="00A93072"/>
    <w:rsid w:val="00A938BD"/>
    <w:rsid w:val="00A93953"/>
    <w:rsid w:val="00A94985"/>
    <w:rsid w:val="00A959D8"/>
    <w:rsid w:val="00A96327"/>
    <w:rsid w:val="00AA113D"/>
    <w:rsid w:val="00AA26D2"/>
    <w:rsid w:val="00AA30F1"/>
    <w:rsid w:val="00AA4929"/>
    <w:rsid w:val="00AA611A"/>
    <w:rsid w:val="00AA6BD5"/>
    <w:rsid w:val="00AA6BD8"/>
    <w:rsid w:val="00AA6C7D"/>
    <w:rsid w:val="00AA73BF"/>
    <w:rsid w:val="00AA7EF0"/>
    <w:rsid w:val="00AA7FD6"/>
    <w:rsid w:val="00AB042A"/>
    <w:rsid w:val="00AB19EF"/>
    <w:rsid w:val="00AB1B86"/>
    <w:rsid w:val="00AB2C00"/>
    <w:rsid w:val="00AB2D34"/>
    <w:rsid w:val="00AB3430"/>
    <w:rsid w:val="00AB37B9"/>
    <w:rsid w:val="00AB499C"/>
    <w:rsid w:val="00AB4A5E"/>
    <w:rsid w:val="00AB4AD1"/>
    <w:rsid w:val="00AB4BC4"/>
    <w:rsid w:val="00AB4C1C"/>
    <w:rsid w:val="00AB5E07"/>
    <w:rsid w:val="00AB61E5"/>
    <w:rsid w:val="00AB6871"/>
    <w:rsid w:val="00AB6E9F"/>
    <w:rsid w:val="00AB6F30"/>
    <w:rsid w:val="00AB7CED"/>
    <w:rsid w:val="00AB7CFA"/>
    <w:rsid w:val="00AC215F"/>
    <w:rsid w:val="00AC567B"/>
    <w:rsid w:val="00AC5B48"/>
    <w:rsid w:val="00AC669A"/>
    <w:rsid w:val="00AC697A"/>
    <w:rsid w:val="00AC79FE"/>
    <w:rsid w:val="00AC7D48"/>
    <w:rsid w:val="00AD1450"/>
    <w:rsid w:val="00AD22E1"/>
    <w:rsid w:val="00AD265A"/>
    <w:rsid w:val="00AD431F"/>
    <w:rsid w:val="00AD4BE0"/>
    <w:rsid w:val="00AD6502"/>
    <w:rsid w:val="00AD7EF9"/>
    <w:rsid w:val="00AE0695"/>
    <w:rsid w:val="00AE3E7E"/>
    <w:rsid w:val="00AE40A2"/>
    <w:rsid w:val="00AE47FB"/>
    <w:rsid w:val="00AE4AC1"/>
    <w:rsid w:val="00AE531A"/>
    <w:rsid w:val="00AE5D25"/>
    <w:rsid w:val="00AE6D41"/>
    <w:rsid w:val="00AE715E"/>
    <w:rsid w:val="00AE73E7"/>
    <w:rsid w:val="00AF0EAE"/>
    <w:rsid w:val="00AF10D3"/>
    <w:rsid w:val="00AF1315"/>
    <w:rsid w:val="00AF19BF"/>
    <w:rsid w:val="00AF1CCD"/>
    <w:rsid w:val="00AF1CEA"/>
    <w:rsid w:val="00AF2DC3"/>
    <w:rsid w:val="00AF3134"/>
    <w:rsid w:val="00AF3C43"/>
    <w:rsid w:val="00AF42B1"/>
    <w:rsid w:val="00AF4BC3"/>
    <w:rsid w:val="00B006DA"/>
    <w:rsid w:val="00B02332"/>
    <w:rsid w:val="00B033E5"/>
    <w:rsid w:val="00B03A63"/>
    <w:rsid w:val="00B04A2B"/>
    <w:rsid w:val="00B04C45"/>
    <w:rsid w:val="00B05598"/>
    <w:rsid w:val="00B064DE"/>
    <w:rsid w:val="00B06A04"/>
    <w:rsid w:val="00B07025"/>
    <w:rsid w:val="00B11740"/>
    <w:rsid w:val="00B124F4"/>
    <w:rsid w:val="00B12757"/>
    <w:rsid w:val="00B12BC7"/>
    <w:rsid w:val="00B1402A"/>
    <w:rsid w:val="00B15040"/>
    <w:rsid w:val="00B15ADE"/>
    <w:rsid w:val="00B1678D"/>
    <w:rsid w:val="00B17C59"/>
    <w:rsid w:val="00B201A4"/>
    <w:rsid w:val="00B201D1"/>
    <w:rsid w:val="00B20692"/>
    <w:rsid w:val="00B20709"/>
    <w:rsid w:val="00B209E1"/>
    <w:rsid w:val="00B2137F"/>
    <w:rsid w:val="00B213A6"/>
    <w:rsid w:val="00B22E19"/>
    <w:rsid w:val="00B235B0"/>
    <w:rsid w:val="00B238DC"/>
    <w:rsid w:val="00B23DE7"/>
    <w:rsid w:val="00B23F3C"/>
    <w:rsid w:val="00B24DF6"/>
    <w:rsid w:val="00B25600"/>
    <w:rsid w:val="00B272E2"/>
    <w:rsid w:val="00B273B0"/>
    <w:rsid w:val="00B274CA"/>
    <w:rsid w:val="00B27A89"/>
    <w:rsid w:val="00B3002F"/>
    <w:rsid w:val="00B30807"/>
    <w:rsid w:val="00B34459"/>
    <w:rsid w:val="00B34C73"/>
    <w:rsid w:val="00B34FE2"/>
    <w:rsid w:val="00B35166"/>
    <w:rsid w:val="00B357D8"/>
    <w:rsid w:val="00B360F4"/>
    <w:rsid w:val="00B36316"/>
    <w:rsid w:val="00B36511"/>
    <w:rsid w:val="00B368C8"/>
    <w:rsid w:val="00B36A00"/>
    <w:rsid w:val="00B37175"/>
    <w:rsid w:val="00B37BFC"/>
    <w:rsid w:val="00B40358"/>
    <w:rsid w:val="00B41614"/>
    <w:rsid w:val="00B41CD5"/>
    <w:rsid w:val="00B424C9"/>
    <w:rsid w:val="00B42851"/>
    <w:rsid w:val="00B42F80"/>
    <w:rsid w:val="00B434A0"/>
    <w:rsid w:val="00B435CB"/>
    <w:rsid w:val="00B46381"/>
    <w:rsid w:val="00B472DA"/>
    <w:rsid w:val="00B47C5F"/>
    <w:rsid w:val="00B505C8"/>
    <w:rsid w:val="00B505EB"/>
    <w:rsid w:val="00B50DB8"/>
    <w:rsid w:val="00B5144E"/>
    <w:rsid w:val="00B51803"/>
    <w:rsid w:val="00B53654"/>
    <w:rsid w:val="00B53905"/>
    <w:rsid w:val="00B54B5B"/>
    <w:rsid w:val="00B5562E"/>
    <w:rsid w:val="00B55D65"/>
    <w:rsid w:val="00B569BA"/>
    <w:rsid w:val="00B57000"/>
    <w:rsid w:val="00B572B1"/>
    <w:rsid w:val="00B60557"/>
    <w:rsid w:val="00B60939"/>
    <w:rsid w:val="00B60AFD"/>
    <w:rsid w:val="00B616E5"/>
    <w:rsid w:val="00B61AA1"/>
    <w:rsid w:val="00B62715"/>
    <w:rsid w:val="00B628FE"/>
    <w:rsid w:val="00B6299C"/>
    <w:rsid w:val="00B63A4D"/>
    <w:rsid w:val="00B63B64"/>
    <w:rsid w:val="00B64D20"/>
    <w:rsid w:val="00B654D2"/>
    <w:rsid w:val="00B654EC"/>
    <w:rsid w:val="00B65611"/>
    <w:rsid w:val="00B66A73"/>
    <w:rsid w:val="00B6701B"/>
    <w:rsid w:val="00B705C9"/>
    <w:rsid w:val="00B70A80"/>
    <w:rsid w:val="00B70E8E"/>
    <w:rsid w:val="00B717DC"/>
    <w:rsid w:val="00B7307A"/>
    <w:rsid w:val="00B73303"/>
    <w:rsid w:val="00B7357A"/>
    <w:rsid w:val="00B76C92"/>
    <w:rsid w:val="00B77191"/>
    <w:rsid w:val="00B80CA4"/>
    <w:rsid w:val="00B818A4"/>
    <w:rsid w:val="00B81D4D"/>
    <w:rsid w:val="00B84117"/>
    <w:rsid w:val="00B858F0"/>
    <w:rsid w:val="00B85AA2"/>
    <w:rsid w:val="00B86137"/>
    <w:rsid w:val="00B8649C"/>
    <w:rsid w:val="00B8695D"/>
    <w:rsid w:val="00B86F70"/>
    <w:rsid w:val="00B87811"/>
    <w:rsid w:val="00B87F0A"/>
    <w:rsid w:val="00B904AA"/>
    <w:rsid w:val="00B91661"/>
    <w:rsid w:val="00B92CB2"/>
    <w:rsid w:val="00B92D0B"/>
    <w:rsid w:val="00B93DEC"/>
    <w:rsid w:val="00B94945"/>
    <w:rsid w:val="00B94DD6"/>
    <w:rsid w:val="00B9584A"/>
    <w:rsid w:val="00B96198"/>
    <w:rsid w:val="00B96901"/>
    <w:rsid w:val="00B96AEF"/>
    <w:rsid w:val="00B97A18"/>
    <w:rsid w:val="00BA0536"/>
    <w:rsid w:val="00BA0AA9"/>
    <w:rsid w:val="00BA0F5D"/>
    <w:rsid w:val="00BA14EA"/>
    <w:rsid w:val="00BA1D1B"/>
    <w:rsid w:val="00BA322D"/>
    <w:rsid w:val="00BA4E11"/>
    <w:rsid w:val="00BA63FA"/>
    <w:rsid w:val="00BA67C4"/>
    <w:rsid w:val="00BA6E44"/>
    <w:rsid w:val="00BA75BD"/>
    <w:rsid w:val="00BA7B9C"/>
    <w:rsid w:val="00BA7C9D"/>
    <w:rsid w:val="00BB00B3"/>
    <w:rsid w:val="00BB0A32"/>
    <w:rsid w:val="00BB0BDD"/>
    <w:rsid w:val="00BB176C"/>
    <w:rsid w:val="00BB27FA"/>
    <w:rsid w:val="00BB2A73"/>
    <w:rsid w:val="00BB3A45"/>
    <w:rsid w:val="00BB4ACC"/>
    <w:rsid w:val="00BB4BF6"/>
    <w:rsid w:val="00BB50E4"/>
    <w:rsid w:val="00BB51C9"/>
    <w:rsid w:val="00BB5C50"/>
    <w:rsid w:val="00BB64B4"/>
    <w:rsid w:val="00BB6B27"/>
    <w:rsid w:val="00BB6DA4"/>
    <w:rsid w:val="00BB703E"/>
    <w:rsid w:val="00BB732D"/>
    <w:rsid w:val="00BB7405"/>
    <w:rsid w:val="00BC1B7A"/>
    <w:rsid w:val="00BC23D2"/>
    <w:rsid w:val="00BC3631"/>
    <w:rsid w:val="00BC591F"/>
    <w:rsid w:val="00BC64E5"/>
    <w:rsid w:val="00BC7281"/>
    <w:rsid w:val="00BC7D6D"/>
    <w:rsid w:val="00BC7F30"/>
    <w:rsid w:val="00BD058A"/>
    <w:rsid w:val="00BD0771"/>
    <w:rsid w:val="00BD1381"/>
    <w:rsid w:val="00BD2108"/>
    <w:rsid w:val="00BD25AB"/>
    <w:rsid w:val="00BD27A0"/>
    <w:rsid w:val="00BD2B2D"/>
    <w:rsid w:val="00BD3202"/>
    <w:rsid w:val="00BD43D8"/>
    <w:rsid w:val="00BD4AC3"/>
    <w:rsid w:val="00BD6802"/>
    <w:rsid w:val="00BD68A3"/>
    <w:rsid w:val="00BD6938"/>
    <w:rsid w:val="00BD6CF3"/>
    <w:rsid w:val="00BD7306"/>
    <w:rsid w:val="00BD780F"/>
    <w:rsid w:val="00BE0ECA"/>
    <w:rsid w:val="00BE2180"/>
    <w:rsid w:val="00BE21F2"/>
    <w:rsid w:val="00BE2D03"/>
    <w:rsid w:val="00BE3AAF"/>
    <w:rsid w:val="00BE4275"/>
    <w:rsid w:val="00BE63DA"/>
    <w:rsid w:val="00BE6C16"/>
    <w:rsid w:val="00BE7303"/>
    <w:rsid w:val="00BE75F8"/>
    <w:rsid w:val="00BF06AE"/>
    <w:rsid w:val="00BF06CF"/>
    <w:rsid w:val="00BF0B4D"/>
    <w:rsid w:val="00BF0F95"/>
    <w:rsid w:val="00BF23B4"/>
    <w:rsid w:val="00BF2433"/>
    <w:rsid w:val="00BF2805"/>
    <w:rsid w:val="00BF5386"/>
    <w:rsid w:val="00BF61C9"/>
    <w:rsid w:val="00BF6C94"/>
    <w:rsid w:val="00BF73DC"/>
    <w:rsid w:val="00BF7609"/>
    <w:rsid w:val="00C00424"/>
    <w:rsid w:val="00C02833"/>
    <w:rsid w:val="00C02BD3"/>
    <w:rsid w:val="00C02CB9"/>
    <w:rsid w:val="00C032D5"/>
    <w:rsid w:val="00C033F0"/>
    <w:rsid w:val="00C03FFE"/>
    <w:rsid w:val="00C04D4A"/>
    <w:rsid w:val="00C054B0"/>
    <w:rsid w:val="00C07836"/>
    <w:rsid w:val="00C10910"/>
    <w:rsid w:val="00C1130E"/>
    <w:rsid w:val="00C1179F"/>
    <w:rsid w:val="00C12102"/>
    <w:rsid w:val="00C12465"/>
    <w:rsid w:val="00C12C14"/>
    <w:rsid w:val="00C13993"/>
    <w:rsid w:val="00C15F04"/>
    <w:rsid w:val="00C179B3"/>
    <w:rsid w:val="00C17E3F"/>
    <w:rsid w:val="00C200AA"/>
    <w:rsid w:val="00C20CCB"/>
    <w:rsid w:val="00C237ED"/>
    <w:rsid w:val="00C23F9F"/>
    <w:rsid w:val="00C24632"/>
    <w:rsid w:val="00C25068"/>
    <w:rsid w:val="00C25418"/>
    <w:rsid w:val="00C25D9C"/>
    <w:rsid w:val="00C268CB"/>
    <w:rsid w:val="00C27376"/>
    <w:rsid w:val="00C2778B"/>
    <w:rsid w:val="00C3018F"/>
    <w:rsid w:val="00C304F0"/>
    <w:rsid w:val="00C3053F"/>
    <w:rsid w:val="00C31565"/>
    <w:rsid w:val="00C31649"/>
    <w:rsid w:val="00C33E4B"/>
    <w:rsid w:val="00C3434C"/>
    <w:rsid w:val="00C35A62"/>
    <w:rsid w:val="00C369CA"/>
    <w:rsid w:val="00C36B70"/>
    <w:rsid w:val="00C37D72"/>
    <w:rsid w:val="00C37F21"/>
    <w:rsid w:val="00C40385"/>
    <w:rsid w:val="00C408F1"/>
    <w:rsid w:val="00C40B75"/>
    <w:rsid w:val="00C410DD"/>
    <w:rsid w:val="00C41768"/>
    <w:rsid w:val="00C41A84"/>
    <w:rsid w:val="00C42D9A"/>
    <w:rsid w:val="00C44C14"/>
    <w:rsid w:val="00C465D8"/>
    <w:rsid w:val="00C46901"/>
    <w:rsid w:val="00C46C19"/>
    <w:rsid w:val="00C46F4B"/>
    <w:rsid w:val="00C475AA"/>
    <w:rsid w:val="00C50294"/>
    <w:rsid w:val="00C505FF"/>
    <w:rsid w:val="00C51FCB"/>
    <w:rsid w:val="00C523D4"/>
    <w:rsid w:val="00C537B9"/>
    <w:rsid w:val="00C53C98"/>
    <w:rsid w:val="00C54D6F"/>
    <w:rsid w:val="00C56FCF"/>
    <w:rsid w:val="00C57B6C"/>
    <w:rsid w:val="00C6242C"/>
    <w:rsid w:val="00C628A6"/>
    <w:rsid w:val="00C62D4F"/>
    <w:rsid w:val="00C63CAB"/>
    <w:rsid w:val="00C64113"/>
    <w:rsid w:val="00C64344"/>
    <w:rsid w:val="00C65108"/>
    <w:rsid w:val="00C65576"/>
    <w:rsid w:val="00C66165"/>
    <w:rsid w:val="00C677F3"/>
    <w:rsid w:val="00C67A3C"/>
    <w:rsid w:val="00C70342"/>
    <w:rsid w:val="00C7060A"/>
    <w:rsid w:val="00C7151A"/>
    <w:rsid w:val="00C717E3"/>
    <w:rsid w:val="00C71927"/>
    <w:rsid w:val="00C71D46"/>
    <w:rsid w:val="00C71F60"/>
    <w:rsid w:val="00C7217A"/>
    <w:rsid w:val="00C72241"/>
    <w:rsid w:val="00C7312D"/>
    <w:rsid w:val="00C73DFD"/>
    <w:rsid w:val="00C73EA5"/>
    <w:rsid w:val="00C748CC"/>
    <w:rsid w:val="00C74E31"/>
    <w:rsid w:val="00C750C8"/>
    <w:rsid w:val="00C7560F"/>
    <w:rsid w:val="00C80A0E"/>
    <w:rsid w:val="00C8213F"/>
    <w:rsid w:val="00C82196"/>
    <w:rsid w:val="00C84865"/>
    <w:rsid w:val="00C85154"/>
    <w:rsid w:val="00C8551A"/>
    <w:rsid w:val="00C85BA8"/>
    <w:rsid w:val="00C85F84"/>
    <w:rsid w:val="00C862CA"/>
    <w:rsid w:val="00C8635D"/>
    <w:rsid w:val="00C873AD"/>
    <w:rsid w:val="00C8797A"/>
    <w:rsid w:val="00C879C7"/>
    <w:rsid w:val="00C900B8"/>
    <w:rsid w:val="00C90C71"/>
    <w:rsid w:val="00C91BDD"/>
    <w:rsid w:val="00C91FD1"/>
    <w:rsid w:val="00C92569"/>
    <w:rsid w:val="00C931CF"/>
    <w:rsid w:val="00C938CF"/>
    <w:rsid w:val="00C94053"/>
    <w:rsid w:val="00C94815"/>
    <w:rsid w:val="00C9624D"/>
    <w:rsid w:val="00C969DA"/>
    <w:rsid w:val="00C96B3D"/>
    <w:rsid w:val="00C97034"/>
    <w:rsid w:val="00C978FF"/>
    <w:rsid w:val="00C97A9E"/>
    <w:rsid w:val="00C97F27"/>
    <w:rsid w:val="00C97F7F"/>
    <w:rsid w:val="00CA1EF0"/>
    <w:rsid w:val="00CA2C77"/>
    <w:rsid w:val="00CA40D2"/>
    <w:rsid w:val="00CA444F"/>
    <w:rsid w:val="00CA5245"/>
    <w:rsid w:val="00CA53B3"/>
    <w:rsid w:val="00CA659E"/>
    <w:rsid w:val="00CA71F4"/>
    <w:rsid w:val="00CA7B09"/>
    <w:rsid w:val="00CA7D81"/>
    <w:rsid w:val="00CB042D"/>
    <w:rsid w:val="00CB12A5"/>
    <w:rsid w:val="00CB1CAC"/>
    <w:rsid w:val="00CB2F2A"/>
    <w:rsid w:val="00CB32DF"/>
    <w:rsid w:val="00CB35FC"/>
    <w:rsid w:val="00CB5215"/>
    <w:rsid w:val="00CB5B1A"/>
    <w:rsid w:val="00CB5F03"/>
    <w:rsid w:val="00CB6B22"/>
    <w:rsid w:val="00CB6EE4"/>
    <w:rsid w:val="00CB7F5F"/>
    <w:rsid w:val="00CC176C"/>
    <w:rsid w:val="00CC1B39"/>
    <w:rsid w:val="00CC279F"/>
    <w:rsid w:val="00CC2EB9"/>
    <w:rsid w:val="00CC35EA"/>
    <w:rsid w:val="00CC3848"/>
    <w:rsid w:val="00CC48EB"/>
    <w:rsid w:val="00CC52A1"/>
    <w:rsid w:val="00CC70F2"/>
    <w:rsid w:val="00CC71A1"/>
    <w:rsid w:val="00CC74D5"/>
    <w:rsid w:val="00CC771D"/>
    <w:rsid w:val="00CD03AB"/>
    <w:rsid w:val="00CD1706"/>
    <w:rsid w:val="00CD25BA"/>
    <w:rsid w:val="00CD30C9"/>
    <w:rsid w:val="00CD3F77"/>
    <w:rsid w:val="00CD4C32"/>
    <w:rsid w:val="00CD4FC8"/>
    <w:rsid w:val="00CD5465"/>
    <w:rsid w:val="00CD65D5"/>
    <w:rsid w:val="00CD6ADC"/>
    <w:rsid w:val="00CD7193"/>
    <w:rsid w:val="00CE166B"/>
    <w:rsid w:val="00CE2788"/>
    <w:rsid w:val="00CE2BFF"/>
    <w:rsid w:val="00CE2ED4"/>
    <w:rsid w:val="00CE345C"/>
    <w:rsid w:val="00CE38C8"/>
    <w:rsid w:val="00CE4D26"/>
    <w:rsid w:val="00CE6274"/>
    <w:rsid w:val="00CE77B6"/>
    <w:rsid w:val="00CF039A"/>
    <w:rsid w:val="00CF07C6"/>
    <w:rsid w:val="00CF111A"/>
    <w:rsid w:val="00CF183F"/>
    <w:rsid w:val="00CF2635"/>
    <w:rsid w:val="00CF2B8D"/>
    <w:rsid w:val="00CF2C5C"/>
    <w:rsid w:val="00CF32EA"/>
    <w:rsid w:val="00CF456B"/>
    <w:rsid w:val="00CF4891"/>
    <w:rsid w:val="00CF5A22"/>
    <w:rsid w:val="00CF61A1"/>
    <w:rsid w:val="00CF7F5B"/>
    <w:rsid w:val="00D01734"/>
    <w:rsid w:val="00D0262E"/>
    <w:rsid w:val="00D05682"/>
    <w:rsid w:val="00D05E3D"/>
    <w:rsid w:val="00D06139"/>
    <w:rsid w:val="00D100BA"/>
    <w:rsid w:val="00D110BD"/>
    <w:rsid w:val="00D1295A"/>
    <w:rsid w:val="00D12BBF"/>
    <w:rsid w:val="00D13675"/>
    <w:rsid w:val="00D141E1"/>
    <w:rsid w:val="00D15314"/>
    <w:rsid w:val="00D1681F"/>
    <w:rsid w:val="00D17ABB"/>
    <w:rsid w:val="00D17D6C"/>
    <w:rsid w:val="00D2155B"/>
    <w:rsid w:val="00D21990"/>
    <w:rsid w:val="00D2312A"/>
    <w:rsid w:val="00D23843"/>
    <w:rsid w:val="00D23D11"/>
    <w:rsid w:val="00D244B6"/>
    <w:rsid w:val="00D2512E"/>
    <w:rsid w:val="00D260C8"/>
    <w:rsid w:val="00D266B0"/>
    <w:rsid w:val="00D2754D"/>
    <w:rsid w:val="00D27B27"/>
    <w:rsid w:val="00D30A68"/>
    <w:rsid w:val="00D32830"/>
    <w:rsid w:val="00D33BE9"/>
    <w:rsid w:val="00D33F93"/>
    <w:rsid w:val="00D349B9"/>
    <w:rsid w:val="00D357FF"/>
    <w:rsid w:val="00D37584"/>
    <w:rsid w:val="00D375BB"/>
    <w:rsid w:val="00D40EC4"/>
    <w:rsid w:val="00D411B6"/>
    <w:rsid w:val="00D424C7"/>
    <w:rsid w:val="00D43438"/>
    <w:rsid w:val="00D43B2A"/>
    <w:rsid w:val="00D43B80"/>
    <w:rsid w:val="00D43D83"/>
    <w:rsid w:val="00D448B4"/>
    <w:rsid w:val="00D455D0"/>
    <w:rsid w:val="00D47575"/>
    <w:rsid w:val="00D504CF"/>
    <w:rsid w:val="00D5061E"/>
    <w:rsid w:val="00D5083D"/>
    <w:rsid w:val="00D5243B"/>
    <w:rsid w:val="00D533EC"/>
    <w:rsid w:val="00D54577"/>
    <w:rsid w:val="00D5536A"/>
    <w:rsid w:val="00D56235"/>
    <w:rsid w:val="00D56A95"/>
    <w:rsid w:val="00D577E9"/>
    <w:rsid w:val="00D60F3C"/>
    <w:rsid w:val="00D62045"/>
    <w:rsid w:val="00D62746"/>
    <w:rsid w:val="00D62799"/>
    <w:rsid w:val="00D63A4B"/>
    <w:rsid w:val="00D64B53"/>
    <w:rsid w:val="00D66C00"/>
    <w:rsid w:val="00D66D61"/>
    <w:rsid w:val="00D67125"/>
    <w:rsid w:val="00D703BD"/>
    <w:rsid w:val="00D70F16"/>
    <w:rsid w:val="00D720A4"/>
    <w:rsid w:val="00D72523"/>
    <w:rsid w:val="00D72F57"/>
    <w:rsid w:val="00D758FF"/>
    <w:rsid w:val="00D75C66"/>
    <w:rsid w:val="00D76A44"/>
    <w:rsid w:val="00D76D6C"/>
    <w:rsid w:val="00D777C9"/>
    <w:rsid w:val="00D804FF"/>
    <w:rsid w:val="00D80CEA"/>
    <w:rsid w:val="00D80F3A"/>
    <w:rsid w:val="00D815EF"/>
    <w:rsid w:val="00D81F26"/>
    <w:rsid w:val="00D83567"/>
    <w:rsid w:val="00D84A28"/>
    <w:rsid w:val="00D85980"/>
    <w:rsid w:val="00D86231"/>
    <w:rsid w:val="00D86349"/>
    <w:rsid w:val="00D8709F"/>
    <w:rsid w:val="00D91923"/>
    <w:rsid w:val="00D922B5"/>
    <w:rsid w:val="00D93753"/>
    <w:rsid w:val="00D937B8"/>
    <w:rsid w:val="00D9410B"/>
    <w:rsid w:val="00D941AA"/>
    <w:rsid w:val="00D94A8F"/>
    <w:rsid w:val="00D9680C"/>
    <w:rsid w:val="00D968B6"/>
    <w:rsid w:val="00DA0AB7"/>
    <w:rsid w:val="00DA1AEA"/>
    <w:rsid w:val="00DA2B74"/>
    <w:rsid w:val="00DA3167"/>
    <w:rsid w:val="00DA381C"/>
    <w:rsid w:val="00DA3F46"/>
    <w:rsid w:val="00DA3FF8"/>
    <w:rsid w:val="00DA4DC3"/>
    <w:rsid w:val="00DA6010"/>
    <w:rsid w:val="00DA67DB"/>
    <w:rsid w:val="00DA6BC7"/>
    <w:rsid w:val="00DA725F"/>
    <w:rsid w:val="00DA7374"/>
    <w:rsid w:val="00DA77A5"/>
    <w:rsid w:val="00DB042B"/>
    <w:rsid w:val="00DB195A"/>
    <w:rsid w:val="00DB1FDB"/>
    <w:rsid w:val="00DB2501"/>
    <w:rsid w:val="00DB3DBF"/>
    <w:rsid w:val="00DB4361"/>
    <w:rsid w:val="00DB484F"/>
    <w:rsid w:val="00DB62B4"/>
    <w:rsid w:val="00DB6ABF"/>
    <w:rsid w:val="00DC04F6"/>
    <w:rsid w:val="00DC0690"/>
    <w:rsid w:val="00DC1460"/>
    <w:rsid w:val="00DC18D2"/>
    <w:rsid w:val="00DC1D65"/>
    <w:rsid w:val="00DC2530"/>
    <w:rsid w:val="00DC3C57"/>
    <w:rsid w:val="00DC4495"/>
    <w:rsid w:val="00DC4761"/>
    <w:rsid w:val="00DC5501"/>
    <w:rsid w:val="00DC58E1"/>
    <w:rsid w:val="00DC5AEF"/>
    <w:rsid w:val="00DC5E23"/>
    <w:rsid w:val="00DC6E61"/>
    <w:rsid w:val="00DC7154"/>
    <w:rsid w:val="00DC74E6"/>
    <w:rsid w:val="00DC79C4"/>
    <w:rsid w:val="00DC7E8A"/>
    <w:rsid w:val="00DD09DB"/>
    <w:rsid w:val="00DD0F78"/>
    <w:rsid w:val="00DD23B5"/>
    <w:rsid w:val="00DD2642"/>
    <w:rsid w:val="00DD273C"/>
    <w:rsid w:val="00DD293A"/>
    <w:rsid w:val="00DD3F28"/>
    <w:rsid w:val="00DD420A"/>
    <w:rsid w:val="00DD4537"/>
    <w:rsid w:val="00DD4E15"/>
    <w:rsid w:val="00DD5375"/>
    <w:rsid w:val="00DD5E65"/>
    <w:rsid w:val="00DD5F56"/>
    <w:rsid w:val="00DD6760"/>
    <w:rsid w:val="00DD67EE"/>
    <w:rsid w:val="00DD6ACF"/>
    <w:rsid w:val="00DD71CF"/>
    <w:rsid w:val="00DE06B4"/>
    <w:rsid w:val="00DE12DC"/>
    <w:rsid w:val="00DE13D6"/>
    <w:rsid w:val="00DE20F7"/>
    <w:rsid w:val="00DE2304"/>
    <w:rsid w:val="00DE24DD"/>
    <w:rsid w:val="00DE2C59"/>
    <w:rsid w:val="00DE2CF5"/>
    <w:rsid w:val="00DE3138"/>
    <w:rsid w:val="00DE37F8"/>
    <w:rsid w:val="00DE3A84"/>
    <w:rsid w:val="00DE4248"/>
    <w:rsid w:val="00DE4FCB"/>
    <w:rsid w:val="00DE56AB"/>
    <w:rsid w:val="00DE5D07"/>
    <w:rsid w:val="00DE72A7"/>
    <w:rsid w:val="00DE7832"/>
    <w:rsid w:val="00DF18FC"/>
    <w:rsid w:val="00DF38B9"/>
    <w:rsid w:val="00DF43F0"/>
    <w:rsid w:val="00DF4436"/>
    <w:rsid w:val="00DF5D2B"/>
    <w:rsid w:val="00DF6485"/>
    <w:rsid w:val="00DF684C"/>
    <w:rsid w:val="00DF6CD0"/>
    <w:rsid w:val="00DF7A15"/>
    <w:rsid w:val="00E00740"/>
    <w:rsid w:val="00E00A68"/>
    <w:rsid w:val="00E00E8E"/>
    <w:rsid w:val="00E02130"/>
    <w:rsid w:val="00E02588"/>
    <w:rsid w:val="00E02F62"/>
    <w:rsid w:val="00E0454D"/>
    <w:rsid w:val="00E05630"/>
    <w:rsid w:val="00E058AE"/>
    <w:rsid w:val="00E0648B"/>
    <w:rsid w:val="00E06DBB"/>
    <w:rsid w:val="00E10149"/>
    <w:rsid w:val="00E11340"/>
    <w:rsid w:val="00E122A1"/>
    <w:rsid w:val="00E12952"/>
    <w:rsid w:val="00E1301D"/>
    <w:rsid w:val="00E130D9"/>
    <w:rsid w:val="00E14588"/>
    <w:rsid w:val="00E14C45"/>
    <w:rsid w:val="00E14E17"/>
    <w:rsid w:val="00E1541A"/>
    <w:rsid w:val="00E159FC"/>
    <w:rsid w:val="00E16035"/>
    <w:rsid w:val="00E16372"/>
    <w:rsid w:val="00E20893"/>
    <w:rsid w:val="00E20E4D"/>
    <w:rsid w:val="00E20ED6"/>
    <w:rsid w:val="00E21028"/>
    <w:rsid w:val="00E21358"/>
    <w:rsid w:val="00E21363"/>
    <w:rsid w:val="00E2138F"/>
    <w:rsid w:val="00E2198E"/>
    <w:rsid w:val="00E2249B"/>
    <w:rsid w:val="00E2275C"/>
    <w:rsid w:val="00E22A0D"/>
    <w:rsid w:val="00E22A42"/>
    <w:rsid w:val="00E22CCA"/>
    <w:rsid w:val="00E23568"/>
    <w:rsid w:val="00E23620"/>
    <w:rsid w:val="00E23AC3"/>
    <w:rsid w:val="00E244F6"/>
    <w:rsid w:val="00E26D86"/>
    <w:rsid w:val="00E2771E"/>
    <w:rsid w:val="00E27CF2"/>
    <w:rsid w:val="00E27E74"/>
    <w:rsid w:val="00E304D0"/>
    <w:rsid w:val="00E311EF"/>
    <w:rsid w:val="00E31DD2"/>
    <w:rsid w:val="00E32180"/>
    <w:rsid w:val="00E32355"/>
    <w:rsid w:val="00E32FBB"/>
    <w:rsid w:val="00E33160"/>
    <w:rsid w:val="00E34948"/>
    <w:rsid w:val="00E353C9"/>
    <w:rsid w:val="00E35B31"/>
    <w:rsid w:val="00E365DF"/>
    <w:rsid w:val="00E37569"/>
    <w:rsid w:val="00E37B2C"/>
    <w:rsid w:val="00E401B2"/>
    <w:rsid w:val="00E41E30"/>
    <w:rsid w:val="00E427A4"/>
    <w:rsid w:val="00E42F73"/>
    <w:rsid w:val="00E435DC"/>
    <w:rsid w:val="00E43B5A"/>
    <w:rsid w:val="00E43D70"/>
    <w:rsid w:val="00E44538"/>
    <w:rsid w:val="00E445B4"/>
    <w:rsid w:val="00E466F3"/>
    <w:rsid w:val="00E46C64"/>
    <w:rsid w:val="00E471E6"/>
    <w:rsid w:val="00E47315"/>
    <w:rsid w:val="00E47830"/>
    <w:rsid w:val="00E47B2C"/>
    <w:rsid w:val="00E507FA"/>
    <w:rsid w:val="00E51560"/>
    <w:rsid w:val="00E52B85"/>
    <w:rsid w:val="00E52D92"/>
    <w:rsid w:val="00E53FC8"/>
    <w:rsid w:val="00E54347"/>
    <w:rsid w:val="00E551A9"/>
    <w:rsid w:val="00E55424"/>
    <w:rsid w:val="00E55915"/>
    <w:rsid w:val="00E55BB5"/>
    <w:rsid w:val="00E57959"/>
    <w:rsid w:val="00E60D31"/>
    <w:rsid w:val="00E61731"/>
    <w:rsid w:val="00E61E10"/>
    <w:rsid w:val="00E65E79"/>
    <w:rsid w:val="00E6657E"/>
    <w:rsid w:val="00E66BA2"/>
    <w:rsid w:val="00E67416"/>
    <w:rsid w:val="00E7091C"/>
    <w:rsid w:val="00E718B6"/>
    <w:rsid w:val="00E723BA"/>
    <w:rsid w:val="00E73581"/>
    <w:rsid w:val="00E74544"/>
    <w:rsid w:val="00E74882"/>
    <w:rsid w:val="00E74A3D"/>
    <w:rsid w:val="00E74C2D"/>
    <w:rsid w:val="00E760FA"/>
    <w:rsid w:val="00E760FE"/>
    <w:rsid w:val="00E80119"/>
    <w:rsid w:val="00E8165B"/>
    <w:rsid w:val="00E81DD0"/>
    <w:rsid w:val="00E821E2"/>
    <w:rsid w:val="00E82DA2"/>
    <w:rsid w:val="00E833F7"/>
    <w:rsid w:val="00E83BDF"/>
    <w:rsid w:val="00E8409E"/>
    <w:rsid w:val="00E841BC"/>
    <w:rsid w:val="00E87A1D"/>
    <w:rsid w:val="00E9092D"/>
    <w:rsid w:val="00E9094A"/>
    <w:rsid w:val="00E91D35"/>
    <w:rsid w:val="00E926A5"/>
    <w:rsid w:val="00E927D0"/>
    <w:rsid w:val="00E93CDF"/>
    <w:rsid w:val="00E93CEC"/>
    <w:rsid w:val="00E95134"/>
    <w:rsid w:val="00EA0EB3"/>
    <w:rsid w:val="00EA17C3"/>
    <w:rsid w:val="00EA29F6"/>
    <w:rsid w:val="00EA2CAA"/>
    <w:rsid w:val="00EA2FD7"/>
    <w:rsid w:val="00EA3864"/>
    <w:rsid w:val="00EA407C"/>
    <w:rsid w:val="00EA4668"/>
    <w:rsid w:val="00EA4680"/>
    <w:rsid w:val="00EA4CF0"/>
    <w:rsid w:val="00EA7734"/>
    <w:rsid w:val="00EA7B11"/>
    <w:rsid w:val="00EA7D32"/>
    <w:rsid w:val="00EA7F1C"/>
    <w:rsid w:val="00EB15B6"/>
    <w:rsid w:val="00EB3964"/>
    <w:rsid w:val="00EB3D06"/>
    <w:rsid w:val="00EB3F37"/>
    <w:rsid w:val="00EB4916"/>
    <w:rsid w:val="00EC00C9"/>
    <w:rsid w:val="00EC065E"/>
    <w:rsid w:val="00EC0DD9"/>
    <w:rsid w:val="00EC0E60"/>
    <w:rsid w:val="00EC2649"/>
    <w:rsid w:val="00EC31ED"/>
    <w:rsid w:val="00EC44C1"/>
    <w:rsid w:val="00EC5287"/>
    <w:rsid w:val="00EC5836"/>
    <w:rsid w:val="00EC688C"/>
    <w:rsid w:val="00EC7D03"/>
    <w:rsid w:val="00ED36EE"/>
    <w:rsid w:val="00ED4EFE"/>
    <w:rsid w:val="00ED5256"/>
    <w:rsid w:val="00ED57EA"/>
    <w:rsid w:val="00ED5BD4"/>
    <w:rsid w:val="00ED7DEA"/>
    <w:rsid w:val="00EE0452"/>
    <w:rsid w:val="00EE07D3"/>
    <w:rsid w:val="00EE0D6A"/>
    <w:rsid w:val="00EE0E20"/>
    <w:rsid w:val="00EE1996"/>
    <w:rsid w:val="00EE1C01"/>
    <w:rsid w:val="00EE22AF"/>
    <w:rsid w:val="00EE2372"/>
    <w:rsid w:val="00EE472D"/>
    <w:rsid w:val="00EE4DCF"/>
    <w:rsid w:val="00EE60C3"/>
    <w:rsid w:val="00EE64AA"/>
    <w:rsid w:val="00EF0171"/>
    <w:rsid w:val="00EF0D4D"/>
    <w:rsid w:val="00EF1B25"/>
    <w:rsid w:val="00EF1DA0"/>
    <w:rsid w:val="00EF1FD2"/>
    <w:rsid w:val="00EF41F1"/>
    <w:rsid w:val="00EF4747"/>
    <w:rsid w:val="00EF4BF8"/>
    <w:rsid w:val="00EF4F42"/>
    <w:rsid w:val="00EF5173"/>
    <w:rsid w:val="00EF55F1"/>
    <w:rsid w:val="00EF6B4B"/>
    <w:rsid w:val="00F0122C"/>
    <w:rsid w:val="00F01E23"/>
    <w:rsid w:val="00F02253"/>
    <w:rsid w:val="00F0246A"/>
    <w:rsid w:val="00F02534"/>
    <w:rsid w:val="00F026BE"/>
    <w:rsid w:val="00F03C2E"/>
    <w:rsid w:val="00F04A66"/>
    <w:rsid w:val="00F04B4B"/>
    <w:rsid w:val="00F04F4D"/>
    <w:rsid w:val="00F0516C"/>
    <w:rsid w:val="00F0675C"/>
    <w:rsid w:val="00F067A2"/>
    <w:rsid w:val="00F07123"/>
    <w:rsid w:val="00F07B9E"/>
    <w:rsid w:val="00F07D62"/>
    <w:rsid w:val="00F07E96"/>
    <w:rsid w:val="00F1116F"/>
    <w:rsid w:val="00F1190A"/>
    <w:rsid w:val="00F11D5B"/>
    <w:rsid w:val="00F11EB3"/>
    <w:rsid w:val="00F1263A"/>
    <w:rsid w:val="00F12914"/>
    <w:rsid w:val="00F14B21"/>
    <w:rsid w:val="00F15B77"/>
    <w:rsid w:val="00F173B0"/>
    <w:rsid w:val="00F17580"/>
    <w:rsid w:val="00F21633"/>
    <w:rsid w:val="00F22B14"/>
    <w:rsid w:val="00F2330D"/>
    <w:rsid w:val="00F2341A"/>
    <w:rsid w:val="00F23D4D"/>
    <w:rsid w:val="00F24837"/>
    <w:rsid w:val="00F2575F"/>
    <w:rsid w:val="00F2609E"/>
    <w:rsid w:val="00F26CE6"/>
    <w:rsid w:val="00F26FE3"/>
    <w:rsid w:val="00F27565"/>
    <w:rsid w:val="00F27CB1"/>
    <w:rsid w:val="00F30D7F"/>
    <w:rsid w:val="00F310D4"/>
    <w:rsid w:val="00F31D5A"/>
    <w:rsid w:val="00F32DED"/>
    <w:rsid w:val="00F33093"/>
    <w:rsid w:val="00F332A4"/>
    <w:rsid w:val="00F33975"/>
    <w:rsid w:val="00F33DE9"/>
    <w:rsid w:val="00F33F54"/>
    <w:rsid w:val="00F35E6D"/>
    <w:rsid w:val="00F3619A"/>
    <w:rsid w:val="00F374E5"/>
    <w:rsid w:val="00F40036"/>
    <w:rsid w:val="00F40AAA"/>
    <w:rsid w:val="00F40BA7"/>
    <w:rsid w:val="00F40F9D"/>
    <w:rsid w:val="00F41ACD"/>
    <w:rsid w:val="00F41DD3"/>
    <w:rsid w:val="00F41F66"/>
    <w:rsid w:val="00F430B5"/>
    <w:rsid w:val="00F43344"/>
    <w:rsid w:val="00F435FE"/>
    <w:rsid w:val="00F436B2"/>
    <w:rsid w:val="00F44FB3"/>
    <w:rsid w:val="00F4592F"/>
    <w:rsid w:val="00F46CB6"/>
    <w:rsid w:val="00F46DFD"/>
    <w:rsid w:val="00F4714A"/>
    <w:rsid w:val="00F4756D"/>
    <w:rsid w:val="00F47DE8"/>
    <w:rsid w:val="00F529D7"/>
    <w:rsid w:val="00F542C1"/>
    <w:rsid w:val="00F54703"/>
    <w:rsid w:val="00F55E73"/>
    <w:rsid w:val="00F55EDA"/>
    <w:rsid w:val="00F55FF5"/>
    <w:rsid w:val="00F56B85"/>
    <w:rsid w:val="00F56C80"/>
    <w:rsid w:val="00F57729"/>
    <w:rsid w:val="00F60092"/>
    <w:rsid w:val="00F6049F"/>
    <w:rsid w:val="00F609CB"/>
    <w:rsid w:val="00F61C18"/>
    <w:rsid w:val="00F61C3D"/>
    <w:rsid w:val="00F63804"/>
    <w:rsid w:val="00F641D8"/>
    <w:rsid w:val="00F6500C"/>
    <w:rsid w:val="00F6519A"/>
    <w:rsid w:val="00F651EA"/>
    <w:rsid w:val="00F65F4B"/>
    <w:rsid w:val="00F66227"/>
    <w:rsid w:val="00F66231"/>
    <w:rsid w:val="00F67A69"/>
    <w:rsid w:val="00F70BFF"/>
    <w:rsid w:val="00F70C9D"/>
    <w:rsid w:val="00F71077"/>
    <w:rsid w:val="00F7378B"/>
    <w:rsid w:val="00F7436D"/>
    <w:rsid w:val="00F745E7"/>
    <w:rsid w:val="00F749E0"/>
    <w:rsid w:val="00F74CD9"/>
    <w:rsid w:val="00F75C45"/>
    <w:rsid w:val="00F80A7B"/>
    <w:rsid w:val="00F80E5D"/>
    <w:rsid w:val="00F813F8"/>
    <w:rsid w:val="00F81740"/>
    <w:rsid w:val="00F81E78"/>
    <w:rsid w:val="00F851CE"/>
    <w:rsid w:val="00F85C78"/>
    <w:rsid w:val="00F860AC"/>
    <w:rsid w:val="00F86AEB"/>
    <w:rsid w:val="00F908DD"/>
    <w:rsid w:val="00F90BB5"/>
    <w:rsid w:val="00F91219"/>
    <w:rsid w:val="00F91D8D"/>
    <w:rsid w:val="00F92444"/>
    <w:rsid w:val="00F9393E"/>
    <w:rsid w:val="00F9519E"/>
    <w:rsid w:val="00F95DC0"/>
    <w:rsid w:val="00F96C70"/>
    <w:rsid w:val="00F96FD0"/>
    <w:rsid w:val="00F97A78"/>
    <w:rsid w:val="00FA0B20"/>
    <w:rsid w:val="00FA1188"/>
    <w:rsid w:val="00FA24E7"/>
    <w:rsid w:val="00FA434E"/>
    <w:rsid w:val="00FA5EE6"/>
    <w:rsid w:val="00FA613F"/>
    <w:rsid w:val="00FA62E7"/>
    <w:rsid w:val="00FA7956"/>
    <w:rsid w:val="00FB2343"/>
    <w:rsid w:val="00FB23C2"/>
    <w:rsid w:val="00FB271B"/>
    <w:rsid w:val="00FB2FCB"/>
    <w:rsid w:val="00FB3737"/>
    <w:rsid w:val="00FB4831"/>
    <w:rsid w:val="00FB49DB"/>
    <w:rsid w:val="00FB7402"/>
    <w:rsid w:val="00FB781D"/>
    <w:rsid w:val="00FB7C55"/>
    <w:rsid w:val="00FC0607"/>
    <w:rsid w:val="00FC0D20"/>
    <w:rsid w:val="00FC1074"/>
    <w:rsid w:val="00FC1553"/>
    <w:rsid w:val="00FC1884"/>
    <w:rsid w:val="00FC1EC9"/>
    <w:rsid w:val="00FC2E85"/>
    <w:rsid w:val="00FC371D"/>
    <w:rsid w:val="00FC3AFA"/>
    <w:rsid w:val="00FC5F0B"/>
    <w:rsid w:val="00FC6036"/>
    <w:rsid w:val="00FC6A31"/>
    <w:rsid w:val="00FC769F"/>
    <w:rsid w:val="00FD02DF"/>
    <w:rsid w:val="00FD0664"/>
    <w:rsid w:val="00FD069E"/>
    <w:rsid w:val="00FD08CE"/>
    <w:rsid w:val="00FD0E63"/>
    <w:rsid w:val="00FD2100"/>
    <w:rsid w:val="00FD23A3"/>
    <w:rsid w:val="00FD2741"/>
    <w:rsid w:val="00FD2870"/>
    <w:rsid w:val="00FD41CC"/>
    <w:rsid w:val="00FD436C"/>
    <w:rsid w:val="00FD446D"/>
    <w:rsid w:val="00FD4F2C"/>
    <w:rsid w:val="00FD6394"/>
    <w:rsid w:val="00FD65FA"/>
    <w:rsid w:val="00FD77D7"/>
    <w:rsid w:val="00FE0E6C"/>
    <w:rsid w:val="00FE1CDC"/>
    <w:rsid w:val="00FE2B42"/>
    <w:rsid w:val="00FE2B6E"/>
    <w:rsid w:val="00FE2E79"/>
    <w:rsid w:val="00FE34C5"/>
    <w:rsid w:val="00FE3D04"/>
    <w:rsid w:val="00FE4B29"/>
    <w:rsid w:val="00FE70C3"/>
    <w:rsid w:val="00FF03C6"/>
    <w:rsid w:val="00FF06F9"/>
    <w:rsid w:val="00FF2AD9"/>
    <w:rsid w:val="00FF2B33"/>
    <w:rsid w:val="00FF359F"/>
    <w:rsid w:val="00FF3A9A"/>
    <w:rsid w:val="00FF3DCF"/>
    <w:rsid w:val="00FF492C"/>
    <w:rsid w:val="00FF4A21"/>
    <w:rsid w:val="00FF4B87"/>
    <w:rsid w:val="00FF505D"/>
    <w:rsid w:val="00FF54A6"/>
    <w:rsid w:val="00FF5A37"/>
    <w:rsid w:val="00FF5AA3"/>
    <w:rsid w:val="00FF5AD8"/>
    <w:rsid w:val="00FF6118"/>
    <w:rsid w:val="017DFB7F"/>
    <w:rsid w:val="020BBAE9"/>
    <w:rsid w:val="13FCDC39"/>
    <w:rsid w:val="2A5A0311"/>
    <w:rsid w:val="2AAFC1A2"/>
    <w:rsid w:val="301B492B"/>
    <w:rsid w:val="34A10C8B"/>
    <w:rsid w:val="3E0FF405"/>
    <w:rsid w:val="438D8736"/>
    <w:rsid w:val="4AB2E9D1"/>
    <w:rsid w:val="4C8F8D83"/>
    <w:rsid w:val="549B0B71"/>
    <w:rsid w:val="679655CC"/>
    <w:rsid w:val="69BCFCE7"/>
    <w:rsid w:val="6AAD44DE"/>
    <w:rsid w:val="6E059750"/>
    <w:rsid w:val="701573DF"/>
    <w:rsid w:val="7054994A"/>
    <w:rsid w:val="75C03FD8"/>
    <w:rsid w:val="76FA7740"/>
    <w:rsid w:val="7A3C0CEA"/>
    <w:rsid w:val="7E158D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3473"/>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 H17,Bayer Caption,IB Caption,Medical Caption,Caption - H17,! Q,B Caption - 9291,B Caption,Caption2,AZr Caption,Caption Char1,Caption Char Char,Caption Char1 Char Char,Caption Char Char Char Char,Caption Char1 Char,Caption 3"/>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 H17 Char,Bayer Caption Char,IB Caption Char,Medical Caption Char,Caption - H17 Char,! Q Char,B Caption - 9291 Char,B Caption Char,Caption2 Char,AZr Caption Char,Caption Char1 Char1,Caption Char Char Char,Caption Char1 Char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L,Bullet Point,Bulletr List Paragraph"/>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Dossier table,Summary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unhideWhenUsed/>
    <w:rsid w:val="00134F4E"/>
    <w:rPr>
      <w:sz w:val="20"/>
      <w:szCs w:val="20"/>
    </w:rPr>
  </w:style>
  <w:style w:type="character" w:customStyle="1" w:styleId="FootnoteTextChar">
    <w:name w:val="Footnote Text Char"/>
    <w:basedOn w:val="DefaultParagraphFont"/>
    <w:link w:val="FootnoteText"/>
    <w:rsid w:val="00134F4E"/>
    <w:rPr>
      <w:rFonts w:ascii="Calibri" w:hAnsi="Calibri" w:cs="Arial"/>
    </w:rPr>
  </w:style>
  <w:style w:type="character" w:styleId="FootnoteReference">
    <w:name w:val="footnote reference"/>
    <w:basedOn w:val="DefaultParagraphFont"/>
    <w:semiHidden/>
    <w:unhideWhenUsed/>
    <w:rsid w:val="00134F4E"/>
    <w:rPr>
      <w:vertAlign w:val="superscript"/>
    </w:rPr>
  </w:style>
  <w:style w:type="paragraph" w:customStyle="1" w:styleId="EndNoteBibliography">
    <w:name w:val="EndNote Bibliography"/>
    <w:basedOn w:val="Normal"/>
    <w:link w:val="EndNoteBibliographyChar"/>
    <w:rsid w:val="00A15452"/>
    <w:pPr>
      <w:spacing w:after="120"/>
    </w:pPr>
    <w:rPr>
      <w:rFonts w:ascii="Arial" w:eastAsiaTheme="minorHAnsi" w:hAnsi="Arial"/>
      <w:noProof/>
      <w:sz w:val="22"/>
      <w:szCs w:val="22"/>
      <w:lang w:val="en-US" w:eastAsia="en-US"/>
    </w:rPr>
  </w:style>
  <w:style w:type="character" w:customStyle="1" w:styleId="EndNoteBibliographyChar">
    <w:name w:val="EndNote Bibliography Char"/>
    <w:basedOn w:val="DefaultParagraphFont"/>
    <w:link w:val="EndNoteBibliography"/>
    <w:rsid w:val="00A15452"/>
    <w:rPr>
      <w:rFonts w:ascii="Arial" w:eastAsiaTheme="minorHAnsi" w:hAnsi="Arial" w:cs="Arial"/>
      <w:noProof/>
      <w:sz w:val="22"/>
      <w:szCs w:val="22"/>
      <w:lang w:val="en-US" w:eastAsia="en-US"/>
    </w:rPr>
  </w:style>
  <w:style w:type="character" w:styleId="UnresolvedMention">
    <w:name w:val="Unresolved Mention"/>
    <w:basedOn w:val="DefaultParagraphFont"/>
    <w:uiPriority w:val="99"/>
    <w:semiHidden/>
    <w:unhideWhenUsed/>
    <w:rsid w:val="00FB271B"/>
    <w:rPr>
      <w:color w:val="605E5C"/>
      <w:shd w:val="clear" w:color="auto" w:fill="E1DFDD"/>
    </w:rPr>
  </w:style>
  <w:style w:type="character" w:styleId="PlaceholderText">
    <w:name w:val="Placeholder Text"/>
    <w:basedOn w:val="DefaultParagraphFont"/>
    <w:uiPriority w:val="99"/>
    <w:semiHidden/>
    <w:rsid w:val="0063285D"/>
    <w:rPr>
      <w:color w:val="808080"/>
    </w:rPr>
  </w:style>
  <w:style w:type="character" w:customStyle="1" w:styleId="highwire-citation-authors">
    <w:name w:val="highwire-citation-authors"/>
    <w:basedOn w:val="DefaultParagraphFont"/>
    <w:rsid w:val="00E74A3D"/>
  </w:style>
  <w:style w:type="character" w:customStyle="1" w:styleId="highwire-citation-author">
    <w:name w:val="highwire-citation-author"/>
    <w:basedOn w:val="DefaultParagraphFont"/>
    <w:rsid w:val="00E74A3D"/>
  </w:style>
  <w:style w:type="character" w:customStyle="1" w:styleId="nlm-surname">
    <w:name w:val="nlm-surname"/>
    <w:basedOn w:val="DefaultParagraphFont"/>
    <w:rsid w:val="00E74A3D"/>
  </w:style>
  <w:style w:type="character" w:customStyle="1" w:styleId="citation-et">
    <w:name w:val="citation-et"/>
    <w:basedOn w:val="DefaultParagraphFont"/>
    <w:rsid w:val="00E74A3D"/>
  </w:style>
  <w:style w:type="character" w:customStyle="1" w:styleId="highwire-cite-metadata-journal">
    <w:name w:val="highwire-cite-metadata-journal"/>
    <w:basedOn w:val="DefaultParagraphFont"/>
    <w:rsid w:val="00E74A3D"/>
  </w:style>
  <w:style w:type="character" w:customStyle="1" w:styleId="highwire-cite-metadata-year">
    <w:name w:val="highwire-cite-metadata-year"/>
    <w:basedOn w:val="DefaultParagraphFont"/>
    <w:rsid w:val="00E74A3D"/>
  </w:style>
  <w:style w:type="character" w:customStyle="1" w:styleId="highwire-cite-metadata-volume">
    <w:name w:val="highwire-cite-metadata-volume"/>
    <w:basedOn w:val="DefaultParagraphFont"/>
    <w:rsid w:val="00E74A3D"/>
  </w:style>
  <w:style w:type="character" w:customStyle="1" w:styleId="highwire-cite-metadata-elocation-id">
    <w:name w:val="highwire-cite-metadata-elocation-id"/>
    <w:basedOn w:val="DefaultParagraphFont"/>
    <w:rsid w:val="00E74A3D"/>
  </w:style>
  <w:style w:type="character" w:customStyle="1" w:styleId="highwire-cite-metadata-doi">
    <w:name w:val="highwire-cite-metadata-doi"/>
    <w:basedOn w:val="DefaultParagraphFont"/>
    <w:rsid w:val="00E74A3D"/>
  </w:style>
  <w:style w:type="character" w:customStyle="1" w:styleId="label">
    <w:name w:val="label"/>
    <w:basedOn w:val="DefaultParagraphFont"/>
    <w:rsid w:val="00E74A3D"/>
  </w:style>
  <w:style w:type="paragraph" w:customStyle="1" w:styleId="BulletedList">
    <w:name w:val="Bulleted List"/>
    <w:basedOn w:val="Normal"/>
    <w:uiPriority w:val="3"/>
    <w:qFormat/>
    <w:rsid w:val="00E74A3D"/>
    <w:pPr>
      <w:numPr>
        <w:numId w:val="9"/>
      </w:numPr>
      <w:spacing w:after="240"/>
      <w:ind w:left="357" w:hanging="357"/>
      <w:contextualSpacing/>
    </w:pPr>
    <w:rPr>
      <w:rFonts w:ascii="Candara" w:eastAsiaTheme="majorEastAsia" w:hAnsi="Candara" w:cstheme="majorBidi"/>
      <w:szCs w:val="22"/>
      <w:lang w:eastAsia="en-US"/>
    </w:rPr>
  </w:style>
  <w:style w:type="paragraph" w:customStyle="1" w:styleId="PbacTableHeading">
    <w:name w:val="Pbac Table Heading"/>
    <w:basedOn w:val="PBACTableText"/>
    <w:qFormat/>
    <w:rsid w:val="002C7FE5"/>
    <w:pPr>
      <w:spacing w:before="0" w:after="80"/>
    </w:pPr>
    <w:rPr>
      <w:rFonts w:eastAsiaTheme="minorHAnsi" w:cs="Arial"/>
      <w:b/>
    </w:rPr>
  </w:style>
  <w:style w:type="paragraph" w:customStyle="1" w:styleId="PBACTableText">
    <w:name w:val="PBAC Table Text"/>
    <w:basedOn w:val="Normal"/>
    <w:link w:val="PBACTableTextChar"/>
    <w:qFormat/>
    <w:rsid w:val="002C7FE5"/>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2C7FE5"/>
    <w:rPr>
      <w:rFonts w:ascii="Arial Narrow" w:hAnsi="Arial Narrow"/>
      <w:lang w:eastAsia="en-US"/>
    </w:rPr>
  </w:style>
  <w:style w:type="paragraph" w:customStyle="1" w:styleId="Bodytextitalics">
    <w:name w:val="Body text italics"/>
    <w:basedOn w:val="BodyText"/>
    <w:qFormat/>
    <w:rsid w:val="002C7FE5"/>
    <w:pPr>
      <w:spacing w:after="120"/>
      <w:jc w:val="both"/>
    </w:pPr>
    <w:rPr>
      <w:rFonts w:asciiTheme="minorHAnsi" w:eastAsiaTheme="minorHAnsi" w:hAnsiTheme="minorHAnsi" w:cstheme="minorBidi"/>
      <w:i/>
      <w:szCs w:val="22"/>
    </w:rPr>
  </w:style>
  <w:style w:type="paragraph" w:customStyle="1" w:styleId="3-SubsectionHeading">
    <w:name w:val="3-Subsection Heading"/>
    <w:basedOn w:val="Heading2"/>
    <w:next w:val="Normal"/>
    <w:link w:val="3-SubsectionHeadingChar"/>
    <w:qFormat/>
    <w:rsid w:val="009225AB"/>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9225AB"/>
    <w:rPr>
      <w:rFonts w:asciiTheme="minorHAnsi" w:eastAsiaTheme="majorEastAsia" w:hAnsiTheme="minorHAnsi" w:cstheme="majorBidi"/>
      <w:b/>
      <w:i/>
      <w:snapToGrid/>
      <w:spacing w:val="5"/>
      <w:kern w:val="28"/>
      <w:sz w:val="28"/>
      <w:szCs w:val="36"/>
      <w:lang w:eastAsia="en-US"/>
    </w:rPr>
  </w:style>
  <w:style w:type="paragraph" w:customStyle="1" w:styleId="Default">
    <w:name w:val="Default"/>
    <w:rsid w:val="0038203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1873">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38442576">
      <w:bodyDiv w:val="1"/>
      <w:marLeft w:val="0"/>
      <w:marRight w:val="0"/>
      <w:marTop w:val="0"/>
      <w:marBottom w:val="0"/>
      <w:divBdr>
        <w:top w:val="none" w:sz="0" w:space="0" w:color="auto"/>
        <w:left w:val="none" w:sz="0" w:space="0" w:color="auto"/>
        <w:bottom w:val="none" w:sz="0" w:space="0" w:color="auto"/>
        <w:right w:val="none" w:sz="0" w:space="0" w:color="auto"/>
      </w:divBdr>
      <w:divsChild>
        <w:div w:id="662927319">
          <w:marLeft w:val="547"/>
          <w:marRight w:val="0"/>
          <w:marTop w:val="0"/>
          <w:marBottom w:val="0"/>
          <w:divBdr>
            <w:top w:val="none" w:sz="0" w:space="0" w:color="auto"/>
            <w:left w:val="none" w:sz="0" w:space="0" w:color="auto"/>
            <w:bottom w:val="none" w:sz="0" w:space="0" w:color="auto"/>
            <w:right w:val="none" w:sz="0" w:space="0" w:color="auto"/>
          </w:divBdr>
        </w:div>
      </w:divsChild>
    </w:div>
    <w:div w:id="240871051">
      <w:bodyDiv w:val="1"/>
      <w:marLeft w:val="0"/>
      <w:marRight w:val="0"/>
      <w:marTop w:val="0"/>
      <w:marBottom w:val="0"/>
      <w:divBdr>
        <w:top w:val="none" w:sz="0" w:space="0" w:color="auto"/>
        <w:left w:val="none" w:sz="0" w:space="0" w:color="auto"/>
        <w:bottom w:val="none" w:sz="0" w:space="0" w:color="auto"/>
        <w:right w:val="none" w:sz="0" w:space="0" w:color="auto"/>
      </w:divBdr>
    </w:div>
    <w:div w:id="309864891">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05692861">
      <w:bodyDiv w:val="1"/>
      <w:marLeft w:val="0"/>
      <w:marRight w:val="0"/>
      <w:marTop w:val="0"/>
      <w:marBottom w:val="0"/>
      <w:divBdr>
        <w:top w:val="none" w:sz="0" w:space="0" w:color="auto"/>
        <w:left w:val="none" w:sz="0" w:space="0" w:color="auto"/>
        <w:bottom w:val="none" w:sz="0" w:space="0" w:color="auto"/>
        <w:right w:val="none" w:sz="0" w:space="0" w:color="auto"/>
      </w:divBdr>
    </w:div>
    <w:div w:id="498160125">
      <w:bodyDiv w:val="1"/>
      <w:marLeft w:val="0"/>
      <w:marRight w:val="0"/>
      <w:marTop w:val="0"/>
      <w:marBottom w:val="0"/>
      <w:divBdr>
        <w:top w:val="none" w:sz="0" w:space="0" w:color="auto"/>
        <w:left w:val="none" w:sz="0" w:space="0" w:color="auto"/>
        <w:bottom w:val="none" w:sz="0" w:space="0" w:color="auto"/>
        <w:right w:val="none" w:sz="0" w:space="0" w:color="auto"/>
      </w:divBdr>
      <w:divsChild>
        <w:div w:id="64227858">
          <w:marLeft w:val="1080"/>
          <w:marRight w:val="0"/>
          <w:marTop w:val="100"/>
          <w:marBottom w:val="0"/>
          <w:divBdr>
            <w:top w:val="none" w:sz="0" w:space="0" w:color="auto"/>
            <w:left w:val="none" w:sz="0" w:space="0" w:color="auto"/>
            <w:bottom w:val="none" w:sz="0" w:space="0" w:color="auto"/>
            <w:right w:val="none" w:sz="0" w:space="0" w:color="auto"/>
          </w:divBdr>
        </w:div>
        <w:div w:id="523715409">
          <w:marLeft w:val="1080"/>
          <w:marRight w:val="0"/>
          <w:marTop w:val="100"/>
          <w:marBottom w:val="0"/>
          <w:divBdr>
            <w:top w:val="none" w:sz="0" w:space="0" w:color="auto"/>
            <w:left w:val="none" w:sz="0" w:space="0" w:color="auto"/>
            <w:bottom w:val="none" w:sz="0" w:space="0" w:color="auto"/>
            <w:right w:val="none" w:sz="0" w:space="0" w:color="auto"/>
          </w:divBdr>
        </w:div>
      </w:divsChild>
    </w:div>
    <w:div w:id="575626077">
      <w:bodyDiv w:val="1"/>
      <w:marLeft w:val="0"/>
      <w:marRight w:val="0"/>
      <w:marTop w:val="0"/>
      <w:marBottom w:val="0"/>
      <w:divBdr>
        <w:top w:val="none" w:sz="0" w:space="0" w:color="auto"/>
        <w:left w:val="none" w:sz="0" w:space="0" w:color="auto"/>
        <w:bottom w:val="none" w:sz="0" w:space="0" w:color="auto"/>
        <w:right w:val="none" w:sz="0" w:space="0" w:color="auto"/>
      </w:divBdr>
    </w:div>
    <w:div w:id="773938437">
      <w:bodyDiv w:val="1"/>
      <w:marLeft w:val="0"/>
      <w:marRight w:val="0"/>
      <w:marTop w:val="0"/>
      <w:marBottom w:val="0"/>
      <w:divBdr>
        <w:top w:val="none" w:sz="0" w:space="0" w:color="auto"/>
        <w:left w:val="none" w:sz="0" w:space="0" w:color="auto"/>
        <w:bottom w:val="none" w:sz="0" w:space="0" w:color="auto"/>
        <w:right w:val="none" w:sz="0" w:space="0" w:color="auto"/>
      </w:divBdr>
      <w:divsChild>
        <w:div w:id="106505002">
          <w:marLeft w:val="1166"/>
          <w:marRight w:val="0"/>
          <w:marTop w:val="0"/>
          <w:marBottom w:val="120"/>
          <w:divBdr>
            <w:top w:val="none" w:sz="0" w:space="0" w:color="auto"/>
            <w:left w:val="none" w:sz="0" w:space="0" w:color="auto"/>
            <w:bottom w:val="none" w:sz="0" w:space="0" w:color="auto"/>
            <w:right w:val="none" w:sz="0" w:space="0" w:color="auto"/>
          </w:divBdr>
        </w:div>
        <w:div w:id="1950157869">
          <w:marLeft w:val="1166"/>
          <w:marRight w:val="0"/>
          <w:marTop w:val="0"/>
          <w:marBottom w:val="120"/>
          <w:divBdr>
            <w:top w:val="none" w:sz="0" w:space="0" w:color="auto"/>
            <w:left w:val="none" w:sz="0" w:space="0" w:color="auto"/>
            <w:bottom w:val="none" w:sz="0" w:space="0" w:color="auto"/>
            <w:right w:val="none" w:sz="0" w:space="0" w:color="auto"/>
          </w:divBdr>
        </w:div>
      </w:divsChild>
    </w:div>
    <w:div w:id="999650481">
      <w:bodyDiv w:val="1"/>
      <w:marLeft w:val="0"/>
      <w:marRight w:val="0"/>
      <w:marTop w:val="0"/>
      <w:marBottom w:val="0"/>
      <w:divBdr>
        <w:top w:val="none" w:sz="0" w:space="0" w:color="auto"/>
        <w:left w:val="none" w:sz="0" w:space="0" w:color="auto"/>
        <w:bottom w:val="none" w:sz="0" w:space="0" w:color="auto"/>
        <w:right w:val="none" w:sz="0" w:space="0" w:color="auto"/>
      </w:divBdr>
      <w:divsChild>
        <w:div w:id="532353358">
          <w:marLeft w:val="360"/>
          <w:marRight w:val="0"/>
          <w:marTop w:val="200"/>
          <w:marBottom w:val="0"/>
          <w:divBdr>
            <w:top w:val="none" w:sz="0" w:space="0" w:color="auto"/>
            <w:left w:val="none" w:sz="0" w:space="0" w:color="auto"/>
            <w:bottom w:val="none" w:sz="0" w:space="0" w:color="auto"/>
            <w:right w:val="none" w:sz="0" w:space="0" w:color="auto"/>
          </w:divBdr>
        </w:div>
        <w:div w:id="1863787791">
          <w:marLeft w:val="1080"/>
          <w:marRight w:val="0"/>
          <w:marTop w:val="100"/>
          <w:marBottom w:val="0"/>
          <w:divBdr>
            <w:top w:val="none" w:sz="0" w:space="0" w:color="auto"/>
            <w:left w:val="none" w:sz="0" w:space="0" w:color="auto"/>
            <w:bottom w:val="none" w:sz="0" w:space="0" w:color="auto"/>
            <w:right w:val="none" w:sz="0" w:space="0" w:color="auto"/>
          </w:divBdr>
        </w:div>
      </w:divsChild>
    </w:div>
    <w:div w:id="1024405084">
      <w:bodyDiv w:val="1"/>
      <w:marLeft w:val="0"/>
      <w:marRight w:val="0"/>
      <w:marTop w:val="0"/>
      <w:marBottom w:val="0"/>
      <w:divBdr>
        <w:top w:val="none" w:sz="0" w:space="0" w:color="auto"/>
        <w:left w:val="none" w:sz="0" w:space="0" w:color="auto"/>
        <w:bottom w:val="none" w:sz="0" w:space="0" w:color="auto"/>
        <w:right w:val="none" w:sz="0" w:space="0" w:color="auto"/>
      </w:divBdr>
    </w:div>
    <w:div w:id="1070613680">
      <w:bodyDiv w:val="1"/>
      <w:marLeft w:val="0"/>
      <w:marRight w:val="0"/>
      <w:marTop w:val="0"/>
      <w:marBottom w:val="0"/>
      <w:divBdr>
        <w:top w:val="none" w:sz="0" w:space="0" w:color="auto"/>
        <w:left w:val="none" w:sz="0" w:space="0" w:color="auto"/>
        <w:bottom w:val="none" w:sz="0" w:space="0" w:color="auto"/>
        <w:right w:val="none" w:sz="0" w:space="0" w:color="auto"/>
      </w:divBdr>
    </w:div>
    <w:div w:id="1127436167">
      <w:bodyDiv w:val="1"/>
      <w:marLeft w:val="0"/>
      <w:marRight w:val="0"/>
      <w:marTop w:val="0"/>
      <w:marBottom w:val="0"/>
      <w:divBdr>
        <w:top w:val="none" w:sz="0" w:space="0" w:color="auto"/>
        <w:left w:val="none" w:sz="0" w:space="0" w:color="auto"/>
        <w:bottom w:val="none" w:sz="0" w:space="0" w:color="auto"/>
        <w:right w:val="none" w:sz="0" w:space="0" w:color="auto"/>
      </w:divBdr>
      <w:divsChild>
        <w:div w:id="129174439">
          <w:marLeft w:val="360"/>
          <w:marRight w:val="0"/>
          <w:marTop w:val="200"/>
          <w:marBottom w:val="0"/>
          <w:divBdr>
            <w:top w:val="none" w:sz="0" w:space="0" w:color="auto"/>
            <w:left w:val="none" w:sz="0" w:space="0" w:color="auto"/>
            <w:bottom w:val="none" w:sz="0" w:space="0" w:color="auto"/>
            <w:right w:val="none" w:sz="0" w:space="0" w:color="auto"/>
          </w:divBdr>
        </w:div>
        <w:div w:id="550117638">
          <w:marLeft w:val="1080"/>
          <w:marRight w:val="0"/>
          <w:marTop w:val="100"/>
          <w:marBottom w:val="0"/>
          <w:divBdr>
            <w:top w:val="none" w:sz="0" w:space="0" w:color="auto"/>
            <w:left w:val="none" w:sz="0" w:space="0" w:color="auto"/>
            <w:bottom w:val="none" w:sz="0" w:space="0" w:color="auto"/>
            <w:right w:val="none" w:sz="0" w:space="0" w:color="auto"/>
          </w:divBdr>
        </w:div>
        <w:div w:id="1674066172">
          <w:marLeft w:val="1080"/>
          <w:marRight w:val="0"/>
          <w:marTop w:val="100"/>
          <w:marBottom w:val="0"/>
          <w:divBdr>
            <w:top w:val="none" w:sz="0" w:space="0" w:color="auto"/>
            <w:left w:val="none" w:sz="0" w:space="0" w:color="auto"/>
            <w:bottom w:val="none" w:sz="0" w:space="0" w:color="auto"/>
            <w:right w:val="none" w:sz="0" w:space="0" w:color="auto"/>
          </w:divBdr>
        </w:div>
        <w:div w:id="1564217943">
          <w:marLeft w:val="1080"/>
          <w:marRight w:val="0"/>
          <w:marTop w:val="100"/>
          <w:marBottom w:val="0"/>
          <w:divBdr>
            <w:top w:val="none" w:sz="0" w:space="0" w:color="auto"/>
            <w:left w:val="none" w:sz="0" w:space="0" w:color="auto"/>
            <w:bottom w:val="none" w:sz="0" w:space="0" w:color="auto"/>
            <w:right w:val="none" w:sz="0" w:space="0" w:color="auto"/>
          </w:divBdr>
        </w:div>
        <w:div w:id="1250698780">
          <w:marLeft w:val="360"/>
          <w:marRight w:val="0"/>
          <w:marTop w:val="200"/>
          <w:marBottom w:val="0"/>
          <w:divBdr>
            <w:top w:val="none" w:sz="0" w:space="0" w:color="auto"/>
            <w:left w:val="none" w:sz="0" w:space="0" w:color="auto"/>
            <w:bottom w:val="none" w:sz="0" w:space="0" w:color="auto"/>
            <w:right w:val="none" w:sz="0" w:space="0" w:color="auto"/>
          </w:divBdr>
        </w:div>
        <w:div w:id="881014048">
          <w:marLeft w:val="1080"/>
          <w:marRight w:val="0"/>
          <w:marTop w:val="100"/>
          <w:marBottom w:val="0"/>
          <w:divBdr>
            <w:top w:val="none" w:sz="0" w:space="0" w:color="auto"/>
            <w:left w:val="none" w:sz="0" w:space="0" w:color="auto"/>
            <w:bottom w:val="none" w:sz="0" w:space="0" w:color="auto"/>
            <w:right w:val="none" w:sz="0" w:space="0" w:color="auto"/>
          </w:divBdr>
        </w:div>
        <w:div w:id="175074390">
          <w:marLeft w:val="360"/>
          <w:marRight w:val="0"/>
          <w:marTop w:val="200"/>
          <w:marBottom w:val="0"/>
          <w:divBdr>
            <w:top w:val="none" w:sz="0" w:space="0" w:color="auto"/>
            <w:left w:val="none" w:sz="0" w:space="0" w:color="auto"/>
            <w:bottom w:val="none" w:sz="0" w:space="0" w:color="auto"/>
            <w:right w:val="none" w:sz="0" w:space="0" w:color="auto"/>
          </w:divBdr>
        </w:div>
      </w:divsChild>
    </w:div>
    <w:div w:id="1151554478">
      <w:bodyDiv w:val="1"/>
      <w:marLeft w:val="0"/>
      <w:marRight w:val="0"/>
      <w:marTop w:val="0"/>
      <w:marBottom w:val="0"/>
      <w:divBdr>
        <w:top w:val="none" w:sz="0" w:space="0" w:color="auto"/>
        <w:left w:val="none" w:sz="0" w:space="0" w:color="auto"/>
        <w:bottom w:val="none" w:sz="0" w:space="0" w:color="auto"/>
        <w:right w:val="none" w:sz="0" w:space="0" w:color="auto"/>
      </w:divBdr>
      <w:divsChild>
        <w:div w:id="1589196235">
          <w:marLeft w:val="547"/>
          <w:marRight w:val="0"/>
          <w:marTop w:val="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06850">
      <w:bodyDiv w:val="1"/>
      <w:marLeft w:val="0"/>
      <w:marRight w:val="0"/>
      <w:marTop w:val="0"/>
      <w:marBottom w:val="0"/>
      <w:divBdr>
        <w:top w:val="none" w:sz="0" w:space="0" w:color="auto"/>
        <w:left w:val="none" w:sz="0" w:space="0" w:color="auto"/>
        <w:bottom w:val="none" w:sz="0" w:space="0" w:color="auto"/>
        <w:right w:val="none" w:sz="0" w:space="0" w:color="auto"/>
      </w:divBdr>
      <w:divsChild>
        <w:div w:id="485778624">
          <w:marLeft w:val="547"/>
          <w:marRight w:val="0"/>
          <w:marTop w:val="0"/>
          <w:marBottom w:val="0"/>
          <w:divBdr>
            <w:top w:val="none" w:sz="0" w:space="0" w:color="auto"/>
            <w:left w:val="none" w:sz="0" w:space="0" w:color="auto"/>
            <w:bottom w:val="none" w:sz="0" w:space="0" w:color="auto"/>
            <w:right w:val="none" w:sz="0" w:space="0" w:color="auto"/>
          </w:divBdr>
        </w:div>
      </w:divsChild>
    </w:div>
    <w:div w:id="1330139231">
      <w:bodyDiv w:val="1"/>
      <w:marLeft w:val="0"/>
      <w:marRight w:val="0"/>
      <w:marTop w:val="0"/>
      <w:marBottom w:val="0"/>
      <w:divBdr>
        <w:top w:val="none" w:sz="0" w:space="0" w:color="auto"/>
        <w:left w:val="none" w:sz="0" w:space="0" w:color="auto"/>
        <w:bottom w:val="none" w:sz="0" w:space="0" w:color="auto"/>
        <w:right w:val="none" w:sz="0" w:space="0" w:color="auto"/>
      </w:divBdr>
      <w:divsChild>
        <w:div w:id="1179924019">
          <w:marLeft w:val="360"/>
          <w:marRight w:val="0"/>
          <w:marTop w:val="200"/>
          <w:marBottom w:val="0"/>
          <w:divBdr>
            <w:top w:val="none" w:sz="0" w:space="0" w:color="auto"/>
            <w:left w:val="none" w:sz="0" w:space="0" w:color="auto"/>
            <w:bottom w:val="none" w:sz="0" w:space="0" w:color="auto"/>
            <w:right w:val="none" w:sz="0" w:space="0" w:color="auto"/>
          </w:divBdr>
        </w:div>
      </w:divsChild>
    </w:div>
    <w:div w:id="1401447051">
      <w:bodyDiv w:val="1"/>
      <w:marLeft w:val="0"/>
      <w:marRight w:val="0"/>
      <w:marTop w:val="0"/>
      <w:marBottom w:val="0"/>
      <w:divBdr>
        <w:top w:val="none" w:sz="0" w:space="0" w:color="auto"/>
        <w:left w:val="none" w:sz="0" w:space="0" w:color="auto"/>
        <w:bottom w:val="none" w:sz="0" w:space="0" w:color="auto"/>
        <w:right w:val="none" w:sz="0" w:space="0" w:color="auto"/>
      </w:divBdr>
    </w:div>
    <w:div w:id="1876236225">
      <w:bodyDiv w:val="1"/>
      <w:marLeft w:val="0"/>
      <w:marRight w:val="0"/>
      <w:marTop w:val="0"/>
      <w:marBottom w:val="0"/>
      <w:divBdr>
        <w:top w:val="none" w:sz="0" w:space="0" w:color="auto"/>
        <w:left w:val="none" w:sz="0" w:space="0" w:color="auto"/>
        <w:bottom w:val="none" w:sz="0" w:space="0" w:color="auto"/>
        <w:right w:val="none" w:sz="0" w:space="0" w:color="auto"/>
      </w:divBdr>
    </w:div>
    <w:div w:id="1909458144">
      <w:bodyDiv w:val="1"/>
      <w:marLeft w:val="0"/>
      <w:marRight w:val="0"/>
      <w:marTop w:val="0"/>
      <w:marBottom w:val="0"/>
      <w:divBdr>
        <w:top w:val="none" w:sz="0" w:space="0" w:color="auto"/>
        <w:left w:val="none" w:sz="0" w:space="0" w:color="auto"/>
        <w:bottom w:val="none" w:sz="0" w:space="0" w:color="auto"/>
        <w:right w:val="none" w:sz="0" w:space="0" w:color="auto"/>
      </w:divBdr>
    </w:div>
    <w:div w:id="1918704519">
      <w:bodyDiv w:val="1"/>
      <w:marLeft w:val="0"/>
      <w:marRight w:val="0"/>
      <w:marTop w:val="0"/>
      <w:marBottom w:val="0"/>
      <w:divBdr>
        <w:top w:val="none" w:sz="0" w:space="0" w:color="auto"/>
        <w:left w:val="none" w:sz="0" w:space="0" w:color="auto"/>
        <w:bottom w:val="none" w:sz="0" w:space="0" w:color="auto"/>
        <w:right w:val="none" w:sz="0" w:space="0" w:color="auto"/>
      </w:divBdr>
      <w:divsChild>
        <w:div w:id="1635941081">
          <w:marLeft w:val="1080"/>
          <w:marRight w:val="0"/>
          <w:marTop w:val="100"/>
          <w:marBottom w:val="0"/>
          <w:divBdr>
            <w:top w:val="none" w:sz="0" w:space="0" w:color="auto"/>
            <w:left w:val="none" w:sz="0" w:space="0" w:color="auto"/>
            <w:bottom w:val="none" w:sz="0" w:space="0" w:color="auto"/>
            <w:right w:val="none" w:sz="0" w:space="0" w:color="auto"/>
          </w:divBdr>
        </w:div>
      </w:divsChild>
    </w:div>
    <w:div w:id="1924029304">
      <w:bodyDiv w:val="1"/>
      <w:marLeft w:val="0"/>
      <w:marRight w:val="0"/>
      <w:marTop w:val="0"/>
      <w:marBottom w:val="0"/>
      <w:divBdr>
        <w:top w:val="none" w:sz="0" w:space="0" w:color="auto"/>
        <w:left w:val="none" w:sz="0" w:space="0" w:color="auto"/>
        <w:bottom w:val="none" w:sz="0" w:space="0" w:color="auto"/>
        <w:right w:val="none" w:sz="0" w:space="0" w:color="auto"/>
      </w:divBdr>
      <w:divsChild>
        <w:div w:id="67726571">
          <w:marLeft w:val="547"/>
          <w:marRight w:val="0"/>
          <w:marTop w:val="0"/>
          <w:marBottom w:val="0"/>
          <w:divBdr>
            <w:top w:val="none" w:sz="0" w:space="0" w:color="auto"/>
            <w:left w:val="none" w:sz="0" w:space="0" w:color="auto"/>
            <w:bottom w:val="none" w:sz="0" w:space="0" w:color="auto"/>
            <w:right w:val="none" w:sz="0" w:space="0" w:color="auto"/>
          </w:divBdr>
        </w:div>
        <w:div w:id="1317492581">
          <w:marLeft w:val="547"/>
          <w:marRight w:val="0"/>
          <w:marTop w:val="0"/>
          <w:marBottom w:val="0"/>
          <w:divBdr>
            <w:top w:val="none" w:sz="0" w:space="0" w:color="auto"/>
            <w:left w:val="none" w:sz="0" w:space="0" w:color="auto"/>
            <w:bottom w:val="none" w:sz="0" w:space="0" w:color="auto"/>
            <w:right w:val="none" w:sz="0" w:space="0" w:color="auto"/>
          </w:divBdr>
        </w:div>
        <w:div w:id="1519924331">
          <w:marLeft w:val="547"/>
          <w:marRight w:val="0"/>
          <w:marTop w:val="0"/>
          <w:marBottom w:val="0"/>
          <w:divBdr>
            <w:top w:val="none" w:sz="0" w:space="0" w:color="auto"/>
            <w:left w:val="none" w:sz="0" w:space="0" w:color="auto"/>
            <w:bottom w:val="none" w:sz="0" w:space="0" w:color="auto"/>
            <w:right w:val="none" w:sz="0" w:space="0" w:color="auto"/>
          </w:divBdr>
        </w:div>
      </w:divsChild>
    </w:div>
    <w:div w:id="193751859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92832690">
      <w:bodyDiv w:val="1"/>
      <w:marLeft w:val="0"/>
      <w:marRight w:val="0"/>
      <w:marTop w:val="0"/>
      <w:marBottom w:val="0"/>
      <w:divBdr>
        <w:top w:val="none" w:sz="0" w:space="0" w:color="auto"/>
        <w:left w:val="none" w:sz="0" w:space="0" w:color="auto"/>
        <w:bottom w:val="none" w:sz="0" w:space="0" w:color="auto"/>
        <w:right w:val="none" w:sz="0" w:space="0" w:color="auto"/>
      </w:divBdr>
      <w:divsChild>
        <w:div w:id="720439583">
          <w:marLeft w:val="360"/>
          <w:marRight w:val="0"/>
          <w:marTop w:val="200"/>
          <w:marBottom w:val="0"/>
          <w:divBdr>
            <w:top w:val="none" w:sz="0" w:space="0" w:color="auto"/>
            <w:left w:val="none" w:sz="0" w:space="0" w:color="auto"/>
            <w:bottom w:val="none" w:sz="0" w:space="0" w:color="auto"/>
            <w:right w:val="none" w:sz="0" w:space="0" w:color="auto"/>
          </w:divBdr>
        </w:div>
        <w:div w:id="233929073">
          <w:marLeft w:val="360"/>
          <w:marRight w:val="0"/>
          <w:marTop w:val="200"/>
          <w:marBottom w:val="0"/>
          <w:divBdr>
            <w:top w:val="none" w:sz="0" w:space="0" w:color="auto"/>
            <w:left w:val="none" w:sz="0" w:space="0" w:color="auto"/>
            <w:bottom w:val="none" w:sz="0" w:space="0" w:color="auto"/>
            <w:right w:val="none" w:sz="0" w:space="0" w:color="auto"/>
          </w:divBdr>
        </w:div>
        <w:div w:id="1808664770">
          <w:marLeft w:val="360"/>
          <w:marRight w:val="0"/>
          <w:marTop w:val="200"/>
          <w:marBottom w:val="0"/>
          <w:divBdr>
            <w:top w:val="none" w:sz="0" w:space="0" w:color="auto"/>
            <w:left w:val="none" w:sz="0" w:space="0" w:color="auto"/>
            <w:bottom w:val="none" w:sz="0" w:space="0" w:color="auto"/>
            <w:right w:val="none" w:sz="0" w:space="0" w:color="auto"/>
          </w:divBdr>
        </w:div>
      </w:divsChild>
    </w:div>
    <w:div w:id="210183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servicesaustralia.gov.au" TargetMode="Externa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rvicesaustralia.gov.au" TargetMode="External"/><Relationship Id="rId14" Type="http://schemas.openxmlformats.org/officeDocument/2006/relationships/image" Target="media/image5.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nice.org.uk/guidance/ta793" TargetMode="External"/><Relationship Id="rId1" Type="http://schemas.openxmlformats.org/officeDocument/2006/relationships/hyperlink" Target="https://www.cadth.ca/anifrolum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5A678-9C3D-44BB-9511-5C8352D8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17124</Words>
  <Characters>95455</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2022-10-24T00:50:00Z</dcterms:created>
  <dcterms:modified xsi:type="dcterms:W3CDTF">2022-10-24T00:50:00Z</dcterms:modified>
</cp:coreProperties>
</file>