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189B5488" w:rsidR="00B60939" w:rsidRDefault="003467AB" w:rsidP="007302DF">
      <w:pPr>
        <w:pStyle w:val="1-MainHeading"/>
      </w:pPr>
      <w:r>
        <w:t>6</w:t>
      </w:r>
      <w:r w:rsidR="00433044" w:rsidRPr="00C07FF7">
        <w:t>.</w:t>
      </w:r>
      <w:r>
        <w:t>03</w:t>
      </w:r>
      <w:r w:rsidR="00163F66" w:rsidRPr="00C07FF7">
        <w:tab/>
      </w:r>
      <w:r w:rsidR="00A8165B">
        <w:t xml:space="preserve">EVOLOCUMAB, </w:t>
      </w:r>
      <w:r w:rsidR="00782D94">
        <w:br/>
      </w:r>
      <w:r w:rsidRPr="003467AB">
        <w:t>Injection 140 mg in 1 mL single use pre-filled pen</w:t>
      </w:r>
      <w:r>
        <w:t>,</w:t>
      </w:r>
      <w:r w:rsidR="00782D94">
        <w:t xml:space="preserve"> </w:t>
      </w:r>
      <w:r w:rsidRPr="003467AB">
        <w:t>Injection 420 mg in 3.5 mL single use pre-filled cartridge</w:t>
      </w:r>
      <w:r w:rsidR="00A8165B">
        <w:t>,</w:t>
      </w:r>
      <w:r w:rsidR="0050550E">
        <w:t xml:space="preserve"> </w:t>
      </w:r>
      <w:r w:rsidR="00782D94">
        <w:br/>
      </w:r>
      <w:r w:rsidR="00A8165B" w:rsidRPr="00256ECF">
        <w:t>Repatha®, Amgen</w:t>
      </w:r>
      <w:r w:rsidR="00A8165B">
        <w:t xml:space="preserve"> Australia Pty Ltd</w:t>
      </w:r>
      <w:r w:rsidR="00B60939" w:rsidRPr="00C07FF7">
        <w:t>.</w:t>
      </w:r>
    </w:p>
    <w:p w14:paraId="11C00795" w14:textId="674C8111" w:rsidR="00B50DB8" w:rsidRPr="00407F2D" w:rsidRDefault="00B50DB8" w:rsidP="004A6040">
      <w:pPr>
        <w:pStyle w:val="2-SectionHeading"/>
      </w:pPr>
      <w:bookmarkStart w:id="0" w:name="_Toc103773788"/>
      <w:r w:rsidRPr="00407F2D">
        <w:t xml:space="preserve">Purpose of </w:t>
      </w:r>
      <w:r w:rsidR="00CD7193">
        <w:t>s</w:t>
      </w:r>
      <w:r w:rsidR="00BB3A45">
        <w:t>ubmission</w:t>
      </w:r>
      <w:bookmarkEnd w:id="0"/>
    </w:p>
    <w:p w14:paraId="498521C7" w14:textId="0A87BCC8" w:rsidR="008B7D34" w:rsidRDefault="007170DA" w:rsidP="00BF34B1">
      <w:pPr>
        <w:pStyle w:val="ExecSumBodyText"/>
      </w:pPr>
      <w:r>
        <w:t>The</w:t>
      </w:r>
      <w:r w:rsidR="003E6ABF">
        <w:t xml:space="preserve"> Category 2</w:t>
      </w:r>
      <w:r>
        <w:t xml:space="preserve"> submission </w:t>
      </w:r>
      <w:r w:rsidRPr="004E18E9">
        <w:t>requested</w:t>
      </w:r>
      <w:r w:rsidR="008B7D34">
        <w:t xml:space="preserve"> an extension of the Section 85 (Authority Required) PBS listings of evolocumab for the treatment of atherosclerotic cardiovascular disease</w:t>
      </w:r>
      <w:r w:rsidR="00823317">
        <w:t xml:space="preserve"> (ASCVD)</w:t>
      </w:r>
      <w:r w:rsidR="008B7D34">
        <w:t xml:space="preserve"> with high risk factors (including familial hypercholesterolaemia</w:t>
      </w:r>
      <w:r w:rsidR="00823317">
        <w:t>, FH</w:t>
      </w:r>
      <w:r w:rsidR="008B7D34">
        <w:t>) to include patients who have an LDL-C level between 1.8 and 2.6 mmol/L</w:t>
      </w:r>
      <w:r w:rsidR="00C1181B">
        <w:t>,</w:t>
      </w:r>
      <w:r w:rsidR="008B7D34">
        <w:t xml:space="preserve"> despite optimised treatment with statins and ezetimibe. The submission also continued the request from previous submissions (July 2019, November 2019, November 2020 PBAC meetings) to allow general practitioners (GPs) to initiate evolocumab in consultation with a specialist.</w:t>
      </w:r>
    </w:p>
    <w:p w14:paraId="4E9FBCB5" w14:textId="5447B3D7" w:rsidR="00C2778B" w:rsidRDefault="005750C5" w:rsidP="00BF34B1">
      <w:pPr>
        <w:pStyle w:val="ExecSumBodyText"/>
      </w:pPr>
      <w:r w:rsidRPr="005750C5">
        <w:t xml:space="preserve">Listing was requested on the basis of a </w:t>
      </w:r>
      <w:r>
        <w:t>cost-effectiveness</w:t>
      </w:r>
      <w:r w:rsidRPr="005750C5">
        <w:t xml:space="preserve"> analysis versus</w:t>
      </w:r>
      <w:r>
        <w:t xml:space="preserve"> </w:t>
      </w:r>
      <w:r w:rsidR="00F97FE9">
        <w:t>placebo</w:t>
      </w:r>
      <w:r w:rsidR="00F76633">
        <w:t xml:space="preserve"> (</w:t>
      </w:r>
      <w:r w:rsidR="00F76633" w:rsidRPr="001F281D">
        <w:rPr>
          <w:iCs/>
        </w:rPr>
        <w:t>optimised background treatment</w:t>
      </w:r>
      <w:r w:rsidR="00F76633">
        <w:rPr>
          <w:iCs/>
        </w:rPr>
        <w:t>)</w:t>
      </w:r>
      <w:r>
        <w:t>.</w:t>
      </w:r>
    </w:p>
    <w:p w14:paraId="3718DE61" w14:textId="04FCF331" w:rsidR="008B1757" w:rsidRPr="004A6040" w:rsidRDefault="008B1757" w:rsidP="00230DB1">
      <w:pPr>
        <w:pStyle w:val="TableFigureCaption"/>
      </w:pPr>
      <w:r w:rsidRPr="004A6040">
        <w:t>Table</w:t>
      </w:r>
      <w:r w:rsidR="00745AF7">
        <w:t xml:space="preserve"> </w:t>
      </w:r>
      <w:fldSimple w:instr=" SEQ Table \* ARABIC ">
        <w:r w:rsidR="00EB7F7C">
          <w:rPr>
            <w:noProof/>
          </w:rPr>
          <w:t>1</w:t>
        </w:r>
      </w:fldSimple>
      <w:r w:rsidRPr="004A6040">
        <w:t>:</w:t>
      </w:r>
      <w:r w:rsidR="00BC591F" w:rsidRPr="004A6040">
        <w:t xml:space="preserve"> </w:t>
      </w:r>
      <w:r w:rsidRPr="004A6040">
        <w:t xml:space="preserve">Key components of the clinical issue addressed </w:t>
      </w:r>
      <w:r w:rsidR="00061273">
        <w:t>in</w:t>
      </w:r>
      <w:r w:rsidRPr="004A6040">
        <w:t xml:space="preserve"> the submission</w:t>
      </w:r>
      <w:r w:rsidR="007170DA" w:rsidRPr="004A6040">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1: Key components of the clinical issue addressed in the submission (as stated in the submission)"/>
      </w:tblPr>
      <w:tblGrid>
        <w:gridCol w:w="1414"/>
        <w:gridCol w:w="7603"/>
      </w:tblGrid>
      <w:tr w:rsidR="008B1757" w:rsidRPr="00691913" w14:paraId="569F5103" w14:textId="77777777" w:rsidTr="00757765">
        <w:trPr>
          <w:cantSplit/>
          <w:tblHeader/>
        </w:trPr>
        <w:tc>
          <w:tcPr>
            <w:tcW w:w="784" w:type="pct"/>
            <w:shd w:val="clear" w:color="auto" w:fill="auto"/>
          </w:tcPr>
          <w:p w14:paraId="501803FB" w14:textId="77777777" w:rsidR="008B1757" w:rsidRPr="008B1757" w:rsidRDefault="008B1757" w:rsidP="004A6040">
            <w:pPr>
              <w:pStyle w:val="Tableheadingrow"/>
              <w:rPr>
                <w:szCs w:val="20"/>
              </w:rPr>
            </w:pPr>
            <w:r w:rsidRPr="008B1757">
              <w:t>Component</w:t>
            </w:r>
          </w:p>
        </w:tc>
        <w:tc>
          <w:tcPr>
            <w:tcW w:w="4216" w:type="pct"/>
            <w:shd w:val="clear" w:color="auto" w:fill="auto"/>
          </w:tcPr>
          <w:p w14:paraId="445D9EBB" w14:textId="77777777" w:rsidR="008B1757" w:rsidRPr="008B1757" w:rsidRDefault="008B1757" w:rsidP="004A6040">
            <w:pPr>
              <w:pStyle w:val="Tableheadingrow"/>
            </w:pPr>
            <w:r w:rsidRPr="008B1757">
              <w:t>Description</w:t>
            </w:r>
          </w:p>
        </w:tc>
      </w:tr>
      <w:tr w:rsidR="00745AF7" w:rsidRPr="00691913" w14:paraId="2EB546E2" w14:textId="77777777" w:rsidTr="00757765">
        <w:trPr>
          <w:cantSplit/>
        </w:trPr>
        <w:tc>
          <w:tcPr>
            <w:tcW w:w="784" w:type="pct"/>
            <w:shd w:val="clear" w:color="auto" w:fill="auto"/>
          </w:tcPr>
          <w:p w14:paraId="38F3BB34" w14:textId="77777777" w:rsidR="00745AF7" w:rsidRPr="00691913" w:rsidRDefault="00745AF7" w:rsidP="00745AF7">
            <w:pPr>
              <w:pStyle w:val="TableText"/>
            </w:pPr>
            <w:r w:rsidRPr="00691913">
              <w:t>Population</w:t>
            </w:r>
          </w:p>
        </w:tc>
        <w:tc>
          <w:tcPr>
            <w:tcW w:w="4216" w:type="pct"/>
            <w:shd w:val="clear" w:color="auto" w:fill="auto"/>
            <w:vAlign w:val="center"/>
          </w:tcPr>
          <w:p w14:paraId="79618EEE" w14:textId="48D80DB6" w:rsidR="00745AF7" w:rsidRPr="001E1E86" w:rsidRDefault="00745AF7" w:rsidP="00745AF7">
            <w:pPr>
              <w:pStyle w:val="TableText"/>
              <w:rPr>
                <w:szCs w:val="20"/>
              </w:rPr>
            </w:pPr>
            <w:r>
              <w:t>Patients with ASCVD and high-risk factors (including familial hypercholesterolaemia) and LDL-C &gt; 1.8 and ≤ 2.6 mmol/L despite maximal tolerated statins and ezetimibe.</w:t>
            </w:r>
          </w:p>
        </w:tc>
      </w:tr>
      <w:tr w:rsidR="00745AF7" w:rsidRPr="00691913" w14:paraId="0CA523AF" w14:textId="77777777" w:rsidTr="00757765">
        <w:trPr>
          <w:cantSplit/>
        </w:trPr>
        <w:tc>
          <w:tcPr>
            <w:tcW w:w="784" w:type="pct"/>
            <w:shd w:val="clear" w:color="auto" w:fill="auto"/>
          </w:tcPr>
          <w:p w14:paraId="7B6D20D8" w14:textId="77777777" w:rsidR="00745AF7" w:rsidRPr="00691913" w:rsidRDefault="00745AF7" w:rsidP="00745AF7">
            <w:pPr>
              <w:pStyle w:val="TableText"/>
            </w:pPr>
            <w:r w:rsidRPr="00691913">
              <w:t>Intervention</w:t>
            </w:r>
          </w:p>
        </w:tc>
        <w:tc>
          <w:tcPr>
            <w:tcW w:w="4216" w:type="pct"/>
            <w:shd w:val="clear" w:color="auto" w:fill="auto"/>
            <w:vAlign w:val="center"/>
          </w:tcPr>
          <w:p w14:paraId="2491E905" w14:textId="55578CA1" w:rsidR="00745AF7" w:rsidRPr="00691913" w:rsidRDefault="00745AF7" w:rsidP="00745AF7">
            <w:pPr>
              <w:pStyle w:val="TableText"/>
            </w:pPr>
            <w:r>
              <w:t>Evolocumab 140 mg every two weeks or 420 mg every month, administered by subcutaneous injection</w:t>
            </w:r>
          </w:p>
        </w:tc>
      </w:tr>
      <w:tr w:rsidR="00745AF7" w:rsidRPr="00691913" w14:paraId="0F81EBE4" w14:textId="77777777" w:rsidTr="00757765">
        <w:trPr>
          <w:cantSplit/>
        </w:trPr>
        <w:tc>
          <w:tcPr>
            <w:tcW w:w="784" w:type="pct"/>
            <w:shd w:val="clear" w:color="auto" w:fill="auto"/>
          </w:tcPr>
          <w:p w14:paraId="3656B343" w14:textId="77777777" w:rsidR="00745AF7" w:rsidRPr="00691913" w:rsidRDefault="00745AF7" w:rsidP="00745AF7">
            <w:pPr>
              <w:pStyle w:val="TableText"/>
            </w:pPr>
            <w:r w:rsidRPr="00691913">
              <w:t>Comparator</w:t>
            </w:r>
          </w:p>
        </w:tc>
        <w:tc>
          <w:tcPr>
            <w:tcW w:w="4216" w:type="pct"/>
            <w:shd w:val="clear" w:color="auto" w:fill="auto"/>
            <w:vAlign w:val="center"/>
          </w:tcPr>
          <w:p w14:paraId="3727DE24" w14:textId="0EAE6FD1" w:rsidR="00745AF7" w:rsidRPr="00691913" w:rsidRDefault="00745AF7" w:rsidP="00745AF7">
            <w:pPr>
              <w:pStyle w:val="TableText"/>
            </w:pPr>
            <w:r>
              <w:t>Placebo</w:t>
            </w:r>
          </w:p>
        </w:tc>
      </w:tr>
      <w:tr w:rsidR="00745AF7" w:rsidRPr="00691913" w14:paraId="02F86F0D" w14:textId="77777777" w:rsidTr="00757765">
        <w:trPr>
          <w:cantSplit/>
        </w:trPr>
        <w:tc>
          <w:tcPr>
            <w:tcW w:w="784" w:type="pct"/>
            <w:shd w:val="clear" w:color="auto" w:fill="auto"/>
          </w:tcPr>
          <w:p w14:paraId="06433105" w14:textId="77777777" w:rsidR="00745AF7" w:rsidRPr="00691913" w:rsidRDefault="00745AF7" w:rsidP="00745AF7">
            <w:pPr>
              <w:pStyle w:val="TableText"/>
            </w:pPr>
            <w:r w:rsidRPr="00691913">
              <w:t>Outcomes</w:t>
            </w:r>
          </w:p>
        </w:tc>
        <w:tc>
          <w:tcPr>
            <w:tcW w:w="4216" w:type="pct"/>
            <w:shd w:val="clear" w:color="auto" w:fill="auto"/>
            <w:vAlign w:val="center"/>
          </w:tcPr>
          <w:p w14:paraId="5ABC4037" w14:textId="25133E52" w:rsidR="00745AF7" w:rsidRPr="001E1E86" w:rsidRDefault="00745AF7" w:rsidP="00745AF7">
            <w:pPr>
              <w:pStyle w:val="TableText"/>
              <w:rPr>
                <w:rFonts w:eastAsia="Times New Roman" w:cs="Arial"/>
                <w:bCs w:val="0"/>
                <w:snapToGrid w:val="0"/>
                <w:color w:val="0066FF"/>
                <w:szCs w:val="20"/>
              </w:rPr>
            </w:pPr>
            <w:r>
              <w:t>Reduction in LDL-C and major cardiovascular events</w:t>
            </w:r>
          </w:p>
        </w:tc>
      </w:tr>
      <w:tr w:rsidR="00745AF7" w:rsidRPr="00691913" w14:paraId="22223890" w14:textId="77777777" w:rsidTr="00757765">
        <w:trPr>
          <w:cantSplit/>
        </w:trPr>
        <w:tc>
          <w:tcPr>
            <w:tcW w:w="784" w:type="pct"/>
            <w:shd w:val="clear" w:color="auto" w:fill="auto"/>
          </w:tcPr>
          <w:p w14:paraId="0FC8FCE0" w14:textId="77777777" w:rsidR="00745AF7" w:rsidRPr="00691913" w:rsidRDefault="00745AF7" w:rsidP="00745AF7">
            <w:pPr>
              <w:pStyle w:val="TableText"/>
            </w:pPr>
            <w:r w:rsidRPr="00691913">
              <w:t>Clinical claim</w:t>
            </w:r>
          </w:p>
        </w:tc>
        <w:tc>
          <w:tcPr>
            <w:tcW w:w="4216" w:type="pct"/>
            <w:shd w:val="clear" w:color="auto" w:fill="auto"/>
            <w:vAlign w:val="center"/>
          </w:tcPr>
          <w:p w14:paraId="2C99C4DE" w14:textId="3FED4796" w:rsidR="00745AF7" w:rsidRPr="001E1E86" w:rsidRDefault="00745AF7" w:rsidP="00745AF7">
            <w:pPr>
              <w:pStyle w:val="TableText"/>
              <w:rPr>
                <w:rFonts w:eastAsia="Times New Roman" w:cs="Arial"/>
                <w:bCs w:val="0"/>
                <w:snapToGrid w:val="0"/>
                <w:color w:val="0066FF"/>
                <w:szCs w:val="20"/>
              </w:rPr>
            </w:pPr>
            <w:r>
              <w:t>Evolocumab is superior to placebo in terms of comparative efficacy and similar in terms of comparative safety</w:t>
            </w:r>
          </w:p>
        </w:tc>
      </w:tr>
    </w:tbl>
    <w:p w14:paraId="527CA7F0" w14:textId="2FF15086" w:rsidR="004E43B2" w:rsidRDefault="008B1757" w:rsidP="00293F12">
      <w:pPr>
        <w:pStyle w:val="TableFigureFooter"/>
      </w:pPr>
      <w:r>
        <w:t>Source: Table</w:t>
      </w:r>
      <w:r w:rsidR="00414156">
        <w:t xml:space="preserve"> 1.1-1</w:t>
      </w:r>
      <w:r>
        <w:t>, p</w:t>
      </w:r>
      <w:r w:rsidR="00414156">
        <w:t>11</w:t>
      </w:r>
      <w:r>
        <w:t xml:space="preserve"> </w:t>
      </w:r>
      <w:r w:rsidRPr="00D13A3E">
        <w:t xml:space="preserve">of the </w:t>
      </w:r>
      <w:r>
        <w:t>submission.</w:t>
      </w:r>
    </w:p>
    <w:p w14:paraId="57AB04BD" w14:textId="69EC39A0" w:rsidR="000A255E" w:rsidRPr="004A6040" w:rsidRDefault="000A255E" w:rsidP="00293F12">
      <w:pPr>
        <w:pStyle w:val="TableFigureFooter"/>
        <w:rPr>
          <w:sz w:val="20"/>
        </w:rPr>
      </w:pPr>
      <w:r>
        <w:t>Abbreviations: ASCVD, atherosclerotic cardiovascular disease; LDL-C, low density lipoprotein cholesterol.</w:t>
      </w:r>
    </w:p>
    <w:p w14:paraId="6B4AB6C2" w14:textId="7F01D731" w:rsidR="005C25FF" w:rsidRPr="00407F2D" w:rsidRDefault="005C25FF" w:rsidP="004A6040">
      <w:pPr>
        <w:pStyle w:val="2-SectionHeading"/>
      </w:pPr>
      <w:bookmarkStart w:id="1" w:name="_Toc103773789"/>
      <w:r w:rsidRPr="00407F2D">
        <w:t>Background</w:t>
      </w:r>
      <w:bookmarkEnd w:id="1"/>
    </w:p>
    <w:p w14:paraId="2C521D6D" w14:textId="78CF03EE" w:rsidR="005C25FF" w:rsidRPr="004151CF" w:rsidRDefault="005C25FF" w:rsidP="004A6040">
      <w:pPr>
        <w:pStyle w:val="3-SubsectionHeading"/>
      </w:pPr>
      <w:bookmarkStart w:id="2" w:name="_Toc22897638"/>
      <w:bookmarkStart w:id="3" w:name="_Toc103773790"/>
      <w:r w:rsidRPr="004151CF">
        <w:t>Registration status</w:t>
      </w:r>
      <w:bookmarkEnd w:id="2"/>
      <w:bookmarkEnd w:id="3"/>
    </w:p>
    <w:p w14:paraId="4F9FB472" w14:textId="22114977" w:rsidR="006A4660" w:rsidRDefault="006A4660" w:rsidP="006A4660">
      <w:pPr>
        <w:pStyle w:val="ExecSumBodyText"/>
      </w:pPr>
      <w:r>
        <w:t>Evolocumab was first registered by the TGA in December 2015 for treatment of primary hypercholesterolaemia and homozygous familial hypercholesterolaemia. The TGA indication was later revised in August 2018 to include the prevention of cardiovascular events.</w:t>
      </w:r>
    </w:p>
    <w:p w14:paraId="61F65FB6" w14:textId="24C5070B" w:rsidR="002A2BA3" w:rsidRDefault="00F76633" w:rsidP="00414156">
      <w:pPr>
        <w:pStyle w:val="ListParagraph"/>
        <w:widowControl/>
        <w:numPr>
          <w:ilvl w:val="1"/>
          <w:numId w:val="1"/>
        </w:numPr>
        <w:spacing w:after="0"/>
      </w:pPr>
      <w:r>
        <w:t>At the time of this submission, the</w:t>
      </w:r>
      <w:r w:rsidR="002A2BA3">
        <w:t xml:space="preserve"> TGA approved indication for evolocumab </w:t>
      </w:r>
      <w:r>
        <w:t>was</w:t>
      </w:r>
      <w:r w:rsidR="002A2BA3">
        <w:t>:</w:t>
      </w:r>
    </w:p>
    <w:p w14:paraId="43C2B158" w14:textId="57D025ED" w:rsidR="002A2BA3" w:rsidRDefault="002A2BA3" w:rsidP="000E27D0">
      <w:pPr>
        <w:pStyle w:val="ListParagraph"/>
        <w:widowControl/>
        <w:numPr>
          <w:ilvl w:val="0"/>
          <w:numId w:val="5"/>
        </w:numPr>
        <w:spacing w:after="0"/>
      </w:pPr>
      <w:r>
        <w:t xml:space="preserve">to reduce the risk of cardiovascular events (myocardial infarction, </w:t>
      </w:r>
      <w:r w:rsidR="00A30447">
        <w:t>stroke,</w:t>
      </w:r>
      <w:r>
        <w:t xml:space="preserve"> and coronary revascularisation) in adults with established cardiovascular disease in combination with an optimally dosed statin and/or other lipid-lowering therapies</w:t>
      </w:r>
    </w:p>
    <w:p w14:paraId="1F1A49D9" w14:textId="77777777" w:rsidR="002A2BA3" w:rsidRDefault="002A2BA3" w:rsidP="000E27D0">
      <w:pPr>
        <w:pStyle w:val="ListParagraph"/>
        <w:widowControl/>
        <w:numPr>
          <w:ilvl w:val="0"/>
          <w:numId w:val="5"/>
        </w:numPr>
        <w:spacing w:after="0"/>
      </w:pPr>
      <w:r>
        <w:lastRenderedPageBreak/>
        <w:t xml:space="preserve">for the treatment of adults with primary hypercholesterolaemia (including heterozygous familial hypercholesterolaemia and non-familial hypercholesterolaemia) to reduce low-density lipoprotein cholesterol: </w:t>
      </w:r>
    </w:p>
    <w:p w14:paraId="4E8FCB3E" w14:textId="77777777" w:rsidR="002A2BA3" w:rsidRDefault="002A2BA3" w:rsidP="000E27D0">
      <w:pPr>
        <w:pStyle w:val="ListParagraph"/>
        <w:widowControl/>
        <w:numPr>
          <w:ilvl w:val="1"/>
          <w:numId w:val="5"/>
        </w:numPr>
        <w:spacing w:after="0"/>
        <w:ind w:left="1434" w:hanging="357"/>
      </w:pPr>
      <w:r>
        <w:t>in combination with a statin or statin with other lipid lowering therapies, or</w:t>
      </w:r>
    </w:p>
    <w:p w14:paraId="7C8111A7" w14:textId="77777777" w:rsidR="002A2BA3" w:rsidRDefault="002A2BA3" w:rsidP="000E27D0">
      <w:pPr>
        <w:pStyle w:val="ListParagraph"/>
        <w:widowControl/>
        <w:numPr>
          <w:ilvl w:val="1"/>
          <w:numId w:val="5"/>
        </w:numPr>
        <w:spacing w:after="0"/>
        <w:ind w:left="1434" w:hanging="357"/>
      </w:pPr>
      <w:r>
        <w:t>alone or in combination with other lipid-lowering therapies in patients who are statin-intolerant</w:t>
      </w:r>
    </w:p>
    <w:p w14:paraId="0BAE3710" w14:textId="77777777" w:rsidR="002A2BA3" w:rsidRDefault="002A2BA3" w:rsidP="000E27D0">
      <w:pPr>
        <w:pStyle w:val="ListParagraph"/>
        <w:widowControl/>
        <w:numPr>
          <w:ilvl w:val="0"/>
          <w:numId w:val="5"/>
        </w:numPr>
      </w:pPr>
      <w:r>
        <w:t>for the treatment of adults and adolescents aged 12 years and over with homozygous familial hypercholesterolaemia in combination with other lipid lowering therapies.</w:t>
      </w:r>
      <w:r w:rsidRPr="002A2BA3">
        <w:t xml:space="preserve"> </w:t>
      </w:r>
    </w:p>
    <w:p w14:paraId="3E2A6EAB" w14:textId="469C8C0C" w:rsidR="005C25FF" w:rsidRPr="00621ADA" w:rsidRDefault="005C25FF" w:rsidP="004E18E9">
      <w:pPr>
        <w:pStyle w:val="3-SubsectionHeading"/>
      </w:pPr>
      <w:bookmarkStart w:id="4" w:name="_Toc22897639"/>
      <w:bookmarkStart w:id="5" w:name="_Toc103773791"/>
      <w:r w:rsidRPr="00621ADA">
        <w:t>Previous PBAC consideration</w:t>
      </w:r>
      <w:bookmarkEnd w:id="4"/>
      <w:bookmarkEnd w:id="5"/>
    </w:p>
    <w:p w14:paraId="5B877E12" w14:textId="17BEB7B5" w:rsidR="00940080" w:rsidRPr="001F281D" w:rsidRDefault="009F020C" w:rsidP="002E4F02">
      <w:pPr>
        <w:pStyle w:val="ExecSumBodyText"/>
        <w:rPr>
          <w:iCs/>
        </w:rPr>
      </w:pPr>
      <w:r>
        <w:t>At the time of this submission, e</w:t>
      </w:r>
      <w:r w:rsidR="00B6709B">
        <w:t>vo</w:t>
      </w:r>
      <w:r w:rsidR="004A515D">
        <w:t>locumab ha</w:t>
      </w:r>
      <w:r>
        <w:t>d</w:t>
      </w:r>
      <w:r w:rsidR="004A515D">
        <w:t xml:space="preserve"> PBS listings for</w:t>
      </w:r>
      <w:r w:rsidR="00FC2394">
        <w:t xml:space="preserve"> homozygous </w:t>
      </w:r>
      <w:r>
        <w:t>FH</w:t>
      </w:r>
      <w:r w:rsidR="00FC2394">
        <w:t xml:space="preserve">, </w:t>
      </w:r>
      <w:r w:rsidR="00EF0395">
        <w:t xml:space="preserve">heterozygous </w:t>
      </w:r>
      <w:r w:rsidR="0034763E">
        <w:t>FH</w:t>
      </w:r>
      <w:r w:rsidR="00EF0395">
        <w:t xml:space="preserve">, </w:t>
      </w:r>
      <w:r w:rsidR="00C1470B">
        <w:t>and non-</w:t>
      </w:r>
      <w:r w:rsidR="0034763E">
        <w:t>FH</w:t>
      </w:r>
      <w:r w:rsidR="00C1470B">
        <w:t xml:space="preserve"> with </w:t>
      </w:r>
      <w:r w:rsidR="0034763E">
        <w:t>ASCVD</w:t>
      </w:r>
      <w:r w:rsidR="00C1470B">
        <w:t xml:space="preserve"> and additional risk factors</w:t>
      </w:r>
      <w:r w:rsidR="00785318">
        <w:t xml:space="preserve">. </w:t>
      </w:r>
      <w:r w:rsidR="00F90A67">
        <w:t xml:space="preserve"> </w:t>
      </w:r>
      <w:r w:rsidR="00F90A67" w:rsidRPr="001F281D">
        <w:rPr>
          <w:iCs/>
        </w:rPr>
        <w:t xml:space="preserve">To be eligible for </w:t>
      </w:r>
      <w:r w:rsidR="006958E0" w:rsidRPr="001F281D">
        <w:rPr>
          <w:iCs/>
        </w:rPr>
        <w:t>PBS subsidy</w:t>
      </w:r>
      <w:r w:rsidR="00940080" w:rsidRPr="001F281D">
        <w:rPr>
          <w:iCs/>
        </w:rPr>
        <w:t>:</w:t>
      </w:r>
    </w:p>
    <w:p w14:paraId="6212BE30" w14:textId="0632091F" w:rsidR="00940080" w:rsidRPr="001F281D" w:rsidRDefault="00940080" w:rsidP="000E27D0">
      <w:pPr>
        <w:pStyle w:val="ListParagraph"/>
        <w:widowControl/>
        <w:numPr>
          <w:ilvl w:val="0"/>
          <w:numId w:val="5"/>
        </w:numPr>
        <w:spacing w:after="0"/>
        <w:rPr>
          <w:iCs/>
        </w:rPr>
      </w:pPr>
      <w:r w:rsidRPr="001F281D">
        <w:rPr>
          <w:iCs/>
        </w:rPr>
        <w:t>P</w:t>
      </w:r>
      <w:r w:rsidR="00F90A67" w:rsidRPr="001F281D">
        <w:rPr>
          <w:iCs/>
        </w:rPr>
        <w:t xml:space="preserve">atients with homozygous FH must have LDL-C levels above 2.6 mmol/L despite optimised treatment with statins (if tolerated/not contraindicated). </w:t>
      </w:r>
    </w:p>
    <w:p w14:paraId="081271BC" w14:textId="5DB7C55F" w:rsidR="00940080" w:rsidRPr="001F281D" w:rsidRDefault="00F90A67" w:rsidP="000E27D0">
      <w:pPr>
        <w:pStyle w:val="ListParagraph"/>
        <w:widowControl/>
        <w:numPr>
          <w:ilvl w:val="0"/>
          <w:numId w:val="5"/>
        </w:numPr>
        <w:spacing w:after="0"/>
        <w:rPr>
          <w:iCs/>
        </w:rPr>
      </w:pPr>
      <w:r w:rsidRPr="001F281D">
        <w:rPr>
          <w:iCs/>
        </w:rPr>
        <w:t xml:space="preserve">Patients with heterozygous FH must have LDL-C above 2.6 mmol/L in the presence of </w:t>
      </w:r>
      <w:r w:rsidR="00C16A2F" w:rsidRPr="001F281D">
        <w:rPr>
          <w:iCs/>
        </w:rPr>
        <w:t xml:space="preserve">symptomatic </w:t>
      </w:r>
      <w:r w:rsidRPr="001F281D">
        <w:rPr>
          <w:iCs/>
        </w:rPr>
        <w:t>ASCVD, or above 5</w:t>
      </w:r>
      <w:r w:rsidR="003B6759" w:rsidRPr="001F281D">
        <w:rPr>
          <w:iCs/>
        </w:rPr>
        <w:t>.0</w:t>
      </w:r>
      <w:r w:rsidRPr="001F281D">
        <w:rPr>
          <w:iCs/>
        </w:rPr>
        <w:t xml:space="preserve"> mmol/L, despite optimised treatment with statins (if tolerated/not contraindicated) and ezetimibe. </w:t>
      </w:r>
    </w:p>
    <w:p w14:paraId="1E5C549E" w14:textId="4E12775C" w:rsidR="00B6709B" w:rsidRPr="001F281D" w:rsidRDefault="00940080" w:rsidP="000E27D0">
      <w:pPr>
        <w:pStyle w:val="ListParagraph"/>
        <w:widowControl/>
        <w:numPr>
          <w:ilvl w:val="0"/>
          <w:numId w:val="5"/>
        </w:numPr>
        <w:rPr>
          <w:iCs/>
        </w:rPr>
      </w:pPr>
      <w:r w:rsidRPr="001F281D">
        <w:rPr>
          <w:iCs/>
        </w:rPr>
        <w:t xml:space="preserve">Patients with non-FH with </w:t>
      </w:r>
      <w:r w:rsidR="000F7B50" w:rsidRPr="001F281D">
        <w:rPr>
          <w:iCs/>
        </w:rPr>
        <w:t xml:space="preserve">symptomatic </w:t>
      </w:r>
      <w:r w:rsidRPr="001F281D">
        <w:rPr>
          <w:iCs/>
        </w:rPr>
        <w:t xml:space="preserve">ASCVD and additional risk factors must </w:t>
      </w:r>
      <w:r w:rsidR="00C16A2F" w:rsidRPr="001F281D">
        <w:rPr>
          <w:iCs/>
        </w:rPr>
        <w:t xml:space="preserve">have LDL-C </w:t>
      </w:r>
      <w:r w:rsidRPr="001F281D">
        <w:rPr>
          <w:iCs/>
        </w:rPr>
        <w:t>above 2.6 mmol/L despite optimised treatment with statins (if tolerated/not contraindicated) and ezetimibe.</w:t>
      </w:r>
    </w:p>
    <w:p w14:paraId="78D83FDC" w14:textId="23A72B3C" w:rsidR="002D4D48" w:rsidRPr="002D4D48" w:rsidRDefault="00E541C4" w:rsidP="002E4F02">
      <w:pPr>
        <w:pStyle w:val="ExecSumBodyText"/>
      </w:pPr>
      <w:r>
        <w:rPr>
          <w:rFonts w:cs="Calibri"/>
          <w:lang w:val="en-US"/>
        </w:rPr>
        <w:t>A</w:t>
      </w:r>
      <w:r w:rsidR="00793563">
        <w:rPr>
          <w:rFonts w:cs="Calibri"/>
          <w:lang w:val="en-US"/>
        </w:rPr>
        <w:t xml:space="preserve"> summary of recent PBAC considerations of </w:t>
      </w:r>
      <w:proofErr w:type="spellStart"/>
      <w:r w:rsidR="00793563">
        <w:rPr>
          <w:rFonts w:cs="Calibri"/>
          <w:lang w:val="en-US"/>
        </w:rPr>
        <w:t>evolocumab</w:t>
      </w:r>
      <w:proofErr w:type="spellEnd"/>
      <w:r w:rsidR="00793563">
        <w:rPr>
          <w:rFonts w:cs="Calibri"/>
          <w:lang w:val="en-US"/>
        </w:rPr>
        <w:t xml:space="preserve"> relevant to the current submission is presented in </w:t>
      </w:r>
      <w:r w:rsidR="006F4A9F">
        <w:rPr>
          <w:rFonts w:cs="Calibri"/>
          <w:lang w:val="en-US"/>
        </w:rPr>
        <w:fldChar w:fldCharType="begin"/>
      </w:r>
      <w:r w:rsidR="006F4A9F">
        <w:rPr>
          <w:rFonts w:cs="Calibri"/>
          <w:lang w:val="en-US"/>
        </w:rPr>
        <w:instrText xml:space="preserve"> REF _Ref101265583 \h </w:instrText>
      </w:r>
      <w:r w:rsidR="006F4A9F">
        <w:rPr>
          <w:rFonts w:cs="Calibri"/>
          <w:lang w:val="en-US"/>
        </w:rPr>
      </w:r>
      <w:r w:rsidR="006F4A9F">
        <w:rPr>
          <w:rFonts w:cs="Calibri"/>
          <w:lang w:val="en-US"/>
        </w:rPr>
        <w:fldChar w:fldCharType="separate"/>
      </w:r>
      <w:r w:rsidR="00EB7F7C" w:rsidRPr="002D4D48">
        <w:t xml:space="preserve">Table </w:t>
      </w:r>
      <w:r w:rsidR="00EB7F7C">
        <w:rPr>
          <w:noProof/>
        </w:rPr>
        <w:t>2</w:t>
      </w:r>
      <w:r w:rsidR="006F4A9F">
        <w:rPr>
          <w:rFonts w:cs="Calibri"/>
          <w:lang w:val="en-US"/>
        </w:rPr>
        <w:fldChar w:fldCharType="end"/>
      </w:r>
      <w:r w:rsidR="00793563">
        <w:rPr>
          <w:rFonts w:cs="Calibri"/>
          <w:lang w:val="en-US"/>
        </w:rPr>
        <w:t xml:space="preserve"> below. </w:t>
      </w:r>
    </w:p>
    <w:p w14:paraId="2A23A49F" w14:textId="5382AD8C" w:rsidR="005C25FF" w:rsidRPr="002D4D48" w:rsidRDefault="005C25FF" w:rsidP="002D4D48">
      <w:pPr>
        <w:pStyle w:val="TableFigureCaption"/>
      </w:pPr>
      <w:bookmarkStart w:id="6" w:name="_Ref101265583"/>
      <w:r w:rsidRPr="002D4D48">
        <w:lastRenderedPageBreak/>
        <w:t xml:space="preserve">Table </w:t>
      </w:r>
      <w:fldSimple w:instr=" SEQ Table \* ARABIC ">
        <w:r w:rsidR="00EB7F7C">
          <w:rPr>
            <w:noProof/>
          </w:rPr>
          <w:t>2</w:t>
        </w:r>
      </w:fldSimple>
      <w:bookmarkEnd w:id="6"/>
      <w:r w:rsidRPr="002D4D48">
        <w:t xml:space="preserve">: Summary </w:t>
      </w:r>
      <w:r w:rsidR="002D4D48" w:rsidRPr="002D4D48">
        <w:t>of relevant recent PBAC considerations of evolocumab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2: Summary of relevant recent PBAC considerations of evolocumab"/>
      </w:tblPr>
      <w:tblGrid>
        <w:gridCol w:w="1044"/>
        <w:gridCol w:w="2380"/>
        <w:gridCol w:w="5593"/>
      </w:tblGrid>
      <w:tr w:rsidR="005C25FF" w:rsidRPr="002D4D48" w14:paraId="6747F8E1" w14:textId="77777777" w:rsidTr="009C7001">
        <w:trPr>
          <w:cantSplit/>
          <w:tblHeader/>
        </w:trPr>
        <w:tc>
          <w:tcPr>
            <w:tcW w:w="548" w:type="pct"/>
            <w:vAlign w:val="center"/>
          </w:tcPr>
          <w:p w14:paraId="346F438D" w14:textId="74BBF408" w:rsidR="005C25FF" w:rsidRPr="002D4D48" w:rsidRDefault="002D4D48" w:rsidP="004E18E9">
            <w:pPr>
              <w:pStyle w:val="Tableheadingrow"/>
            </w:pPr>
            <w:r w:rsidRPr="002D4D48">
              <w:t>Submission</w:t>
            </w:r>
          </w:p>
        </w:tc>
        <w:tc>
          <w:tcPr>
            <w:tcW w:w="1335" w:type="pct"/>
            <w:vAlign w:val="center"/>
          </w:tcPr>
          <w:p w14:paraId="2B7F3F42" w14:textId="078EB099" w:rsidR="005C25FF" w:rsidRPr="002D4D48" w:rsidRDefault="002D4D48" w:rsidP="004E18E9">
            <w:pPr>
              <w:pStyle w:val="Tableheadingrow"/>
            </w:pPr>
            <w:r w:rsidRPr="002D4D48">
              <w:t>Requested listing</w:t>
            </w:r>
          </w:p>
        </w:tc>
        <w:tc>
          <w:tcPr>
            <w:tcW w:w="3117" w:type="pct"/>
            <w:vAlign w:val="center"/>
          </w:tcPr>
          <w:p w14:paraId="4BAA81F2" w14:textId="614D9A4C" w:rsidR="005C25FF" w:rsidRPr="002D4D48" w:rsidRDefault="00D82D31" w:rsidP="004E18E9">
            <w:pPr>
              <w:pStyle w:val="Tableheadingrow"/>
            </w:pPr>
            <w:r>
              <w:t>PBAC decision</w:t>
            </w:r>
          </w:p>
        </w:tc>
      </w:tr>
      <w:tr w:rsidR="005C25FF" w:rsidRPr="002D4D48" w14:paraId="12E6A50B" w14:textId="77777777" w:rsidTr="009C7001">
        <w:trPr>
          <w:cantSplit/>
        </w:trPr>
        <w:tc>
          <w:tcPr>
            <w:tcW w:w="548" w:type="pct"/>
          </w:tcPr>
          <w:p w14:paraId="4F23B305" w14:textId="2E84B283" w:rsidR="005C25FF" w:rsidRPr="002D4D48" w:rsidRDefault="002D4D48" w:rsidP="0064434C">
            <w:pPr>
              <w:pStyle w:val="TableText"/>
            </w:pPr>
            <w:r w:rsidRPr="002D4D48">
              <w:t>July 2019</w:t>
            </w:r>
          </w:p>
        </w:tc>
        <w:tc>
          <w:tcPr>
            <w:tcW w:w="1335" w:type="pct"/>
          </w:tcPr>
          <w:p w14:paraId="520F5EAA" w14:textId="77777777" w:rsidR="005C25FF" w:rsidRDefault="00EF7BAF" w:rsidP="000E27D0">
            <w:pPr>
              <w:pStyle w:val="TableText"/>
              <w:numPr>
                <w:ilvl w:val="0"/>
                <w:numId w:val="19"/>
              </w:numPr>
              <w:ind w:left="38" w:hanging="142"/>
              <w:rPr>
                <w:szCs w:val="20"/>
              </w:rPr>
            </w:pPr>
            <w:r>
              <w:rPr>
                <w:szCs w:val="20"/>
              </w:rPr>
              <w:t>Non-FH with ASCVD and additional risk factors and LDL-C &gt; 2.6 mmol/L</w:t>
            </w:r>
          </w:p>
          <w:p w14:paraId="2144C495" w14:textId="77777777" w:rsidR="00D82D31" w:rsidRDefault="00E15F9E" w:rsidP="000E27D0">
            <w:pPr>
              <w:pStyle w:val="TableText"/>
              <w:numPr>
                <w:ilvl w:val="0"/>
                <w:numId w:val="19"/>
              </w:numPr>
              <w:ind w:left="38" w:hanging="142"/>
              <w:rPr>
                <w:szCs w:val="20"/>
              </w:rPr>
            </w:pPr>
            <w:r>
              <w:rPr>
                <w:szCs w:val="20"/>
              </w:rPr>
              <w:t>Extension of listing for FH to include patients with ASCVD who have LDL-C between 2.6 and 3.3 mmol/L</w:t>
            </w:r>
          </w:p>
          <w:p w14:paraId="27979425" w14:textId="6A34B550" w:rsidR="00D82D31" w:rsidRPr="002D4D48" w:rsidRDefault="00D82D31" w:rsidP="000E27D0">
            <w:pPr>
              <w:pStyle w:val="TableText"/>
              <w:numPr>
                <w:ilvl w:val="0"/>
                <w:numId w:val="19"/>
              </w:numPr>
              <w:ind w:left="38" w:hanging="142"/>
              <w:rPr>
                <w:szCs w:val="20"/>
              </w:rPr>
            </w:pPr>
            <w:r>
              <w:rPr>
                <w:szCs w:val="20"/>
              </w:rPr>
              <w:t>Treatment criterion to permit GP prescribing</w:t>
            </w:r>
            <w:r w:rsidR="008F03AD">
              <w:rPr>
                <w:szCs w:val="20"/>
              </w:rPr>
              <w:t xml:space="preserve"> for initial use</w:t>
            </w:r>
            <w:r w:rsidR="003C31F3">
              <w:rPr>
                <w:szCs w:val="20"/>
              </w:rPr>
              <w:t xml:space="preserve"> in consultation with specialist</w:t>
            </w:r>
          </w:p>
        </w:tc>
        <w:tc>
          <w:tcPr>
            <w:tcW w:w="3117" w:type="pct"/>
            <w:vAlign w:val="center"/>
          </w:tcPr>
          <w:p w14:paraId="7D1B144C" w14:textId="76FB6F0F" w:rsidR="005C25FF" w:rsidRPr="002D4D48" w:rsidRDefault="00BE0CD5" w:rsidP="004E18E9">
            <w:pPr>
              <w:pStyle w:val="TableText"/>
            </w:pPr>
            <w:r>
              <w:t xml:space="preserve">Deferred recommendation for non-FH, </w:t>
            </w:r>
            <w:r w:rsidR="00782EBC">
              <w:t xml:space="preserve">considering </w:t>
            </w:r>
            <w:r w:rsidR="007804EC">
              <w:t xml:space="preserve">the </w:t>
            </w:r>
            <w:r w:rsidR="00782EBC">
              <w:t xml:space="preserve">ICER was high and </w:t>
            </w:r>
            <w:r w:rsidR="007804EC">
              <w:t xml:space="preserve">a </w:t>
            </w:r>
            <w:r w:rsidR="00782EBC">
              <w:t xml:space="preserve">price reduction </w:t>
            </w:r>
            <w:r w:rsidR="007804EC">
              <w:t xml:space="preserve">was </w:t>
            </w:r>
            <w:r w:rsidR="00782EBC">
              <w:t xml:space="preserve">required to bring </w:t>
            </w:r>
            <w:r w:rsidR="007804EC">
              <w:t xml:space="preserve">the ICER </w:t>
            </w:r>
            <w:r w:rsidR="00782EBC">
              <w:t xml:space="preserve">into </w:t>
            </w:r>
            <w:r w:rsidR="007804EC">
              <w:t xml:space="preserve">an </w:t>
            </w:r>
            <w:r w:rsidR="00782EBC">
              <w:t>acceptable range. Also deferred recommendation for</w:t>
            </w:r>
            <w:r w:rsidR="00C73EB9">
              <w:t xml:space="preserve"> extended </w:t>
            </w:r>
            <w:r w:rsidR="006D7786">
              <w:t xml:space="preserve">LDL-C </w:t>
            </w:r>
            <w:r w:rsidR="00C73EB9">
              <w:t xml:space="preserve">range for FH, but </w:t>
            </w:r>
            <w:r w:rsidR="007804EC">
              <w:t xml:space="preserve">the PBAC </w:t>
            </w:r>
            <w:r w:rsidR="00C73EB9">
              <w:t>considered that these patients would have at least an equivalent lifetime risk to the non-FH population</w:t>
            </w:r>
            <w:r w:rsidR="003A4AF3">
              <w:t>. Should evolocumab be considered cost-effective in the non-FH population, the cost-effectiveness of evolocumab for an expanded FH listing could be inferred at the same price as for non-FH.</w:t>
            </w:r>
          </w:p>
        </w:tc>
      </w:tr>
      <w:tr w:rsidR="005C25FF" w:rsidRPr="002D4D48" w14:paraId="228F2BA8" w14:textId="77777777" w:rsidTr="009C7001">
        <w:trPr>
          <w:cantSplit/>
        </w:trPr>
        <w:tc>
          <w:tcPr>
            <w:tcW w:w="548" w:type="pct"/>
            <w:vAlign w:val="center"/>
          </w:tcPr>
          <w:p w14:paraId="5ABE3EF1" w14:textId="43DDA807" w:rsidR="005C25FF" w:rsidRPr="002D4D48" w:rsidRDefault="00EF7BAF" w:rsidP="004E18E9">
            <w:pPr>
              <w:pStyle w:val="TableText"/>
            </w:pPr>
            <w:r>
              <w:t>November 2019</w:t>
            </w:r>
          </w:p>
        </w:tc>
        <w:tc>
          <w:tcPr>
            <w:tcW w:w="1335" w:type="pct"/>
          </w:tcPr>
          <w:p w14:paraId="4F817F43" w14:textId="3181BDEE" w:rsidR="008F03AD" w:rsidRPr="008F03AD" w:rsidRDefault="00916B19" w:rsidP="008F03AD">
            <w:pPr>
              <w:pStyle w:val="TableText"/>
              <w:rPr>
                <w:rFonts w:eastAsia="Times New Roman" w:cs="Arial"/>
                <w:bCs w:val="0"/>
                <w:snapToGrid w:val="0"/>
                <w:szCs w:val="20"/>
              </w:rPr>
            </w:pPr>
            <w:r>
              <w:rPr>
                <w:rFonts w:eastAsia="Times New Roman" w:cs="Arial"/>
                <w:bCs w:val="0"/>
                <w:snapToGrid w:val="0"/>
                <w:szCs w:val="20"/>
              </w:rPr>
              <w:t>Minor changes to July 2019 proposed listing</w:t>
            </w:r>
            <w:r w:rsidR="002F4514">
              <w:rPr>
                <w:rFonts w:eastAsia="Times New Roman" w:cs="Arial"/>
                <w:bCs w:val="0"/>
                <w:snapToGrid w:val="0"/>
                <w:szCs w:val="20"/>
              </w:rPr>
              <w:t xml:space="preserve"> as suggested by PBAC</w:t>
            </w:r>
            <w:r>
              <w:rPr>
                <w:rFonts w:eastAsia="Times New Roman" w:cs="Arial"/>
                <w:bCs w:val="0"/>
                <w:snapToGrid w:val="0"/>
                <w:szCs w:val="20"/>
              </w:rPr>
              <w:t>.</w:t>
            </w:r>
            <w:r w:rsidR="000E6FBC">
              <w:rPr>
                <w:rFonts w:eastAsia="Times New Roman" w:cs="Arial"/>
                <w:bCs w:val="0"/>
                <w:snapToGrid w:val="0"/>
                <w:szCs w:val="20"/>
              </w:rPr>
              <w:t xml:space="preserve"> Revised model, including a reduced price to achieve an ICER of less than </w:t>
            </w:r>
            <w:r w:rsidR="000E6FBC" w:rsidRPr="00DF54A9">
              <w:rPr>
                <w:rFonts w:eastAsia="Times New Roman" w:cs="Arial"/>
                <w:bCs w:val="0"/>
                <w:snapToGrid w:val="0"/>
                <w:szCs w:val="20"/>
              </w:rPr>
              <w:t>$</w:t>
            </w:r>
            <w:r w:rsidR="003016D5" w:rsidRPr="00DF54A9">
              <w:rPr>
                <w:rFonts w:eastAsia="Times New Roman" w:cs="Arial"/>
                <w:bCs w:val="0"/>
                <w:snapToGrid w:val="0"/>
                <w:szCs w:val="20"/>
              </w:rPr>
              <w:t>25</w:t>
            </w:r>
            <w:r w:rsidR="00783B4C" w:rsidRPr="00DF54A9">
              <w:rPr>
                <w:rFonts w:eastAsia="Times New Roman" w:cs="Arial"/>
                <w:bCs w:val="0"/>
                <w:snapToGrid w:val="0"/>
                <w:szCs w:val="20"/>
              </w:rPr>
              <w:t xml:space="preserve">,000 </w:t>
            </w:r>
            <w:r w:rsidR="00DF54A9">
              <w:rPr>
                <w:rFonts w:eastAsia="Times New Roman" w:cs="Arial"/>
                <w:bCs w:val="0"/>
                <w:snapToGrid w:val="0"/>
                <w:szCs w:val="20"/>
              </w:rPr>
              <w:t xml:space="preserve">to &lt; </w:t>
            </w:r>
            <w:r w:rsidR="00783B4C" w:rsidRPr="00DF54A9">
              <w:rPr>
                <w:rFonts w:eastAsia="Times New Roman" w:cs="Arial"/>
                <w:bCs w:val="0"/>
                <w:snapToGrid w:val="0"/>
                <w:szCs w:val="20"/>
              </w:rPr>
              <w:t>$</w:t>
            </w:r>
            <w:r w:rsidR="000E6FBC" w:rsidRPr="00DF54A9">
              <w:rPr>
                <w:rFonts w:eastAsia="Times New Roman" w:cs="Arial"/>
                <w:bCs w:val="0"/>
                <w:snapToGrid w:val="0"/>
                <w:szCs w:val="20"/>
              </w:rPr>
              <w:t>3</w:t>
            </w:r>
            <w:r w:rsidR="00783B4C" w:rsidRPr="00DF54A9">
              <w:rPr>
                <w:rFonts w:eastAsia="Times New Roman" w:cs="Arial"/>
                <w:bCs w:val="0"/>
                <w:snapToGrid w:val="0"/>
                <w:szCs w:val="20"/>
              </w:rPr>
              <w:t>5</w:t>
            </w:r>
            <w:r w:rsidR="000E6FBC" w:rsidRPr="00DF54A9">
              <w:rPr>
                <w:rFonts w:eastAsia="Times New Roman" w:cs="Arial"/>
                <w:bCs w:val="0"/>
                <w:snapToGrid w:val="0"/>
                <w:szCs w:val="20"/>
              </w:rPr>
              <w:t>,000</w:t>
            </w:r>
            <w:r w:rsidR="00206772">
              <w:rPr>
                <w:rFonts w:eastAsia="Times New Roman" w:cs="Arial"/>
                <w:bCs w:val="0"/>
                <w:snapToGrid w:val="0"/>
                <w:szCs w:val="20"/>
              </w:rPr>
              <w:t>, and u</w:t>
            </w:r>
            <w:r w:rsidR="000F7B50">
              <w:rPr>
                <w:rFonts w:eastAsia="Times New Roman" w:cs="Arial"/>
                <w:bCs w:val="0"/>
                <w:snapToGrid w:val="0"/>
                <w:szCs w:val="20"/>
              </w:rPr>
              <w:t>pdated financial estimates.</w:t>
            </w:r>
            <w:r w:rsidR="000E6FBC">
              <w:rPr>
                <w:rFonts w:eastAsia="Times New Roman" w:cs="Arial"/>
                <w:bCs w:val="0"/>
                <w:snapToGrid w:val="0"/>
                <w:szCs w:val="20"/>
              </w:rPr>
              <w:t xml:space="preserve"> </w:t>
            </w:r>
            <w:r w:rsidR="002F4514">
              <w:rPr>
                <w:rFonts w:eastAsia="Times New Roman" w:cs="Arial"/>
                <w:bCs w:val="0"/>
                <w:snapToGrid w:val="0"/>
                <w:szCs w:val="20"/>
              </w:rPr>
              <w:t>Continued request to allow GPs to initiate treatment in consultation with a specialist.</w:t>
            </w:r>
          </w:p>
        </w:tc>
        <w:tc>
          <w:tcPr>
            <w:tcW w:w="3117" w:type="pct"/>
            <w:vAlign w:val="center"/>
          </w:tcPr>
          <w:p w14:paraId="35FC13C5" w14:textId="51D2545C" w:rsidR="005C25FF" w:rsidRPr="008F03AD" w:rsidRDefault="003C16BC" w:rsidP="003D3C82">
            <w:pPr>
              <w:pStyle w:val="TableText"/>
              <w:rPr>
                <w:rFonts w:eastAsia="Times New Roman" w:cs="Arial"/>
                <w:bCs w:val="0"/>
                <w:snapToGrid w:val="0"/>
                <w:szCs w:val="20"/>
              </w:rPr>
            </w:pPr>
            <w:r>
              <w:rPr>
                <w:rFonts w:eastAsia="Times New Roman" w:cs="Arial"/>
                <w:bCs w:val="0"/>
                <w:snapToGrid w:val="0"/>
                <w:szCs w:val="20"/>
              </w:rPr>
              <w:t xml:space="preserve">Recommended for non-FH patients with ASCVD who have </w:t>
            </w:r>
            <w:r w:rsidR="006D7786">
              <w:rPr>
                <w:rFonts w:eastAsia="Times New Roman" w:cs="Arial"/>
                <w:bCs w:val="0"/>
                <w:snapToGrid w:val="0"/>
                <w:szCs w:val="20"/>
              </w:rPr>
              <w:t xml:space="preserve">LDL-C </w:t>
            </w:r>
            <w:r>
              <w:rPr>
                <w:rFonts w:eastAsia="Times New Roman" w:cs="Arial"/>
                <w:bCs w:val="0"/>
                <w:snapToGrid w:val="0"/>
                <w:szCs w:val="20"/>
              </w:rPr>
              <w:t>&gt;</w:t>
            </w:r>
            <w:r w:rsidR="00740E7F">
              <w:rPr>
                <w:rFonts w:eastAsia="Times New Roman" w:cs="Arial"/>
                <w:bCs w:val="0"/>
                <w:snapToGrid w:val="0"/>
                <w:szCs w:val="20"/>
              </w:rPr>
              <w:t> </w:t>
            </w:r>
            <w:r>
              <w:rPr>
                <w:rFonts w:eastAsia="Times New Roman" w:cs="Arial"/>
                <w:bCs w:val="0"/>
                <w:snapToGrid w:val="0"/>
                <w:szCs w:val="20"/>
              </w:rPr>
              <w:t>2.6</w:t>
            </w:r>
            <w:r w:rsidR="00740E7F">
              <w:rPr>
                <w:rFonts w:eastAsia="Times New Roman" w:cs="Arial"/>
                <w:bCs w:val="0"/>
                <w:snapToGrid w:val="0"/>
                <w:szCs w:val="20"/>
              </w:rPr>
              <w:t> </w:t>
            </w:r>
            <w:r>
              <w:rPr>
                <w:rFonts w:eastAsia="Times New Roman" w:cs="Arial"/>
                <w:bCs w:val="0"/>
                <w:snapToGrid w:val="0"/>
                <w:szCs w:val="20"/>
              </w:rPr>
              <w:t xml:space="preserve">mmol/L and additional risk factors; and FH in patients with symptomatic ASCVD or HoFH, who have </w:t>
            </w:r>
            <w:r w:rsidR="006D7786">
              <w:rPr>
                <w:rFonts w:eastAsia="Times New Roman" w:cs="Arial"/>
                <w:bCs w:val="0"/>
                <w:snapToGrid w:val="0"/>
                <w:szCs w:val="20"/>
              </w:rPr>
              <w:t xml:space="preserve">LDL-C </w:t>
            </w:r>
            <w:r>
              <w:rPr>
                <w:rFonts w:eastAsia="Times New Roman" w:cs="Arial"/>
                <w:bCs w:val="0"/>
                <w:snapToGrid w:val="0"/>
                <w:szCs w:val="20"/>
              </w:rPr>
              <w:t>between 2.6 and 3.3</w:t>
            </w:r>
            <w:r w:rsidR="00740E7F">
              <w:rPr>
                <w:rFonts w:eastAsia="Times New Roman" w:cs="Arial"/>
                <w:bCs w:val="0"/>
                <w:snapToGrid w:val="0"/>
                <w:szCs w:val="20"/>
              </w:rPr>
              <w:t> </w:t>
            </w:r>
            <w:r>
              <w:rPr>
                <w:rFonts w:eastAsia="Times New Roman" w:cs="Arial"/>
                <w:bCs w:val="0"/>
                <w:snapToGrid w:val="0"/>
                <w:szCs w:val="20"/>
              </w:rPr>
              <w:t>mmol/L</w:t>
            </w:r>
            <w:r w:rsidR="005C74B1">
              <w:rPr>
                <w:rFonts w:eastAsia="Times New Roman" w:cs="Arial"/>
                <w:bCs w:val="0"/>
                <w:snapToGrid w:val="0"/>
                <w:szCs w:val="20"/>
              </w:rPr>
              <w:t xml:space="preserve">. PBAC recommended that </w:t>
            </w:r>
            <w:r w:rsidR="007804EC">
              <w:rPr>
                <w:rFonts w:eastAsia="Times New Roman" w:cs="Arial"/>
                <w:bCs w:val="0"/>
                <w:snapToGrid w:val="0"/>
                <w:szCs w:val="20"/>
              </w:rPr>
              <w:t xml:space="preserve">the </w:t>
            </w:r>
            <w:r w:rsidR="005C74B1">
              <w:rPr>
                <w:rFonts w:eastAsia="Times New Roman" w:cs="Arial"/>
                <w:bCs w:val="0"/>
                <w:snapToGrid w:val="0"/>
                <w:szCs w:val="20"/>
              </w:rPr>
              <w:t xml:space="preserve">treatment criterion for initiation of evolocumab should remain </w:t>
            </w:r>
            <w:r w:rsidR="000E6FBC">
              <w:rPr>
                <w:rFonts w:eastAsia="Times New Roman" w:cs="Arial"/>
                <w:bCs w:val="0"/>
                <w:snapToGrid w:val="0"/>
                <w:szCs w:val="20"/>
              </w:rPr>
              <w:t>‘</w:t>
            </w:r>
            <w:r w:rsidR="005C74B1">
              <w:rPr>
                <w:rFonts w:eastAsia="Times New Roman" w:cs="Arial"/>
                <w:bCs w:val="0"/>
                <w:snapToGrid w:val="0"/>
                <w:szCs w:val="20"/>
              </w:rPr>
              <w:t>Must be treated by a specialist physician</w:t>
            </w:r>
            <w:r w:rsidR="000E6FBC">
              <w:rPr>
                <w:rFonts w:eastAsia="Times New Roman" w:cs="Arial"/>
                <w:bCs w:val="0"/>
                <w:snapToGrid w:val="0"/>
                <w:szCs w:val="20"/>
              </w:rPr>
              <w:t>’</w:t>
            </w:r>
            <w:r w:rsidR="005C74B1">
              <w:rPr>
                <w:rFonts w:eastAsia="Times New Roman" w:cs="Arial"/>
                <w:bCs w:val="0"/>
                <w:snapToGrid w:val="0"/>
                <w:szCs w:val="20"/>
              </w:rPr>
              <w:t>.</w:t>
            </w:r>
          </w:p>
        </w:tc>
      </w:tr>
      <w:tr w:rsidR="005C25FF" w:rsidRPr="002D4D48" w14:paraId="7F544ADE" w14:textId="77777777" w:rsidTr="009C7001">
        <w:trPr>
          <w:cantSplit/>
        </w:trPr>
        <w:tc>
          <w:tcPr>
            <w:tcW w:w="548" w:type="pct"/>
            <w:vAlign w:val="center"/>
          </w:tcPr>
          <w:p w14:paraId="698AA39F" w14:textId="2996F45B" w:rsidR="005C25FF" w:rsidRPr="002D4D48" w:rsidRDefault="00EF7BAF" w:rsidP="004E18E9">
            <w:pPr>
              <w:pStyle w:val="TableText"/>
            </w:pPr>
            <w:r>
              <w:t>November 2020</w:t>
            </w:r>
          </w:p>
        </w:tc>
        <w:tc>
          <w:tcPr>
            <w:tcW w:w="1335" w:type="pct"/>
          </w:tcPr>
          <w:p w14:paraId="06B3F191" w14:textId="41EC2417" w:rsidR="005C25FF" w:rsidRPr="005F3BC9" w:rsidRDefault="00E24EC9" w:rsidP="004E18E9">
            <w:pPr>
              <w:pStyle w:val="TableText"/>
              <w:rPr>
                <w:rFonts w:eastAsia="Times New Roman" w:cs="Arial"/>
                <w:bCs w:val="0"/>
                <w:snapToGrid w:val="0"/>
                <w:szCs w:val="20"/>
              </w:rPr>
            </w:pPr>
            <w:r w:rsidRPr="005F3BC9">
              <w:rPr>
                <w:rFonts w:eastAsia="Times New Roman" w:cs="Arial"/>
                <w:bCs w:val="0"/>
                <w:snapToGrid w:val="0"/>
                <w:szCs w:val="20"/>
              </w:rPr>
              <w:t>Requested change to all existing initial listings to allow GPs to initiate treatment in consultation with a specialist.</w:t>
            </w:r>
          </w:p>
        </w:tc>
        <w:tc>
          <w:tcPr>
            <w:tcW w:w="3117" w:type="pct"/>
          </w:tcPr>
          <w:p w14:paraId="1F40F04F" w14:textId="0914BFE8" w:rsidR="0054608A" w:rsidRDefault="000C3974" w:rsidP="004E18E9">
            <w:pPr>
              <w:pStyle w:val="TableText"/>
              <w:rPr>
                <w:rFonts w:eastAsia="Times New Roman" w:cs="Arial"/>
                <w:bCs w:val="0"/>
                <w:snapToGrid w:val="0"/>
                <w:szCs w:val="20"/>
              </w:rPr>
            </w:pPr>
            <w:r>
              <w:rPr>
                <w:rFonts w:eastAsia="Times New Roman" w:cs="Arial"/>
                <w:bCs w:val="0"/>
                <w:snapToGrid w:val="0"/>
                <w:szCs w:val="20"/>
              </w:rPr>
              <w:t xml:space="preserve">The </w:t>
            </w:r>
            <w:r w:rsidR="004A17DA" w:rsidRPr="005F3BC9">
              <w:rPr>
                <w:rFonts w:eastAsia="Times New Roman" w:cs="Arial"/>
                <w:bCs w:val="0"/>
                <w:snapToGrid w:val="0"/>
                <w:szCs w:val="20"/>
              </w:rPr>
              <w:t>PBAC did not recommend</w:t>
            </w:r>
            <w:r w:rsidR="007804EC">
              <w:rPr>
                <w:rFonts w:eastAsia="Times New Roman" w:cs="Arial"/>
                <w:bCs w:val="0"/>
                <w:snapToGrid w:val="0"/>
                <w:szCs w:val="20"/>
              </w:rPr>
              <w:t xml:space="preserve"> the</w:t>
            </w:r>
            <w:r w:rsidR="004A17DA" w:rsidRPr="005F3BC9">
              <w:rPr>
                <w:rFonts w:eastAsia="Times New Roman" w:cs="Arial"/>
                <w:bCs w:val="0"/>
                <w:snapToGrid w:val="0"/>
                <w:szCs w:val="20"/>
              </w:rPr>
              <w:t xml:space="preserve"> amendment to listings</w:t>
            </w:r>
            <w:r w:rsidR="00772A04" w:rsidRPr="005F3BC9">
              <w:rPr>
                <w:rFonts w:eastAsia="Times New Roman" w:cs="Arial"/>
                <w:bCs w:val="0"/>
                <w:snapToGrid w:val="0"/>
                <w:szCs w:val="20"/>
              </w:rPr>
              <w:t xml:space="preserve">, citing several concerns with expanding prescriber types after the evolocumab listing had just been updated </w:t>
            </w:r>
            <w:r w:rsidR="00093731">
              <w:rPr>
                <w:rFonts w:eastAsia="Times New Roman" w:cs="Arial"/>
                <w:bCs w:val="0"/>
                <w:snapToGrid w:val="0"/>
                <w:szCs w:val="20"/>
              </w:rPr>
              <w:t>5</w:t>
            </w:r>
            <w:r w:rsidR="00093731" w:rsidRPr="005F3BC9">
              <w:rPr>
                <w:rFonts w:eastAsia="Times New Roman" w:cs="Arial"/>
                <w:bCs w:val="0"/>
                <w:snapToGrid w:val="0"/>
                <w:szCs w:val="20"/>
              </w:rPr>
              <w:t xml:space="preserve"> </w:t>
            </w:r>
            <w:r w:rsidR="00772A04" w:rsidRPr="005F3BC9">
              <w:rPr>
                <w:rFonts w:eastAsia="Times New Roman" w:cs="Arial"/>
                <w:bCs w:val="0"/>
                <w:snapToGrid w:val="0"/>
                <w:szCs w:val="20"/>
              </w:rPr>
              <w:t>months prior (in May 2020)</w:t>
            </w:r>
            <w:r w:rsidR="0054608A">
              <w:rPr>
                <w:rFonts w:eastAsia="Times New Roman" w:cs="Arial"/>
                <w:bCs w:val="0"/>
                <w:snapToGrid w:val="0"/>
                <w:szCs w:val="20"/>
              </w:rPr>
              <w:t>:</w:t>
            </w:r>
          </w:p>
          <w:p w14:paraId="23E81389" w14:textId="526AA787" w:rsidR="0054608A" w:rsidRPr="0054608A" w:rsidRDefault="0054608A" w:rsidP="000E27D0">
            <w:pPr>
              <w:pStyle w:val="TableText"/>
              <w:numPr>
                <w:ilvl w:val="0"/>
                <w:numId w:val="19"/>
              </w:numPr>
              <w:ind w:left="173" w:hanging="173"/>
              <w:rPr>
                <w:rFonts w:eastAsia="Times New Roman" w:cs="Arial"/>
                <w:bCs w:val="0"/>
                <w:snapToGrid w:val="0"/>
                <w:szCs w:val="20"/>
              </w:rPr>
            </w:pPr>
            <w:r w:rsidRPr="007A7480">
              <w:rPr>
                <w:szCs w:val="20"/>
              </w:rPr>
              <w:t>Evolocumab is a relatively new drug with uncertain uptake and financial estimates</w:t>
            </w:r>
            <w:r>
              <w:rPr>
                <w:szCs w:val="20"/>
              </w:rPr>
              <w:t>;</w:t>
            </w:r>
          </w:p>
          <w:p w14:paraId="60A9D922" w14:textId="5DA7B983" w:rsidR="0054608A" w:rsidRPr="0054608A" w:rsidRDefault="0054608A" w:rsidP="000E27D0">
            <w:pPr>
              <w:pStyle w:val="TableText"/>
              <w:numPr>
                <w:ilvl w:val="0"/>
                <w:numId w:val="19"/>
              </w:numPr>
              <w:ind w:left="173" w:hanging="173"/>
              <w:rPr>
                <w:rFonts w:eastAsia="Times New Roman" w:cs="Arial"/>
                <w:bCs w:val="0"/>
                <w:snapToGrid w:val="0"/>
                <w:szCs w:val="20"/>
              </w:rPr>
            </w:pPr>
            <w:r w:rsidRPr="003E5452">
              <w:t>Evolocumab is a (novel) third-line therapy, with only 20% of GPs regularly prescribing second-line therapies</w:t>
            </w:r>
            <w:r>
              <w:t>;</w:t>
            </w:r>
          </w:p>
          <w:p w14:paraId="4255FB8F" w14:textId="7001976E" w:rsidR="0054608A" w:rsidRPr="0054608A" w:rsidRDefault="0054608A" w:rsidP="000E27D0">
            <w:pPr>
              <w:pStyle w:val="TableText"/>
              <w:numPr>
                <w:ilvl w:val="0"/>
                <w:numId w:val="19"/>
              </w:numPr>
              <w:ind w:left="173" w:hanging="173"/>
              <w:rPr>
                <w:rFonts w:eastAsia="Times New Roman" w:cs="Arial"/>
                <w:bCs w:val="0"/>
                <w:snapToGrid w:val="0"/>
                <w:szCs w:val="20"/>
              </w:rPr>
            </w:pPr>
            <w:r w:rsidRPr="003E5452">
              <w:t>Whilst there is an RSA in place, there is still the risk of use outside the intended high-risk population (particularly for non-familial hypercholesterolaemia)</w:t>
            </w:r>
            <w:r w:rsidR="00197E97">
              <w:t xml:space="preserve">; </w:t>
            </w:r>
          </w:p>
          <w:p w14:paraId="1EA91D31" w14:textId="4F68513E" w:rsidR="0054608A" w:rsidRPr="0054608A" w:rsidRDefault="0054608A" w:rsidP="000E27D0">
            <w:pPr>
              <w:pStyle w:val="TableText"/>
              <w:numPr>
                <w:ilvl w:val="0"/>
                <w:numId w:val="19"/>
              </w:numPr>
              <w:ind w:left="173" w:hanging="173"/>
              <w:rPr>
                <w:rFonts w:eastAsia="Times New Roman" w:cs="Arial"/>
                <w:bCs w:val="0"/>
                <w:snapToGrid w:val="0"/>
                <w:szCs w:val="20"/>
              </w:rPr>
            </w:pPr>
            <w:r>
              <w:t>There is also the risk of patients undergoing inadequate trials of statin therapy before commencing treatment with evolocumab</w:t>
            </w:r>
            <w:r w:rsidR="00197E97">
              <w:t>.</w:t>
            </w:r>
          </w:p>
          <w:p w14:paraId="4047033E" w14:textId="234DBBA1" w:rsidR="005C25FF" w:rsidRPr="005F3BC9" w:rsidRDefault="000055D0" w:rsidP="004E18E9">
            <w:pPr>
              <w:pStyle w:val="TableText"/>
              <w:rPr>
                <w:rFonts w:eastAsia="Times New Roman" w:cs="Arial"/>
                <w:bCs w:val="0"/>
                <w:snapToGrid w:val="0"/>
                <w:szCs w:val="20"/>
              </w:rPr>
            </w:pPr>
            <w:r>
              <w:rPr>
                <w:rFonts w:eastAsia="Times New Roman" w:cs="Arial"/>
                <w:bCs w:val="0"/>
                <w:snapToGrid w:val="0"/>
                <w:szCs w:val="20"/>
              </w:rPr>
              <w:t>The PBAC advised it would be appropriate for DUSC to review utilisation data after at least 18 months from the date that the non-FH listing was added</w:t>
            </w:r>
            <w:r w:rsidR="003D281D">
              <w:rPr>
                <w:rFonts w:eastAsia="Times New Roman" w:cs="Arial"/>
                <w:bCs w:val="0"/>
                <w:snapToGrid w:val="0"/>
                <w:szCs w:val="20"/>
              </w:rPr>
              <w:t>, and the issue of GP initiation could be reassessed at that time.</w:t>
            </w:r>
          </w:p>
        </w:tc>
      </w:tr>
    </w:tbl>
    <w:p w14:paraId="451D7156" w14:textId="59601ADE" w:rsidR="005C25FF" w:rsidRDefault="005C25FF" w:rsidP="00293F12">
      <w:pPr>
        <w:pStyle w:val="TableFigureFooter"/>
      </w:pPr>
      <w:r w:rsidRPr="002D4D48">
        <w:t xml:space="preserve">Source: </w:t>
      </w:r>
      <w:r w:rsidR="0034763E">
        <w:t>evolocumab P</w:t>
      </w:r>
      <w:r w:rsidR="00A21AD9">
        <w:t xml:space="preserve">ublic </w:t>
      </w:r>
      <w:r w:rsidR="0034763E">
        <w:t>S</w:t>
      </w:r>
      <w:r w:rsidR="00A21AD9">
        <w:t xml:space="preserve">ummary </w:t>
      </w:r>
      <w:r w:rsidR="0034763E">
        <w:t>D</w:t>
      </w:r>
      <w:r w:rsidR="00A21AD9">
        <w:t>ocument (PSD)</w:t>
      </w:r>
      <w:r w:rsidR="0034763E">
        <w:t xml:space="preserve">, July 2019 PBAC meeting; evolocumab </w:t>
      </w:r>
      <w:r w:rsidR="00C915B4">
        <w:t>PSD</w:t>
      </w:r>
      <w:r w:rsidR="0034763E">
        <w:t>, November 2019 PBAC meeting; evolocumab PSD, November 2020 PBAC meeting.</w:t>
      </w:r>
    </w:p>
    <w:p w14:paraId="565E7D6C" w14:textId="24DF497B" w:rsidR="00CD191B" w:rsidRDefault="00CD191B" w:rsidP="00293F12">
      <w:pPr>
        <w:pStyle w:val="TableFigureFooter"/>
      </w:pPr>
      <w:r>
        <w:t xml:space="preserve">Abbreviations: ASCVD, atherosclerotic cardiovascular disease; </w:t>
      </w:r>
      <w:r w:rsidR="004C4982">
        <w:t xml:space="preserve">GP, general practitioner; </w:t>
      </w:r>
      <w:r>
        <w:t xml:space="preserve">HeFH, heterozygous familial hypercholesterolaemia; HoFH, homozygous familial hypercholesterolaemia; </w:t>
      </w:r>
      <w:r w:rsidR="0009022C">
        <w:t xml:space="preserve">ICER, incremental cost-effectiveness ratio; </w:t>
      </w:r>
      <w:r>
        <w:t>LDL, low density lipoprotein cholesterol</w:t>
      </w:r>
      <w:r w:rsidR="004C4982">
        <w:t>; RSA, risk shar</w:t>
      </w:r>
      <w:r w:rsidR="00740E7F">
        <w:t>ing</w:t>
      </w:r>
      <w:r w:rsidR="004C4982">
        <w:t xml:space="preserve"> </w:t>
      </w:r>
      <w:r w:rsidR="0009022C">
        <w:t>arrangement</w:t>
      </w:r>
      <w:r w:rsidR="004C4982">
        <w:t>.</w:t>
      </w:r>
    </w:p>
    <w:p w14:paraId="62B04585" w14:textId="77777777" w:rsidR="001F281D" w:rsidRDefault="001F281D" w:rsidP="001F281D">
      <w:pPr>
        <w:ind w:firstLine="709"/>
        <w:rPr>
          <w:rFonts w:asciiTheme="minorHAnsi" w:hAnsiTheme="minorHAnsi"/>
          <w:i/>
        </w:rPr>
      </w:pPr>
      <w:bookmarkStart w:id="7" w:name="_Hlk76375324"/>
    </w:p>
    <w:p w14:paraId="5B0D7A40" w14:textId="16700659" w:rsidR="001F281D" w:rsidRPr="00C33D30" w:rsidRDefault="001F281D" w:rsidP="001F281D">
      <w:pPr>
        <w:ind w:firstLine="709"/>
        <w:rPr>
          <w:rFonts w:asciiTheme="minorHAnsi" w:hAnsiTheme="minorHAnsi"/>
          <w:i/>
        </w:rPr>
      </w:pPr>
      <w:r w:rsidRPr="00C33D30">
        <w:rPr>
          <w:rFonts w:asciiTheme="minorHAnsi" w:hAnsiTheme="minorHAnsi"/>
          <w:i/>
        </w:rPr>
        <w:t>For more detail on PBAC’s view, see section 7 PBAC outcome.</w:t>
      </w:r>
    </w:p>
    <w:bookmarkEnd w:id="7"/>
    <w:p w14:paraId="2512BDF1" w14:textId="77777777" w:rsidR="001F281D" w:rsidRDefault="001F281D" w:rsidP="00293F12">
      <w:pPr>
        <w:pStyle w:val="TableFigureFooter"/>
      </w:pPr>
    </w:p>
    <w:p w14:paraId="76E4EF3C" w14:textId="02B58ABE" w:rsidR="00B60939" w:rsidRDefault="00B50DB8" w:rsidP="004E18E9">
      <w:pPr>
        <w:pStyle w:val="2-SectionHeading"/>
      </w:pPr>
      <w:bookmarkStart w:id="8" w:name="_Toc103773792"/>
      <w:r w:rsidRPr="00407F2D">
        <w:t>Requested listing</w:t>
      </w:r>
      <w:bookmarkEnd w:id="8"/>
    </w:p>
    <w:p w14:paraId="09984EBA" w14:textId="0B606999" w:rsidR="004243A6" w:rsidRDefault="009F4A95" w:rsidP="004243A6">
      <w:pPr>
        <w:pStyle w:val="ExecSumBodyText"/>
      </w:pPr>
      <w:r>
        <w:t>The</w:t>
      </w:r>
      <w:r w:rsidR="00197E97">
        <w:t xml:space="preserve"> submission’s</w:t>
      </w:r>
      <w:r>
        <w:t xml:space="preserve"> proposed changes to the</w:t>
      </w:r>
      <w:r w:rsidR="00EF047E">
        <w:t xml:space="preserve"> </w:t>
      </w:r>
      <w:r w:rsidR="00197E97">
        <w:t xml:space="preserve">existing </w:t>
      </w:r>
      <w:r w:rsidR="00EF047E">
        <w:t>initial restriction for</w:t>
      </w:r>
      <w:r>
        <w:t xml:space="preserve"> </w:t>
      </w:r>
      <w:r w:rsidR="00EF047E" w:rsidRPr="00D92B3C">
        <w:t>non-FH with ASCVD</w:t>
      </w:r>
      <w:r>
        <w:t xml:space="preserve"> are presented below</w:t>
      </w:r>
      <w:r w:rsidR="00EF047E">
        <w:t xml:space="preserve"> using </w:t>
      </w:r>
      <w:r w:rsidR="00EF047E" w:rsidRPr="00405998">
        <w:t>strikethrough</w:t>
      </w:r>
      <w:r w:rsidR="00EF047E">
        <w:t xml:space="preserve"> for proposed deletions</w:t>
      </w:r>
      <w:r w:rsidR="000F7B50">
        <w:t xml:space="preserve"> and </w:t>
      </w:r>
      <w:r w:rsidR="00EF047E" w:rsidRPr="00405998">
        <w:t>underline</w:t>
      </w:r>
      <w:r w:rsidR="00EF047E">
        <w:t xml:space="preserve"> for proposed additions</w:t>
      </w:r>
      <w:r>
        <w:t>. The same changes were requested for both the homozygous</w:t>
      </w:r>
      <w:r w:rsidR="00B7733B">
        <w:t xml:space="preserve"> familial hypercholesterolaemia (HoFH)</w:t>
      </w:r>
      <w:r>
        <w:t xml:space="preserve"> and heterozygous familial hypercholesterolaemia</w:t>
      </w:r>
      <w:r w:rsidR="00B7733B">
        <w:t xml:space="preserve"> (HeFH)</w:t>
      </w:r>
      <w:r>
        <w:t xml:space="preserve"> initial listings.</w:t>
      </w:r>
      <w:r w:rsidR="00B7733B">
        <w:t xml:space="preserve"> </w:t>
      </w:r>
      <w:r w:rsidR="001E6189">
        <w:t>L</w:t>
      </w:r>
      <w:r w:rsidR="001E6189" w:rsidRPr="0019687A">
        <w:t xml:space="preserve">ower </w:t>
      </w:r>
      <w:r w:rsidR="001E6189" w:rsidRPr="003A2387">
        <w:t>published and effective</w:t>
      </w:r>
      <w:r w:rsidR="001E6189">
        <w:t xml:space="preserve"> </w:t>
      </w:r>
      <w:r w:rsidR="001E6189" w:rsidRPr="0019687A">
        <w:t>price</w:t>
      </w:r>
      <w:r w:rsidR="001E6189">
        <w:t>s</w:t>
      </w:r>
      <w:r w:rsidR="001E6189" w:rsidRPr="0019687A">
        <w:t xml:space="preserve"> </w:t>
      </w:r>
      <w:r w:rsidR="001E6189" w:rsidRPr="0019687A">
        <w:lastRenderedPageBreak/>
        <w:t>w</w:t>
      </w:r>
      <w:r w:rsidR="001E6189">
        <w:t>ere</w:t>
      </w:r>
      <w:r w:rsidR="001E6189" w:rsidRPr="0019687A">
        <w:t xml:space="preserve"> proposed</w:t>
      </w:r>
      <w:r w:rsidR="002C6AEF">
        <w:t>,</w:t>
      </w:r>
      <w:r w:rsidR="001E6189" w:rsidRPr="0019687A">
        <w:t xml:space="preserve"> which would apply across all evolocumab PBS item codes. </w:t>
      </w:r>
      <w:r w:rsidR="004243A6">
        <w:t xml:space="preserve">No changes to the evolocumab continuing treatment listings </w:t>
      </w:r>
      <w:r w:rsidR="001E6189">
        <w:t>we</w:t>
      </w:r>
      <w:r w:rsidR="004243A6">
        <w:t>re requ</w:t>
      </w:r>
      <w:r w:rsidR="001E6189">
        <w:t>ested</w:t>
      </w:r>
      <w:r w:rsidR="004243A6">
        <w:t xml:space="preserve"> other than the change in price.</w:t>
      </w:r>
    </w:p>
    <w:tbl>
      <w:tblPr>
        <w:tblStyle w:val="PlainTable21"/>
        <w:tblW w:w="5000" w:type="pct"/>
        <w:tblLook w:val="04A0" w:firstRow="1" w:lastRow="0" w:firstColumn="1" w:lastColumn="0" w:noHBand="0" w:noVBand="1"/>
      </w:tblPr>
      <w:tblGrid>
        <w:gridCol w:w="4705"/>
        <w:gridCol w:w="819"/>
        <w:gridCol w:w="600"/>
        <w:gridCol w:w="1647"/>
        <w:gridCol w:w="1256"/>
      </w:tblGrid>
      <w:tr w:rsidR="00B53B9A" w:rsidRPr="00F94F85" w14:paraId="1A45EDED" w14:textId="77777777" w:rsidTr="00B53B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bottom w:val="single" w:sz="4" w:space="0" w:color="auto"/>
            </w:tcBorders>
            <w:vAlign w:val="center"/>
          </w:tcPr>
          <w:p w14:paraId="26D50C40" w14:textId="2D7725FC" w:rsidR="00B53B9A" w:rsidRPr="00F94F85" w:rsidRDefault="00B53B9A" w:rsidP="005D213A">
            <w:pPr>
              <w:keepNext/>
              <w:spacing w:before="40" w:after="40"/>
              <w:jc w:val="left"/>
              <w:rPr>
                <w:bCs w:val="0"/>
              </w:rPr>
            </w:pPr>
            <w:r w:rsidRPr="005D213A">
              <w:rPr>
                <w:rFonts w:ascii="Arial Narrow" w:eastAsia="Calibri" w:hAnsi="Arial Narrow"/>
                <w:sz w:val="20"/>
              </w:rPr>
              <w:t xml:space="preserve">Name, </w:t>
            </w:r>
            <w:r>
              <w:rPr>
                <w:rFonts w:ascii="Arial Narrow" w:eastAsia="Calibri" w:hAnsi="Arial Narrow"/>
                <w:sz w:val="20"/>
              </w:rPr>
              <w:t>R</w:t>
            </w:r>
            <w:r w:rsidRPr="005D213A">
              <w:rPr>
                <w:rFonts w:ascii="Arial Narrow" w:eastAsia="Calibri" w:hAnsi="Arial Narrow"/>
                <w:sz w:val="20"/>
              </w:rPr>
              <w:t xml:space="preserve">estriction, </w:t>
            </w:r>
            <w:r>
              <w:rPr>
                <w:rFonts w:ascii="Arial Narrow" w:eastAsia="Calibri" w:hAnsi="Arial Narrow"/>
                <w:sz w:val="20"/>
              </w:rPr>
              <w:t>M</w:t>
            </w:r>
            <w:r w:rsidRPr="005D213A">
              <w:rPr>
                <w:rFonts w:ascii="Arial Narrow" w:eastAsia="Calibri" w:hAnsi="Arial Narrow"/>
                <w:sz w:val="20"/>
              </w:rPr>
              <w:t>anner of administration</w:t>
            </w:r>
            <w:r>
              <w:rPr>
                <w:rFonts w:ascii="Arial Narrow" w:eastAsia="Calibri" w:hAnsi="Arial Narrow"/>
                <w:sz w:val="20"/>
              </w:rPr>
              <w:t xml:space="preserve"> and</w:t>
            </w:r>
            <w:r w:rsidRPr="005D213A">
              <w:rPr>
                <w:rFonts w:ascii="Arial Narrow" w:eastAsia="Calibri" w:hAnsi="Arial Narrow"/>
                <w:sz w:val="20"/>
              </w:rPr>
              <w:t xml:space="preserve"> form</w:t>
            </w:r>
          </w:p>
        </w:tc>
        <w:tc>
          <w:tcPr>
            <w:tcW w:w="822" w:type="dxa"/>
            <w:tcBorders>
              <w:top w:val="single" w:sz="4" w:space="0" w:color="auto"/>
              <w:bottom w:val="single" w:sz="4" w:space="0" w:color="auto"/>
            </w:tcBorders>
            <w:vAlign w:val="center"/>
          </w:tcPr>
          <w:p w14:paraId="7D79B291" w14:textId="6C388D8C" w:rsidR="00B53B9A" w:rsidRPr="00F94F85" w:rsidRDefault="00B53B9A" w:rsidP="005D213A">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val="0"/>
                <w:sz w:val="20"/>
              </w:rPr>
            </w:pPr>
            <w:r w:rsidRPr="00F94F85">
              <w:rPr>
                <w:rFonts w:ascii="Arial Narrow" w:eastAsia="Calibri" w:hAnsi="Arial Narrow"/>
                <w:sz w:val="20"/>
              </w:rPr>
              <w:t>Max</w:t>
            </w:r>
            <w:r>
              <w:rPr>
                <w:rFonts w:ascii="Arial Narrow" w:eastAsia="Calibri" w:hAnsi="Arial Narrow"/>
                <w:sz w:val="20"/>
              </w:rPr>
              <w:t>. Qty</w:t>
            </w:r>
            <w:r w:rsidRPr="00F94F85">
              <w:rPr>
                <w:rFonts w:ascii="Arial Narrow" w:eastAsia="Calibri" w:hAnsi="Arial Narrow"/>
                <w:sz w:val="20"/>
              </w:rPr>
              <w:t xml:space="preserve"> (units)</w:t>
            </w:r>
          </w:p>
        </w:tc>
        <w:tc>
          <w:tcPr>
            <w:tcW w:w="600" w:type="dxa"/>
            <w:tcBorders>
              <w:top w:val="single" w:sz="4" w:space="0" w:color="auto"/>
              <w:bottom w:val="single" w:sz="4" w:space="0" w:color="auto"/>
            </w:tcBorders>
            <w:vAlign w:val="center"/>
          </w:tcPr>
          <w:p w14:paraId="38B4D4E2" w14:textId="77777777" w:rsidR="00B53B9A" w:rsidRPr="00C7151A" w:rsidRDefault="00B53B9A" w:rsidP="00B53B9A">
            <w:pPr>
              <w:keepNext/>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0"/>
              </w:rPr>
            </w:pPr>
            <w:r w:rsidRPr="00C7151A">
              <w:rPr>
                <w:rFonts w:ascii="Arial Narrow" w:hAnsi="Arial Narrow" w:cs="Times New Roman"/>
                <w:sz w:val="20"/>
              </w:rPr>
              <w:t>№</w:t>
            </w:r>
            <w:r w:rsidRPr="00C7151A">
              <w:rPr>
                <w:rFonts w:ascii="Arial Narrow" w:hAnsi="Arial Narrow"/>
                <w:sz w:val="20"/>
              </w:rPr>
              <w:t>.of</w:t>
            </w:r>
          </w:p>
          <w:p w14:paraId="40C45033" w14:textId="463FEE55" w:rsidR="00B53B9A" w:rsidRPr="00F94F85" w:rsidRDefault="00B53B9A" w:rsidP="00B53B9A">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val="0"/>
                <w:sz w:val="20"/>
              </w:rPr>
            </w:pPr>
            <w:r w:rsidRPr="00C7151A">
              <w:rPr>
                <w:rFonts w:ascii="Arial Narrow" w:hAnsi="Arial Narrow"/>
                <w:sz w:val="20"/>
              </w:rPr>
              <w:t>Rpts</w:t>
            </w:r>
          </w:p>
        </w:tc>
        <w:tc>
          <w:tcPr>
            <w:tcW w:w="1667" w:type="dxa"/>
            <w:tcBorders>
              <w:top w:val="single" w:sz="4" w:space="0" w:color="auto"/>
              <w:bottom w:val="single" w:sz="4" w:space="0" w:color="auto"/>
            </w:tcBorders>
            <w:vAlign w:val="center"/>
          </w:tcPr>
          <w:p w14:paraId="377025F6" w14:textId="4A2C0811" w:rsidR="00B53B9A" w:rsidRDefault="00B53B9A" w:rsidP="005D213A">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val="0"/>
                <w:sz w:val="20"/>
              </w:rPr>
            </w:pPr>
            <w:r>
              <w:rPr>
                <w:rFonts w:ascii="Arial Narrow" w:eastAsia="Calibri" w:hAnsi="Arial Narrow"/>
                <w:sz w:val="20"/>
              </w:rPr>
              <w:t>D</w:t>
            </w:r>
            <w:r w:rsidRPr="00F94F85">
              <w:rPr>
                <w:rFonts w:ascii="Arial Narrow" w:eastAsia="Calibri" w:hAnsi="Arial Narrow"/>
                <w:sz w:val="20"/>
              </w:rPr>
              <w:t xml:space="preserve">ispensed </w:t>
            </w:r>
            <w:r>
              <w:rPr>
                <w:rFonts w:ascii="Arial Narrow" w:eastAsia="Calibri" w:hAnsi="Arial Narrow"/>
                <w:sz w:val="20"/>
              </w:rPr>
              <w:t>P</w:t>
            </w:r>
            <w:r w:rsidRPr="00F94F85">
              <w:rPr>
                <w:rFonts w:ascii="Arial Narrow" w:eastAsia="Calibri" w:hAnsi="Arial Narrow"/>
                <w:sz w:val="20"/>
              </w:rPr>
              <w:t xml:space="preserve">rice for </w:t>
            </w:r>
            <w:r>
              <w:rPr>
                <w:rFonts w:ascii="Arial Narrow" w:eastAsia="Calibri" w:hAnsi="Arial Narrow"/>
                <w:sz w:val="20"/>
              </w:rPr>
              <w:t>Max. Qty</w:t>
            </w:r>
          </w:p>
          <w:p w14:paraId="4645812E" w14:textId="646D2788" w:rsidR="00B53B9A" w:rsidRPr="00F94F85" w:rsidRDefault="00B53B9A" w:rsidP="005D213A">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val="0"/>
                <w:sz w:val="20"/>
              </w:rPr>
            </w:pPr>
            <w:r>
              <w:rPr>
                <w:rFonts w:ascii="Arial Narrow" w:eastAsia="Calibri" w:hAnsi="Arial Narrow"/>
                <w:sz w:val="20"/>
              </w:rPr>
              <w:t xml:space="preserve">Published (Effective </w:t>
            </w:r>
            <w:r>
              <w:rPr>
                <w:rFonts w:ascii="Arial Narrow" w:eastAsia="Calibri" w:hAnsi="Arial Narrow"/>
                <w:sz w:val="20"/>
                <w:vertAlign w:val="superscript"/>
              </w:rPr>
              <w:t>a</w:t>
            </w:r>
            <w:r>
              <w:rPr>
                <w:rFonts w:ascii="Arial Narrow" w:eastAsia="Calibri" w:hAnsi="Arial Narrow"/>
                <w:sz w:val="20"/>
              </w:rPr>
              <w:t>)</w:t>
            </w:r>
          </w:p>
        </w:tc>
        <w:tc>
          <w:tcPr>
            <w:tcW w:w="1256" w:type="dxa"/>
            <w:tcBorders>
              <w:top w:val="single" w:sz="4" w:space="0" w:color="auto"/>
              <w:bottom w:val="single" w:sz="4" w:space="0" w:color="auto"/>
            </w:tcBorders>
            <w:vAlign w:val="center"/>
          </w:tcPr>
          <w:p w14:paraId="73799494" w14:textId="6DCE11EF" w:rsidR="00B53B9A" w:rsidRPr="00F94F85" w:rsidRDefault="00B53B9A" w:rsidP="005D213A">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val="0"/>
                <w:sz w:val="20"/>
              </w:rPr>
            </w:pPr>
            <w:r w:rsidRPr="00F94F85">
              <w:rPr>
                <w:rFonts w:ascii="Arial Narrow" w:eastAsia="Calibri" w:hAnsi="Arial Narrow"/>
                <w:sz w:val="20"/>
              </w:rPr>
              <w:t xml:space="preserve">Proprietary </w:t>
            </w:r>
            <w:r>
              <w:rPr>
                <w:rFonts w:ascii="Arial Narrow" w:eastAsia="Calibri" w:hAnsi="Arial Narrow"/>
                <w:sz w:val="20"/>
              </w:rPr>
              <w:t>N</w:t>
            </w:r>
            <w:r w:rsidRPr="00F94F85">
              <w:rPr>
                <w:rFonts w:ascii="Arial Narrow" w:eastAsia="Calibri" w:hAnsi="Arial Narrow"/>
                <w:sz w:val="20"/>
              </w:rPr>
              <w:t xml:space="preserve">ame and </w:t>
            </w:r>
            <w:r>
              <w:rPr>
                <w:rFonts w:ascii="Arial Narrow" w:eastAsia="Calibri" w:hAnsi="Arial Narrow"/>
                <w:sz w:val="20"/>
              </w:rPr>
              <w:t>M</w:t>
            </w:r>
            <w:r w:rsidRPr="00F94F85">
              <w:rPr>
                <w:rFonts w:ascii="Arial Narrow" w:eastAsia="Calibri" w:hAnsi="Arial Narrow"/>
                <w:sz w:val="20"/>
              </w:rPr>
              <w:t>anufacturer</w:t>
            </w:r>
          </w:p>
        </w:tc>
      </w:tr>
      <w:tr w:rsidR="00B53B9A" w:rsidRPr="00F94F85" w14:paraId="29987F0C" w14:textId="77777777" w:rsidTr="002C6AEF">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tcPr>
          <w:p w14:paraId="07C54FD4" w14:textId="661F6172" w:rsidR="00B53B9A" w:rsidRDefault="00B53B9A" w:rsidP="00B53B9A">
            <w:pPr>
              <w:pStyle w:val="Tabletext0"/>
              <w:keepNext/>
              <w:rPr>
                <w:b w:val="0"/>
              </w:rPr>
            </w:pPr>
            <w:r w:rsidRPr="00DE25C0">
              <w:rPr>
                <w:b w:val="0"/>
                <w:smallCaps/>
              </w:rPr>
              <w:t>Evolocumab</w:t>
            </w:r>
            <w:r>
              <w:rPr>
                <w:b w:val="0"/>
              </w:rPr>
              <w:t xml:space="preserve">, </w:t>
            </w:r>
            <w:r w:rsidRPr="006415A5">
              <w:rPr>
                <w:b w:val="0"/>
              </w:rPr>
              <w:t>140 mg/mL injection, 1 mL injection device</w:t>
            </w:r>
          </w:p>
        </w:tc>
        <w:tc>
          <w:tcPr>
            <w:tcW w:w="822" w:type="dxa"/>
            <w:tcBorders>
              <w:top w:val="nil"/>
              <w:left w:val="nil"/>
              <w:bottom w:val="nil"/>
              <w:right w:val="nil"/>
            </w:tcBorders>
            <w:shd w:val="clear" w:color="auto" w:fill="auto"/>
          </w:tcPr>
          <w:p w14:paraId="4A2A3463" w14:textId="77777777" w:rsidR="00B53B9A" w:rsidRDefault="00B53B9A" w:rsidP="002C6AEF">
            <w:pPr>
              <w:keepNext/>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rPr>
            </w:pPr>
            <w:r>
              <w:rPr>
                <w:rFonts w:ascii="Arial Narrow" w:eastAsia="Calibri" w:hAnsi="Arial Narrow"/>
                <w:sz w:val="20"/>
              </w:rPr>
              <w:t>2</w:t>
            </w:r>
          </w:p>
        </w:tc>
        <w:tc>
          <w:tcPr>
            <w:tcW w:w="600" w:type="dxa"/>
            <w:tcBorders>
              <w:top w:val="nil"/>
              <w:left w:val="nil"/>
              <w:bottom w:val="nil"/>
              <w:right w:val="nil"/>
            </w:tcBorders>
            <w:shd w:val="clear" w:color="auto" w:fill="auto"/>
          </w:tcPr>
          <w:p w14:paraId="50288471" w14:textId="77777777" w:rsidR="00B53B9A" w:rsidRPr="00F94F85" w:rsidRDefault="00B53B9A" w:rsidP="002C6AEF">
            <w:pPr>
              <w:keepNext/>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rPr>
            </w:pPr>
            <w:r w:rsidRPr="00F94F85">
              <w:rPr>
                <w:rFonts w:ascii="Arial Narrow" w:eastAsia="Calibri" w:hAnsi="Arial Narrow"/>
                <w:sz w:val="20"/>
              </w:rPr>
              <w:t>5</w:t>
            </w:r>
          </w:p>
        </w:tc>
        <w:tc>
          <w:tcPr>
            <w:tcW w:w="1667" w:type="dxa"/>
            <w:tcBorders>
              <w:top w:val="nil"/>
              <w:left w:val="nil"/>
              <w:bottom w:val="nil"/>
              <w:right w:val="nil"/>
            </w:tcBorders>
            <w:shd w:val="clear" w:color="auto" w:fill="auto"/>
          </w:tcPr>
          <w:p w14:paraId="391EE408" w14:textId="2F32CF2B" w:rsidR="00B53B9A" w:rsidRPr="00D40FC0" w:rsidRDefault="00B53B9A" w:rsidP="002C6AEF">
            <w:pPr>
              <w:keepNext/>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rPr>
            </w:pPr>
            <w:r>
              <w:rPr>
                <w:rFonts w:ascii="Arial Narrow" w:eastAsia="Calibri" w:hAnsi="Arial Narrow"/>
                <w:sz w:val="20"/>
              </w:rPr>
              <w:t>$</w:t>
            </w:r>
            <w:r w:rsidR="00650CB8" w:rsidRPr="00650CB8">
              <w:rPr>
                <w:rFonts w:ascii="Arial Narrow" w:eastAsia="Calibri" w:hAnsi="Arial Narrow" w:hint="eastAsia"/>
                <w:color w:val="000000"/>
                <w:spacing w:val="10"/>
                <w:w w:val="33"/>
                <w:sz w:val="20"/>
                <w:shd w:val="solid" w:color="000000" w:fill="000000"/>
                <w:fitText w:val="150" w:id="-1435748864"/>
                <w14:textFill>
                  <w14:solidFill>
                    <w14:srgbClr w14:val="000000">
                      <w14:alpha w14:val="100000"/>
                    </w14:srgbClr>
                  </w14:solidFill>
                </w14:textFill>
              </w:rPr>
              <w:t xml:space="preserve">　</w:t>
            </w:r>
            <w:r w:rsidR="00650CB8" w:rsidRPr="00650CB8">
              <w:rPr>
                <w:rFonts w:ascii="Arial Narrow" w:eastAsia="Calibri" w:hAnsi="Arial Narrow"/>
                <w:color w:val="000000"/>
                <w:w w:val="33"/>
                <w:sz w:val="20"/>
                <w:shd w:val="solid" w:color="000000" w:fill="000000"/>
                <w:fitText w:val="150" w:id="-1435748864"/>
                <w14:textFill>
                  <w14:solidFill>
                    <w14:srgbClr w14:val="000000">
                      <w14:alpha w14:val="100000"/>
                    </w14:srgbClr>
                  </w14:solidFill>
                </w14:textFill>
              </w:rPr>
              <w:t>|</w:t>
            </w:r>
            <w:r w:rsidR="00650CB8" w:rsidRPr="00650CB8">
              <w:rPr>
                <w:rFonts w:ascii="Arial Narrow" w:eastAsia="Calibri" w:hAnsi="Arial Narrow" w:hint="eastAsia"/>
                <w:color w:val="000000"/>
                <w:w w:val="33"/>
                <w:sz w:val="20"/>
                <w:shd w:val="solid" w:color="000000" w:fill="000000"/>
                <w:fitText w:val="150" w:id="-1435748864"/>
                <w14:textFill>
                  <w14:solidFill>
                    <w14:srgbClr w14:val="000000">
                      <w14:alpha w14:val="100000"/>
                    </w14:srgbClr>
                  </w14:solidFill>
                </w14:textFill>
              </w:rPr>
              <w:t xml:space="preserve">　</w:t>
            </w:r>
            <w:r>
              <w:rPr>
                <w:rFonts w:ascii="Arial Narrow" w:eastAsia="Calibri" w:hAnsi="Arial Narrow"/>
                <w:sz w:val="20"/>
              </w:rPr>
              <w:t xml:space="preserve"> ($</w:t>
            </w:r>
            <w:r w:rsidR="00650CB8" w:rsidRPr="00650CB8">
              <w:rPr>
                <w:rFonts w:ascii="Arial Narrow" w:eastAsia="Calibri" w:hAnsi="Arial Narrow"/>
                <w:color w:val="000000"/>
                <w:spacing w:val="63"/>
                <w:sz w:val="20"/>
                <w:shd w:val="solid" w:color="000000" w:fill="000000"/>
                <w:fitText w:val="360" w:id="-1435748863"/>
                <w14:textFill>
                  <w14:solidFill>
                    <w14:srgbClr w14:val="000000">
                      <w14:alpha w14:val="100000"/>
                    </w14:srgbClr>
                  </w14:solidFill>
                </w14:textFill>
              </w:rPr>
              <w:t>|||</w:t>
            </w:r>
            <w:r w:rsidR="00650CB8" w:rsidRPr="00650CB8">
              <w:rPr>
                <w:rFonts w:ascii="Arial Narrow" w:eastAsia="Calibri" w:hAnsi="Arial Narrow"/>
                <w:color w:val="000000"/>
                <w:spacing w:val="1"/>
                <w:sz w:val="20"/>
                <w:shd w:val="solid" w:color="000000" w:fill="000000"/>
                <w:fitText w:val="360" w:id="-1435748863"/>
                <w14:textFill>
                  <w14:solidFill>
                    <w14:srgbClr w14:val="000000">
                      <w14:alpha w14:val="100000"/>
                    </w14:srgbClr>
                  </w14:solidFill>
                </w14:textFill>
              </w:rPr>
              <w:t>|</w:t>
            </w:r>
            <w:r w:rsidRPr="00D40FC0">
              <w:rPr>
                <w:rFonts w:ascii="Arial Narrow" w:eastAsia="Calibri" w:hAnsi="Arial Narrow"/>
                <w:sz w:val="20"/>
              </w:rPr>
              <w:t>)</w:t>
            </w:r>
          </w:p>
        </w:tc>
        <w:tc>
          <w:tcPr>
            <w:tcW w:w="1256" w:type="dxa"/>
            <w:vMerge w:val="restart"/>
            <w:tcBorders>
              <w:top w:val="nil"/>
              <w:left w:val="nil"/>
              <w:right w:val="nil"/>
            </w:tcBorders>
            <w:shd w:val="clear" w:color="auto" w:fill="auto"/>
            <w:vAlign w:val="center"/>
          </w:tcPr>
          <w:p w14:paraId="711ED50E" w14:textId="77777777" w:rsidR="00B53B9A" w:rsidRPr="00F94F85" w:rsidRDefault="00B53B9A" w:rsidP="00B53B9A">
            <w:pPr>
              <w:keepNext/>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rPr>
            </w:pPr>
            <w:r>
              <w:rPr>
                <w:rFonts w:ascii="Arial Narrow" w:eastAsia="Calibri" w:hAnsi="Arial Narrow"/>
                <w:sz w:val="20"/>
              </w:rPr>
              <w:t>Repatha</w:t>
            </w:r>
            <w:r w:rsidRPr="00F94F85">
              <w:rPr>
                <w:rFonts w:ascii="Arial Narrow" w:eastAsia="Calibri" w:hAnsi="Arial Narrow"/>
                <w:sz w:val="20"/>
                <w:vertAlign w:val="superscript"/>
              </w:rPr>
              <w:t>®</w:t>
            </w:r>
          </w:p>
          <w:p w14:paraId="46E0653C" w14:textId="31449EA7" w:rsidR="00B53B9A" w:rsidRDefault="00B53B9A" w:rsidP="002C6AEF">
            <w:pPr>
              <w:keepNext/>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rPr>
            </w:pPr>
            <w:r>
              <w:rPr>
                <w:rFonts w:ascii="Arial Narrow" w:eastAsia="Calibri" w:hAnsi="Arial Narrow"/>
                <w:sz w:val="20"/>
              </w:rPr>
              <w:t>Amgen</w:t>
            </w:r>
          </w:p>
        </w:tc>
      </w:tr>
      <w:tr w:rsidR="00B53B9A" w:rsidRPr="00F94F85" w14:paraId="28424E11" w14:textId="77777777" w:rsidTr="002C6AEF">
        <w:trPr>
          <w:trHeight w:val="113"/>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tcPr>
          <w:p w14:paraId="5A4EB770" w14:textId="5CEA46B4" w:rsidR="00B53B9A" w:rsidRPr="00B53B9A" w:rsidRDefault="00B53B9A" w:rsidP="00B53B9A">
            <w:pPr>
              <w:pStyle w:val="Tabletext0"/>
              <w:keepNext/>
              <w:rPr>
                <w:bCs w:val="0"/>
              </w:rPr>
            </w:pPr>
            <w:r w:rsidRPr="00DE25C0">
              <w:rPr>
                <w:b w:val="0"/>
                <w:smallCaps/>
              </w:rPr>
              <w:t>Evolocumab</w:t>
            </w:r>
            <w:r>
              <w:rPr>
                <w:b w:val="0"/>
              </w:rPr>
              <w:t xml:space="preserve">, </w:t>
            </w:r>
            <w:r w:rsidRPr="006415A5">
              <w:rPr>
                <w:b w:val="0"/>
              </w:rPr>
              <w:t>140 mg/mL injection, 1 mL injection device</w:t>
            </w:r>
          </w:p>
        </w:tc>
        <w:tc>
          <w:tcPr>
            <w:tcW w:w="822" w:type="dxa"/>
            <w:tcBorders>
              <w:top w:val="nil"/>
              <w:left w:val="nil"/>
              <w:bottom w:val="nil"/>
              <w:right w:val="nil"/>
            </w:tcBorders>
            <w:shd w:val="clear" w:color="auto" w:fill="auto"/>
          </w:tcPr>
          <w:p w14:paraId="6D1824D4" w14:textId="5E3EED84" w:rsidR="00B53B9A" w:rsidRPr="00725DDC" w:rsidRDefault="00B53B9A" w:rsidP="002C6AEF">
            <w:pPr>
              <w:keepNex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vertAlign w:val="superscript"/>
              </w:rPr>
            </w:pPr>
            <w:r>
              <w:rPr>
                <w:rFonts w:ascii="Arial Narrow" w:eastAsia="Calibri" w:hAnsi="Arial Narrow"/>
                <w:sz w:val="20"/>
              </w:rPr>
              <w:t>3</w:t>
            </w:r>
            <w:r w:rsidR="002C6AEF">
              <w:rPr>
                <w:rFonts w:ascii="Arial Narrow" w:eastAsia="Calibri" w:hAnsi="Arial Narrow"/>
                <w:sz w:val="20"/>
                <w:vertAlign w:val="superscript"/>
              </w:rPr>
              <w:t>b</w:t>
            </w:r>
          </w:p>
        </w:tc>
        <w:tc>
          <w:tcPr>
            <w:tcW w:w="600" w:type="dxa"/>
            <w:tcBorders>
              <w:top w:val="nil"/>
              <w:left w:val="nil"/>
              <w:bottom w:val="nil"/>
              <w:right w:val="nil"/>
            </w:tcBorders>
            <w:shd w:val="clear" w:color="auto" w:fill="auto"/>
          </w:tcPr>
          <w:p w14:paraId="5249C18A" w14:textId="77777777" w:rsidR="00B53B9A" w:rsidRPr="00F94F85" w:rsidRDefault="00B53B9A" w:rsidP="002C6AEF">
            <w:pPr>
              <w:keepNex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rPr>
            </w:pPr>
            <w:r w:rsidRPr="00F94F85">
              <w:rPr>
                <w:rFonts w:ascii="Arial Narrow" w:eastAsia="Calibri" w:hAnsi="Arial Narrow"/>
                <w:sz w:val="20"/>
              </w:rPr>
              <w:t>5</w:t>
            </w:r>
          </w:p>
        </w:tc>
        <w:tc>
          <w:tcPr>
            <w:tcW w:w="1667" w:type="dxa"/>
            <w:tcBorders>
              <w:top w:val="nil"/>
              <w:left w:val="nil"/>
              <w:bottom w:val="nil"/>
              <w:right w:val="nil"/>
            </w:tcBorders>
            <w:shd w:val="clear" w:color="auto" w:fill="auto"/>
          </w:tcPr>
          <w:p w14:paraId="010E9C45" w14:textId="4F4098A5" w:rsidR="00B53B9A" w:rsidRDefault="00B53B9A" w:rsidP="002C6AEF">
            <w:pPr>
              <w:keepNex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rPr>
            </w:pPr>
            <w:r>
              <w:rPr>
                <w:rFonts w:ascii="Arial Narrow" w:eastAsia="Calibri" w:hAnsi="Arial Narrow"/>
                <w:sz w:val="20"/>
              </w:rPr>
              <w:t>$</w:t>
            </w:r>
            <w:r w:rsidR="00650CB8" w:rsidRPr="00650CB8">
              <w:rPr>
                <w:rFonts w:ascii="Arial Narrow" w:eastAsia="Calibri" w:hAnsi="Arial Narrow" w:hint="eastAsia"/>
                <w:color w:val="000000"/>
                <w:spacing w:val="10"/>
                <w:w w:val="33"/>
                <w:sz w:val="20"/>
                <w:shd w:val="solid" w:color="000000" w:fill="000000"/>
                <w:fitText w:val="150" w:id="-1435748862"/>
                <w14:textFill>
                  <w14:solidFill>
                    <w14:srgbClr w14:val="000000">
                      <w14:alpha w14:val="100000"/>
                    </w14:srgbClr>
                  </w14:solidFill>
                </w14:textFill>
              </w:rPr>
              <w:t xml:space="preserve">　</w:t>
            </w:r>
            <w:r w:rsidR="00650CB8" w:rsidRPr="00650CB8">
              <w:rPr>
                <w:rFonts w:ascii="Arial Narrow" w:eastAsia="Calibri" w:hAnsi="Arial Narrow"/>
                <w:color w:val="000000"/>
                <w:w w:val="33"/>
                <w:sz w:val="20"/>
                <w:shd w:val="solid" w:color="000000" w:fill="000000"/>
                <w:fitText w:val="150" w:id="-1435748862"/>
                <w14:textFill>
                  <w14:solidFill>
                    <w14:srgbClr w14:val="000000">
                      <w14:alpha w14:val="100000"/>
                    </w14:srgbClr>
                  </w14:solidFill>
                </w14:textFill>
              </w:rPr>
              <w:t>|</w:t>
            </w:r>
            <w:r w:rsidR="00650CB8" w:rsidRPr="00650CB8">
              <w:rPr>
                <w:rFonts w:ascii="Arial Narrow" w:eastAsia="Calibri" w:hAnsi="Arial Narrow" w:hint="eastAsia"/>
                <w:color w:val="000000"/>
                <w:w w:val="33"/>
                <w:sz w:val="20"/>
                <w:shd w:val="solid" w:color="000000" w:fill="000000"/>
                <w:fitText w:val="150" w:id="-1435748862"/>
                <w14:textFill>
                  <w14:solidFill>
                    <w14:srgbClr w14:val="000000">
                      <w14:alpha w14:val="100000"/>
                    </w14:srgbClr>
                  </w14:solidFill>
                </w14:textFill>
              </w:rPr>
              <w:t xml:space="preserve">　</w:t>
            </w:r>
            <w:r>
              <w:rPr>
                <w:rFonts w:ascii="Arial Narrow" w:eastAsia="Calibri" w:hAnsi="Arial Narrow"/>
                <w:sz w:val="20"/>
              </w:rPr>
              <w:t xml:space="preserve"> ($</w:t>
            </w:r>
            <w:r w:rsidR="00650CB8" w:rsidRPr="00650CB8">
              <w:rPr>
                <w:rFonts w:ascii="Arial Narrow" w:eastAsia="Calibri" w:hAnsi="Arial Narrow"/>
                <w:color w:val="000000"/>
                <w:spacing w:val="63"/>
                <w:sz w:val="20"/>
                <w:shd w:val="solid" w:color="000000" w:fill="000000"/>
                <w:fitText w:val="360" w:id="-1435748861"/>
                <w14:textFill>
                  <w14:solidFill>
                    <w14:srgbClr w14:val="000000">
                      <w14:alpha w14:val="100000"/>
                    </w14:srgbClr>
                  </w14:solidFill>
                </w14:textFill>
              </w:rPr>
              <w:t>|||</w:t>
            </w:r>
            <w:r w:rsidR="00650CB8" w:rsidRPr="00650CB8">
              <w:rPr>
                <w:rFonts w:ascii="Arial Narrow" w:eastAsia="Calibri" w:hAnsi="Arial Narrow"/>
                <w:color w:val="000000"/>
                <w:spacing w:val="1"/>
                <w:sz w:val="20"/>
                <w:shd w:val="solid" w:color="000000" w:fill="000000"/>
                <w:fitText w:val="360" w:id="-1435748861"/>
                <w14:textFill>
                  <w14:solidFill>
                    <w14:srgbClr w14:val="000000">
                      <w14:alpha w14:val="100000"/>
                    </w14:srgbClr>
                  </w14:solidFill>
                </w14:textFill>
              </w:rPr>
              <w:t>|</w:t>
            </w:r>
            <w:r w:rsidRPr="00D40FC0">
              <w:rPr>
                <w:rFonts w:ascii="Arial Narrow" w:eastAsia="Calibri" w:hAnsi="Arial Narrow"/>
                <w:sz w:val="20"/>
              </w:rPr>
              <w:t>)</w:t>
            </w:r>
          </w:p>
        </w:tc>
        <w:tc>
          <w:tcPr>
            <w:tcW w:w="1256" w:type="dxa"/>
            <w:vMerge/>
            <w:tcBorders>
              <w:left w:val="nil"/>
              <w:right w:val="nil"/>
            </w:tcBorders>
            <w:shd w:val="clear" w:color="auto" w:fill="auto"/>
            <w:vAlign w:val="center"/>
          </w:tcPr>
          <w:p w14:paraId="5CCC64C2" w14:textId="23113A21" w:rsidR="00B53B9A" w:rsidRDefault="00B53B9A" w:rsidP="00B53B9A">
            <w:pPr>
              <w:keepNext/>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rPr>
            </w:pPr>
          </w:p>
        </w:tc>
      </w:tr>
      <w:tr w:rsidR="00B53B9A" w:rsidRPr="00F94F85" w14:paraId="3BC9E879" w14:textId="77777777" w:rsidTr="002C6AEF">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tcPr>
          <w:p w14:paraId="12B9AD68" w14:textId="22A73DA3" w:rsidR="00B53B9A" w:rsidRPr="00F94F85" w:rsidRDefault="00B53B9A" w:rsidP="002C6AEF">
            <w:pPr>
              <w:keepNext/>
              <w:jc w:val="left"/>
              <w:rPr>
                <w:rFonts w:ascii="Arial Narrow" w:eastAsia="Calibri" w:hAnsi="Arial Narrow"/>
                <w:b w:val="0"/>
                <w:bCs w:val="0"/>
                <w:sz w:val="20"/>
              </w:rPr>
            </w:pPr>
            <w:r w:rsidRPr="00DE25C0">
              <w:rPr>
                <w:rFonts w:ascii="Arial Narrow" w:eastAsia="Calibri" w:hAnsi="Arial Narrow"/>
                <w:b w:val="0"/>
                <w:smallCaps/>
                <w:sz w:val="20"/>
              </w:rPr>
              <w:t>Evolocumab</w:t>
            </w:r>
            <w:r>
              <w:rPr>
                <w:rFonts w:ascii="Arial Narrow" w:eastAsia="Calibri" w:hAnsi="Arial Narrow"/>
                <w:b w:val="0"/>
                <w:sz w:val="20"/>
              </w:rPr>
              <w:t>, 4</w:t>
            </w:r>
            <w:r w:rsidRPr="006415A5">
              <w:rPr>
                <w:rFonts w:ascii="Arial Narrow" w:eastAsia="Calibri" w:hAnsi="Arial Narrow"/>
                <w:b w:val="0"/>
                <w:sz w:val="20"/>
              </w:rPr>
              <w:t>20 mg/mL injection, 3.5 mL injection device</w:t>
            </w:r>
          </w:p>
        </w:tc>
        <w:tc>
          <w:tcPr>
            <w:tcW w:w="822" w:type="dxa"/>
            <w:tcBorders>
              <w:top w:val="nil"/>
              <w:left w:val="nil"/>
              <w:bottom w:val="nil"/>
              <w:right w:val="nil"/>
            </w:tcBorders>
            <w:shd w:val="clear" w:color="auto" w:fill="auto"/>
          </w:tcPr>
          <w:p w14:paraId="04D17757" w14:textId="77777777" w:rsidR="00B53B9A" w:rsidRPr="00F94F85" w:rsidRDefault="00B53B9A" w:rsidP="002C6AEF">
            <w:pPr>
              <w:keepNext/>
              <w:jc w:val="center"/>
              <w:cnfStyle w:val="000000100000" w:firstRow="0" w:lastRow="0" w:firstColumn="0" w:lastColumn="0" w:oddVBand="0" w:evenVBand="0" w:oddHBand="1" w:evenHBand="0" w:firstRowFirstColumn="0" w:firstRowLastColumn="0" w:lastRowFirstColumn="0" w:lastRowLastColumn="0"/>
              <w:rPr>
                <w:rFonts w:ascii="Times" w:eastAsia="Calibri" w:hAnsi="Times"/>
                <w:sz w:val="20"/>
              </w:rPr>
            </w:pPr>
            <w:r>
              <w:rPr>
                <w:rFonts w:ascii="Arial Narrow" w:eastAsia="Calibri" w:hAnsi="Arial Narrow"/>
                <w:sz w:val="20"/>
              </w:rPr>
              <w:t>1</w:t>
            </w:r>
          </w:p>
        </w:tc>
        <w:tc>
          <w:tcPr>
            <w:tcW w:w="600" w:type="dxa"/>
            <w:tcBorders>
              <w:top w:val="nil"/>
              <w:left w:val="nil"/>
              <w:bottom w:val="nil"/>
              <w:right w:val="nil"/>
            </w:tcBorders>
            <w:shd w:val="clear" w:color="auto" w:fill="auto"/>
          </w:tcPr>
          <w:p w14:paraId="72DBF049" w14:textId="77777777" w:rsidR="00B53B9A" w:rsidRPr="00F94F85" w:rsidRDefault="00B53B9A" w:rsidP="002C6AEF">
            <w:pPr>
              <w:keepNext/>
              <w:jc w:val="center"/>
              <w:cnfStyle w:val="000000100000" w:firstRow="0" w:lastRow="0" w:firstColumn="0" w:lastColumn="0" w:oddVBand="0" w:evenVBand="0" w:oddHBand="1" w:evenHBand="0" w:firstRowFirstColumn="0" w:firstRowLastColumn="0" w:lastRowFirstColumn="0" w:lastRowLastColumn="0"/>
              <w:rPr>
                <w:rFonts w:ascii="Times" w:eastAsia="Calibri" w:hAnsi="Times"/>
                <w:sz w:val="20"/>
              </w:rPr>
            </w:pPr>
            <w:r w:rsidRPr="00F94F85">
              <w:rPr>
                <w:rFonts w:ascii="Arial Narrow" w:eastAsia="Calibri" w:hAnsi="Arial Narrow"/>
                <w:sz w:val="20"/>
              </w:rPr>
              <w:t>5</w:t>
            </w:r>
          </w:p>
        </w:tc>
        <w:tc>
          <w:tcPr>
            <w:tcW w:w="1667" w:type="dxa"/>
            <w:tcBorders>
              <w:top w:val="nil"/>
              <w:left w:val="nil"/>
              <w:bottom w:val="nil"/>
              <w:right w:val="nil"/>
            </w:tcBorders>
            <w:shd w:val="clear" w:color="auto" w:fill="auto"/>
          </w:tcPr>
          <w:p w14:paraId="1EC1D1E3" w14:textId="6500421E" w:rsidR="00B53B9A" w:rsidRPr="00D40FC0" w:rsidRDefault="00B53B9A" w:rsidP="002C6AEF">
            <w:pPr>
              <w:keepNext/>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rPr>
            </w:pPr>
            <w:r>
              <w:rPr>
                <w:rFonts w:ascii="Arial Narrow" w:eastAsia="Calibri" w:hAnsi="Arial Narrow"/>
                <w:sz w:val="20"/>
              </w:rPr>
              <w:t>$</w:t>
            </w:r>
            <w:r w:rsidR="00650CB8" w:rsidRPr="00650CB8">
              <w:rPr>
                <w:rFonts w:ascii="Arial Narrow" w:eastAsia="Calibri" w:hAnsi="Arial Narrow" w:hint="eastAsia"/>
                <w:color w:val="000000"/>
                <w:spacing w:val="10"/>
                <w:w w:val="33"/>
                <w:sz w:val="20"/>
                <w:shd w:val="solid" w:color="000000" w:fill="000000"/>
                <w:fitText w:val="150" w:id="-1435748860"/>
                <w14:textFill>
                  <w14:solidFill>
                    <w14:srgbClr w14:val="000000">
                      <w14:alpha w14:val="100000"/>
                    </w14:srgbClr>
                  </w14:solidFill>
                </w14:textFill>
              </w:rPr>
              <w:t xml:space="preserve">　</w:t>
            </w:r>
            <w:r w:rsidR="00650CB8" w:rsidRPr="00650CB8">
              <w:rPr>
                <w:rFonts w:ascii="Arial Narrow" w:eastAsia="Calibri" w:hAnsi="Arial Narrow"/>
                <w:color w:val="000000"/>
                <w:w w:val="33"/>
                <w:sz w:val="20"/>
                <w:shd w:val="solid" w:color="000000" w:fill="000000"/>
                <w:fitText w:val="150" w:id="-1435748860"/>
                <w14:textFill>
                  <w14:solidFill>
                    <w14:srgbClr w14:val="000000">
                      <w14:alpha w14:val="100000"/>
                    </w14:srgbClr>
                  </w14:solidFill>
                </w14:textFill>
              </w:rPr>
              <w:t>|</w:t>
            </w:r>
            <w:r w:rsidR="00650CB8" w:rsidRPr="00650CB8">
              <w:rPr>
                <w:rFonts w:ascii="Arial Narrow" w:eastAsia="Calibri" w:hAnsi="Arial Narrow" w:hint="eastAsia"/>
                <w:color w:val="000000"/>
                <w:w w:val="33"/>
                <w:sz w:val="20"/>
                <w:shd w:val="solid" w:color="000000" w:fill="000000"/>
                <w:fitText w:val="150" w:id="-1435748860"/>
                <w14:textFill>
                  <w14:solidFill>
                    <w14:srgbClr w14:val="000000">
                      <w14:alpha w14:val="100000"/>
                    </w14:srgbClr>
                  </w14:solidFill>
                </w14:textFill>
              </w:rPr>
              <w:t xml:space="preserve">　</w:t>
            </w:r>
            <w:r>
              <w:rPr>
                <w:rFonts w:ascii="Arial Narrow" w:eastAsia="Calibri" w:hAnsi="Arial Narrow"/>
                <w:sz w:val="20"/>
              </w:rPr>
              <w:t xml:space="preserve"> ($</w:t>
            </w:r>
            <w:r w:rsidR="00650CB8" w:rsidRPr="00650CB8">
              <w:rPr>
                <w:rFonts w:ascii="Arial Narrow" w:eastAsia="Calibri" w:hAnsi="Arial Narrow"/>
                <w:color w:val="000000"/>
                <w:spacing w:val="63"/>
                <w:sz w:val="20"/>
                <w:shd w:val="solid" w:color="000000" w:fill="000000"/>
                <w:fitText w:val="360" w:id="-1435748859"/>
                <w14:textFill>
                  <w14:solidFill>
                    <w14:srgbClr w14:val="000000">
                      <w14:alpha w14:val="100000"/>
                    </w14:srgbClr>
                  </w14:solidFill>
                </w14:textFill>
              </w:rPr>
              <w:t>|||</w:t>
            </w:r>
            <w:r w:rsidR="00650CB8" w:rsidRPr="00650CB8">
              <w:rPr>
                <w:rFonts w:ascii="Arial Narrow" w:eastAsia="Calibri" w:hAnsi="Arial Narrow"/>
                <w:color w:val="000000"/>
                <w:spacing w:val="1"/>
                <w:sz w:val="20"/>
                <w:shd w:val="solid" w:color="000000" w:fill="000000"/>
                <w:fitText w:val="360" w:id="-1435748859"/>
                <w14:textFill>
                  <w14:solidFill>
                    <w14:srgbClr w14:val="000000">
                      <w14:alpha w14:val="100000"/>
                    </w14:srgbClr>
                  </w14:solidFill>
                </w14:textFill>
              </w:rPr>
              <w:t>|</w:t>
            </w:r>
            <w:r w:rsidRPr="00D40FC0">
              <w:rPr>
                <w:rFonts w:ascii="Arial Narrow" w:eastAsia="Calibri" w:hAnsi="Arial Narrow"/>
                <w:sz w:val="20"/>
              </w:rPr>
              <w:t>)</w:t>
            </w:r>
          </w:p>
        </w:tc>
        <w:tc>
          <w:tcPr>
            <w:tcW w:w="1256" w:type="dxa"/>
            <w:vMerge/>
            <w:tcBorders>
              <w:left w:val="nil"/>
              <w:bottom w:val="nil"/>
              <w:right w:val="nil"/>
            </w:tcBorders>
            <w:shd w:val="clear" w:color="auto" w:fill="auto"/>
            <w:vAlign w:val="center"/>
          </w:tcPr>
          <w:p w14:paraId="1712801F" w14:textId="3D9BC8B2" w:rsidR="00B53B9A" w:rsidRPr="00F94F85" w:rsidRDefault="00B53B9A" w:rsidP="00B53B9A">
            <w:pPr>
              <w:keepNext/>
              <w:jc w:val="center"/>
              <w:cnfStyle w:val="000000100000" w:firstRow="0" w:lastRow="0" w:firstColumn="0" w:lastColumn="0" w:oddVBand="0" w:evenVBand="0" w:oddHBand="1" w:evenHBand="0" w:firstRowFirstColumn="0" w:firstRowLastColumn="0" w:lastRowFirstColumn="0" w:lastRowLastColumn="0"/>
              <w:rPr>
                <w:rFonts w:ascii="Times" w:eastAsia="Calibri" w:hAnsi="Times"/>
                <w:sz w:val="20"/>
              </w:rPr>
            </w:pPr>
          </w:p>
        </w:tc>
      </w:tr>
    </w:tbl>
    <w:p w14:paraId="6B13C12F" w14:textId="1A4E4226" w:rsidR="00964BFE" w:rsidRDefault="00964BFE" w:rsidP="00964BFE">
      <w:pPr>
        <w:pStyle w:val="TableFigureFooter"/>
      </w:pPr>
      <w:r>
        <w:rPr>
          <w:vertAlign w:val="superscript"/>
        </w:rPr>
        <w:t>a</w:t>
      </w:r>
      <w:r>
        <w:t xml:space="preserve"> Effective price is for the </w:t>
      </w:r>
      <w:r w:rsidR="000F7B50">
        <w:t xml:space="preserve">extended </w:t>
      </w:r>
      <w:r>
        <w:t>population only</w:t>
      </w:r>
      <w:r w:rsidR="000F7B50">
        <w:t xml:space="preserve"> (LDL-C &gt; 1.8 and ≤ 2.6 mmol/L)</w:t>
      </w:r>
      <w:r>
        <w:t>.</w:t>
      </w:r>
      <w:r w:rsidR="002C6AEF">
        <w:t xml:space="preserve"> </w:t>
      </w:r>
    </w:p>
    <w:p w14:paraId="11D3168A" w14:textId="5B269CEF" w:rsidR="00964BFE" w:rsidRPr="00FF4735" w:rsidRDefault="002C6AEF" w:rsidP="00964BFE">
      <w:pPr>
        <w:pStyle w:val="TableFigureFooter"/>
        <w:rPr>
          <w:iCs/>
        </w:rPr>
      </w:pPr>
      <w:r>
        <w:rPr>
          <w:vertAlign w:val="superscript"/>
        </w:rPr>
        <w:t>b</w:t>
      </w:r>
      <w:r w:rsidR="00964BFE">
        <w:rPr>
          <w:vertAlign w:val="superscript"/>
        </w:rPr>
        <w:t xml:space="preserve"> </w:t>
      </w:r>
      <w:r w:rsidR="00964BFE">
        <w:t xml:space="preserve">Applies to the homozygous familial hypercholesterolaemia listing only; </w:t>
      </w:r>
      <w:r w:rsidR="00964BFE" w:rsidRPr="00FF4735">
        <w:rPr>
          <w:iCs/>
        </w:rPr>
        <w:t>effective price calculated during the evaluation</w:t>
      </w:r>
      <w:r w:rsidR="009C1FBD">
        <w:rPr>
          <w:iCs/>
        </w:rPr>
        <w:t xml:space="preserve"> to adjust for maximum quantity of 3</w:t>
      </w:r>
      <w:r>
        <w:rPr>
          <w:iCs/>
        </w:rPr>
        <w:t>.</w:t>
      </w:r>
    </w:p>
    <w:tbl>
      <w:tblPr>
        <w:tblW w:w="5000" w:type="pct"/>
        <w:tblLook w:val="0000" w:firstRow="0" w:lastRow="0" w:firstColumn="0" w:lastColumn="0" w:noHBand="0" w:noVBand="0"/>
      </w:tblPr>
      <w:tblGrid>
        <w:gridCol w:w="1838"/>
        <w:gridCol w:w="7179"/>
      </w:tblGrid>
      <w:tr w:rsidR="00FB1CC6" w14:paraId="6B66D02F" w14:textId="77777777" w:rsidTr="002C6AEF">
        <w:tc>
          <w:tcPr>
            <w:tcW w:w="1019" w:type="pct"/>
            <w:tcBorders>
              <w:top w:val="single" w:sz="4" w:space="0" w:color="auto"/>
              <w:left w:val="single" w:sz="4" w:space="0" w:color="auto"/>
              <w:bottom w:val="single" w:sz="4" w:space="0" w:color="auto"/>
              <w:right w:val="single" w:sz="4" w:space="0" w:color="auto"/>
            </w:tcBorders>
          </w:tcPr>
          <w:p w14:paraId="616CD77D" w14:textId="77777777" w:rsidR="00FB1CC6" w:rsidRPr="006C3255" w:rsidRDefault="00FB1CC6" w:rsidP="00BF34B1">
            <w:pPr>
              <w:pStyle w:val="TableText"/>
              <w:keepNext w:val="0"/>
              <w:rPr>
                <w:b/>
              </w:rPr>
            </w:pPr>
            <w:r w:rsidRPr="00746BC0">
              <w:rPr>
                <w:b/>
              </w:rPr>
              <w:t>Category / Program:</w:t>
            </w:r>
          </w:p>
        </w:tc>
        <w:tc>
          <w:tcPr>
            <w:tcW w:w="3981" w:type="pct"/>
            <w:tcBorders>
              <w:top w:val="single" w:sz="4" w:space="0" w:color="auto"/>
              <w:left w:val="single" w:sz="4" w:space="0" w:color="auto"/>
              <w:bottom w:val="single" w:sz="4" w:space="0" w:color="auto"/>
              <w:right w:val="single" w:sz="4" w:space="0" w:color="auto"/>
            </w:tcBorders>
          </w:tcPr>
          <w:p w14:paraId="2793C7DA" w14:textId="77777777" w:rsidR="00FB1CC6" w:rsidRDefault="00FB1CC6" w:rsidP="00BF34B1">
            <w:pPr>
              <w:pStyle w:val="TableText"/>
              <w:keepNext w:val="0"/>
            </w:pPr>
            <w:r>
              <w:t>GENERAL – General Schedule (Code GE)</w:t>
            </w:r>
          </w:p>
        </w:tc>
      </w:tr>
      <w:tr w:rsidR="00FB1CC6" w14:paraId="17D973C9" w14:textId="77777777" w:rsidTr="002C6AEF">
        <w:tc>
          <w:tcPr>
            <w:tcW w:w="1019" w:type="pct"/>
            <w:tcBorders>
              <w:top w:val="single" w:sz="4" w:space="0" w:color="auto"/>
              <w:left w:val="single" w:sz="4" w:space="0" w:color="auto"/>
              <w:bottom w:val="single" w:sz="4" w:space="0" w:color="auto"/>
              <w:right w:val="single" w:sz="4" w:space="0" w:color="auto"/>
            </w:tcBorders>
          </w:tcPr>
          <w:p w14:paraId="624D7AAE" w14:textId="77777777" w:rsidR="00FB1CC6" w:rsidRPr="006C3255" w:rsidRDefault="00FB1CC6" w:rsidP="00BF34B1">
            <w:pPr>
              <w:pStyle w:val="TableText"/>
              <w:keepNext w:val="0"/>
              <w:rPr>
                <w:b/>
              </w:rPr>
            </w:pPr>
            <w:r w:rsidRPr="00746BC0">
              <w:rPr>
                <w:b/>
              </w:rPr>
              <w:t>Prescriber type:</w:t>
            </w:r>
          </w:p>
        </w:tc>
        <w:tc>
          <w:tcPr>
            <w:tcW w:w="3981" w:type="pct"/>
            <w:tcBorders>
              <w:top w:val="single" w:sz="4" w:space="0" w:color="auto"/>
              <w:left w:val="single" w:sz="4" w:space="0" w:color="auto"/>
              <w:bottom w:val="single" w:sz="4" w:space="0" w:color="auto"/>
              <w:right w:val="single" w:sz="4" w:space="0" w:color="auto"/>
            </w:tcBorders>
          </w:tcPr>
          <w:p w14:paraId="2BB9F42F" w14:textId="1BB6F173" w:rsidR="00FB1CC6" w:rsidRDefault="00FB1CC6" w:rsidP="00B7733B">
            <w:pPr>
              <w:pStyle w:val="TableText"/>
              <w:keepNext w:val="0"/>
            </w:pPr>
            <w:r>
              <w:t xml:space="preserve">Medical Practitioners </w:t>
            </w:r>
          </w:p>
        </w:tc>
      </w:tr>
      <w:tr w:rsidR="00FB1CC6" w14:paraId="4408BB69" w14:textId="77777777" w:rsidTr="002C6AEF">
        <w:tc>
          <w:tcPr>
            <w:tcW w:w="1019" w:type="pct"/>
            <w:tcBorders>
              <w:top w:val="single" w:sz="4" w:space="0" w:color="auto"/>
              <w:left w:val="single" w:sz="4" w:space="0" w:color="auto"/>
              <w:bottom w:val="single" w:sz="4" w:space="0" w:color="auto"/>
              <w:right w:val="single" w:sz="4" w:space="0" w:color="auto"/>
            </w:tcBorders>
          </w:tcPr>
          <w:p w14:paraId="5415FDAE" w14:textId="77777777" w:rsidR="00FB1CC6" w:rsidRPr="006C3255" w:rsidRDefault="00FB1CC6" w:rsidP="00BF34B1">
            <w:pPr>
              <w:pStyle w:val="TableText"/>
              <w:keepNext w:val="0"/>
              <w:rPr>
                <w:b/>
              </w:rPr>
            </w:pPr>
            <w:r w:rsidRPr="006C3255">
              <w:rPr>
                <w:b/>
              </w:rPr>
              <w:t>PBS Indication:</w:t>
            </w:r>
          </w:p>
        </w:tc>
        <w:tc>
          <w:tcPr>
            <w:tcW w:w="3981" w:type="pct"/>
            <w:tcBorders>
              <w:top w:val="single" w:sz="4" w:space="0" w:color="auto"/>
              <w:left w:val="single" w:sz="4" w:space="0" w:color="auto"/>
              <w:bottom w:val="single" w:sz="4" w:space="0" w:color="auto"/>
              <w:right w:val="single" w:sz="4" w:space="0" w:color="auto"/>
            </w:tcBorders>
          </w:tcPr>
          <w:p w14:paraId="6AB1DA18" w14:textId="77777777" w:rsidR="00FB1CC6" w:rsidRDefault="00FB1CC6" w:rsidP="00BF34B1">
            <w:pPr>
              <w:pStyle w:val="TableText"/>
              <w:keepNext w:val="0"/>
            </w:pPr>
            <w:r>
              <w:t>Non-familial hypercholesterolaemia</w:t>
            </w:r>
          </w:p>
        </w:tc>
      </w:tr>
      <w:tr w:rsidR="00FB1CC6" w14:paraId="2EB0B83D" w14:textId="77777777" w:rsidTr="002C6AEF">
        <w:tc>
          <w:tcPr>
            <w:tcW w:w="1019" w:type="pct"/>
            <w:tcBorders>
              <w:top w:val="single" w:sz="4" w:space="0" w:color="auto"/>
              <w:left w:val="single" w:sz="4" w:space="0" w:color="auto"/>
              <w:bottom w:val="single" w:sz="4" w:space="0" w:color="auto"/>
              <w:right w:val="single" w:sz="4" w:space="0" w:color="auto"/>
            </w:tcBorders>
          </w:tcPr>
          <w:p w14:paraId="1E0A8C2E" w14:textId="77777777" w:rsidR="00FB1CC6" w:rsidRPr="00234D91" w:rsidRDefault="00FB1CC6" w:rsidP="00BF34B1">
            <w:pPr>
              <w:pStyle w:val="TableText"/>
              <w:keepNext w:val="0"/>
              <w:rPr>
                <w:b/>
              </w:rPr>
            </w:pPr>
            <w:r w:rsidRPr="006C3255">
              <w:rPr>
                <w:b/>
              </w:rPr>
              <w:t>Treatment phase:</w:t>
            </w:r>
          </w:p>
        </w:tc>
        <w:tc>
          <w:tcPr>
            <w:tcW w:w="3981" w:type="pct"/>
            <w:tcBorders>
              <w:top w:val="single" w:sz="4" w:space="0" w:color="auto"/>
              <w:left w:val="single" w:sz="4" w:space="0" w:color="auto"/>
              <w:bottom w:val="single" w:sz="4" w:space="0" w:color="auto"/>
              <w:right w:val="single" w:sz="4" w:space="0" w:color="auto"/>
            </w:tcBorders>
          </w:tcPr>
          <w:p w14:paraId="15B07CCE" w14:textId="77777777" w:rsidR="00FB1CC6" w:rsidRDefault="00FB1CC6" w:rsidP="00BF34B1">
            <w:pPr>
              <w:pStyle w:val="TableText"/>
              <w:keepNext w:val="0"/>
            </w:pPr>
            <w:r>
              <w:t>Initial treatment</w:t>
            </w:r>
          </w:p>
        </w:tc>
      </w:tr>
      <w:tr w:rsidR="00FB1CC6" w14:paraId="7B5CBAFC" w14:textId="77777777" w:rsidTr="002C6AEF">
        <w:tc>
          <w:tcPr>
            <w:tcW w:w="1019" w:type="pct"/>
            <w:tcBorders>
              <w:top w:val="single" w:sz="4" w:space="0" w:color="auto"/>
              <w:left w:val="single" w:sz="4" w:space="0" w:color="auto"/>
              <w:bottom w:val="single" w:sz="4" w:space="0" w:color="auto"/>
              <w:right w:val="single" w:sz="4" w:space="0" w:color="auto"/>
            </w:tcBorders>
          </w:tcPr>
          <w:p w14:paraId="4C98C7FD" w14:textId="77777777" w:rsidR="00FB1CC6" w:rsidRPr="00045A2B" w:rsidRDefault="00FB1CC6" w:rsidP="00BF34B1">
            <w:pPr>
              <w:pStyle w:val="TableText"/>
              <w:keepNext w:val="0"/>
              <w:rPr>
                <w:i/>
              </w:rPr>
            </w:pPr>
            <w:r w:rsidRPr="006C3255">
              <w:rPr>
                <w:b/>
              </w:rPr>
              <w:t>Restriction:</w:t>
            </w:r>
          </w:p>
        </w:tc>
        <w:tc>
          <w:tcPr>
            <w:tcW w:w="3981" w:type="pct"/>
            <w:tcBorders>
              <w:top w:val="single" w:sz="4" w:space="0" w:color="auto"/>
              <w:left w:val="single" w:sz="4" w:space="0" w:color="auto"/>
              <w:bottom w:val="single" w:sz="4" w:space="0" w:color="auto"/>
              <w:right w:val="single" w:sz="4" w:space="0" w:color="auto"/>
            </w:tcBorders>
          </w:tcPr>
          <w:p w14:paraId="08BDFB42" w14:textId="642E1A2F" w:rsidR="00FB1CC6" w:rsidRPr="00523D98" w:rsidRDefault="00FB1CC6" w:rsidP="00964BFE">
            <w:pPr>
              <w:pStyle w:val="TableText"/>
              <w:keepNext w:val="0"/>
              <w:rPr>
                <w:rFonts w:eastAsia="Times New Roman" w:cs="Times New Roman"/>
              </w:rPr>
            </w:pPr>
            <w:r w:rsidRPr="007502C3">
              <w:rPr>
                <w:rFonts w:eastAsia="Times New Roman" w:cs="Times New Roman"/>
              </w:rPr>
              <w:t xml:space="preserve">Authority Required </w:t>
            </w:r>
            <w:r w:rsidR="00197E97">
              <w:rPr>
                <w:rFonts w:eastAsia="Times New Roman" w:cs="Times New Roman"/>
              </w:rPr>
              <w:t>–</w:t>
            </w:r>
            <w:r w:rsidRPr="007502C3">
              <w:rPr>
                <w:rFonts w:eastAsia="Times New Roman" w:cs="Times New Roman"/>
              </w:rPr>
              <w:t xml:space="preserve"> Telephone</w:t>
            </w:r>
            <w:r w:rsidR="00964BFE">
              <w:rPr>
                <w:rFonts w:eastAsia="Times New Roman" w:cs="Times New Roman"/>
              </w:rPr>
              <w:t>/Emergency/Electronic</w:t>
            </w:r>
          </w:p>
        </w:tc>
      </w:tr>
      <w:tr w:rsidR="00FB1CC6" w14:paraId="4C8D5295" w14:textId="77777777" w:rsidTr="002C6AEF">
        <w:tc>
          <w:tcPr>
            <w:tcW w:w="1019" w:type="pct"/>
            <w:tcBorders>
              <w:top w:val="single" w:sz="4" w:space="0" w:color="auto"/>
              <w:left w:val="single" w:sz="4" w:space="0" w:color="auto"/>
              <w:bottom w:val="single" w:sz="4" w:space="0" w:color="auto"/>
              <w:right w:val="single" w:sz="4" w:space="0" w:color="auto"/>
            </w:tcBorders>
          </w:tcPr>
          <w:p w14:paraId="2F7E559A" w14:textId="77777777" w:rsidR="00FB1CC6" w:rsidRPr="00234D91" w:rsidRDefault="00FB1CC6" w:rsidP="00BF34B1">
            <w:pPr>
              <w:pStyle w:val="TableText"/>
              <w:keepNext w:val="0"/>
              <w:rPr>
                <w:b/>
              </w:rPr>
            </w:pPr>
            <w:r w:rsidRPr="006C3255">
              <w:rPr>
                <w:b/>
              </w:rPr>
              <w:t>Clinical criteria:</w:t>
            </w:r>
          </w:p>
        </w:tc>
        <w:tc>
          <w:tcPr>
            <w:tcW w:w="3981" w:type="pct"/>
            <w:tcBorders>
              <w:top w:val="single" w:sz="4" w:space="0" w:color="auto"/>
              <w:left w:val="single" w:sz="4" w:space="0" w:color="auto"/>
              <w:bottom w:val="single" w:sz="4" w:space="0" w:color="auto"/>
              <w:right w:val="single" w:sz="4" w:space="0" w:color="auto"/>
            </w:tcBorders>
          </w:tcPr>
          <w:p w14:paraId="1CA6B8C2" w14:textId="77777777" w:rsidR="00FB1CC6" w:rsidRPr="00D014F2" w:rsidRDefault="00FB1CC6" w:rsidP="000E27D0">
            <w:pPr>
              <w:pStyle w:val="TableText"/>
              <w:keepNext w:val="0"/>
              <w:numPr>
                <w:ilvl w:val="0"/>
                <w:numId w:val="7"/>
              </w:numPr>
              <w:ind w:left="53" w:hanging="142"/>
              <w:rPr>
                <w:szCs w:val="20"/>
              </w:rPr>
            </w:pPr>
            <w:r w:rsidRPr="00D014F2">
              <w:rPr>
                <w:szCs w:val="20"/>
              </w:rPr>
              <w:t>The treatment must be in conjunction with dietary therapy and exercise,</w:t>
            </w:r>
          </w:p>
          <w:p w14:paraId="430AACB7" w14:textId="77777777" w:rsidR="00FB1CC6" w:rsidRPr="00D014F2" w:rsidRDefault="00FB1CC6" w:rsidP="00BF34B1">
            <w:pPr>
              <w:pStyle w:val="TableText"/>
              <w:keepNext w:val="0"/>
              <w:ind w:left="53" w:hanging="142"/>
              <w:rPr>
                <w:szCs w:val="20"/>
              </w:rPr>
            </w:pPr>
            <w:r w:rsidRPr="00D014F2">
              <w:rPr>
                <w:szCs w:val="20"/>
              </w:rPr>
              <w:t>AND</w:t>
            </w:r>
          </w:p>
          <w:p w14:paraId="0B90B1D7" w14:textId="77777777" w:rsidR="00FB1CC6" w:rsidRPr="00D014F2" w:rsidRDefault="00FB1CC6" w:rsidP="000E27D0">
            <w:pPr>
              <w:pStyle w:val="TableText"/>
              <w:keepNext w:val="0"/>
              <w:numPr>
                <w:ilvl w:val="0"/>
                <w:numId w:val="7"/>
              </w:numPr>
              <w:ind w:left="53" w:hanging="142"/>
              <w:rPr>
                <w:szCs w:val="20"/>
              </w:rPr>
            </w:pPr>
            <w:r w:rsidRPr="00D014F2">
              <w:rPr>
                <w:szCs w:val="20"/>
              </w:rPr>
              <w:t>Patient must not be receiving concomitant PBS-subsidised treatment with another drug that belongs to the same pharmacological class as this drug,</w:t>
            </w:r>
          </w:p>
          <w:p w14:paraId="490331EA" w14:textId="77777777" w:rsidR="00FB1CC6" w:rsidRPr="00D014F2" w:rsidRDefault="00FB1CC6" w:rsidP="00BF34B1">
            <w:pPr>
              <w:pStyle w:val="TableText"/>
              <w:keepNext w:val="0"/>
              <w:ind w:left="53" w:hanging="142"/>
              <w:rPr>
                <w:szCs w:val="20"/>
              </w:rPr>
            </w:pPr>
            <w:r w:rsidRPr="00D014F2">
              <w:rPr>
                <w:szCs w:val="20"/>
              </w:rPr>
              <w:t>AND</w:t>
            </w:r>
          </w:p>
          <w:p w14:paraId="1A9EA950" w14:textId="77777777" w:rsidR="00FB1CC6" w:rsidRPr="00D014F2" w:rsidRDefault="00FB1CC6" w:rsidP="000E27D0">
            <w:pPr>
              <w:pStyle w:val="TableText"/>
              <w:keepNext w:val="0"/>
              <w:numPr>
                <w:ilvl w:val="0"/>
                <w:numId w:val="7"/>
              </w:numPr>
              <w:ind w:left="53" w:hanging="142"/>
              <w:rPr>
                <w:szCs w:val="20"/>
              </w:rPr>
            </w:pPr>
            <w:r w:rsidRPr="00D014F2">
              <w:rPr>
                <w:szCs w:val="20"/>
              </w:rPr>
              <w:t xml:space="preserve">Patient must have </w:t>
            </w:r>
            <w:r w:rsidRPr="00D014F2">
              <w:rPr>
                <w:color w:val="000000"/>
                <w:szCs w:val="20"/>
              </w:rPr>
              <w:t xml:space="preserve">symptomatic atherosclerotic cardiovascular disease, </w:t>
            </w:r>
          </w:p>
          <w:p w14:paraId="53D22A98" w14:textId="77777777" w:rsidR="00FB1CC6" w:rsidRPr="00D014F2" w:rsidRDefault="00FB1CC6" w:rsidP="00BF34B1">
            <w:pPr>
              <w:pStyle w:val="TableText"/>
              <w:keepNext w:val="0"/>
              <w:ind w:left="53" w:hanging="142"/>
              <w:rPr>
                <w:szCs w:val="20"/>
              </w:rPr>
            </w:pPr>
            <w:r w:rsidRPr="00D014F2">
              <w:rPr>
                <w:szCs w:val="20"/>
              </w:rPr>
              <w:t>AND</w:t>
            </w:r>
          </w:p>
          <w:p w14:paraId="40B8DC77" w14:textId="77777777" w:rsidR="00FB1CC6" w:rsidRPr="00D014F2" w:rsidRDefault="00FB1CC6" w:rsidP="000E27D0">
            <w:pPr>
              <w:pStyle w:val="TableText"/>
              <w:keepNext w:val="0"/>
              <w:numPr>
                <w:ilvl w:val="0"/>
                <w:numId w:val="7"/>
              </w:numPr>
              <w:ind w:left="53" w:hanging="142"/>
              <w:rPr>
                <w:szCs w:val="20"/>
              </w:rPr>
            </w:pPr>
            <w:r w:rsidRPr="00D014F2">
              <w:rPr>
                <w:szCs w:val="20"/>
              </w:rPr>
              <w:t xml:space="preserve">Patient must have an LDL cholesterol level in </w:t>
            </w:r>
            <w:r w:rsidRPr="00081857">
              <w:rPr>
                <w:szCs w:val="20"/>
              </w:rPr>
              <w:t xml:space="preserve">excess of </w:t>
            </w:r>
            <w:r w:rsidRPr="00081857">
              <w:rPr>
                <w:strike/>
                <w:szCs w:val="20"/>
              </w:rPr>
              <w:t>2.6</w:t>
            </w:r>
            <w:r w:rsidRPr="00081857">
              <w:rPr>
                <w:szCs w:val="20"/>
              </w:rPr>
              <w:t xml:space="preserve"> </w:t>
            </w:r>
            <w:r w:rsidRPr="00081857">
              <w:rPr>
                <w:szCs w:val="20"/>
                <w:u w:val="single"/>
              </w:rPr>
              <w:t>1.8</w:t>
            </w:r>
            <w:r w:rsidRPr="00081857">
              <w:rPr>
                <w:szCs w:val="20"/>
              </w:rPr>
              <w:t xml:space="preserve"> millimoles</w:t>
            </w:r>
            <w:r w:rsidRPr="00D014F2">
              <w:rPr>
                <w:szCs w:val="20"/>
              </w:rPr>
              <w:t xml:space="preserve"> per litre, </w:t>
            </w:r>
          </w:p>
          <w:p w14:paraId="0EEE9381" w14:textId="77777777" w:rsidR="00FB1CC6" w:rsidRPr="00D014F2" w:rsidRDefault="00FB1CC6" w:rsidP="00BF34B1">
            <w:pPr>
              <w:pStyle w:val="TableText"/>
              <w:keepNext w:val="0"/>
              <w:ind w:left="53" w:hanging="142"/>
              <w:rPr>
                <w:szCs w:val="20"/>
              </w:rPr>
            </w:pPr>
            <w:r w:rsidRPr="00D014F2">
              <w:rPr>
                <w:szCs w:val="20"/>
              </w:rPr>
              <w:t>AND</w:t>
            </w:r>
          </w:p>
          <w:p w14:paraId="719D8045" w14:textId="77777777" w:rsidR="00FB1CC6" w:rsidRPr="00D014F2" w:rsidRDefault="00FB1CC6" w:rsidP="000E27D0">
            <w:pPr>
              <w:pStyle w:val="TableText"/>
              <w:keepNext w:val="0"/>
              <w:numPr>
                <w:ilvl w:val="0"/>
                <w:numId w:val="7"/>
              </w:numPr>
              <w:ind w:left="53" w:hanging="142"/>
              <w:rPr>
                <w:szCs w:val="20"/>
              </w:rPr>
            </w:pPr>
            <w:r w:rsidRPr="00D014F2">
              <w:rPr>
                <w:color w:val="000000"/>
                <w:szCs w:val="20"/>
              </w:rPr>
              <w:t xml:space="preserve">Patient must have atherosclerotic disease in two or more vascular territories (coronary, cerebrovascular or peripheral vascular territories); </w:t>
            </w:r>
            <w:r w:rsidRPr="00D014F2">
              <w:rPr>
                <w:szCs w:val="20"/>
              </w:rPr>
              <w:t>OR</w:t>
            </w:r>
          </w:p>
          <w:p w14:paraId="424ED10D" w14:textId="77777777" w:rsidR="00FB1CC6" w:rsidRPr="00D014F2" w:rsidRDefault="00FB1CC6" w:rsidP="000E27D0">
            <w:pPr>
              <w:pStyle w:val="TableText"/>
              <w:keepNext w:val="0"/>
              <w:numPr>
                <w:ilvl w:val="0"/>
                <w:numId w:val="7"/>
              </w:numPr>
              <w:ind w:left="53" w:hanging="142"/>
              <w:rPr>
                <w:szCs w:val="20"/>
              </w:rPr>
            </w:pPr>
            <w:r w:rsidRPr="00D014F2">
              <w:rPr>
                <w:color w:val="000000"/>
                <w:szCs w:val="20"/>
              </w:rPr>
              <w:t xml:space="preserve">Patient must have severe multi-vessel coronary heart disease defined as at least 50% stenosis in at least two large vessels; </w:t>
            </w:r>
            <w:r w:rsidRPr="00D014F2">
              <w:rPr>
                <w:szCs w:val="20"/>
              </w:rPr>
              <w:t>OR</w:t>
            </w:r>
          </w:p>
          <w:p w14:paraId="64B6AE78" w14:textId="77777777" w:rsidR="00FB1CC6" w:rsidRPr="0031085E" w:rsidRDefault="00FB1CC6" w:rsidP="000E27D0">
            <w:pPr>
              <w:pStyle w:val="TableText"/>
              <w:keepNext w:val="0"/>
              <w:numPr>
                <w:ilvl w:val="0"/>
                <w:numId w:val="7"/>
              </w:numPr>
              <w:ind w:left="53" w:hanging="142"/>
              <w:rPr>
                <w:color w:val="000000"/>
                <w:szCs w:val="20"/>
              </w:rPr>
            </w:pPr>
            <w:r w:rsidRPr="0031085E">
              <w:rPr>
                <w:color w:val="000000"/>
                <w:szCs w:val="20"/>
              </w:rPr>
              <w:t xml:space="preserve">Patient must have had at least two major cardiovascular events (i.e. myocardial infarction, unstable angina, stroke or unplanned revascularisation) in the previous 5 years; OR </w:t>
            </w:r>
          </w:p>
          <w:p w14:paraId="4F502E20" w14:textId="77777777" w:rsidR="00FB1CC6" w:rsidRPr="0031085E" w:rsidRDefault="00FB1CC6" w:rsidP="000E27D0">
            <w:pPr>
              <w:pStyle w:val="Default"/>
              <w:numPr>
                <w:ilvl w:val="0"/>
                <w:numId w:val="7"/>
              </w:numPr>
              <w:ind w:left="53" w:hanging="142"/>
              <w:rPr>
                <w:rFonts w:ascii="Arial Narrow" w:hAnsi="Arial Narrow" w:cstheme="minorBidi"/>
                <w:sz w:val="20"/>
                <w:szCs w:val="20"/>
                <w:lang w:eastAsia="en-AU"/>
              </w:rPr>
            </w:pPr>
            <w:r w:rsidRPr="0031085E">
              <w:rPr>
                <w:rFonts w:ascii="Arial Narrow" w:hAnsi="Arial Narrow" w:cstheme="minorBidi"/>
                <w:sz w:val="20"/>
                <w:szCs w:val="20"/>
                <w:lang w:eastAsia="en-AU"/>
              </w:rPr>
              <w:t>Patient must have diabetes mellitus with microalbuminuria; OR</w:t>
            </w:r>
          </w:p>
          <w:p w14:paraId="5206571E" w14:textId="77777777" w:rsidR="00FB1CC6" w:rsidRPr="0031085E" w:rsidRDefault="00FB1CC6" w:rsidP="000E27D0">
            <w:pPr>
              <w:pStyle w:val="Default"/>
              <w:numPr>
                <w:ilvl w:val="0"/>
                <w:numId w:val="7"/>
              </w:numPr>
              <w:ind w:left="53" w:hanging="142"/>
              <w:rPr>
                <w:rFonts w:ascii="Arial Narrow" w:hAnsi="Arial Narrow" w:cstheme="minorBidi"/>
                <w:sz w:val="20"/>
                <w:szCs w:val="20"/>
                <w:lang w:eastAsia="en-AU"/>
              </w:rPr>
            </w:pPr>
            <w:r w:rsidRPr="0031085E">
              <w:rPr>
                <w:rFonts w:ascii="Arial Narrow" w:hAnsi="Arial Narrow" w:cstheme="minorBidi"/>
                <w:sz w:val="20"/>
                <w:szCs w:val="20"/>
                <w:lang w:eastAsia="en-AU"/>
              </w:rPr>
              <w:t>Patient must have diabetes mellitus and be aged 60 year or more; OR</w:t>
            </w:r>
          </w:p>
          <w:p w14:paraId="5848FD67" w14:textId="77777777" w:rsidR="00FB1CC6" w:rsidRPr="0031085E" w:rsidRDefault="00FB1CC6" w:rsidP="000E27D0">
            <w:pPr>
              <w:pStyle w:val="Default"/>
              <w:numPr>
                <w:ilvl w:val="0"/>
                <w:numId w:val="7"/>
              </w:numPr>
              <w:ind w:left="53" w:hanging="142"/>
              <w:rPr>
                <w:rFonts w:ascii="Arial Narrow" w:hAnsi="Arial Narrow" w:cstheme="minorBidi"/>
                <w:sz w:val="20"/>
                <w:szCs w:val="20"/>
                <w:lang w:eastAsia="en-AU"/>
              </w:rPr>
            </w:pPr>
            <w:r w:rsidRPr="0031085E">
              <w:rPr>
                <w:rFonts w:ascii="Arial Narrow" w:hAnsi="Arial Narrow" w:cstheme="minorBidi"/>
                <w:sz w:val="20"/>
                <w:szCs w:val="20"/>
                <w:lang w:eastAsia="en-AU"/>
              </w:rPr>
              <w:t xml:space="preserve">Patient must be an Aboriginal or Torres Strait Islander with diabetes mellitus; OR </w:t>
            </w:r>
          </w:p>
          <w:p w14:paraId="032E3AA7" w14:textId="77777777" w:rsidR="00FB1CC6" w:rsidRPr="0031085E" w:rsidRDefault="00FB1CC6" w:rsidP="000E27D0">
            <w:pPr>
              <w:pStyle w:val="Default"/>
              <w:numPr>
                <w:ilvl w:val="0"/>
                <w:numId w:val="7"/>
              </w:numPr>
              <w:ind w:left="53" w:hanging="142"/>
              <w:rPr>
                <w:rFonts w:ascii="Arial Narrow" w:hAnsi="Arial Narrow" w:cstheme="minorBidi"/>
                <w:sz w:val="20"/>
                <w:szCs w:val="20"/>
                <w:lang w:eastAsia="en-AU"/>
              </w:rPr>
            </w:pPr>
            <w:r w:rsidRPr="0031085E">
              <w:rPr>
                <w:rFonts w:ascii="Arial Narrow" w:hAnsi="Arial Narrow" w:cstheme="minorBidi"/>
                <w:sz w:val="20"/>
                <w:szCs w:val="20"/>
                <w:lang w:eastAsia="en-AU"/>
              </w:rPr>
              <w:t>Patient must have a Thrombolysis in Myocardial Infarction (TIMI) risk score for secondary prevention of 4 or higher</w:t>
            </w:r>
          </w:p>
          <w:p w14:paraId="1F8CD12B" w14:textId="77777777" w:rsidR="00FB1CC6" w:rsidRPr="00D014F2" w:rsidRDefault="00FB1CC6" w:rsidP="00BF34B1">
            <w:pPr>
              <w:pStyle w:val="TableText"/>
              <w:keepNext w:val="0"/>
              <w:ind w:left="53" w:hanging="142"/>
              <w:rPr>
                <w:szCs w:val="20"/>
              </w:rPr>
            </w:pPr>
            <w:r w:rsidRPr="00D014F2">
              <w:rPr>
                <w:szCs w:val="20"/>
              </w:rPr>
              <w:t>AND</w:t>
            </w:r>
          </w:p>
          <w:p w14:paraId="78411073" w14:textId="77777777" w:rsidR="00FB1CC6" w:rsidRPr="00D014F2" w:rsidRDefault="00FB1CC6" w:rsidP="000E27D0">
            <w:pPr>
              <w:pStyle w:val="TableText"/>
              <w:keepNext w:val="0"/>
              <w:numPr>
                <w:ilvl w:val="0"/>
                <w:numId w:val="8"/>
              </w:numPr>
              <w:ind w:left="53" w:hanging="142"/>
              <w:rPr>
                <w:szCs w:val="20"/>
              </w:rPr>
            </w:pPr>
            <w:r w:rsidRPr="00D014F2">
              <w:rPr>
                <w:szCs w:val="20"/>
              </w:rPr>
              <w:t xml:space="preserve">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OR </w:t>
            </w:r>
          </w:p>
          <w:p w14:paraId="7320F499" w14:textId="77777777" w:rsidR="00FB1CC6" w:rsidRPr="00D014F2" w:rsidRDefault="00FB1CC6" w:rsidP="000E27D0">
            <w:pPr>
              <w:pStyle w:val="TableText"/>
              <w:keepNext w:val="0"/>
              <w:numPr>
                <w:ilvl w:val="0"/>
                <w:numId w:val="8"/>
              </w:numPr>
              <w:ind w:left="53" w:hanging="142"/>
              <w:rPr>
                <w:szCs w:val="20"/>
              </w:rPr>
            </w:pPr>
            <w:r w:rsidRPr="00D014F2">
              <w:rPr>
                <w:szCs w:val="20"/>
              </w:rPr>
              <w:t>Patient must have developed clinically important product-related adverse events necessitating withdrawal of statin treatment to trials of each of atorvastatin and rosuvastatin; OR</w:t>
            </w:r>
          </w:p>
          <w:p w14:paraId="52549647" w14:textId="77777777" w:rsidR="00FB1CC6" w:rsidRPr="00D014F2" w:rsidRDefault="00FB1CC6" w:rsidP="000E27D0">
            <w:pPr>
              <w:pStyle w:val="TableText"/>
              <w:keepNext w:val="0"/>
              <w:numPr>
                <w:ilvl w:val="0"/>
                <w:numId w:val="8"/>
              </w:numPr>
              <w:ind w:left="53" w:hanging="142"/>
              <w:rPr>
                <w:szCs w:val="20"/>
              </w:rPr>
            </w:pPr>
            <w:r w:rsidRPr="00D014F2">
              <w:rPr>
                <w:szCs w:val="20"/>
              </w:rPr>
              <w:t>Patient must be contraindicated to treatment with a HMG CoA reductase inhibitor (statin) as defined in the TGA-approved Product Information,</w:t>
            </w:r>
          </w:p>
          <w:p w14:paraId="12161603" w14:textId="77777777" w:rsidR="00FB1CC6" w:rsidRPr="00D014F2" w:rsidRDefault="00FB1CC6" w:rsidP="00BF34B1">
            <w:pPr>
              <w:pStyle w:val="TableText"/>
              <w:keepNext w:val="0"/>
              <w:rPr>
                <w:szCs w:val="20"/>
              </w:rPr>
            </w:pPr>
            <w:r w:rsidRPr="00D014F2">
              <w:rPr>
                <w:szCs w:val="20"/>
              </w:rPr>
              <w:t>AND</w:t>
            </w:r>
          </w:p>
          <w:p w14:paraId="745719FF" w14:textId="77777777" w:rsidR="00FB1CC6" w:rsidRDefault="00FB1CC6" w:rsidP="000E27D0">
            <w:pPr>
              <w:pStyle w:val="TableText"/>
              <w:keepNext w:val="0"/>
              <w:numPr>
                <w:ilvl w:val="0"/>
                <w:numId w:val="8"/>
              </w:numPr>
              <w:ind w:left="53" w:hanging="142"/>
              <w:rPr>
                <w:rFonts w:cs="Arial"/>
              </w:rPr>
            </w:pPr>
            <w:r w:rsidRPr="00D014F2">
              <w:rPr>
                <w:szCs w:val="20"/>
              </w:rPr>
              <w:t>Patient must have been treated with ezetimibe for at least 12 consecutive weeks in conjunction with a statin (if tolerated), dietary therapy and exercise.</w:t>
            </w:r>
          </w:p>
        </w:tc>
      </w:tr>
      <w:tr w:rsidR="00FB1CC6" w:rsidRPr="00C31A26" w14:paraId="657F4AF0" w14:textId="77777777" w:rsidTr="002C6AEF">
        <w:tc>
          <w:tcPr>
            <w:tcW w:w="1019" w:type="pct"/>
            <w:tcBorders>
              <w:top w:val="single" w:sz="4" w:space="0" w:color="auto"/>
              <w:left w:val="single" w:sz="4" w:space="0" w:color="auto"/>
              <w:bottom w:val="single" w:sz="4" w:space="0" w:color="auto"/>
              <w:right w:val="single" w:sz="4" w:space="0" w:color="auto"/>
            </w:tcBorders>
          </w:tcPr>
          <w:p w14:paraId="64A5FD36" w14:textId="77777777" w:rsidR="00FB1CC6" w:rsidRPr="007A3E83" w:rsidRDefault="00FB1CC6" w:rsidP="00BF34B1">
            <w:pPr>
              <w:pStyle w:val="TableText"/>
              <w:keepNext w:val="0"/>
              <w:rPr>
                <w:b/>
              </w:rPr>
            </w:pPr>
            <w:r w:rsidRPr="006C3255">
              <w:rPr>
                <w:b/>
              </w:rPr>
              <w:t>Treatment criteria:</w:t>
            </w:r>
          </w:p>
        </w:tc>
        <w:tc>
          <w:tcPr>
            <w:tcW w:w="3981" w:type="pct"/>
            <w:tcBorders>
              <w:top w:val="single" w:sz="4" w:space="0" w:color="auto"/>
              <w:left w:val="single" w:sz="4" w:space="0" w:color="auto"/>
              <w:bottom w:val="single" w:sz="4" w:space="0" w:color="auto"/>
              <w:right w:val="single" w:sz="4" w:space="0" w:color="auto"/>
            </w:tcBorders>
          </w:tcPr>
          <w:p w14:paraId="4EEFEDB6" w14:textId="77777777" w:rsidR="00FB1CC6" w:rsidRPr="00C31A26" w:rsidRDefault="00FB1CC6" w:rsidP="00BF34B1">
            <w:pPr>
              <w:pStyle w:val="TableText"/>
              <w:keepNext w:val="0"/>
              <w:rPr>
                <w:rFonts w:cs="Arial"/>
              </w:rPr>
            </w:pPr>
            <w:r w:rsidRPr="00D014F2">
              <w:rPr>
                <w:color w:val="000000"/>
                <w:szCs w:val="20"/>
              </w:rPr>
              <w:t xml:space="preserve">Must be treated by </w:t>
            </w:r>
            <w:r w:rsidRPr="00081857">
              <w:rPr>
                <w:color w:val="000000"/>
                <w:szCs w:val="20"/>
                <w:u w:val="single"/>
              </w:rPr>
              <w:t>or in consultation with</w:t>
            </w:r>
            <w:r w:rsidRPr="00D014F2">
              <w:rPr>
                <w:color w:val="000000"/>
                <w:szCs w:val="20"/>
              </w:rPr>
              <w:t xml:space="preserve"> a specialist physician</w:t>
            </w:r>
          </w:p>
        </w:tc>
      </w:tr>
      <w:tr w:rsidR="00FB1CC6" w14:paraId="706E9D2C" w14:textId="77777777" w:rsidTr="002C6AEF">
        <w:tc>
          <w:tcPr>
            <w:tcW w:w="1019" w:type="pct"/>
            <w:tcBorders>
              <w:top w:val="single" w:sz="4" w:space="0" w:color="auto"/>
              <w:left w:val="single" w:sz="4" w:space="0" w:color="auto"/>
              <w:bottom w:val="single" w:sz="4" w:space="0" w:color="auto"/>
              <w:right w:val="single" w:sz="4" w:space="0" w:color="auto"/>
            </w:tcBorders>
          </w:tcPr>
          <w:p w14:paraId="5F6AC1A3" w14:textId="77777777" w:rsidR="00FB1CC6" w:rsidRPr="006C3255" w:rsidRDefault="00FB1CC6" w:rsidP="00BF34B1">
            <w:pPr>
              <w:pStyle w:val="TableText"/>
              <w:keepNext w:val="0"/>
              <w:rPr>
                <w:b/>
              </w:rPr>
            </w:pPr>
            <w:r w:rsidRPr="006C3255">
              <w:rPr>
                <w:b/>
              </w:rPr>
              <w:lastRenderedPageBreak/>
              <w:t>Prescriber Instructions:</w:t>
            </w:r>
          </w:p>
        </w:tc>
        <w:tc>
          <w:tcPr>
            <w:tcW w:w="3981" w:type="pct"/>
            <w:tcBorders>
              <w:top w:val="single" w:sz="4" w:space="0" w:color="auto"/>
              <w:left w:val="single" w:sz="4" w:space="0" w:color="auto"/>
              <w:bottom w:val="single" w:sz="4" w:space="0" w:color="auto"/>
              <w:right w:val="single" w:sz="4" w:space="0" w:color="auto"/>
            </w:tcBorders>
          </w:tcPr>
          <w:p w14:paraId="1D936C00" w14:textId="77777777" w:rsidR="00FB1CC6" w:rsidRPr="00D014F2" w:rsidRDefault="00FB1CC6" w:rsidP="00BF34B1">
            <w:pPr>
              <w:rPr>
                <w:rFonts w:ascii="Arial Narrow" w:hAnsi="Arial Narrow"/>
                <w:color w:val="000000"/>
                <w:sz w:val="20"/>
                <w:szCs w:val="20"/>
              </w:rPr>
            </w:pPr>
            <w:r w:rsidRPr="00D014F2">
              <w:rPr>
                <w:rFonts w:ascii="Arial Narrow" w:hAnsi="Arial Narrow"/>
                <w:color w:val="000000"/>
                <w:sz w:val="20"/>
                <w:szCs w:val="20"/>
              </w:rPr>
              <w:t>Symptomatic atherosclerotic cardiovascular disease is defined as:</w:t>
            </w:r>
          </w:p>
          <w:p w14:paraId="3BA2F10D" w14:textId="77777777" w:rsidR="00FB1CC6" w:rsidRPr="00D014F2" w:rsidRDefault="00FB1CC6" w:rsidP="000E27D0">
            <w:pPr>
              <w:pStyle w:val="ListParagraph"/>
              <w:widowControl/>
              <w:numPr>
                <w:ilvl w:val="0"/>
                <w:numId w:val="10"/>
              </w:numPr>
              <w:spacing w:after="0"/>
              <w:ind w:left="478" w:hanging="118"/>
              <w:contextualSpacing/>
              <w:jc w:val="left"/>
              <w:rPr>
                <w:rFonts w:ascii="Arial Narrow" w:hAnsi="Arial Narrow"/>
                <w:color w:val="000000"/>
                <w:sz w:val="20"/>
                <w:szCs w:val="20"/>
                <w:lang w:eastAsia="en-AU"/>
              </w:rPr>
            </w:pPr>
            <w:r w:rsidRPr="00D014F2">
              <w:rPr>
                <w:rFonts w:ascii="Arial Narrow" w:hAnsi="Arial Narrow"/>
                <w:color w:val="000000"/>
                <w:sz w:val="20"/>
                <w:szCs w:val="20"/>
                <w:lang w:eastAsia="en-AU"/>
              </w:rPr>
              <w:t>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(e.g. myocardial perfusion scanning or stress echocardiography)</w:t>
            </w:r>
            <w:r>
              <w:rPr>
                <w:rFonts w:ascii="Arial Narrow" w:hAnsi="Arial Narrow"/>
                <w:color w:val="000000"/>
                <w:sz w:val="20"/>
                <w:szCs w:val="20"/>
                <w:lang w:eastAsia="en-AU"/>
              </w:rPr>
              <w:t>)</w:t>
            </w:r>
            <w:r w:rsidRPr="00D014F2">
              <w:rPr>
                <w:rFonts w:ascii="Arial Narrow" w:hAnsi="Arial Narrow"/>
                <w:color w:val="000000"/>
                <w:sz w:val="20"/>
                <w:szCs w:val="20"/>
                <w:lang w:eastAsia="en-AU"/>
              </w:rPr>
              <w:t>; or</w:t>
            </w:r>
          </w:p>
          <w:p w14:paraId="75064A46" w14:textId="77777777" w:rsidR="00FB1CC6" w:rsidRPr="00D014F2" w:rsidRDefault="00FB1CC6" w:rsidP="000E27D0">
            <w:pPr>
              <w:pStyle w:val="ListParagraph"/>
              <w:widowControl/>
              <w:numPr>
                <w:ilvl w:val="0"/>
                <w:numId w:val="10"/>
              </w:numPr>
              <w:spacing w:after="0"/>
              <w:ind w:left="478" w:hanging="118"/>
              <w:contextualSpacing/>
              <w:jc w:val="left"/>
              <w:rPr>
                <w:rFonts w:ascii="Arial Narrow" w:hAnsi="Arial Narrow"/>
                <w:color w:val="000000"/>
                <w:sz w:val="20"/>
                <w:szCs w:val="20"/>
                <w:lang w:eastAsia="en-AU"/>
              </w:rPr>
            </w:pPr>
            <w:r w:rsidRPr="00D014F2">
              <w:rPr>
                <w:rFonts w:ascii="Arial Narrow" w:hAnsi="Arial Narrow"/>
                <w:color w:val="000000"/>
                <w:sz w:val="20"/>
                <w:szCs w:val="20"/>
                <w:lang w:eastAsia="en-AU"/>
              </w:rPr>
              <w:t>the presence of symptomatic cerebrovascular disease (prior ischaemic stroke, prior revascularisation procedure, or transient ischaemic attack associated with 50% or greater stenosis in 1 or more cerebral arteries on imaging); or</w:t>
            </w:r>
          </w:p>
          <w:p w14:paraId="0D5C555F" w14:textId="77777777" w:rsidR="00FB1CC6" w:rsidRPr="00D014F2" w:rsidRDefault="00FB1CC6" w:rsidP="000E27D0">
            <w:pPr>
              <w:pStyle w:val="ListParagraph"/>
              <w:widowControl/>
              <w:numPr>
                <w:ilvl w:val="0"/>
                <w:numId w:val="10"/>
              </w:numPr>
              <w:spacing w:after="0"/>
              <w:ind w:left="478" w:hanging="118"/>
              <w:contextualSpacing/>
              <w:jc w:val="left"/>
              <w:rPr>
                <w:rFonts w:ascii="Arial Narrow" w:hAnsi="Arial Narrow"/>
                <w:color w:val="000000"/>
                <w:sz w:val="20"/>
                <w:szCs w:val="20"/>
                <w:lang w:eastAsia="en-AU"/>
              </w:rPr>
            </w:pPr>
            <w:r w:rsidRPr="00D014F2">
              <w:rPr>
                <w:rFonts w:ascii="Arial Narrow" w:hAnsi="Arial Narrow"/>
                <w:color w:val="000000"/>
                <w:sz w:val="20"/>
                <w:szCs w:val="20"/>
                <w:lang w:eastAsia="en-AU"/>
              </w:rPr>
              <w:t>the presence of symptomatic peripheral arterial disease (prior acute ischaemic event due to atherosclerosis, prior revascularisation procedure, or symptoms of ischaemia with evidence of significant peripheral artery disease (50% or greater stenosis in 1 or more peripheral arteries on imaging)).</w:t>
            </w:r>
          </w:p>
          <w:p w14:paraId="2A43CD64" w14:textId="77777777" w:rsidR="00FB1CC6" w:rsidRPr="00D014F2" w:rsidRDefault="00FB1CC6" w:rsidP="00BF34B1">
            <w:pPr>
              <w:pStyle w:val="TableText"/>
              <w:keepNext w:val="0"/>
              <w:rPr>
                <w:color w:val="000000"/>
                <w:szCs w:val="20"/>
              </w:rPr>
            </w:pPr>
            <w:r w:rsidRPr="00D014F2">
              <w:rPr>
                <w:color w:val="000000"/>
                <w:szCs w:val="20"/>
              </w:rPr>
              <w:t>The qualifying LDL cholesterol level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must be stated at the time of application, documented in the patient's medical records and must be no more than 8 weeks old.</w:t>
            </w:r>
          </w:p>
          <w:p w14:paraId="062B51CB" w14:textId="77777777" w:rsidR="00FB1CC6" w:rsidRPr="00D014F2" w:rsidRDefault="00FB1CC6" w:rsidP="00BF34B1">
            <w:pPr>
              <w:pStyle w:val="TableText"/>
              <w:keepNext w:val="0"/>
              <w:rPr>
                <w:color w:val="000000"/>
                <w:szCs w:val="20"/>
              </w:rPr>
            </w:pPr>
          </w:p>
          <w:p w14:paraId="46ED91C4" w14:textId="77777777" w:rsidR="00FB1CC6" w:rsidRPr="00D014F2" w:rsidRDefault="00FB1CC6" w:rsidP="00BF34B1">
            <w:pPr>
              <w:rPr>
                <w:rFonts w:ascii="Arial Narrow" w:hAnsi="Arial Narrow"/>
                <w:color w:val="222222"/>
                <w:sz w:val="20"/>
                <w:szCs w:val="20"/>
              </w:rPr>
            </w:pPr>
            <w:r w:rsidRPr="00D014F2">
              <w:rPr>
                <w:rFonts w:ascii="Arial Narrow" w:hAnsi="Arial Narrow"/>
                <w:color w:val="222222"/>
                <w:sz w:val="20"/>
                <w:szCs w:val="20"/>
              </w:rPr>
              <w:t>A clinically important product-related adverse event is defined as follows:</w:t>
            </w:r>
          </w:p>
          <w:p w14:paraId="22FDEED0" w14:textId="77777777" w:rsidR="00FB1CC6" w:rsidRPr="00D014F2" w:rsidRDefault="00FB1CC6" w:rsidP="000E27D0">
            <w:pPr>
              <w:pStyle w:val="ListParagraph"/>
              <w:widowControl/>
              <w:numPr>
                <w:ilvl w:val="0"/>
                <w:numId w:val="11"/>
              </w:numPr>
              <w:spacing w:after="0"/>
              <w:ind w:left="478" w:hanging="118"/>
              <w:contextualSpacing/>
              <w:jc w:val="left"/>
              <w:rPr>
                <w:rFonts w:ascii="Arial Narrow" w:hAnsi="Arial Narrow"/>
                <w:color w:val="222222"/>
                <w:sz w:val="20"/>
                <w:szCs w:val="20"/>
                <w:lang w:eastAsia="en-AU"/>
              </w:rPr>
            </w:pPr>
            <w:r w:rsidRPr="00D014F2">
              <w:rPr>
                <w:rFonts w:ascii="Arial Narrow" w:hAnsi="Arial Narrow"/>
                <w:color w:val="222222"/>
                <w:sz w:val="20"/>
                <w:szCs w:val="20"/>
                <w:lang w:eastAsia="en-AU"/>
              </w:rPr>
              <w:t>Severe myalgia (muscle symptoms without creatine kinase elevation) which is proven to be temporally associated with statin treatment; or</w:t>
            </w:r>
          </w:p>
          <w:p w14:paraId="02BF568A" w14:textId="77777777" w:rsidR="00FB1CC6" w:rsidRPr="00D014F2" w:rsidRDefault="00FB1CC6" w:rsidP="000E27D0">
            <w:pPr>
              <w:pStyle w:val="ListParagraph"/>
              <w:widowControl/>
              <w:numPr>
                <w:ilvl w:val="0"/>
                <w:numId w:val="11"/>
              </w:numPr>
              <w:spacing w:after="0"/>
              <w:ind w:left="478" w:hanging="118"/>
              <w:contextualSpacing/>
              <w:jc w:val="left"/>
              <w:rPr>
                <w:rFonts w:ascii="Arial Narrow" w:hAnsi="Arial Narrow"/>
                <w:color w:val="222222"/>
                <w:sz w:val="20"/>
                <w:szCs w:val="20"/>
                <w:lang w:eastAsia="en-AU"/>
              </w:rPr>
            </w:pPr>
            <w:r w:rsidRPr="00D014F2">
              <w:rPr>
                <w:rFonts w:ascii="Arial Narrow" w:hAnsi="Arial Narrow"/>
                <w:color w:val="222222"/>
                <w:sz w:val="20"/>
                <w:szCs w:val="20"/>
                <w:lang w:eastAsia="en-AU"/>
              </w:rPr>
              <w:t>Myositis (clinically important creatine kinase elevation, with or without muscle symptoms) demonstrated by results twice the upper limit of normal on a single reading or a rising pattern on consecutive measurements and which is unexplained by other causes; or</w:t>
            </w:r>
          </w:p>
          <w:p w14:paraId="0167AFB9" w14:textId="77777777" w:rsidR="00FB1CC6" w:rsidRPr="00D014F2" w:rsidRDefault="00FB1CC6" w:rsidP="000E27D0">
            <w:pPr>
              <w:pStyle w:val="ListParagraph"/>
              <w:widowControl/>
              <w:numPr>
                <w:ilvl w:val="0"/>
                <w:numId w:val="11"/>
              </w:numPr>
              <w:spacing w:after="0"/>
              <w:ind w:left="478" w:hanging="118"/>
              <w:contextualSpacing/>
              <w:jc w:val="left"/>
              <w:rPr>
                <w:rFonts w:ascii="Arial Narrow" w:hAnsi="Arial Narrow"/>
                <w:color w:val="222222"/>
                <w:sz w:val="20"/>
                <w:szCs w:val="20"/>
                <w:lang w:eastAsia="en-AU"/>
              </w:rPr>
            </w:pPr>
            <w:r w:rsidRPr="00D014F2">
              <w:rPr>
                <w:rFonts w:ascii="Arial Narrow" w:hAnsi="Arial Narrow"/>
                <w:color w:val="222222"/>
                <w:sz w:val="20"/>
                <w:szCs w:val="20"/>
                <w:lang w:eastAsia="en-AU"/>
              </w:rPr>
              <w:t>Unexplained, persistent elevations of serum transaminases (greater than 3 times the upper limit of normal) during treatment with a statin.</w:t>
            </w:r>
          </w:p>
          <w:p w14:paraId="01CCF98C" w14:textId="77777777" w:rsidR="00FB1CC6" w:rsidRPr="00D014F2" w:rsidRDefault="00FB1CC6" w:rsidP="00BF34B1">
            <w:pPr>
              <w:spacing w:before="240"/>
              <w:rPr>
                <w:rFonts w:ascii="Arial Narrow" w:hAnsi="Arial Narrow"/>
                <w:color w:val="222222"/>
                <w:sz w:val="20"/>
                <w:szCs w:val="20"/>
              </w:rPr>
            </w:pPr>
            <w:r w:rsidRPr="00D014F2">
              <w:rPr>
                <w:rFonts w:ascii="Arial Narrow" w:hAnsi="Arial Narrow"/>
                <w:color w:val="222222"/>
                <w:sz w:val="20"/>
                <w:szCs w:val="20"/>
              </w:rPr>
              <w:t>If treatment with atorvastatin or rosuvastatin results in development of a clinically important product-related adverse event resulting in treatment withdrawal, the patient must be treated with the alternative statin (atorvastatin or rosuvastatin) unless there is a contraindication (e.g. prior rhabdomyolysis) to the alternative statin. This retrial should occur after a washout period of at least 4 weeks, or if the creatine kinase (CK) level is elevated, retrial should not occur until CK has returned to normal.</w:t>
            </w:r>
          </w:p>
          <w:p w14:paraId="2F8E0FD9" w14:textId="77777777" w:rsidR="00FB1CC6" w:rsidRPr="00D014F2" w:rsidRDefault="00FB1CC6" w:rsidP="00BF34B1">
            <w:pPr>
              <w:rPr>
                <w:rFonts w:ascii="Arial Narrow" w:hAnsi="Arial Narrow"/>
                <w:color w:val="222222"/>
                <w:sz w:val="20"/>
                <w:szCs w:val="20"/>
              </w:rPr>
            </w:pPr>
            <w:r w:rsidRPr="00D014F2">
              <w:rPr>
                <w:rFonts w:ascii="Arial Narrow" w:hAnsi="Arial Narrow"/>
                <w:color w:val="222222"/>
                <w:sz w:val="20"/>
                <w:szCs w:val="20"/>
              </w:rPr>
              <w:t>In the event of a trial of the alternative statin, it is recommended that the patient is started with the minimum dose of statin in conjunction with ezetimibe. The dose of the alternative statin should be increased not more often than every 4 weeks until the recommended or maximum tolerated dose has been reached or target LDL-c has been achieved.</w:t>
            </w:r>
          </w:p>
          <w:p w14:paraId="7802D40D" w14:textId="77777777" w:rsidR="00FB1CC6" w:rsidRPr="00D014F2" w:rsidRDefault="00FB1CC6" w:rsidP="00BF34B1">
            <w:pPr>
              <w:rPr>
                <w:rFonts w:ascii="Arial Narrow" w:hAnsi="Arial Narrow"/>
                <w:color w:val="222222"/>
                <w:sz w:val="20"/>
                <w:szCs w:val="20"/>
              </w:rPr>
            </w:pPr>
          </w:p>
          <w:p w14:paraId="1F8DE009" w14:textId="77777777" w:rsidR="00FB1CC6" w:rsidRPr="00D014F2" w:rsidRDefault="00FB1CC6" w:rsidP="00BF34B1">
            <w:pPr>
              <w:rPr>
                <w:rFonts w:ascii="Arial Narrow" w:hAnsi="Arial Narrow"/>
                <w:color w:val="222222"/>
                <w:sz w:val="20"/>
                <w:szCs w:val="20"/>
              </w:rPr>
            </w:pPr>
            <w:r w:rsidRPr="00D014F2">
              <w:rPr>
                <w:rFonts w:ascii="Arial Narrow" w:hAnsi="Arial Narrow"/>
                <w:color w:val="222222"/>
                <w:sz w:val="20"/>
                <w:szCs w:val="20"/>
              </w:rPr>
              <w:t>One of the following must be stated at the time of application and documented in the patient's medical records regarding prior statin treatment:</w:t>
            </w:r>
          </w:p>
          <w:p w14:paraId="20D88B51" w14:textId="77777777" w:rsidR="00FB1CC6" w:rsidRPr="00D014F2" w:rsidRDefault="00FB1CC6" w:rsidP="000E27D0">
            <w:pPr>
              <w:pStyle w:val="ListParagraph"/>
              <w:widowControl/>
              <w:numPr>
                <w:ilvl w:val="0"/>
                <w:numId w:val="12"/>
              </w:numPr>
              <w:spacing w:after="0"/>
              <w:ind w:left="478" w:hanging="118"/>
              <w:contextualSpacing/>
              <w:jc w:val="left"/>
              <w:rPr>
                <w:rFonts w:ascii="Arial Narrow" w:hAnsi="Arial Narrow"/>
                <w:color w:val="222222"/>
                <w:sz w:val="20"/>
                <w:szCs w:val="20"/>
                <w:lang w:eastAsia="en-AU"/>
              </w:rPr>
            </w:pPr>
            <w:r w:rsidRPr="00D014F2">
              <w:rPr>
                <w:rFonts w:ascii="Arial Narrow" w:hAnsi="Arial Narrow"/>
                <w:color w:val="222222"/>
                <w:sz w:val="20"/>
                <w:szCs w:val="20"/>
                <w:lang w:eastAsia="en-AU"/>
              </w:rPr>
              <w:t>the patient was treated with atorvastatin 80 mg or rosuvastatin 40 mg or the maximum tolerated dose of either for 12 consecutive weeks; or</w:t>
            </w:r>
          </w:p>
          <w:p w14:paraId="2E65784C" w14:textId="77777777" w:rsidR="00FB1CC6" w:rsidRPr="00D014F2" w:rsidRDefault="00FB1CC6" w:rsidP="000E27D0">
            <w:pPr>
              <w:pStyle w:val="ListParagraph"/>
              <w:widowControl/>
              <w:numPr>
                <w:ilvl w:val="0"/>
                <w:numId w:val="12"/>
              </w:numPr>
              <w:spacing w:after="0"/>
              <w:ind w:left="478" w:hanging="118"/>
              <w:contextualSpacing/>
              <w:jc w:val="left"/>
              <w:rPr>
                <w:rFonts w:ascii="Arial Narrow" w:hAnsi="Arial Narrow"/>
                <w:color w:val="222222"/>
                <w:sz w:val="20"/>
                <w:szCs w:val="20"/>
                <w:lang w:eastAsia="en-AU"/>
              </w:rPr>
            </w:pPr>
            <w:r w:rsidRPr="00D014F2">
              <w:rPr>
                <w:rFonts w:ascii="Arial Narrow" w:hAnsi="Arial Narrow"/>
                <w:color w:val="222222"/>
                <w:sz w:val="20"/>
                <w:szCs w:val="20"/>
                <w:lang w:eastAsia="en-AU"/>
              </w:rPr>
              <w:t>the doses, duration of treatment and details of adverse events experienced with trials with each of atorvastatin and rosuvastatin; or</w:t>
            </w:r>
          </w:p>
          <w:p w14:paraId="05C4B53C" w14:textId="77777777" w:rsidR="00FB1CC6" w:rsidRPr="00D014F2" w:rsidRDefault="00FB1CC6" w:rsidP="000E27D0">
            <w:pPr>
              <w:pStyle w:val="ListParagraph"/>
              <w:widowControl/>
              <w:numPr>
                <w:ilvl w:val="0"/>
                <w:numId w:val="12"/>
              </w:numPr>
              <w:spacing w:after="0"/>
              <w:ind w:left="478" w:hanging="118"/>
              <w:contextualSpacing/>
              <w:jc w:val="left"/>
              <w:rPr>
                <w:rFonts w:ascii="Arial Narrow" w:hAnsi="Arial Narrow"/>
                <w:color w:val="222222"/>
                <w:sz w:val="20"/>
                <w:szCs w:val="20"/>
                <w:lang w:eastAsia="en-AU"/>
              </w:rPr>
            </w:pPr>
            <w:r w:rsidRPr="00D014F2">
              <w:rPr>
                <w:rFonts w:ascii="Arial Narrow" w:hAnsi="Arial Narrow"/>
                <w:color w:val="222222"/>
                <w:sz w:val="20"/>
                <w:szCs w:val="20"/>
                <w:lang w:eastAsia="en-AU"/>
              </w:rPr>
              <w:t>the patient is contraindicated to treatment with a statin as defined in the TGA-approved Product Information.</w:t>
            </w:r>
          </w:p>
          <w:p w14:paraId="6669660F" w14:textId="77777777" w:rsidR="00FB1CC6" w:rsidRPr="00D014F2" w:rsidRDefault="00FB1CC6" w:rsidP="00BF34B1">
            <w:pPr>
              <w:pStyle w:val="ListParagraph"/>
              <w:spacing w:after="0"/>
              <w:ind w:left="0"/>
              <w:rPr>
                <w:rFonts w:ascii="Arial Narrow" w:hAnsi="Arial Narrow"/>
                <w:color w:val="222222"/>
                <w:sz w:val="20"/>
                <w:szCs w:val="20"/>
                <w:lang w:eastAsia="en-AU"/>
              </w:rPr>
            </w:pPr>
            <w:r w:rsidRPr="00D014F2">
              <w:rPr>
                <w:rFonts w:ascii="Arial Narrow" w:hAnsi="Arial Narrow"/>
                <w:color w:val="222222"/>
                <w:sz w:val="20"/>
                <w:szCs w:val="20"/>
                <w:lang w:eastAsia="en-AU"/>
              </w:rPr>
              <w:t>One or more of the following must be stated at the time of application and documented in the patient's medical records regarding the presence of cardiovascular disease or high risk of experiencing a cardiovascular event:</w:t>
            </w:r>
          </w:p>
          <w:p w14:paraId="747D2E2E" w14:textId="77777777" w:rsidR="00FB1CC6" w:rsidRPr="00D014F2" w:rsidRDefault="00FB1CC6" w:rsidP="000E27D0">
            <w:pPr>
              <w:pStyle w:val="ListParagraph"/>
              <w:widowControl/>
              <w:numPr>
                <w:ilvl w:val="0"/>
                <w:numId w:val="13"/>
              </w:numPr>
              <w:spacing w:after="0"/>
              <w:ind w:left="478" w:hanging="141"/>
              <w:contextualSpacing/>
              <w:jc w:val="left"/>
              <w:rPr>
                <w:rFonts w:ascii="Arial Narrow" w:hAnsi="Arial Narrow"/>
                <w:color w:val="222222"/>
                <w:sz w:val="20"/>
                <w:szCs w:val="20"/>
                <w:lang w:eastAsia="en-AU"/>
              </w:rPr>
            </w:pPr>
            <w:r w:rsidRPr="00D014F2">
              <w:rPr>
                <w:rFonts w:ascii="Arial Narrow" w:hAnsi="Arial Narrow"/>
                <w:color w:val="222222"/>
                <w:sz w:val="20"/>
                <w:szCs w:val="20"/>
                <w:lang w:eastAsia="en-AU"/>
              </w:rPr>
              <w:t>atherosclerotic disease in two or more vascular territories (coronary, cerebrovascular or peripheral vascular territories); or</w:t>
            </w:r>
          </w:p>
          <w:p w14:paraId="016187A9" w14:textId="77777777" w:rsidR="00FB1CC6" w:rsidRPr="00D014F2" w:rsidRDefault="00FB1CC6" w:rsidP="000E27D0">
            <w:pPr>
              <w:pStyle w:val="ListParagraph"/>
              <w:widowControl/>
              <w:numPr>
                <w:ilvl w:val="0"/>
                <w:numId w:val="13"/>
              </w:numPr>
              <w:spacing w:after="0"/>
              <w:ind w:left="478" w:hanging="141"/>
              <w:contextualSpacing/>
              <w:jc w:val="left"/>
              <w:rPr>
                <w:rFonts w:ascii="Arial Narrow" w:hAnsi="Arial Narrow"/>
                <w:color w:val="222222"/>
                <w:sz w:val="20"/>
                <w:szCs w:val="20"/>
                <w:lang w:eastAsia="en-AU"/>
              </w:rPr>
            </w:pPr>
            <w:r w:rsidRPr="00D014F2">
              <w:rPr>
                <w:rFonts w:ascii="Arial Narrow" w:hAnsi="Arial Narrow"/>
                <w:color w:val="222222"/>
                <w:sz w:val="20"/>
                <w:szCs w:val="20"/>
                <w:lang w:eastAsia="en-AU"/>
              </w:rPr>
              <w:t>severe multi-vessel coronary heart disease defined as at least 50% stenosis in at least two large vessels; or</w:t>
            </w:r>
          </w:p>
          <w:p w14:paraId="159E1612" w14:textId="77777777" w:rsidR="00FB1CC6" w:rsidRPr="00D014F2" w:rsidRDefault="00FB1CC6" w:rsidP="000E27D0">
            <w:pPr>
              <w:pStyle w:val="ListParagraph"/>
              <w:widowControl/>
              <w:numPr>
                <w:ilvl w:val="0"/>
                <w:numId w:val="13"/>
              </w:numPr>
              <w:spacing w:after="0"/>
              <w:ind w:left="478" w:hanging="141"/>
              <w:contextualSpacing/>
              <w:jc w:val="left"/>
              <w:rPr>
                <w:rFonts w:ascii="Arial Narrow" w:hAnsi="Arial Narrow"/>
                <w:color w:val="222222"/>
                <w:sz w:val="20"/>
                <w:szCs w:val="20"/>
                <w:lang w:eastAsia="en-AU"/>
              </w:rPr>
            </w:pPr>
            <w:r w:rsidRPr="00D014F2">
              <w:rPr>
                <w:rFonts w:ascii="Arial Narrow" w:hAnsi="Arial Narrow"/>
                <w:color w:val="222222"/>
                <w:sz w:val="20"/>
                <w:szCs w:val="20"/>
                <w:lang w:eastAsia="en-AU"/>
              </w:rPr>
              <w:lastRenderedPageBreak/>
              <w:t>history of at least two major cardiovascular events (i.e. myocardial infarction, unstable angina, stroke or unplanned revascularisation) in the previous 5 years; or</w:t>
            </w:r>
          </w:p>
          <w:p w14:paraId="6CC16271" w14:textId="77777777" w:rsidR="00FB1CC6" w:rsidRPr="00D014F2" w:rsidRDefault="00FB1CC6" w:rsidP="000E27D0">
            <w:pPr>
              <w:pStyle w:val="ListParagraph"/>
              <w:widowControl/>
              <w:numPr>
                <w:ilvl w:val="0"/>
                <w:numId w:val="13"/>
              </w:numPr>
              <w:spacing w:after="0"/>
              <w:ind w:left="478" w:hanging="141"/>
              <w:contextualSpacing/>
              <w:jc w:val="left"/>
              <w:rPr>
                <w:rFonts w:ascii="Arial Narrow" w:hAnsi="Arial Narrow"/>
                <w:color w:val="222222"/>
                <w:sz w:val="20"/>
                <w:szCs w:val="20"/>
                <w:lang w:eastAsia="en-AU"/>
              </w:rPr>
            </w:pPr>
            <w:r w:rsidRPr="00D014F2">
              <w:rPr>
                <w:rFonts w:ascii="Arial Narrow" w:hAnsi="Arial Narrow"/>
                <w:color w:val="222222"/>
                <w:sz w:val="20"/>
                <w:szCs w:val="20"/>
                <w:lang w:eastAsia="en-AU"/>
              </w:rPr>
              <w:t>diabetes mellitus with microalbuminuria; or</w:t>
            </w:r>
          </w:p>
          <w:p w14:paraId="51EA6D57" w14:textId="77777777" w:rsidR="00FB1CC6" w:rsidRPr="00D014F2" w:rsidRDefault="00FB1CC6" w:rsidP="000E27D0">
            <w:pPr>
              <w:pStyle w:val="ListParagraph"/>
              <w:widowControl/>
              <w:numPr>
                <w:ilvl w:val="0"/>
                <w:numId w:val="13"/>
              </w:numPr>
              <w:spacing w:after="0"/>
              <w:ind w:left="478" w:hanging="141"/>
              <w:contextualSpacing/>
              <w:jc w:val="left"/>
              <w:rPr>
                <w:rFonts w:ascii="Arial Narrow" w:hAnsi="Arial Narrow"/>
                <w:color w:val="222222"/>
                <w:sz w:val="20"/>
                <w:szCs w:val="20"/>
                <w:lang w:eastAsia="en-AU"/>
              </w:rPr>
            </w:pPr>
            <w:r w:rsidRPr="00D014F2">
              <w:rPr>
                <w:rFonts w:ascii="Arial Narrow" w:hAnsi="Arial Narrow"/>
                <w:color w:val="222222"/>
                <w:sz w:val="20"/>
                <w:szCs w:val="20"/>
                <w:lang w:eastAsia="en-AU"/>
              </w:rPr>
              <w:t>diabetes mellitus and age 60 years of more; or</w:t>
            </w:r>
          </w:p>
          <w:p w14:paraId="29719493" w14:textId="77777777" w:rsidR="00FB1CC6" w:rsidRDefault="00FB1CC6" w:rsidP="000E27D0">
            <w:pPr>
              <w:pStyle w:val="ListParagraph"/>
              <w:widowControl/>
              <w:numPr>
                <w:ilvl w:val="0"/>
                <w:numId w:val="13"/>
              </w:numPr>
              <w:spacing w:after="0"/>
              <w:ind w:left="478" w:hanging="141"/>
              <w:contextualSpacing/>
              <w:jc w:val="left"/>
              <w:rPr>
                <w:rFonts w:ascii="Arial Narrow" w:hAnsi="Arial Narrow"/>
                <w:color w:val="222222"/>
                <w:sz w:val="20"/>
                <w:szCs w:val="20"/>
                <w:lang w:eastAsia="en-AU"/>
              </w:rPr>
            </w:pPr>
            <w:r w:rsidRPr="00D014F2">
              <w:rPr>
                <w:rFonts w:ascii="Arial Narrow" w:hAnsi="Arial Narrow"/>
                <w:color w:val="222222"/>
                <w:sz w:val="20"/>
                <w:szCs w:val="20"/>
                <w:lang w:eastAsia="en-AU"/>
              </w:rPr>
              <w:t>Aboriginal or Torres Strait Islander with diabetes mellitus; o</w:t>
            </w:r>
            <w:r>
              <w:rPr>
                <w:rFonts w:ascii="Arial Narrow" w:hAnsi="Arial Narrow"/>
                <w:color w:val="222222"/>
                <w:sz w:val="20"/>
                <w:szCs w:val="20"/>
                <w:lang w:eastAsia="en-AU"/>
              </w:rPr>
              <w:t xml:space="preserve">r </w:t>
            </w:r>
          </w:p>
          <w:p w14:paraId="055D8972" w14:textId="77777777" w:rsidR="00FB1CC6" w:rsidRPr="00180D3F" w:rsidRDefault="00FB1CC6" w:rsidP="000E27D0">
            <w:pPr>
              <w:pStyle w:val="ListParagraph"/>
              <w:widowControl/>
              <w:numPr>
                <w:ilvl w:val="0"/>
                <w:numId w:val="13"/>
              </w:numPr>
              <w:spacing w:after="0"/>
              <w:ind w:left="478" w:hanging="141"/>
              <w:contextualSpacing/>
              <w:jc w:val="left"/>
              <w:rPr>
                <w:rFonts w:ascii="Arial Narrow" w:hAnsi="Arial Narrow"/>
                <w:color w:val="222222"/>
                <w:sz w:val="20"/>
                <w:szCs w:val="20"/>
                <w:lang w:eastAsia="en-AU"/>
              </w:rPr>
            </w:pPr>
            <w:r w:rsidRPr="00280651">
              <w:rPr>
                <w:rFonts w:ascii="Arial Narrow" w:hAnsi="Arial Narrow"/>
                <w:color w:val="222222"/>
                <w:sz w:val="20"/>
                <w:szCs w:val="20"/>
                <w:lang w:eastAsia="en-AU"/>
              </w:rPr>
              <w:t>Thrombolysis in Myocardial Infarction (TIMI) risk score for secondary prevention of 4 or higher</w:t>
            </w:r>
          </w:p>
        </w:tc>
      </w:tr>
    </w:tbl>
    <w:p w14:paraId="7AA0068F" w14:textId="4A21F66C" w:rsidR="00FC04C9" w:rsidRDefault="00FC04C9" w:rsidP="002C6AEF">
      <w:pPr>
        <w:pStyle w:val="ExecSumBodyText"/>
        <w:spacing w:before="120"/>
      </w:pPr>
      <w:r>
        <w:lastRenderedPageBreak/>
        <w:t>The submission also requested grandfather listings for evolocumab for non-FH and HeFH to allow transfer to PBS-subsidised treatment for patients who may be self-funding evolocumab or who have participated in an evolocumab clinical trial and who meet the expanded PBS eligibility criteri</w:t>
      </w:r>
      <w:r w:rsidR="0091120E">
        <w:t>a</w:t>
      </w:r>
      <w:r>
        <w:t>.</w:t>
      </w:r>
    </w:p>
    <w:p w14:paraId="2B5FB2CD" w14:textId="1C5A2ACB" w:rsidR="00F62FD8" w:rsidRDefault="00F62FD8" w:rsidP="00F62FD8">
      <w:pPr>
        <w:pStyle w:val="ExecSumBodyText"/>
      </w:pPr>
      <w:r w:rsidRPr="003367D7">
        <w:t xml:space="preserve">The submission broadened the qualifying </w:t>
      </w:r>
      <w:r w:rsidR="006D7786">
        <w:t xml:space="preserve">LDL-C </w:t>
      </w:r>
      <w:r w:rsidRPr="003367D7">
        <w:t>threshold from 2.6 mmol/L used in previous submissions, to a 1.8 mmol/L threshold</w:t>
      </w:r>
      <w:r>
        <w:t xml:space="preserve">. </w:t>
      </w:r>
      <w:r w:rsidRPr="0068302F">
        <w:t xml:space="preserve">The submission justified the revised threshold based on international </w:t>
      </w:r>
      <w:r w:rsidR="002C6AEF">
        <w:t xml:space="preserve">clinical </w:t>
      </w:r>
      <w:r w:rsidRPr="0068302F">
        <w:t>guidelines.</w:t>
      </w:r>
      <w:r w:rsidR="00721414" w:rsidRPr="001F281D">
        <w:rPr>
          <w:iCs/>
        </w:rPr>
        <w:t xml:space="preserve"> The evaluation noted that the guidelines cited in the submission are consistent with older treatment guidelines, which have also generally recommended a lower target LDL-C threshold of 1.8 mmol/L in patients with atherosclerotic disease.</w:t>
      </w:r>
      <w:r w:rsidR="00E04939" w:rsidRPr="001F281D">
        <w:rPr>
          <w:iCs/>
        </w:rPr>
        <w:t xml:space="preserve"> </w:t>
      </w:r>
      <w:r w:rsidR="00A85AEC" w:rsidRPr="001F281D">
        <w:rPr>
          <w:iCs/>
        </w:rPr>
        <w:t>It was further</w:t>
      </w:r>
      <w:r w:rsidR="00E04939" w:rsidRPr="001F281D">
        <w:rPr>
          <w:iCs/>
        </w:rPr>
        <w:t xml:space="preserve"> </w:t>
      </w:r>
      <w:r w:rsidR="00A85AEC" w:rsidRPr="001F281D">
        <w:rPr>
          <w:iCs/>
        </w:rPr>
        <w:t>noted that higher thresholds have been nominated historically in order to identify populations most likely to benefit from LDL-C reductions given the high cost of PCSK9 inhibitors; however, the ESC considered</w:t>
      </w:r>
      <w:r w:rsidR="00E04939" w:rsidRPr="001F281D">
        <w:rPr>
          <w:iCs/>
        </w:rPr>
        <w:t xml:space="preserve"> the request</w:t>
      </w:r>
      <w:r w:rsidR="006D1A0C" w:rsidRPr="001F281D">
        <w:rPr>
          <w:iCs/>
        </w:rPr>
        <w:t>ed</w:t>
      </w:r>
      <w:r w:rsidR="00E04939" w:rsidRPr="001F281D">
        <w:rPr>
          <w:iCs/>
        </w:rPr>
        <w:t xml:space="preserve"> change </w:t>
      </w:r>
      <w:r w:rsidR="00A85AEC" w:rsidRPr="001F281D">
        <w:rPr>
          <w:iCs/>
        </w:rPr>
        <w:t>may</w:t>
      </w:r>
      <w:r w:rsidR="00E04939" w:rsidRPr="001F281D">
        <w:rPr>
          <w:iCs/>
        </w:rPr>
        <w:t xml:space="preserve"> be supported if cost-effectiveness in the lower risk population was acceptable.</w:t>
      </w:r>
    </w:p>
    <w:p w14:paraId="048AF9B9" w14:textId="56F3AB76" w:rsidR="00A21AD9" w:rsidRDefault="00F62FD8" w:rsidP="00F62FD8">
      <w:pPr>
        <w:pStyle w:val="ExecSumBodyText"/>
        <w:rPr>
          <w:color w:val="0066FF"/>
        </w:rPr>
      </w:pPr>
      <w:r>
        <w:t>The submission also</w:t>
      </w:r>
      <w:r w:rsidRPr="003367D7">
        <w:t xml:space="preserve"> included a request to allow initiation of evolocumab by GPs in consultation with a specialist.</w:t>
      </w:r>
      <w:r>
        <w:t xml:space="preserve"> </w:t>
      </w:r>
      <w:r w:rsidRPr="007A7480">
        <w:t xml:space="preserve">The submission noted that by the time of the July 2022 PBAC meeting, 27 months will have elapsed from </w:t>
      </w:r>
      <w:r>
        <w:t xml:space="preserve">the </w:t>
      </w:r>
      <w:r w:rsidRPr="007A7480">
        <w:t xml:space="preserve">most recent listing amendment, </w:t>
      </w:r>
      <w:r>
        <w:t xml:space="preserve">for evolocumab, </w:t>
      </w:r>
      <w:r w:rsidRPr="007A7480">
        <w:t>which is longer than the 18-month minimum period the PBAC stated was necessary before it reconsidered its request (</w:t>
      </w:r>
      <w:r w:rsidR="00677AC7">
        <w:t>p</w:t>
      </w:r>
      <w:r w:rsidRPr="007A7480">
        <w:t xml:space="preserve">ara 5.6, evolocumab Public Summary Document (PSD), November 2020 PBAC meeting). </w:t>
      </w:r>
      <w:r w:rsidRPr="00FF4735">
        <w:rPr>
          <w:iCs/>
        </w:rPr>
        <w:t>At the November 2020 meeting, the PBAC had several other concerns with expanding the prescriber types after the listing for evolocumab had been updated just 5 months prior to include patients with non-FH with ASCVD and other risk factors</w:t>
      </w:r>
      <w:r w:rsidR="00EC2A52" w:rsidRPr="00FF4735">
        <w:rPr>
          <w:iCs/>
        </w:rPr>
        <w:t>;</w:t>
      </w:r>
      <w:r w:rsidRPr="00FF4735">
        <w:rPr>
          <w:iCs/>
        </w:rPr>
        <w:t xml:space="preserve"> none of </w:t>
      </w:r>
      <w:r w:rsidR="00EC2A52" w:rsidRPr="00FF4735">
        <w:rPr>
          <w:iCs/>
        </w:rPr>
        <w:t>these issues were</w:t>
      </w:r>
      <w:r w:rsidRPr="00FF4735">
        <w:rPr>
          <w:iCs/>
        </w:rPr>
        <w:t xml:space="preserve"> </w:t>
      </w:r>
      <w:r w:rsidR="00736777">
        <w:rPr>
          <w:iCs/>
        </w:rPr>
        <w:t xml:space="preserve">directly </w:t>
      </w:r>
      <w:r w:rsidRPr="00FF4735">
        <w:rPr>
          <w:iCs/>
        </w:rPr>
        <w:t>addressed in the current submission</w:t>
      </w:r>
      <w:r w:rsidRPr="005D2116">
        <w:t xml:space="preserve"> </w:t>
      </w:r>
      <w:r w:rsidRPr="00FF4735">
        <w:rPr>
          <w:iCs/>
        </w:rPr>
        <w:t>(</w:t>
      </w:r>
      <w:r w:rsidR="00A21AD9">
        <w:rPr>
          <w:iCs/>
        </w:rPr>
        <w:t>s</w:t>
      </w:r>
      <w:r w:rsidRPr="00FF4735">
        <w:rPr>
          <w:iCs/>
        </w:rPr>
        <w:t xml:space="preserve">ee </w:t>
      </w:r>
      <w:r w:rsidRPr="00FF4735">
        <w:rPr>
          <w:iCs/>
        </w:rPr>
        <w:fldChar w:fldCharType="begin"/>
      </w:r>
      <w:r w:rsidRPr="00FF4735">
        <w:rPr>
          <w:iCs/>
        </w:rPr>
        <w:instrText xml:space="preserve"> REF _Ref101265583 \h  \* MERGEFORMAT </w:instrText>
      </w:r>
      <w:r w:rsidRPr="00FF4735">
        <w:rPr>
          <w:iCs/>
        </w:rPr>
      </w:r>
      <w:r w:rsidRPr="00FF4735">
        <w:rPr>
          <w:iCs/>
        </w:rPr>
        <w:fldChar w:fldCharType="separate"/>
      </w:r>
      <w:r w:rsidR="00EB7F7C" w:rsidRPr="00EB7F7C">
        <w:rPr>
          <w:iCs/>
        </w:rPr>
        <w:t xml:space="preserve">Table </w:t>
      </w:r>
      <w:r w:rsidR="00EB7F7C" w:rsidRPr="00EB7F7C">
        <w:rPr>
          <w:iCs/>
          <w:noProof/>
        </w:rPr>
        <w:t>2</w:t>
      </w:r>
      <w:r w:rsidRPr="00FF4735">
        <w:rPr>
          <w:iCs/>
        </w:rPr>
        <w:fldChar w:fldCharType="end"/>
      </w:r>
      <w:r w:rsidRPr="00FF4735">
        <w:rPr>
          <w:iCs/>
        </w:rPr>
        <w:t xml:space="preserve"> above).</w:t>
      </w:r>
      <w:r>
        <w:rPr>
          <w:color w:val="0066FF"/>
        </w:rPr>
        <w:t xml:space="preserve"> </w:t>
      </w:r>
      <w:r w:rsidR="00A21AD9" w:rsidRPr="001F281D">
        <w:rPr>
          <w:iCs/>
        </w:rPr>
        <w:t>The Pre-Sub-Committee Response (PSCR) commented that it expects evolocumab prescriptions to be initiated by the small</w:t>
      </w:r>
      <w:r w:rsidR="001C3457" w:rsidRPr="001F281D">
        <w:rPr>
          <w:iCs/>
        </w:rPr>
        <w:t>,</w:t>
      </w:r>
      <w:r w:rsidR="00A21AD9" w:rsidRPr="001F281D">
        <w:rPr>
          <w:iCs/>
        </w:rPr>
        <w:t xml:space="preserve"> experienced group of GPs who regularly prescribe second-line </w:t>
      </w:r>
      <w:r w:rsidR="003B6759" w:rsidRPr="001F281D">
        <w:rPr>
          <w:iCs/>
        </w:rPr>
        <w:t xml:space="preserve">cardiovascular </w:t>
      </w:r>
      <w:r w:rsidR="00A21AD9" w:rsidRPr="001F281D">
        <w:rPr>
          <w:iCs/>
        </w:rPr>
        <w:t>therapies, that these GPs are unlikely to prescribe a novel injectable therapy without specialist consultation, and that it is unclear why risks of use outside the restriction would be greater with GP initiation than with specialists.</w:t>
      </w:r>
      <w:r w:rsidR="001C3457" w:rsidRPr="001F281D">
        <w:rPr>
          <w:iCs/>
        </w:rPr>
        <w:t xml:space="preserve"> The ESC considered that the previous issues remain, but that retaining a Telephone/Electronic Authority may </w:t>
      </w:r>
      <w:r w:rsidR="00206772" w:rsidRPr="001F281D">
        <w:rPr>
          <w:iCs/>
        </w:rPr>
        <w:t xml:space="preserve">help to </w:t>
      </w:r>
      <w:r w:rsidR="001C3457" w:rsidRPr="001F281D">
        <w:rPr>
          <w:iCs/>
        </w:rPr>
        <w:t xml:space="preserve">mitigate risk of substantial leakage outside the eligible population. </w:t>
      </w:r>
      <w:r w:rsidR="009D3E9A">
        <w:rPr>
          <w:iCs/>
        </w:rPr>
        <w:t>The DUSC noted that evolocumab was no longer a novel agent.</w:t>
      </w:r>
    </w:p>
    <w:p w14:paraId="115B30A0" w14:textId="6B004604" w:rsidR="00F62FD8" w:rsidRPr="00BA0CCF" w:rsidRDefault="00F62FD8" w:rsidP="00F62FD8">
      <w:pPr>
        <w:pStyle w:val="ExecSumBodyText"/>
        <w:rPr>
          <w:color w:val="0066FF"/>
        </w:rPr>
      </w:pPr>
      <w:r w:rsidRPr="00FF4735">
        <w:rPr>
          <w:iCs/>
        </w:rPr>
        <w:t xml:space="preserve">In a recent analysis of evolocumab utilisation by the Drug Utilisation Sub-Committee, DUSC commented that there is a lag in predicted versus actual reviews due to data processing, and as the non-familial listing was added to the PBS 1 May 2020, it would </w:t>
      </w:r>
      <w:r w:rsidRPr="00FF4735">
        <w:rPr>
          <w:iCs/>
        </w:rPr>
        <w:lastRenderedPageBreak/>
        <w:t>be due for DUSC review at the February 2023 meeting</w:t>
      </w:r>
      <w:r w:rsidR="00EC2A52" w:rsidRPr="00FF4735">
        <w:rPr>
          <w:iCs/>
        </w:rPr>
        <w:t xml:space="preserve"> at the earliest</w:t>
      </w:r>
      <w:r w:rsidRPr="00FF4735">
        <w:rPr>
          <w:iCs/>
        </w:rPr>
        <w:t xml:space="preserve"> (p25, Evolocumab for heterozygous familial hypercholesterolaemia: predicted versus actual analysis, DUSC report, June 2021).</w:t>
      </w:r>
      <w:r w:rsidR="00A21AD9">
        <w:rPr>
          <w:iCs/>
        </w:rPr>
        <w:t xml:space="preserve"> </w:t>
      </w:r>
    </w:p>
    <w:p w14:paraId="09A296F5" w14:textId="09EFB64A" w:rsidR="00C27022" w:rsidRDefault="00C27022" w:rsidP="00C27022">
      <w:pPr>
        <w:pStyle w:val="ExecSumBodyText"/>
      </w:pPr>
      <w:r w:rsidRPr="00020158">
        <w:t xml:space="preserve">The submission noted that the current PBS listings for evolocumab </w:t>
      </w:r>
      <w:r w:rsidR="003255A5">
        <w:t>at the time of the submission (</w:t>
      </w:r>
      <w:r w:rsidR="00A21AD9">
        <w:t xml:space="preserve">March </w:t>
      </w:r>
      <w:r w:rsidR="003255A5">
        <w:t>2022) we</w:t>
      </w:r>
      <w:r w:rsidRPr="00020158">
        <w:t xml:space="preserve">re subject to a special pricing arrangement </w:t>
      </w:r>
      <w:r w:rsidR="00A21AD9">
        <w:t xml:space="preserve">(SPA) </w:t>
      </w:r>
      <w:r w:rsidRPr="00020158">
        <w:t xml:space="preserve">consisting of a </w:t>
      </w:r>
      <w:r w:rsidR="00650CB8" w:rsidRPr="00F35BF1">
        <w:rPr>
          <w:color w:val="000000"/>
          <w:w w:val="15"/>
          <w:shd w:val="solid" w:color="000000" w:fill="000000"/>
          <w:fitText w:val="-20" w:id="-1435748858"/>
          <w14:textFill>
            <w14:solidFill>
              <w14:srgbClr w14:val="000000">
                <w14:alpha w14:val="100000"/>
              </w14:srgbClr>
            </w14:solidFill>
          </w14:textFill>
        </w:rPr>
        <w:t xml:space="preserve">|  </w:t>
      </w:r>
      <w:r w:rsidR="00650CB8" w:rsidRPr="00F35BF1">
        <w:rPr>
          <w:color w:val="000000"/>
          <w:spacing w:val="-69"/>
          <w:w w:val="15"/>
          <w:shd w:val="solid" w:color="000000" w:fill="000000"/>
          <w:fitText w:val="-20" w:id="-1435748858"/>
          <w14:textFill>
            <w14:solidFill>
              <w14:srgbClr w14:val="000000">
                <w14:alpha w14:val="100000"/>
              </w14:srgbClr>
            </w14:solidFill>
          </w14:textFill>
        </w:rPr>
        <w:t>|</w:t>
      </w:r>
      <w:r w:rsidRPr="00020158">
        <w:t xml:space="preserve">% rebate on </w:t>
      </w:r>
      <w:r>
        <w:t>government</w:t>
      </w:r>
      <w:r w:rsidRPr="00020158">
        <w:t xml:space="preserve"> expenditure.</w:t>
      </w:r>
      <w:r>
        <w:t xml:space="preserve"> In April 2022 there was a 5% statutory price reduction for evolocumab,</w:t>
      </w:r>
      <w:r w:rsidRPr="00547E89">
        <w:t xml:space="preserve"> </w:t>
      </w:r>
      <w:r>
        <w:t>reducing both published and the effective prices</w:t>
      </w:r>
      <w:r w:rsidR="00A21AD9">
        <w:t>, and the SPA rebate level was maintained</w:t>
      </w:r>
      <w:r>
        <w:t xml:space="preserve">. </w:t>
      </w:r>
    </w:p>
    <w:p w14:paraId="7D3C1262" w14:textId="5043036E" w:rsidR="003A6EED" w:rsidRDefault="00C27022" w:rsidP="00C27022">
      <w:pPr>
        <w:pStyle w:val="ExecSumBodyText"/>
      </w:pPr>
      <w:r>
        <w:t>In the current submission, the sponsor proposed a further reduced published DPMQ. Maintaining the same effective price</w:t>
      </w:r>
      <w:r w:rsidR="00387D93">
        <w:t xml:space="preserve"> ($</w:t>
      </w:r>
      <w:r w:rsidR="00650CB8" w:rsidRPr="00F35BF1">
        <w:rPr>
          <w:color w:val="000000"/>
          <w:w w:val="15"/>
          <w:shd w:val="solid" w:color="000000" w:fill="000000"/>
          <w:fitText w:val="-20" w:id="-1435748857"/>
          <w14:textFill>
            <w14:solidFill>
              <w14:srgbClr w14:val="000000">
                <w14:alpha w14:val="100000"/>
              </w14:srgbClr>
            </w14:solidFill>
          </w14:textFill>
        </w:rPr>
        <w:t xml:space="preserve">|  </w:t>
      </w:r>
      <w:r w:rsidR="00650CB8" w:rsidRPr="00F35BF1">
        <w:rPr>
          <w:color w:val="000000"/>
          <w:spacing w:val="-69"/>
          <w:w w:val="15"/>
          <w:shd w:val="solid" w:color="000000" w:fill="000000"/>
          <w:fitText w:val="-20" w:id="-1435748857"/>
          <w14:textFill>
            <w14:solidFill>
              <w14:srgbClr w14:val="000000">
                <w14:alpha w14:val="100000"/>
              </w14:srgbClr>
            </w14:solidFill>
          </w14:textFill>
        </w:rPr>
        <w:t>|</w:t>
      </w:r>
      <w:r w:rsidR="00387D93">
        <w:t>)</w:t>
      </w:r>
      <w:r>
        <w:t xml:space="preserve"> for the existing population</w:t>
      </w:r>
      <w:r w:rsidR="00E436AF">
        <w:t xml:space="preserve"> (with </w:t>
      </w:r>
      <w:r w:rsidR="006D7786">
        <w:t xml:space="preserve">LDL-C </w:t>
      </w:r>
      <w:r w:rsidR="00E436AF">
        <w:t>&gt;</w:t>
      </w:r>
      <w:r w:rsidR="00677AC7">
        <w:t> </w:t>
      </w:r>
      <w:r w:rsidR="00E436AF">
        <w:t>2.6</w:t>
      </w:r>
      <w:r w:rsidR="00677AC7">
        <w:t> </w:t>
      </w:r>
      <w:r w:rsidR="00E436AF">
        <w:t>mmol/L)</w:t>
      </w:r>
      <w:r>
        <w:t xml:space="preserve"> reduced the rebate to </w:t>
      </w:r>
      <w:r w:rsidR="00650CB8" w:rsidRPr="00F35BF1">
        <w:rPr>
          <w:color w:val="000000"/>
          <w:w w:val="15"/>
          <w:shd w:val="solid" w:color="000000" w:fill="000000"/>
          <w:fitText w:val="-20" w:id="-1435748856"/>
          <w14:textFill>
            <w14:solidFill>
              <w14:srgbClr w14:val="000000">
                <w14:alpha w14:val="100000"/>
              </w14:srgbClr>
            </w14:solidFill>
          </w14:textFill>
        </w:rPr>
        <w:t xml:space="preserve">|  </w:t>
      </w:r>
      <w:r w:rsidR="00650CB8" w:rsidRPr="00F35BF1">
        <w:rPr>
          <w:color w:val="000000"/>
          <w:spacing w:val="-69"/>
          <w:w w:val="15"/>
          <w:shd w:val="solid" w:color="000000" w:fill="000000"/>
          <w:fitText w:val="-20" w:id="-1435748856"/>
          <w14:textFill>
            <w14:solidFill>
              <w14:srgbClr w14:val="000000">
                <w14:alpha w14:val="100000"/>
              </w14:srgbClr>
            </w14:solidFill>
          </w14:textFill>
        </w:rPr>
        <w:t>|</w:t>
      </w:r>
      <w:r>
        <w:t>%</w:t>
      </w:r>
      <w:r w:rsidR="003A6EED">
        <w:t xml:space="preserve"> (on the new lower published DPMQ)</w:t>
      </w:r>
      <w:r w:rsidR="00E436AF">
        <w:t xml:space="preserve"> for these patients</w:t>
      </w:r>
      <w:r>
        <w:t xml:space="preserve">. </w:t>
      </w:r>
    </w:p>
    <w:p w14:paraId="55D860FC" w14:textId="36C6BE56" w:rsidR="00C27022" w:rsidRDefault="008C61CF" w:rsidP="00C27022">
      <w:pPr>
        <w:pStyle w:val="ExecSumBodyText"/>
      </w:pPr>
      <w:r w:rsidRPr="00B14AA3">
        <w:t>The effective DPMQ for the new population ($</w:t>
      </w:r>
      <w:r w:rsidR="00650CB8" w:rsidRPr="00650CB8">
        <w:rPr>
          <w:color w:val="000000"/>
          <w:w w:val="63"/>
          <w:shd w:val="solid" w:color="000000" w:fill="000000"/>
          <w:fitText w:val="630" w:id="-1435748855"/>
          <w14:textFill>
            <w14:solidFill>
              <w14:srgbClr w14:val="000000">
                <w14:alpha w14:val="100000"/>
              </w14:srgbClr>
            </w14:solidFill>
          </w14:textFill>
        </w:rPr>
        <w:t>||||  |||</w:t>
      </w:r>
      <w:r w:rsidR="00650CB8" w:rsidRPr="00650CB8">
        <w:rPr>
          <w:color w:val="000000"/>
          <w:spacing w:val="4"/>
          <w:w w:val="63"/>
          <w:shd w:val="solid" w:color="000000" w:fill="000000"/>
          <w:fitText w:val="630" w:id="-1435748855"/>
          <w14:textFill>
            <w14:solidFill>
              <w14:srgbClr w14:val="000000">
                <w14:alpha w14:val="100000"/>
              </w14:srgbClr>
            </w14:solidFill>
          </w14:textFill>
        </w:rPr>
        <w:t>|</w:t>
      </w:r>
      <w:r w:rsidRPr="00B14AA3">
        <w:t>)</w:t>
      </w:r>
      <w:r w:rsidR="007D20AA">
        <w:t xml:space="preserve"> with </w:t>
      </w:r>
      <w:r w:rsidR="006D7786">
        <w:t xml:space="preserve">LDL-C </w:t>
      </w:r>
      <w:r w:rsidR="007D20AA">
        <w:t xml:space="preserve">&gt; 1.8 </w:t>
      </w:r>
      <w:r w:rsidR="007D20AA" w:rsidRPr="00011305">
        <w:t xml:space="preserve">and </w:t>
      </w:r>
      <w:r w:rsidR="007D20AA" w:rsidRPr="00C27022">
        <w:t>≤</w:t>
      </w:r>
      <w:r w:rsidR="006458F7">
        <w:t> </w:t>
      </w:r>
      <w:r w:rsidR="007D20AA" w:rsidRPr="00011305">
        <w:t>2.6</w:t>
      </w:r>
      <w:r w:rsidR="006458F7">
        <w:t> </w:t>
      </w:r>
      <w:r w:rsidR="007D20AA" w:rsidRPr="00011305">
        <w:t>mmol/L</w:t>
      </w:r>
      <w:r w:rsidR="007D20AA">
        <w:t xml:space="preserve"> </w:t>
      </w:r>
      <w:r w:rsidRPr="00B14AA3">
        <w:t>was based on the evolocumab price required to achieve an incremental cost</w:t>
      </w:r>
      <w:r w:rsidR="006458F7">
        <w:t xml:space="preserve"> per </w:t>
      </w:r>
      <w:r w:rsidRPr="00B14AA3">
        <w:t xml:space="preserve">additional QALY of </w:t>
      </w:r>
      <w:r w:rsidR="00C97F9B" w:rsidRPr="00C97F9B">
        <w:t>$25,000 to &lt; $35,000</w:t>
      </w:r>
      <w:r w:rsidRPr="00B14AA3">
        <w:t xml:space="preserve"> in the submission’s economic evaluation. This was adjusted to $</w:t>
      </w:r>
      <w:r w:rsidR="00650CB8" w:rsidRPr="00F35BF1">
        <w:rPr>
          <w:color w:val="000000"/>
          <w:w w:val="15"/>
          <w:shd w:val="solid" w:color="000000" w:fill="000000"/>
          <w:fitText w:val="-20" w:id="-1435748854"/>
          <w14:textFill>
            <w14:solidFill>
              <w14:srgbClr w14:val="000000">
                <w14:alpha w14:val="100000"/>
              </w14:srgbClr>
            </w14:solidFill>
          </w14:textFill>
        </w:rPr>
        <w:t xml:space="preserve">|  </w:t>
      </w:r>
      <w:r w:rsidR="00650CB8" w:rsidRPr="00F35BF1">
        <w:rPr>
          <w:color w:val="000000"/>
          <w:spacing w:val="-69"/>
          <w:w w:val="15"/>
          <w:shd w:val="solid" w:color="000000" w:fill="000000"/>
          <w:fitText w:val="-20" w:id="-1435748854"/>
          <w14:textFill>
            <w14:solidFill>
              <w14:srgbClr w14:val="000000">
                <w14:alpha w14:val="100000"/>
              </w14:srgbClr>
            </w14:solidFill>
          </w14:textFill>
        </w:rPr>
        <w:t>|</w:t>
      </w:r>
      <w:r w:rsidRPr="00B14AA3">
        <w:t xml:space="preserve"> for the 140 mg dose (to adjust for 28-day supply).</w:t>
      </w:r>
      <w:r w:rsidR="00C23BEB">
        <w:t xml:space="preserve"> The weighted rebate between dose strengths was calculated </w:t>
      </w:r>
      <w:r w:rsidR="00A352FE">
        <w:t xml:space="preserve">at </w:t>
      </w:r>
      <w:r w:rsidR="00650CB8" w:rsidRPr="00F35BF1">
        <w:rPr>
          <w:color w:val="000000"/>
          <w:w w:val="15"/>
          <w:shd w:val="solid" w:color="000000" w:fill="000000"/>
          <w:fitText w:val="-20" w:id="-1435748853"/>
          <w14:textFill>
            <w14:solidFill>
              <w14:srgbClr w14:val="000000">
                <w14:alpha w14:val="100000"/>
              </w14:srgbClr>
            </w14:solidFill>
          </w14:textFill>
        </w:rPr>
        <w:t xml:space="preserve">|  </w:t>
      </w:r>
      <w:r w:rsidR="00650CB8" w:rsidRPr="00F35BF1">
        <w:rPr>
          <w:color w:val="000000"/>
          <w:spacing w:val="-69"/>
          <w:w w:val="15"/>
          <w:shd w:val="solid" w:color="000000" w:fill="000000"/>
          <w:fitText w:val="-20" w:id="-1435748853"/>
          <w14:textFill>
            <w14:solidFill>
              <w14:srgbClr w14:val="000000">
                <w14:alpha w14:val="100000"/>
              </w14:srgbClr>
            </w14:solidFill>
          </w14:textFill>
        </w:rPr>
        <w:t>|</w:t>
      </w:r>
      <w:r w:rsidR="00A352FE">
        <w:t>% based on assumption of 80% use of the 140 mg dose, and 20% for 420 mg.</w:t>
      </w:r>
      <w:r w:rsidR="00AD2512">
        <w:t xml:space="preserve"> </w:t>
      </w:r>
      <w:r w:rsidR="000101A5" w:rsidRPr="001F281D">
        <w:rPr>
          <w:iCs/>
        </w:rPr>
        <w:t xml:space="preserve">The PSCR presented an analysis which adjusted the baseline mean LDL-C level, resulting in an incremental cost per additional QALY of </w:t>
      </w:r>
      <w:r w:rsidR="00C97F9B" w:rsidRPr="00C97F9B">
        <w:t>$25,000 to &lt; $35,000</w:t>
      </w:r>
      <w:r w:rsidR="000101A5" w:rsidRPr="001F281D">
        <w:rPr>
          <w:iCs/>
        </w:rPr>
        <w:t xml:space="preserve"> (see paragraph </w:t>
      </w:r>
      <w:r w:rsidR="000101A5" w:rsidRPr="001F281D">
        <w:rPr>
          <w:iCs/>
        </w:rPr>
        <w:fldChar w:fldCharType="begin"/>
      </w:r>
      <w:r w:rsidR="000101A5" w:rsidRPr="001F281D">
        <w:rPr>
          <w:iCs/>
        </w:rPr>
        <w:instrText xml:space="preserve"> REF _Ref106358977 \r \h </w:instrText>
      </w:r>
      <w:r w:rsidR="000101A5" w:rsidRPr="001F281D">
        <w:rPr>
          <w:iCs/>
        </w:rPr>
      </w:r>
      <w:r w:rsidR="000101A5" w:rsidRPr="001F281D">
        <w:rPr>
          <w:iCs/>
        </w:rPr>
        <w:fldChar w:fldCharType="separate"/>
      </w:r>
      <w:r w:rsidR="00EB7F7C">
        <w:rPr>
          <w:iCs/>
        </w:rPr>
        <w:t>6.32</w:t>
      </w:r>
      <w:r w:rsidR="000101A5" w:rsidRPr="001F281D">
        <w:rPr>
          <w:iCs/>
        </w:rPr>
        <w:fldChar w:fldCharType="end"/>
      </w:r>
      <w:r w:rsidR="000101A5" w:rsidRPr="001F281D">
        <w:rPr>
          <w:iCs/>
        </w:rPr>
        <w:t>).</w:t>
      </w:r>
    </w:p>
    <w:p w14:paraId="44C9B98F" w14:textId="3D82F4F9" w:rsidR="00C27022" w:rsidRPr="00542E70" w:rsidRDefault="00C27022" w:rsidP="00BF34B1">
      <w:pPr>
        <w:pStyle w:val="ExecSumBodyText"/>
      </w:pPr>
      <w:r w:rsidRPr="004B339A">
        <w:t xml:space="preserve">Weighting between the current and new populations was </w:t>
      </w:r>
      <w:r w:rsidR="00156888" w:rsidRPr="00C16E28">
        <w:t xml:space="preserve">derived by combining the agreed total services for the existing </w:t>
      </w:r>
      <w:r w:rsidR="00156888">
        <w:t>risk sharing arrangement</w:t>
      </w:r>
      <w:r w:rsidR="00156888" w:rsidRPr="00C16E28">
        <w:t xml:space="preserve"> with the </w:t>
      </w:r>
      <w:r w:rsidR="00D0687D">
        <w:t xml:space="preserve">submission’s </w:t>
      </w:r>
      <w:r w:rsidR="00156888" w:rsidRPr="00C16E28">
        <w:t>forecast services for the new population</w:t>
      </w:r>
      <w:r w:rsidR="00BB60B0">
        <w:t>.</w:t>
      </w:r>
      <w:r w:rsidR="00156888" w:rsidRPr="004B339A">
        <w:t xml:space="preserve"> </w:t>
      </w:r>
      <w:r w:rsidR="00A942AA">
        <w:t xml:space="preserve">The submission stated that peak uptake was assumed to be reached in 2024, when the </w:t>
      </w:r>
      <w:r w:rsidR="004F0CAF">
        <w:t xml:space="preserve">existing population was estimated to represent </w:t>
      </w:r>
      <w:r w:rsidR="00650CB8" w:rsidRPr="00F35BF1">
        <w:rPr>
          <w:color w:val="000000"/>
          <w:w w:val="15"/>
          <w:shd w:val="solid" w:color="000000" w:fill="000000"/>
          <w:fitText w:val="-20" w:id="-1435748852"/>
          <w14:textFill>
            <w14:solidFill>
              <w14:srgbClr w14:val="000000">
                <w14:alpha w14:val="100000"/>
              </w14:srgbClr>
            </w14:solidFill>
          </w14:textFill>
        </w:rPr>
        <w:t xml:space="preserve">|  </w:t>
      </w:r>
      <w:r w:rsidR="00650CB8" w:rsidRPr="00F35BF1">
        <w:rPr>
          <w:color w:val="000000"/>
          <w:spacing w:val="-69"/>
          <w:w w:val="15"/>
          <w:shd w:val="solid" w:color="000000" w:fill="000000"/>
          <w:fitText w:val="-20" w:id="-1435748852"/>
          <w14:textFill>
            <w14:solidFill>
              <w14:srgbClr w14:val="000000">
                <w14:alpha w14:val="100000"/>
              </w14:srgbClr>
            </w14:solidFill>
          </w14:textFill>
        </w:rPr>
        <w:t>|</w:t>
      </w:r>
      <w:r w:rsidR="004F0CAF">
        <w:t>% (</w:t>
      </w:r>
      <w:r w:rsidR="001776EA" w:rsidRPr="001776EA">
        <w:t>400,000 to &lt; 500,000</w:t>
      </w:r>
      <w:r w:rsidR="001776EA">
        <w:t xml:space="preserve"> </w:t>
      </w:r>
      <w:r w:rsidR="004F0CAF">
        <w:t xml:space="preserve">scripts) of the total uptake, and </w:t>
      </w:r>
      <w:r w:rsidR="00650CB8" w:rsidRPr="00F35BF1">
        <w:rPr>
          <w:color w:val="000000"/>
          <w:w w:val="15"/>
          <w:shd w:val="solid" w:color="000000" w:fill="000000"/>
          <w:fitText w:val="-20" w:id="-1435748851"/>
          <w14:textFill>
            <w14:solidFill>
              <w14:srgbClr w14:val="000000">
                <w14:alpha w14:val="100000"/>
              </w14:srgbClr>
            </w14:solidFill>
          </w14:textFill>
        </w:rPr>
        <w:t xml:space="preserve">|  </w:t>
      </w:r>
      <w:r w:rsidR="00650CB8" w:rsidRPr="00F35BF1">
        <w:rPr>
          <w:color w:val="000000"/>
          <w:spacing w:val="-69"/>
          <w:w w:val="15"/>
          <w:shd w:val="solid" w:color="000000" w:fill="000000"/>
          <w:fitText w:val="-20" w:id="-1435748851"/>
          <w14:textFill>
            <w14:solidFill>
              <w14:srgbClr w14:val="000000">
                <w14:alpha w14:val="100000"/>
              </w14:srgbClr>
            </w14:solidFill>
          </w14:textFill>
        </w:rPr>
        <w:t>|</w:t>
      </w:r>
      <w:r w:rsidR="000D0490">
        <w:t xml:space="preserve">% for the </w:t>
      </w:r>
      <w:r w:rsidR="00A942AA">
        <w:t xml:space="preserve">new population </w:t>
      </w:r>
      <w:r w:rsidR="0092492C">
        <w:t>(</w:t>
      </w:r>
      <w:r w:rsidR="001776EA" w:rsidRPr="001776EA">
        <w:t>100,000 to &lt; 200,000</w:t>
      </w:r>
      <w:r w:rsidR="001776EA">
        <w:t xml:space="preserve"> </w:t>
      </w:r>
      <w:r w:rsidR="0092492C">
        <w:t>scripts)</w:t>
      </w:r>
      <w:r w:rsidR="00A942AA">
        <w:t xml:space="preserve">. The submission’s proposed overall weighted rebate (from the new published DMPQ) is </w:t>
      </w:r>
      <w:r w:rsidR="00650CB8" w:rsidRPr="00F35BF1">
        <w:rPr>
          <w:color w:val="000000"/>
          <w:w w:val="15"/>
          <w:shd w:val="solid" w:color="000000" w:fill="000000"/>
          <w:fitText w:val="-20" w:id="-1435748850"/>
          <w14:textFill>
            <w14:solidFill>
              <w14:srgbClr w14:val="000000">
                <w14:alpha w14:val="100000"/>
              </w14:srgbClr>
            </w14:solidFill>
          </w14:textFill>
        </w:rPr>
        <w:t xml:space="preserve">|  </w:t>
      </w:r>
      <w:r w:rsidR="00650CB8" w:rsidRPr="00F35BF1">
        <w:rPr>
          <w:color w:val="000000"/>
          <w:spacing w:val="-69"/>
          <w:w w:val="15"/>
          <w:shd w:val="solid" w:color="000000" w:fill="000000"/>
          <w:fitText w:val="-20" w:id="-1435748850"/>
          <w14:textFill>
            <w14:solidFill>
              <w14:srgbClr w14:val="000000">
                <w14:alpha w14:val="100000"/>
              </w14:srgbClr>
            </w14:solidFill>
          </w14:textFill>
        </w:rPr>
        <w:t>|</w:t>
      </w:r>
      <w:r w:rsidR="00A942AA">
        <w:t>% (</w:t>
      </w:r>
      <w:r w:rsidR="00C61F38">
        <w:t>i.e.,</w:t>
      </w:r>
      <w:r w:rsidR="00A942AA">
        <w:t xml:space="preserve"> </w:t>
      </w:r>
      <w:r w:rsidR="00650CB8" w:rsidRPr="00F35BF1">
        <w:rPr>
          <w:color w:val="000000"/>
          <w:w w:val="15"/>
          <w:shd w:val="solid" w:color="000000" w:fill="000000"/>
          <w:fitText w:val="-20" w:id="-1435748849"/>
          <w14:textFill>
            <w14:solidFill>
              <w14:srgbClr w14:val="000000">
                <w14:alpha w14:val="100000"/>
              </w14:srgbClr>
            </w14:solidFill>
          </w14:textFill>
        </w:rPr>
        <w:t xml:space="preserve">|  </w:t>
      </w:r>
      <w:r w:rsidR="00650CB8" w:rsidRPr="00F35BF1">
        <w:rPr>
          <w:color w:val="000000"/>
          <w:spacing w:val="-69"/>
          <w:w w:val="15"/>
          <w:shd w:val="solid" w:color="000000" w:fill="000000"/>
          <w:fitText w:val="-20" w:id="-1435748849"/>
          <w14:textFill>
            <w14:solidFill>
              <w14:srgbClr w14:val="000000">
                <w14:alpha w14:val="100000"/>
              </w14:srgbClr>
            </w14:solidFill>
          </w14:textFill>
        </w:rPr>
        <w:t>|</w:t>
      </w:r>
      <w:r w:rsidR="00A942AA">
        <w:t xml:space="preserve"> x </w:t>
      </w:r>
      <w:r w:rsidR="00650CB8" w:rsidRPr="00F35BF1">
        <w:rPr>
          <w:color w:val="000000"/>
          <w:w w:val="15"/>
          <w:shd w:val="solid" w:color="000000" w:fill="000000"/>
          <w:fitText w:val="-20" w:id="-1435748848"/>
          <w14:textFill>
            <w14:solidFill>
              <w14:srgbClr w14:val="000000">
                <w14:alpha w14:val="100000"/>
              </w14:srgbClr>
            </w14:solidFill>
          </w14:textFill>
        </w:rPr>
        <w:t xml:space="preserve">|  </w:t>
      </w:r>
      <w:r w:rsidR="00650CB8" w:rsidRPr="00F35BF1">
        <w:rPr>
          <w:color w:val="000000"/>
          <w:spacing w:val="-69"/>
          <w:w w:val="15"/>
          <w:shd w:val="solid" w:color="000000" w:fill="000000"/>
          <w:fitText w:val="-20" w:id="-1435748848"/>
          <w14:textFill>
            <w14:solidFill>
              <w14:srgbClr w14:val="000000">
                <w14:alpha w14:val="100000"/>
              </w14:srgbClr>
            </w14:solidFill>
          </w14:textFill>
        </w:rPr>
        <w:t>|</w:t>
      </w:r>
      <w:r w:rsidR="00A942AA">
        <w:t xml:space="preserve">% + </w:t>
      </w:r>
      <w:r w:rsidR="00650CB8" w:rsidRPr="00F35BF1">
        <w:rPr>
          <w:color w:val="000000"/>
          <w:w w:val="15"/>
          <w:shd w:val="solid" w:color="000000" w:fill="000000"/>
          <w:fitText w:val="-20" w:id="-1435748864"/>
          <w14:textFill>
            <w14:solidFill>
              <w14:srgbClr w14:val="000000">
                <w14:alpha w14:val="100000"/>
              </w14:srgbClr>
            </w14:solidFill>
          </w14:textFill>
        </w:rPr>
        <w:t xml:space="preserve">|  </w:t>
      </w:r>
      <w:r w:rsidR="00650CB8" w:rsidRPr="00F35BF1">
        <w:rPr>
          <w:color w:val="000000"/>
          <w:spacing w:val="-69"/>
          <w:w w:val="15"/>
          <w:shd w:val="solid" w:color="000000" w:fill="000000"/>
          <w:fitText w:val="-20" w:id="-1435748864"/>
          <w14:textFill>
            <w14:solidFill>
              <w14:srgbClr w14:val="000000">
                <w14:alpha w14:val="100000"/>
              </w14:srgbClr>
            </w14:solidFill>
          </w14:textFill>
        </w:rPr>
        <w:t>|</w:t>
      </w:r>
      <w:r w:rsidR="00A942AA">
        <w:t xml:space="preserve"> x </w:t>
      </w:r>
      <w:r w:rsidR="00650CB8" w:rsidRPr="00F35BF1">
        <w:rPr>
          <w:color w:val="000000"/>
          <w:w w:val="15"/>
          <w:shd w:val="solid" w:color="000000" w:fill="000000"/>
          <w:fitText w:val="-20" w:id="-1435748863"/>
          <w14:textFill>
            <w14:solidFill>
              <w14:srgbClr w14:val="000000">
                <w14:alpha w14:val="100000"/>
              </w14:srgbClr>
            </w14:solidFill>
          </w14:textFill>
        </w:rPr>
        <w:t xml:space="preserve">|  </w:t>
      </w:r>
      <w:r w:rsidR="00650CB8" w:rsidRPr="00F35BF1">
        <w:rPr>
          <w:color w:val="000000"/>
          <w:spacing w:val="-69"/>
          <w:w w:val="15"/>
          <w:shd w:val="solid" w:color="000000" w:fill="000000"/>
          <w:fitText w:val="-20" w:id="-1435748863"/>
          <w14:textFill>
            <w14:solidFill>
              <w14:srgbClr w14:val="000000">
                <w14:alpha w14:val="100000"/>
              </w14:srgbClr>
            </w14:solidFill>
          </w14:textFill>
        </w:rPr>
        <w:t>|</w:t>
      </w:r>
      <w:r w:rsidR="00A942AA">
        <w:t>%)</w:t>
      </w:r>
      <w:r w:rsidR="00C33847">
        <w:t>, resulting in an effective weighted DPMQ of $</w:t>
      </w:r>
      <w:r w:rsidR="00650CB8" w:rsidRPr="00F35BF1">
        <w:rPr>
          <w:color w:val="000000"/>
          <w:w w:val="15"/>
          <w:shd w:val="solid" w:color="000000" w:fill="000000"/>
          <w:fitText w:val="-20" w:id="-1435748862"/>
          <w14:textFill>
            <w14:solidFill>
              <w14:srgbClr w14:val="000000">
                <w14:alpha w14:val="100000"/>
              </w14:srgbClr>
            </w14:solidFill>
          </w14:textFill>
        </w:rPr>
        <w:t xml:space="preserve">|  </w:t>
      </w:r>
      <w:r w:rsidR="00650CB8" w:rsidRPr="00F35BF1">
        <w:rPr>
          <w:color w:val="000000"/>
          <w:spacing w:val="-69"/>
          <w:w w:val="15"/>
          <w:shd w:val="solid" w:color="000000" w:fill="000000"/>
          <w:fitText w:val="-20" w:id="-1435748862"/>
          <w14:textFill>
            <w14:solidFill>
              <w14:srgbClr w14:val="000000">
                <w14:alpha w14:val="100000"/>
              </w14:srgbClr>
            </w14:solidFill>
          </w14:textFill>
        </w:rPr>
        <w:t>|</w:t>
      </w:r>
      <w:r w:rsidR="00C33847">
        <w:t xml:space="preserve"> (140 mg injection) and $</w:t>
      </w:r>
      <w:r w:rsidR="00650CB8" w:rsidRPr="00F35BF1">
        <w:rPr>
          <w:color w:val="000000"/>
          <w:w w:val="15"/>
          <w:shd w:val="solid" w:color="000000" w:fill="000000"/>
          <w:fitText w:val="-20" w:id="-1435748861"/>
          <w14:textFill>
            <w14:solidFill>
              <w14:srgbClr w14:val="000000">
                <w14:alpha w14:val="100000"/>
              </w14:srgbClr>
            </w14:solidFill>
          </w14:textFill>
        </w:rPr>
        <w:t xml:space="preserve">|  </w:t>
      </w:r>
      <w:r w:rsidR="00650CB8" w:rsidRPr="00F35BF1">
        <w:rPr>
          <w:color w:val="000000"/>
          <w:spacing w:val="-69"/>
          <w:w w:val="15"/>
          <w:shd w:val="solid" w:color="000000" w:fill="000000"/>
          <w:fitText w:val="-20" w:id="-1435748861"/>
          <w14:textFill>
            <w14:solidFill>
              <w14:srgbClr w14:val="000000">
                <w14:alpha w14:val="100000"/>
              </w14:srgbClr>
            </w14:solidFill>
          </w14:textFill>
        </w:rPr>
        <w:t>|</w:t>
      </w:r>
      <w:r w:rsidR="00C33847">
        <w:t xml:space="preserve"> (420 mg injection).</w:t>
      </w:r>
      <w:r w:rsidR="00B064E0">
        <w:t xml:space="preserve"> </w:t>
      </w:r>
      <w:r w:rsidR="00880410">
        <w:t xml:space="preserve">The proposed price changes are summarised in </w:t>
      </w:r>
      <w:r w:rsidR="00880410">
        <w:fldChar w:fldCharType="begin"/>
      </w:r>
      <w:r w:rsidR="00880410">
        <w:instrText xml:space="preserve"> REF _Ref101266852 \h </w:instrText>
      </w:r>
      <w:r w:rsidR="00880410">
        <w:fldChar w:fldCharType="separate"/>
      </w:r>
      <w:r w:rsidR="00EB7F7C" w:rsidRPr="007D2D5F">
        <w:t>Table</w:t>
      </w:r>
      <w:r w:rsidR="00EB7F7C">
        <w:t xml:space="preserve"> </w:t>
      </w:r>
      <w:r w:rsidR="00EB7F7C">
        <w:rPr>
          <w:noProof/>
        </w:rPr>
        <w:t>3</w:t>
      </w:r>
      <w:r w:rsidR="00880410">
        <w:fldChar w:fldCharType="end"/>
      </w:r>
      <w:r w:rsidR="00880410">
        <w:t>.</w:t>
      </w:r>
      <w:r w:rsidR="00623026" w:rsidRPr="00FF4735">
        <w:rPr>
          <w:iCs/>
        </w:rPr>
        <w:t xml:space="preserve"> </w:t>
      </w:r>
      <w:r w:rsidR="003438CF">
        <w:t xml:space="preserve">Detailed calculations </w:t>
      </w:r>
      <w:r w:rsidR="000A4B1D">
        <w:t xml:space="preserve">were </w:t>
      </w:r>
      <w:r w:rsidR="003438CF">
        <w:t>presented in Attachment 1.4</w:t>
      </w:r>
      <w:r w:rsidR="000A4B1D">
        <w:t xml:space="preserve"> of the commentary</w:t>
      </w:r>
      <w:r w:rsidR="003438CF">
        <w:t>.</w:t>
      </w:r>
    </w:p>
    <w:p w14:paraId="066D688C" w14:textId="64A5A385" w:rsidR="00C27022" w:rsidRDefault="00C27022" w:rsidP="00E211A6">
      <w:pPr>
        <w:pStyle w:val="TableFigureCaption"/>
      </w:pPr>
      <w:bookmarkStart w:id="9" w:name="_Ref101266852"/>
      <w:r w:rsidRPr="007D2D5F">
        <w:t>Table</w:t>
      </w:r>
      <w:r w:rsidR="00E211A6">
        <w:t xml:space="preserve"> </w:t>
      </w:r>
      <w:fldSimple w:instr=" SEQ Table \* ARABIC ">
        <w:r w:rsidR="00EB7F7C">
          <w:rPr>
            <w:noProof/>
          </w:rPr>
          <w:t>3</w:t>
        </w:r>
      </w:fldSimple>
      <w:bookmarkEnd w:id="9"/>
      <w:r w:rsidRPr="007D2D5F">
        <w:t xml:space="preserve">: </w:t>
      </w:r>
      <w:r>
        <w:t xml:space="preserve">Proposed changes to published and effective prices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3: Proposed changes to published and effective prices "/>
      </w:tblPr>
      <w:tblGrid>
        <w:gridCol w:w="3256"/>
        <w:gridCol w:w="977"/>
        <w:gridCol w:w="1196"/>
        <w:gridCol w:w="1196"/>
        <w:gridCol w:w="1196"/>
        <w:gridCol w:w="1196"/>
      </w:tblGrid>
      <w:tr w:rsidR="00C27022" w14:paraId="64B337A2" w14:textId="77777777" w:rsidTr="00BF34B1">
        <w:tc>
          <w:tcPr>
            <w:tcW w:w="3256" w:type="dxa"/>
            <w:vMerge w:val="restart"/>
            <w:tcMar>
              <w:top w:w="0" w:type="dxa"/>
              <w:left w:w="108" w:type="dxa"/>
              <w:bottom w:w="0" w:type="dxa"/>
              <w:right w:w="108" w:type="dxa"/>
            </w:tcMar>
          </w:tcPr>
          <w:p w14:paraId="2E507510" w14:textId="77777777" w:rsidR="00C27022" w:rsidRDefault="00C27022" w:rsidP="00BF34B1">
            <w:pPr>
              <w:keepNext/>
              <w:rPr>
                <w:rFonts w:cs="Calibri"/>
                <w:sz w:val="22"/>
                <w:szCs w:val="22"/>
              </w:rPr>
            </w:pPr>
          </w:p>
        </w:tc>
        <w:tc>
          <w:tcPr>
            <w:tcW w:w="977" w:type="dxa"/>
            <w:vMerge w:val="restart"/>
            <w:vAlign w:val="center"/>
          </w:tcPr>
          <w:p w14:paraId="5FA7B51C" w14:textId="77777777" w:rsidR="00C27022" w:rsidRPr="00446EE3" w:rsidRDefault="00C27022" w:rsidP="00BF34B1">
            <w:pPr>
              <w:keepNext/>
              <w:jc w:val="center"/>
              <w:rPr>
                <w:rFonts w:ascii="Arial Narrow" w:hAnsi="Arial Narrow" w:cs="Calibri"/>
                <w:b/>
                <w:bCs/>
                <w:color w:val="000000"/>
                <w:sz w:val="20"/>
                <w:szCs w:val="20"/>
              </w:rPr>
            </w:pPr>
            <w:r>
              <w:rPr>
                <w:rFonts w:ascii="Arial Narrow" w:hAnsi="Arial Narrow" w:cs="Calibri"/>
                <w:b/>
                <w:bCs/>
                <w:color w:val="000000"/>
                <w:sz w:val="20"/>
                <w:szCs w:val="20"/>
              </w:rPr>
              <w:t>Rebate</w:t>
            </w:r>
          </w:p>
        </w:tc>
        <w:tc>
          <w:tcPr>
            <w:tcW w:w="2392" w:type="dxa"/>
            <w:gridSpan w:val="2"/>
            <w:tcMar>
              <w:top w:w="0" w:type="dxa"/>
              <w:left w:w="108" w:type="dxa"/>
              <w:bottom w:w="0" w:type="dxa"/>
              <w:right w:w="108" w:type="dxa"/>
            </w:tcMar>
            <w:vAlign w:val="center"/>
          </w:tcPr>
          <w:p w14:paraId="3FDBEC42" w14:textId="77777777" w:rsidR="00C27022" w:rsidRDefault="00C27022" w:rsidP="00BF34B1">
            <w:pPr>
              <w:keepNext/>
              <w:jc w:val="center"/>
            </w:pPr>
            <w:r w:rsidRPr="00446EE3">
              <w:rPr>
                <w:rFonts w:ascii="Arial Narrow" w:hAnsi="Arial Narrow" w:cs="Calibri"/>
                <w:b/>
                <w:bCs/>
                <w:color w:val="000000"/>
                <w:sz w:val="20"/>
                <w:szCs w:val="20"/>
              </w:rPr>
              <w:t>Published Price (DPMQ)</w:t>
            </w:r>
          </w:p>
        </w:tc>
        <w:tc>
          <w:tcPr>
            <w:tcW w:w="2392" w:type="dxa"/>
            <w:gridSpan w:val="2"/>
            <w:tcMar>
              <w:top w:w="0" w:type="dxa"/>
              <w:left w:w="108" w:type="dxa"/>
              <w:bottom w:w="0" w:type="dxa"/>
              <w:right w:w="108" w:type="dxa"/>
            </w:tcMar>
            <w:vAlign w:val="center"/>
            <w:hideMark/>
          </w:tcPr>
          <w:p w14:paraId="730367D4" w14:textId="77777777" w:rsidR="00C27022" w:rsidRDefault="00C27022" w:rsidP="00BF34B1">
            <w:pPr>
              <w:keepNext/>
              <w:jc w:val="center"/>
            </w:pPr>
            <w:r w:rsidRPr="00446EE3">
              <w:rPr>
                <w:rFonts w:ascii="Arial Narrow" w:hAnsi="Arial Narrow" w:cs="Calibri"/>
                <w:b/>
                <w:bCs/>
                <w:color w:val="000000"/>
                <w:sz w:val="20"/>
                <w:szCs w:val="20"/>
              </w:rPr>
              <w:t>Effective Price (DPMQ)</w:t>
            </w:r>
          </w:p>
        </w:tc>
      </w:tr>
      <w:tr w:rsidR="00C27022" w14:paraId="79BDC9B1" w14:textId="77777777" w:rsidTr="00BF34B1">
        <w:tc>
          <w:tcPr>
            <w:tcW w:w="3256" w:type="dxa"/>
            <w:vMerge/>
            <w:tcMar>
              <w:top w:w="0" w:type="dxa"/>
              <w:left w:w="108" w:type="dxa"/>
              <w:bottom w:w="0" w:type="dxa"/>
              <w:right w:w="108" w:type="dxa"/>
            </w:tcMar>
          </w:tcPr>
          <w:p w14:paraId="4A6A395D" w14:textId="77777777" w:rsidR="00C27022" w:rsidRDefault="00C27022" w:rsidP="00BF34B1">
            <w:pPr>
              <w:keepNext/>
            </w:pPr>
          </w:p>
        </w:tc>
        <w:tc>
          <w:tcPr>
            <w:tcW w:w="977" w:type="dxa"/>
            <w:vMerge/>
          </w:tcPr>
          <w:p w14:paraId="682773C2" w14:textId="77777777" w:rsidR="00C27022" w:rsidRPr="00470C00" w:rsidRDefault="00C27022" w:rsidP="00BF34B1">
            <w:pPr>
              <w:keepNext/>
              <w:jc w:val="center"/>
              <w:rPr>
                <w:rFonts w:ascii="Arial Narrow" w:hAnsi="Arial Narrow" w:cs="Calibri"/>
                <w:b/>
                <w:bCs/>
                <w:color w:val="000000"/>
                <w:sz w:val="20"/>
                <w:szCs w:val="20"/>
              </w:rPr>
            </w:pPr>
          </w:p>
        </w:tc>
        <w:tc>
          <w:tcPr>
            <w:tcW w:w="1196" w:type="dxa"/>
            <w:tcMar>
              <w:top w:w="0" w:type="dxa"/>
              <w:left w:w="108" w:type="dxa"/>
              <w:bottom w:w="0" w:type="dxa"/>
              <w:right w:w="108" w:type="dxa"/>
            </w:tcMar>
            <w:vAlign w:val="center"/>
            <w:hideMark/>
          </w:tcPr>
          <w:p w14:paraId="4C90C48C" w14:textId="77777777" w:rsidR="00C27022" w:rsidRPr="00470C00" w:rsidRDefault="00C27022" w:rsidP="00BF34B1">
            <w:pPr>
              <w:keepNext/>
              <w:jc w:val="center"/>
              <w:rPr>
                <w:rFonts w:ascii="Arial Narrow" w:hAnsi="Arial Narrow" w:cs="Calibri"/>
                <w:b/>
                <w:bCs/>
                <w:color w:val="000000"/>
                <w:sz w:val="20"/>
                <w:szCs w:val="20"/>
              </w:rPr>
            </w:pPr>
            <w:r w:rsidRPr="00470C00">
              <w:rPr>
                <w:rFonts w:ascii="Arial Narrow" w:hAnsi="Arial Narrow" w:cs="Calibri"/>
                <w:b/>
                <w:bCs/>
                <w:color w:val="000000"/>
                <w:sz w:val="20"/>
                <w:szCs w:val="20"/>
              </w:rPr>
              <w:t>140 mg</w:t>
            </w:r>
          </w:p>
        </w:tc>
        <w:tc>
          <w:tcPr>
            <w:tcW w:w="1196" w:type="dxa"/>
            <w:tcMar>
              <w:top w:w="0" w:type="dxa"/>
              <w:left w:w="108" w:type="dxa"/>
              <w:bottom w:w="0" w:type="dxa"/>
              <w:right w:w="108" w:type="dxa"/>
            </w:tcMar>
            <w:vAlign w:val="center"/>
            <w:hideMark/>
          </w:tcPr>
          <w:p w14:paraId="68D11E5A" w14:textId="77777777" w:rsidR="00C27022" w:rsidRPr="00470C00" w:rsidRDefault="00C27022" w:rsidP="00BF34B1">
            <w:pPr>
              <w:keepNext/>
              <w:jc w:val="center"/>
              <w:rPr>
                <w:rFonts w:ascii="Arial Narrow" w:hAnsi="Arial Narrow" w:cs="Calibri"/>
                <w:b/>
                <w:bCs/>
                <w:color w:val="000000"/>
                <w:sz w:val="20"/>
                <w:szCs w:val="20"/>
              </w:rPr>
            </w:pPr>
            <w:r w:rsidRPr="00470C00">
              <w:rPr>
                <w:rFonts w:ascii="Arial Narrow" w:hAnsi="Arial Narrow" w:cs="Calibri"/>
                <w:b/>
                <w:bCs/>
                <w:color w:val="000000"/>
                <w:sz w:val="20"/>
                <w:szCs w:val="20"/>
              </w:rPr>
              <w:t>420 mg</w:t>
            </w:r>
          </w:p>
        </w:tc>
        <w:tc>
          <w:tcPr>
            <w:tcW w:w="1196" w:type="dxa"/>
            <w:tcMar>
              <w:top w:w="0" w:type="dxa"/>
              <w:left w:w="108" w:type="dxa"/>
              <w:bottom w:w="0" w:type="dxa"/>
              <w:right w:w="108" w:type="dxa"/>
            </w:tcMar>
            <w:vAlign w:val="center"/>
            <w:hideMark/>
          </w:tcPr>
          <w:p w14:paraId="39864753" w14:textId="77777777" w:rsidR="00C27022" w:rsidRPr="00470C00" w:rsidRDefault="00C27022" w:rsidP="00BF34B1">
            <w:pPr>
              <w:keepNext/>
              <w:jc w:val="center"/>
              <w:rPr>
                <w:rFonts w:ascii="Arial Narrow" w:hAnsi="Arial Narrow" w:cs="Calibri"/>
                <w:b/>
                <w:bCs/>
                <w:color w:val="000000"/>
                <w:sz w:val="20"/>
                <w:szCs w:val="20"/>
              </w:rPr>
            </w:pPr>
            <w:r w:rsidRPr="00470C00">
              <w:rPr>
                <w:rFonts w:ascii="Arial Narrow" w:hAnsi="Arial Narrow" w:cs="Calibri"/>
                <w:b/>
                <w:bCs/>
                <w:color w:val="000000"/>
                <w:sz w:val="20"/>
                <w:szCs w:val="20"/>
              </w:rPr>
              <w:t>140 mg</w:t>
            </w:r>
          </w:p>
        </w:tc>
        <w:tc>
          <w:tcPr>
            <w:tcW w:w="1196" w:type="dxa"/>
            <w:tcMar>
              <w:top w:w="0" w:type="dxa"/>
              <w:left w:w="108" w:type="dxa"/>
              <w:bottom w:w="0" w:type="dxa"/>
              <w:right w:w="108" w:type="dxa"/>
            </w:tcMar>
            <w:vAlign w:val="center"/>
            <w:hideMark/>
          </w:tcPr>
          <w:p w14:paraId="6F6B12D1" w14:textId="77777777" w:rsidR="00C27022" w:rsidRPr="00470C00" w:rsidRDefault="00C27022" w:rsidP="00BF34B1">
            <w:pPr>
              <w:keepNext/>
              <w:jc w:val="center"/>
              <w:rPr>
                <w:rFonts w:ascii="Arial Narrow" w:hAnsi="Arial Narrow" w:cs="Calibri"/>
                <w:b/>
                <w:bCs/>
                <w:color w:val="000000"/>
                <w:sz w:val="20"/>
                <w:szCs w:val="20"/>
              </w:rPr>
            </w:pPr>
            <w:r w:rsidRPr="00470C00">
              <w:rPr>
                <w:rFonts w:ascii="Arial Narrow" w:hAnsi="Arial Narrow" w:cs="Calibri"/>
                <w:b/>
                <w:bCs/>
                <w:color w:val="000000"/>
                <w:sz w:val="20"/>
                <w:szCs w:val="20"/>
              </w:rPr>
              <w:t>420 mg</w:t>
            </w:r>
          </w:p>
        </w:tc>
      </w:tr>
      <w:tr w:rsidR="00C27022" w14:paraId="1C5092E1" w14:textId="77777777" w:rsidTr="009230C8">
        <w:tc>
          <w:tcPr>
            <w:tcW w:w="3256" w:type="dxa"/>
            <w:tcMar>
              <w:top w:w="0" w:type="dxa"/>
              <w:left w:w="108" w:type="dxa"/>
              <w:bottom w:w="0" w:type="dxa"/>
              <w:right w:w="108" w:type="dxa"/>
            </w:tcMar>
            <w:hideMark/>
          </w:tcPr>
          <w:p w14:paraId="00EF8F8E" w14:textId="77777777" w:rsidR="00C27022" w:rsidRPr="00470C00" w:rsidRDefault="00C27022" w:rsidP="00BF34B1">
            <w:pPr>
              <w:keepNext/>
              <w:jc w:val="left"/>
              <w:rPr>
                <w:rFonts w:ascii="Arial Narrow" w:hAnsi="Arial Narrow"/>
                <w:sz w:val="20"/>
                <w:szCs w:val="20"/>
              </w:rPr>
            </w:pPr>
            <w:r w:rsidRPr="00470C00">
              <w:rPr>
                <w:rFonts w:ascii="Arial Narrow" w:hAnsi="Arial Narrow"/>
                <w:sz w:val="20"/>
                <w:szCs w:val="20"/>
              </w:rPr>
              <w:t>Pricing at Feb 2022</w:t>
            </w:r>
          </w:p>
        </w:tc>
        <w:tc>
          <w:tcPr>
            <w:tcW w:w="977" w:type="dxa"/>
          </w:tcPr>
          <w:p w14:paraId="0162DEA1" w14:textId="6F7943DC" w:rsidR="00C27022" w:rsidRPr="00BB6FBD" w:rsidRDefault="00650CB8" w:rsidP="00BF34B1">
            <w:pPr>
              <w:keepNext/>
              <w:jc w:val="center"/>
              <w:rPr>
                <w:rFonts w:ascii="Arial Narrow" w:hAnsi="Arial Narrow" w:cs="Calibri"/>
                <w:color w:val="000000"/>
                <w:sz w:val="20"/>
                <w:szCs w:val="20"/>
              </w:rPr>
            </w:pPr>
            <w:r w:rsidRPr="00650CB8">
              <w:rPr>
                <w:rFonts w:ascii="Arial Narrow" w:hAnsi="Arial Narrow" w:cs="Calibri"/>
                <w:color w:val="000000"/>
                <w:spacing w:val="32"/>
                <w:sz w:val="20"/>
                <w:szCs w:val="20"/>
                <w:shd w:val="solid" w:color="000000" w:fill="000000"/>
                <w:fitText w:val="420" w:id="-1435748860"/>
                <w14:textFill>
                  <w14:solidFill>
                    <w14:srgbClr w14:val="000000">
                      <w14:alpha w14:val="100000"/>
                    </w14:srgbClr>
                  </w14:solidFill>
                </w14:textFill>
              </w:rPr>
              <w:t>|||||</w:t>
            </w:r>
            <w:r w:rsidRPr="00650CB8">
              <w:rPr>
                <w:rFonts w:ascii="Arial Narrow" w:hAnsi="Arial Narrow" w:cs="Calibri"/>
                <w:color w:val="000000"/>
                <w:spacing w:val="5"/>
                <w:sz w:val="20"/>
                <w:szCs w:val="20"/>
                <w:shd w:val="solid" w:color="000000" w:fill="000000"/>
                <w:fitText w:val="420" w:id="-1435748860"/>
                <w14:textFill>
                  <w14:solidFill>
                    <w14:srgbClr w14:val="000000">
                      <w14:alpha w14:val="100000"/>
                    </w14:srgbClr>
                  </w14:solidFill>
                </w14:textFill>
              </w:rPr>
              <w:t>|</w:t>
            </w:r>
            <w:r w:rsidR="00C27022">
              <w:rPr>
                <w:rFonts w:ascii="Arial Narrow" w:hAnsi="Arial Narrow" w:cs="Calibri"/>
                <w:color w:val="000000"/>
                <w:sz w:val="20"/>
                <w:szCs w:val="20"/>
              </w:rPr>
              <w:t>%</w:t>
            </w:r>
          </w:p>
        </w:tc>
        <w:tc>
          <w:tcPr>
            <w:tcW w:w="1196" w:type="dxa"/>
            <w:shd w:val="clear" w:color="auto" w:fill="auto"/>
            <w:tcMar>
              <w:top w:w="0" w:type="dxa"/>
              <w:left w:w="108" w:type="dxa"/>
              <w:bottom w:w="0" w:type="dxa"/>
              <w:right w:w="108" w:type="dxa"/>
            </w:tcMar>
            <w:vAlign w:val="center"/>
          </w:tcPr>
          <w:p w14:paraId="49038820" w14:textId="77777777" w:rsidR="00C27022" w:rsidRPr="009230C8" w:rsidRDefault="00C27022" w:rsidP="00BF34B1">
            <w:pPr>
              <w:keepNext/>
              <w:jc w:val="center"/>
              <w:rPr>
                <w:rFonts w:ascii="Arial Narrow" w:hAnsi="Arial Narrow"/>
                <w:sz w:val="20"/>
                <w:szCs w:val="20"/>
              </w:rPr>
            </w:pPr>
            <w:r w:rsidRPr="009230C8">
              <w:rPr>
                <w:rFonts w:ascii="Arial Narrow" w:hAnsi="Arial Narrow" w:cs="Calibri"/>
                <w:color w:val="000000"/>
                <w:sz w:val="20"/>
                <w:szCs w:val="20"/>
              </w:rPr>
              <w:t>$497.88</w:t>
            </w:r>
          </w:p>
        </w:tc>
        <w:tc>
          <w:tcPr>
            <w:tcW w:w="1196" w:type="dxa"/>
            <w:shd w:val="clear" w:color="auto" w:fill="auto"/>
            <w:tcMar>
              <w:top w:w="0" w:type="dxa"/>
              <w:left w:w="108" w:type="dxa"/>
              <w:bottom w:w="0" w:type="dxa"/>
              <w:right w:w="108" w:type="dxa"/>
            </w:tcMar>
            <w:vAlign w:val="center"/>
          </w:tcPr>
          <w:p w14:paraId="278A1D76" w14:textId="77777777" w:rsidR="00C27022" w:rsidRPr="009230C8" w:rsidRDefault="00C27022" w:rsidP="00BF34B1">
            <w:pPr>
              <w:keepNext/>
              <w:jc w:val="center"/>
              <w:rPr>
                <w:rFonts w:ascii="Arial Narrow" w:hAnsi="Arial Narrow"/>
                <w:sz w:val="20"/>
                <w:szCs w:val="20"/>
              </w:rPr>
            </w:pPr>
            <w:r w:rsidRPr="009230C8">
              <w:rPr>
                <w:rFonts w:ascii="Arial Narrow" w:hAnsi="Arial Narrow" w:cs="Calibri"/>
                <w:color w:val="000000"/>
                <w:sz w:val="20"/>
                <w:szCs w:val="20"/>
              </w:rPr>
              <w:t>$</w:t>
            </w:r>
            <w:r w:rsidRPr="009230C8">
              <w:rPr>
                <w:rFonts w:ascii="Arial Narrow" w:hAnsi="Arial Narrow" w:cs="Calibri"/>
                <w:sz w:val="20"/>
                <w:szCs w:val="20"/>
              </w:rPr>
              <w:t>539.18</w:t>
            </w:r>
          </w:p>
        </w:tc>
        <w:tc>
          <w:tcPr>
            <w:tcW w:w="1196" w:type="dxa"/>
            <w:tcMar>
              <w:top w:w="0" w:type="dxa"/>
              <w:left w:w="108" w:type="dxa"/>
              <w:bottom w:w="0" w:type="dxa"/>
              <w:right w:w="108" w:type="dxa"/>
            </w:tcMar>
            <w:vAlign w:val="center"/>
          </w:tcPr>
          <w:p w14:paraId="7898FD53" w14:textId="5C6E8483" w:rsidR="00C27022" w:rsidRPr="00470C00" w:rsidRDefault="00C27022" w:rsidP="00BF34B1">
            <w:pPr>
              <w:keepNext/>
              <w:jc w:val="center"/>
              <w:rPr>
                <w:rFonts w:ascii="Arial Narrow" w:hAnsi="Arial Narrow"/>
                <w:sz w:val="20"/>
                <w:szCs w:val="20"/>
              </w:rPr>
            </w:pPr>
            <w:r w:rsidRPr="00BB6FBD">
              <w:rPr>
                <w:rFonts w:ascii="Arial Narrow" w:hAnsi="Arial Narrow" w:cs="Calibri"/>
                <w:color w:val="000000"/>
                <w:sz w:val="20"/>
                <w:szCs w:val="20"/>
              </w:rPr>
              <w:t>$</w:t>
            </w:r>
            <w:r w:rsidR="00650CB8" w:rsidRPr="00650CB8">
              <w:rPr>
                <w:rFonts w:ascii="Arial Narrow" w:hAnsi="Arial Narrow" w:cs="Calibri"/>
                <w:color w:val="000000"/>
                <w:spacing w:val="73"/>
                <w:sz w:val="20"/>
                <w:szCs w:val="20"/>
                <w:shd w:val="solid" w:color="000000" w:fill="000000"/>
                <w:fitText w:val="390" w:id="-1435748859"/>
                <w14:textFill>
                  <w14:solidFill>
                    <w14:srgbClr w14:val="000000">
                      <w14:alpha w14:val="100000"/>
                    </w14:srgbClr>
                  </w14:solidFill>
                </w14:textFill>
              </w:rPr>
              <w:t>|||</w:t>
            </w:r>
            <w:r w:rsidR="00650CB8" w:rsidRPr="00650CB8">
              <w:rPr>
                <w:rFonts w:ascii="Arial Narrow" w:hAnsi="Arial Narrow" w:cs="Calibri"/>
                <w:color w:val="000000"/>
                <w:spacing w:val="1"/>
                <w:sz w:val="20"/>
                <w:szCs w:val="20"/>
                <w:shd w:val="solid" w:color="000000" w:fill="000000"/>
                <w:fitText w:val="390" w:id="-1435748859"/>
                <w14:textFill>
                  <w14:solidFill>
                    <w14:srgbClr w14:val="000000">
                      <w14:alpha w14:val="100000"/>
                    </w14:srgbClr>
                  </w14:solidFill>
                </w14:textFill>
              </w:rPr>
              <w:t>|</w:t>
            </w:r>
          </w:p>
        </w:tc>
        <w:tc>
          <w:tcPr>
            <w:tcW w:w="1196" w:type="dxa"/>
            <w:tcMar>
              <w:top w:w="0" w:type="dxa"/>
              <w:left w:w="108" w:type="dxa"/>
              <w:bottom w:w="0" w:type="dxa"/>
              <w:right w:w="108" w:type="dxa"/>
            </w:tcMar>
            <w:vAlign w:val="center"/>
          </w:tcPr>
          <w:p w14:paraId="203B419B" w14:textId="024C6BA2" w:rsidR="00C27022" w:rsidRPr="00470C00" w:rsidRDefault="00C27022" w:rsidP="00BF34B1">
            <w:pPr>
              <w:keepNext/>
              <w:jc w:val="center"/>
              <w:rPr>
                <w:rFonts w:ascii="Arial Narrow" w:hAnsi="Arial Narrow"/>
                <w:sz w:val="20"/>
                <w:szCs w:val="20"/>
              </w:rPr>
            </w:pPr>
            <w:r w:rsidRPr="00BB6FBD">
              <w:rPr>
                <w:rFonts w:ascii="Arial Narrow" w:hAnsi="Arial Narrow" w:cs="Calibri"/>
                <w:color w:val="000000"/>
                <w:sz w:val="20"/>
                <w:szCs w:val="20"/>
              </w:rPr>
              <w:t>$</w:t>
            </w:r>
            <w:r w:rsidR="00650CB8" w:rsidRPr="00650CB8">
              <w:rPr>
                <w:rFonts w:ascii="Arial Narrow" w:hAnsi="Arial Narrow" w:cs="Calibri"/>
                <w:color w:val="000000"/>
                <w:spacing w:val="73"/>
                <w:sz w:val="20"/>
                <w:szCs w:val="20"/>
                <w:shd w:val="solid" w:color="000000" w:fill="000000"/>
                <w:fitText w:val="390" w:id="-1435748858"/>
                <w14:textFill>
                  <w14:solidFill>
                    <w14:srgbClr w14:val="000000">
                      <w14:alpha w14:val="100000"/>
                    </w14:srgbClr>
                  </w14:solidFill>
                </w14:textFill>
              </w:rPr>
              <w:t>|||</w:t>
            </w:r>
            <w:r w:rsidR="00650CB8" w:rsidRPr="00650CB8">
              <w:rPr>
                <w:rFonts w:ascii="Arial Narrow" w:hAnsi="Arial Narrow" w:cs="Calibri"/>
                <w:color w:val="000000"/>
                <w:spacing w:val="1"/>
                <w:sz w:val="20"/>
                <w:szCs w:val="20"/>
                <w:shd w:val="solid" w:color="000000" w:fill="000000"/>
                <w:fitText w:val="390" w:id="-1435748858"/>
                <w14:textFill>
                  <w14:solidFill>
                    <w14:srgbClr w14:val="000000">
                      <w14:alpha w14:val="100000"/>
                    </w14:srgbClr>
                  </w14:solidFill>
                </w14:textFill>
              </w:rPr>
              <w:t>|</w:t>
            </w:r>
          </w:p>
        </w:tc>
      </w:tr>
      <w:tr w:rsidR="00C27022" w14:paraId="477C8A97" w14:textId="77777777" w:rsidTr="009230C8">
        <w:tc>
          <w:tcPr>
            <w:tcW w:w="3256" w:type="dxa"/>
            <w:tcMar>
              <w:top w:w="0" w:type="dxa"/>
              <w:left w:w="108" w:type="dxa"/>
              <w:bottom w:w="0" w:type="dxa"/>
              <w:right w:w="108" w:type="dxa"/>
            </w:tcMar>
            <w:hideMark/>
          </w:tcPr>
          <w:p w14:paraId="5A1F84B9" w14:textId="77777777" w:rsidR="00C27022" w:rsidRPr="00470C00" w:rsidRDefault="00C27022" w:rsidP="00BF34B1">
            <w:pPr>
              <w:keepNext/>
              <w:jc w:val="left"/>
              <w:rPr>
                <w:rFonts w:ascii="Arial Narrow" w:hAnsi="Arial Narrow"/>
                <w:sz w:val="20"/>
                <w:szCs w:val="20"/>
              </w:rPr>
            </w:pPr>
            <w:r w:rsidRPr="00470C00">
              <w:rPr>
                <w:rFonts w:ascii="Arial Narrow" w:hAnsi="Arial Narrow"/>
                <w:sz w:val="20"/>
                <w:szCs w:val="20"/>
              </w:rPr>
              <w:t>Pricing at April 2022</w:t>
            </w:r>
          </w:p>
        </w:tc>
        <w:tc>
          <w:tcPr>
            <w:tcW w:w="977" w:type="dxa"/>
          </w:tcPr>
          <w:p w14:paraId="063395E3" w14:textId="300183EF" w:rsidR="00C27022" w:rsidRPr="00BB6FBD" w:rsidRDefault="00650CB8" w:rsidP="00BF34B1">
            <w:pPr>
              <w:keepNext/>
              <w:jc w:val="center"/>
              <w:rPr>
                <w:rFonts w:ascii="Arial Narrow" w:hAnsi="Arial Narrow" w:cs="Calibri"/>
                <w:color w:val="000000"/>
                <w:sz w:val="20"/>
                <w:szCs w:val="20"/>
              </w:rPr>
            </w:pPr>
            <w:r w:rsidRPr="00650CB8">
              <w:rPr>
                <w:rFonts w:ascii="Arial Narrow" w:hAnsi="Arial Narrow" w:cs="Calibri"/>
                <w:color w:val="000000"/>
                <w:spacing w:val="32"/>
                <w:sz w:val="20"/>
                <w:szCs w:val="20"/>
                <w:shd w:val="solid" w:color="000000" w:fill="000000"/>
                <w:fitText w:val="420" w:id="-1435748857"/>
                <w14:textFill>
                  <w14:solidFill>
                    <w14:srgbClr w14:val="000000">
                      <w14:alpha w14:val="100000"/>
                    </w14:srgbClr>
                  </w14:solidFill>
                </w14:textFill>
              </w:rPr>
              <w:t>|||||</w:t>
            </w:r>
            <w:r w:rsidRPr="00650CB8">
              <w:rPr>
                <w:rFonts w:ascii="Arial Narrow" w:hAnsi="Arial Narrow" w:cs="Calibri"/>
                <w:color w:val="000000"/>
                <w:spacing w:val="5"/>
                <w:sz w:val="20"/>
                <w:szCs w:val="20"/>
                <w:shd w:val="solid" w:color="000000" w:fill="000000"/>
                <w:fitText w:val="420" w:id="-1435748857"/>
                <w14:textFill>
                  <w14:solidFill>
                    <w14:srgbClr w14:val="000000">
                      <w14:alpha w14:val="100000"/>
                    </w14:srgbClr>
                  </w14:solidFill>
                </w14:textFill>
              </w:rPr>
              <w:t>|</w:t>
            </w:r>
            <w:r w:rsidR="00C27022">
              <w:rPr>
                <w:rFonts w:ascii="Arial Narrow" w:hAnsi="Arial Narrow" w:cs="Calibri"/>
                <w:color w:val="000000"/>
                <w:sz w:val="20"/>
                <w:szCs w:val="20"/>
              </w:rPr>
              <w:t>%</w:t>
            </w:r>
          </w:p>
        </w:tc>
        <w:tc>
          <w:tcPr>
            <w:tcW w:w="1196" w:type="dxa"/>
            <w:shd w:val="clear" w:color="auto" w:fill="auto"/>
            <w:tcMar>
              <w:top w:w="0" w:type="dxa"/>
              <w:left w:w="108" w:type="dxa"/>
              <w:bottom w:w="0" w:type="dxa"/>
              <w:right w:w="108" w:type="dxa"/>
            </w:tcMar>
            <w:vAlign w:val="center"/>
          </w:tcPr>
          <w:p w14:paraId="0409CF6E" w14:textId="77777777" w:rsidR="00C27022" w:rsidRPr="009230C8" w:rsidRDefault="00C27022" w:rsidP="00BF34B1">
            <w:pPr>
              <w:keepNext/>
              <w:jc w:val="center"/>
              <w:rPr>
                <w:rFonts w:ascii="Arial Narrow" w:hAnsi="Arial Narrow"/>
                <w:sz w:val="20"/>
                <w:szCs w:val="20"/>
              </w:rPr>
            </w:pPr>
            <w:r w:rsidRPr="009230C8">
              <w:rPr>
                <w:rFonts w:ascii="Arial Narrow" w:hAnsi="Arial Narrow" w:cs="Calibri"/>
                <w:color w:val="000000"/>
                <w:sz w:val="20"/>
                <w:szCs w:val="20"/>
              </w:rPr>
              <w:t>$473.32</w:t>
            </w:r>
          </w:p>
        </w:tc>
        <w:tc>
          <w:tcPr>
            <w:tcW w:w="1196" w:type="dxa"/>
            <w:shd w:val="clear" w:color="auto" w:fill="auto"/>
            <w:tcMar>
              <w:top w:w="0" w:type="dxa"/>
              <w:left w:w="108" w:type="dxa"/>
              <w:bottom w:w="0" w:type="dxa"/>
              <w:right w:w="108" w:type="dxa"/>
            </w:tcMar>
            <w:vAlign w:val="center"/>
          </w:tcPr>
          <w:p w14:paraId="076757A7" w14:textId="77777777" w:rsidR="00C27022" w:rsidRPr="009230C8" w:rsidRDefault="00C27022" w:rsidP="00BF34B1">
            <w:pPr>
              <w:keepNext/>
              <w:jc w:val="center"/>
              <w:rPr>
                <w:rFonts w:ascii="Arial Narrow" w:hAnsi="Arial Narrow"/>
                <w:sz w:val="20"/>
                <w:szCs w:val="20"/>
              </w:rPr>
            </w:pPr>
            <w:r w:rsidRPr="009230C8">
              <w:rPr>
                <w:rFonts w:ascii="Arial Narrow" w:hAnsi="Arial Narrow" w:cs="Calibri"/>
                <w:color w:val="000000"/>
                <w:sz w:val="20"/>
                <w:szCs w:val="20"/>
              </w:rPr>
              <w:t>$512.57</w:t>
            </w:r>
          </w:p>
        </w:tc>
        <w:tc>
          <w:tcPr>
            <w:tcW w:w="1196" w:type="dxa"/>
            <w:tcMar>
              <w:top w:w="0" w:type="dxa"/>
              <w:left w:w="108" w:type="dxa"/>
              <w:bottom w:w="0" w:type="dxa"/>
              <w:right w:w="108" w:type="dxa"/>
            </w:tcMar>
            <w:vAlign w:val="center"/>
          </w:tcPr>
          <w:p w14:paraId="229A46FC" w14:textId="1714DD0B" w:rsidR="00C27022" w:rsidRPr="008B1D8B" w:rsidRDefault="00C27022" w:rsidP="00BF34B1">
            <w:pPr>
              <w:keepNext/>
              <w:jc w:val="center"/>
              <w:rPr>
                <w:rFonts w:ascii="Arial Narrow" w:hAnsi="Arial Narrow"/>
                <w:sz w:val="20"/>
                <w:szCs w:val="20"/>
              </w:rPr>
            </w:pPr>
            <w:r w:rsidRPr="008B1D8B">
              <w:rPr>
                <w:rFonts w:ascii="Arial Narrow" w:hAnsi="Arial Narrow" w:cs="Calibri"/>
                <w:color w:val="000000"/>
                <w:sz w:val="20"/>
                <w:szCs w:val="20"/>
              </w:rPr>
              <w:t>$</w:t>
            </w:r>
            <w:r w:rsidR="00650CB8" w:rsidRPr="00650CB8">
              <w:rPr>
                <w:rFonts w:ascii="Arial Narrow" w:hAnsi="Arial Narrow" w:cs="Calibri"/>
                <w:color w:val="000000"/>
                <w:spacing w:val="73"/>
                <w:sz w:val="20"/>
                <w:szCs w:val="20"/>
                <w:shd w:val="solid" w:color="000000" w:fill="000000"/>
                <w:fitText w:val="390" w:id="-1435748856"/>
                <w14:textFill>
                  <w14:solidFill>
                    <w14:srgbClr w14:val="000000">
                      <w14:alpha w14:val="100000"/>
                    </w14:srgbClr>
                  </w14:solidFill>
                </w14:textFill>
              </w:rPr>
              <w:t>|||</w:t>
            </w:r>
            <w:r w:rsidR="00650CB8" w:rsidRPr="00650CB8">
              <w:rPr>
                <w:rFonts w:ascii="Arial Narrow" w:hAnsi="Arial Narrow" w:cs="Calibri"/>
                <w:color w:val="000000"/>
                <w:spacing w:val="1"/>
                <w:sz w:val="20"/>
                <w:szCs w:val="20"/>
                <w:shd w:val="solid" w:color="000000" w:fill="000000"/>
                <w:fitText w:val="390" w:id="-1435748856"/>
                <w14:textFill>
                  <w14:solidFill>
                    <w14:srgbClr w14:val="000000">
                      <w14:alpha w14:val="100000"/>
                    </w14:srgbClr>
                  </w14:solidFill>
                </w14:textFill>
              </w:rPr>
              <w:t>|</w:t>
            </w:r>
          </w:p>
        </w:tc>
        <w:tc>
          <w:tcPr>
            <w:tcW w:w="1196" w:type="dxa"/>
            <w:tcMar>
              <w:top w:w="0" w:type="dxa"/>
              <w:left w:w="108" w:type="dxa"/>
              <w:bottom w:w="0" w:type="dxa"/>
              <w:right w:w="108" w:type="dxa"/>
            </w:tcMar>
            <w:vAlign w:val="center"/>
          </w:tcPr>
          <w:p w14:paraId="13A1F68F" w14:textId="61E1A6BA" w:rsidR="00C27022" w:rsidRPr="008B1D8B" w:rsidRDefault="00C27022" w:rsidP="00BF34B1">
            <w:pPr>
              <w:keepNext/>
              <w:jc w:val="center"/>
              <w:rPr>
                <w:rFonts w:ascii="Arial Narrow" w:hAnsi="Arial Narrow"/>
                <w:sz w:val="20"/>
                <w:szCs w:val="20"/>
              </w:rPr>
            </w:pPr>
            <w:r w:rsidRPr="008B1D8B">
              <w:rPr>
                <w:rFonts w:ascii="Arial Narrow" w:hAnsi="Arial Narrow" w:cs="Calibri"/>
                <w:color w:val="000000"/>
                <w:sz w:val="20"/>
                <w:szCs w:val="20"/>
              </w:rPr>
              <w:t>$</w:t>
            </w:r>
            <w:r w:rsidR="00650CB8" w:rsidRPr="00650CB8">
              <w:rPr>
                <w:rFonts w:ascii="Arial Narrow" w:hAnsi="Arial Narrow" w:cs="Calibri"/>
                <w:color w:val="000000"/>
                <w:spacing w:val="73"/>
                <w:sz w:val="20"/>
                <w:szCs w:val="20"/>
                <w:shd w:val="solid" w:color="000000" w:fill="000000"/>
                <w:fitText w:val="390" w:id="-1435748855"/>
                <w14:textFill>
                  <w14:solidFill>
                    <w14:srgbClr w14:val="000000">
                      <w14:alpha w14:val="100000"/>
                    </w14:srgbClr>
                  </w14:solidFill>
                </w14:textFill>
              </w:rPr>
              <w:t>|||</w:t>
            </w:r>
            <w:r w:rsidR="00650CB8" w:rsidRPr="00650CB8">
              <w:rPr>
                <w:rFonts w:ascii="Arial Narrow" w:hAnsi="Arial Narrow" w:cs="Calibri"/>
                <w:color w:val="000000"/>
                <w:spacing w:val="1"/>
                <w:sz w:val="20"/>
                <w:szCs w:val="20"/>
                <w:shd w:val="solid" w:color="000000" w:fill="000000"/>
                <w:fitText w:val="390" w:id="-1435748855"/>
                <w14:textFill>
                  <w14:solidFill>
                    <w14:srgbClr w14:val="000000">
                      <w14:alpha w14:val="100000"/>
                    </w14:srgbClr>
                  </w14:solidFill>
                </w14:textFill>
              </w:rPr>
              <w:t>|</w:t>
            </w:r>
          </w:p>
        </w:tc>
      </w:tr>
      <w:tr w:rsidR="00C27022" w14:paraId="7E18E9E3" w14:textId="77777777" w:rsidTr="00BF34B1">
        <w:tc>
          <w:tcPr>
            <w:tcW w:w="3256" w:type="dxa"/>
            <w:tcMar>
              <w:top w:w="0" w:type="dxa"/>
              <w:left w:w="108" w:type="dxa"/>
              <w:bottom w:w="0" w:type="dxa"/>
              <w:right w:w="108" w:type="dxa"/>
            </w:tcMar>
            <w:hideMark/>
          </w:tcPr>
          <w:p w14:paraId="0FDD9701" w14:textId="083705D6" w:rsidR="00C27022" w:rsidRPr="00470C00" w:rsidRDefault="00C27022" w:rsidP="00BF34B1">
            <w:pPr>
              <w:keepNext/>
              <w:jc w:val="left"/>
              <w:rPr>
                <w:rFonts w:ascii="Arial Narrow" w:hAnsi="Arial Narrow"/>
                <w:sz w:val="20"/>
                <w:szCs w:val="20"/>
              </w:rPr>
            </w:pPr>
            <w:r>
              <w:rPr>
                <w:rFonts w:ascii="Arial Narrow" w:hAnsi="Arial Narrow"/>
                <w:sz w:val="20"/>
                <w:szCs w:val="20"/>
              </w:rPr>
              <w:t>Existing</w:t>
            </w:r>
            <w:r w:rsidRPr="00470C00">
              <w:rPr>
                <w:rFonts w:ascii="Arial Narrow" w:hAnsi="Arial Narrow"/>
                <w:sz w:val="20"/>
                <w:szCs w:val="20"/>
              </w:rPr>
              <w:t xml:space="preserve"> population</w:t>
            </w:r>
            <w:r>
              <w:rPr>
                <w:rFonts w:ascii="Arial Narrow" w:hAnsi="Arial Narrow"/>
                <w:sz w:val="20"/>
                <w:szCs w:val="20"/>
              </w:rPr>
              <w:t>,</w:t>
            </w:r>
            <w:r w:rsidRPr="00470C00">
              <w:rPr>
                <w:rFonts w:ascii="Arial Narrow" w:hAnsi="Arial Narrow"/>
                <w:sz w:val="20"/>
                <w:szCs w:val="20"/>
              </w:rPr>
              <w:t xml:space="preserve"> lower </w:t>
            </w:r>
            <w:r w:rsidR="00EC2A52">
              <w:rPr>
                <w:rFonts w:ascii="Arial Narrow" w:hAnsi="Arial Narrow"/>
                <w:sz w:val="20"/>
                <w:szCs w:val="20"/>
              </w:rPr>
              <w:t xml:space="preserve">published </w:t>
            </w:r>
            <w:r w:rsidRPr="00470C00">
              <w:rPr>
                <w:rFonts w:ascii="Arial Narrow" w:hAnsi="Arial Narrow"/>
                <w:sz w:val="20"/>
                <w:szCs w:val="20"/>
              </w:rPr>
              <w:t>price</w:t>
            </w:r>
          </w:p>
        </w:tc>
        <w:tc>
          <w:tcPr>
            <w:tcW w:w="977" w:type="dxa"/>
          </w:tcPr>
          <w:p w14:paraId="42F6B42A" w14:textId="2C42EC0C" w:rsidR="00C27022" w:rsidRPr="00BB6FBD" w:rsidRDefault="00650CB8" w:rsidP="00BF34B1">
            <w:pPr>
              <w:keepNext/>
              <w:jc w:val="center"/>
              <w:rPr>
                <w:rFonts w:ascii="Arial Narrow" w:hAnsi="Arial Narrow" w:cs="Calibri"/>
                <w:color w:val="000000"/>
                <w:sz w:val="20"/>
                <w:szCs w:val="20"/>
              </w:rPr>
            </w:pPr>
            <w:r w:rsidRPr="00650CB8">
              <w:rPr>
                <w:rFonts w:ascii="Arial Narrow" w:hAnsi="Arial Narrow" w:cs="Calibri"/>
                <w:color w:val="000000"/>
                <w:spacing w:val="32"/>
                <w:sz w:val="20"/>
                <w:szCs w:val="20"/>
                <w:shd w:val="solid" w:color="000000" w:fill="000000"/>
                <w:fitText w:val="420" w:id="-1435748854"/>
                <w14:textFill>
                  <w14:solidFill>
                    <w14:srgbClr w14:val="000000">
                      <w14:alpha w14:val="100000"/>
                    </w14:srgbClr>
                  </w14:solidFill>
                </w14:textFill>
              </w:rPr>
              <w:t>|||||</w:t>
            </w:r>
            <w:r w:rsidRPr="00650CB8">
              <w:rPr>
                <w:rFonts w:ascii="Arial Narrow" w:hAnsi="Arial Narrow" w:cs="Calibri"/>
                <w:color w:val="000000"/>
                <w:spacing w:val="5"/>
                <w:sz w:val="20"/>
                <w:szCs w:val="20"/>
                <w:shd w:val="solid" w:color="000000" w:fill="000000"/>
                <w:fitText w:val="420" w:id="-1435748854"/>
                <w14:textFill>
                  <w14:solidFill>
                    <w14:srgbClr w14:val="000000">
                      <w14:alpha w14:val="100000"/>
                    </w14:srgbClr>
                  </w14:solidFill>
                </w14:textFill>
              </w:rPr>
              <w:t>|</w:t>
            </w:r>
            <w:r w:rsidR="00C27022">
              <w:rPr>
                <w:rFonts w:ascii="Arial Narrow" w:hAnsi="Arial Narrow" w:cs="Calibri"/>
                <w:color w:val="000000"/>
                <w:sz w:val="20"/>
                <w:szCs w:val="20"/>
              </w:rPr>
              <w:t>%</w:t>
            </w:r>
          </w:p>
        </w:tc>
        <w:tc>
          <w:tcPr>
            <w:tcW w:w="1196" w:type="dxa"/>
            <w:tcMar>
              <w:top w:w="0" w:type="dxa"/>
              <w:left w:w="108" w:type="dxa"/>
              <w:bottom w:w="0" w:type="dxa"/>
              <w:right w:w="108" w:type="dxa"/>
            </w:tcMar>
            <w:vAlign w:val="center"/>
          </w:tcPr>
          <w:p w14:paraId="0D6A8EF2" w14:textId="60D069F0" w:rsidR="00C27022" w:rsidRPr="00470C00" w:rsidRDefault="00C27022" w:rsidP="00BF34B1">
            <w:pPr>
              <w:keepNext/>
              <w:jc w:val="center"/>
              <w:rPr>
                <w:rFonts w:ascii="Arial Narrow" w:hAnsi="Arial Narrow"/>
                <w:sz w:val="20"/>
                <w:szCs w:val="20"/>
              </w:rPr>
            </w:pPr>
            <w:r w:rsidRPr="00BB6FBD">
              <w:rPr>
                <w:rFonts w:ascii="Arial Narrow" w:hAnsi="Arial Narrow" w:cs="Calibri"/>
                <w:color w:val="000000"/>
                <w:sz w:val="20"/>
                <w:szCs w:val="20"/>
              </w:rPr>
              <w:t>$</w:t>
            </w:r>
            <w:r w:rsidR="00650CB8" w:rsidRPr="00650CB8">
              <w:rPr>
                <w:rFonts w:ascii="Arial Narrow" w:hAnsi="Arial Narrow" w:cs="Calibri"/>
                <w:color w:val="000000"/>
                <w:spacing w:val="73"/>
                <w:sz w:val="20"/>
                <w:szCs w:val="20"/>
                <w:shd w:val="solid" w:color="000000" w:fill="000000"/>
                <w:fitText w:val="390" w:id="-1435748853"/>
                <w14:textFill>
                  <w14:solidFill>
                    <w14:srgbClr w14:val="000000">
                      <w14:alpha w14:val="100000"/>
                    </w14:srgbClr>
                  </w14:solidFill>
                </w14:textFill>
              </w:rPr>
              <w:t>|||</w:t>
            </w:r>
            <w:r w:rsidR="00650CB8" w:rsidRPr="00650CB8">
              <w:rPr>
                <w:rFonts w:ascii="Arial Narrow" w:hAnsi="Arial Narrow" w:cs="Calibri"/>
                <w:color w:val="000000"/>
                <w:spacing w:val="1"/>
                <w:sz w:val="20"/>
                <w:szCs w:val="20"/>
                <w:shd w:val="solid" w:color="000000" w:fill="000000"/>
                <w:fitText w:val="390" w:id="-1435748853"/>
                <w14:textFill>
                  <w14:solidFill>
                    <w14:srgbClr w14:val="000000">
                      <w14:alpha w14:val="100000"/>
                    </w14:srgbClr>
                  </w14:solidFill>
                </w14:textFill>
              </w:rPr>
              <w:t>|</w:t>
            </w:r>
          </w:p>
        </w:tc>
        <w:tc>
          <w:tcPr>
            <w:tcW w:w="1196" w:type="dxa"/>
            <w:tcMar>
              <w:top w:w="0" w:type="dxa"/>
              <w:left w:w="108" w:type="dxa"/>
              <w:bottom w:w="0" w:type="dxa"/>
              <w:right w:w="108" w:type="dxa"/>
            </w:tcMar>
            <w:vAlign w:val="center"/>
          </w:tcPr>
          <w:p w14:paraId="4BFA8BAB" w14:textId="3E8F3020" w:rsidR="00C27022" w:rsidRPr="00470C00" w:rsidRDefault="00C27022" w:rsidP="00BF34B1">
            <w:pPr>
              <w:keepNext/>
              <w:jc w:val="center"/>
              <w:rPr>
                <w:rFonts w:ascii="Arial Narrow" w:hAnsi="Arial Narrow"/>
                <w:sz w:val="20"/>
                <w:szCs w:val="20"/>
              </w:rPr>
            </w:pPr>
            <w:r w:rsidRPr="00BB6FBD">
              <w:rPr>
                <w:rFonts w:ascii="Arial Narrow" w:hAnsi="Arial Narrow" w:cs="Calibri"/>
                <w:color w:val="000000"/>
                <w:sz w:val="20"/>
                <w:szCs w:val="20"/>
              </w:rPr>
              <w:t>$</w:t>
            </w:r>
            <w:r w:rsidR="00650CB8" w:rsidRPr="00650CB8">
              <w:rPr>
                <w:rFonts w:ascii="Arial Narrow" w:hAnsi="Arial Narrow" w:cs="Calibri"/>
                <w:color w:val="000000"/>
                <w:spacing w:val="73"/>
                <w:sz w:val="20"/>
                <w:szCs w:val="20"/>
                <w:shd w:val="solid" w:color="000000" w:fill="000000"/>
                <w:fitText w:val="390" w:id="-1435748852"/>
                <w14:textFill>
                  <w14:solidFill>
                    <w14:srgbClr w14:val="000000">
                      <w14:alpha w14:val="100000"/>
                    </w14:srgbClr>
                  </w14:solidFill>
                </w14:textFill>
              </w:rPr>
              <w:t>|||</w:t>
            </w:r>
            <w:r w:rsidR="00650CB8" w:rsidRPr="00650CB8">
              <w:rPr>
                <w:rFonts w:ascii="Arial Narrow" w:hAnsi="Arial Narrow" w:cs="Calibri"/>
                <w:color w:val="000000"/>
                <w:spacing w:val="1"/>
                <w:sz w:val="20"/>
                <w:szCs w:val="20"/>
                <w:shd w:val="solid" w:color="000000" w:fill="000000"/>
                <w:fitText w:val="390" w:id="-1435748852"/>
                <w14:textFill>
                  <w14:solidFill>
                    <w14:srgbClr w14:val="000000">
                      <w14:alpha w14:val="100000"/>
                    </w14:srgbClr>
                  </w14:solidFill>
                </w14:textFill>
              </w:rPr>
              <w:t>|</w:t>
            </w:r>
          </w:p>
        </w:tc>
        <w:tc>
          <w:tcPr>
            <w:tcW w:w="1196" w:type="dxa"/>
            <w:tcMar>
              <w:top w:w="0" w:type="dxa"/>
              <w:left w:w="108" w:type="dxa"/>
              <w:bottom w:w="0" w:type="dxa"/>
              <w:right w:w="108" w:type="dxa"/>
            </w:tcMar>
            <w:vAlign w:val="center"/>
          </w:tcPr>
          <w:p w14:paraId="65CCE9F9" w14:textId="62BAD2C5" w:rsidR="00C27022" w:rsidRPr="005143A9" w:rsidRDefault="00C27022" w:rsidP="00BF34B1">
            <w:pPr>
              <w:keepNext/>
              <w:jc w:val="center"/>
              <w:rPr>
                <w:rFonts w:ascii="Arial Narrow" w:hAnsi="Arial Narrow"/>
                <w:sz w:val="20"/>
                <w:szCs w:val="20"/>
              </w:rPr>
            </w:pPr>
            <w:r w:rsidRPr="005143A9">
              <w:rPr>
                <w:rFonts w:ascii="Arial Narrow" w:hAnsi="Arial Narrow" w:cs="Calibri"/>
                <w:color w:val="000000"/>
                <w:sz w:val="20"/>
                <w:szCs w:val="20"/>
              </w:rPr>
              <w:t>$</w:t>
            </w:r>
            <w:r w:rsidR="00650CB8" w:rsidRPr="00650CB8">
              <w:rPr>
                <w:rFonts w:ascii="Arial Narrow" w:hAnsi="Arial Narrow" w:cs="Calibri"/>
                <w:color w:val="000000"/>
                <w:spacing w:val="73"/>
                <w:sz w:val="20"/>
                <w:szCs w:val="20"/>
                <w:shd w:val="solid" w:color="000000" w:fill="000000"/>
                <w:fitText w:val="390" w:id="-1435748851"/>
                <w14:textFill>
                  <w14:solidFill>
                    <w14:srgbClr w14:val="000000">
                      <w14:alpha w14:val="100000"/>
                    </w14:srgbClr>
                  </w14:solidFill>
                </w14:textFill>
              </w:rPr>
              <w:t>|||</w:t>
            </w:r>
            <w:r w:rsidR="00650CB8" w:rsidRPr="00650CB8">
              <w:rPr>
                <w:rFonts w:ascii="Arial Narrow" w:hAnsi="Arial Narrow" w:cs="Calibri"/>
                <w:color w:val="000000"/>
                <w:spacing w:val="1"/>
                <w:sz w:val="20"/>
                <w:szCs w:val="20"/>
                <w:shd w:val="solid" w:color="000000" w:fill="000000"/>
                <w:fitText w:val="390" w:id="-1435748851"/>
                <w14:textFill>
                  <w14:solidFill>
                    <w14:srgbClr w14:val="000000">
                      <w14:alpha w14:val="100000"/>
                    </w14:srgbClr>
                  </w14:solidFill>
                </w14:textFill>
              </w:rPr>
              <w:t>|</w:t>
            </w:r>
          </w:p>
        </w:tc>
        <w:tc>
          <w:tcPr>
            <w:tcW w:w="1196" w:type="dxa"/>
            <w:tcMar>
              <w:top w:w="0" w:type="dxa"/>
              <w:left w:w="108" w:type="dxa"/>
              <w:bottom w:w="0" w:type="dxa"/>
              <w:right w:w="108" w:type="dxa"/>
            </w:tcMar>
            <w:vAlign w:val="center"/>
          </w:tcPr>
          <w:p w14:paraId="0138E0E9" w14:textId="496FC0B9" w:rsidR="00C27022" w:rsidRPr="005143A9" w:rsidRDefault="00C27022" w:rsidP="00BF34B1">
            <w:pPr>
              <w:keepNext/>
              <w:jc w:val="center"/>
              <w:rPr>
                <w:rFonts w:ascii="Arial Narrow" w:hAnsi="Arial Narrow"/>
                <w:sz w:val="20"/>
                <w:szCs w:val="20"/>
              </w:rPr>
            </w:pPr>
            <w:r w:rsidRPr="005143A9">
              <w:rPr>
                <w:rFonts w:ascii="Arial Narrow" w:hAnsi="Arial Narrow" w:cs="Calibri"/>
                <w:color w:val="000000"/>
                <w:sz w:val="20"/>
                <w:szCs w:val="20"/>
              </w:rPr>
              <w:t>$</w:t>
            </w:r>
            <w:r w:rsidR="00650CB8" w:rsidRPr="00650CB8">
              <w:rPr>
                <w:rFonts w:ascii="Arial Narrow" w:hAnsi="Arial Narrow" w:cs="Calibri"/>
                <w:color w:val="000000"/>
                <w:spacing w:val="73"/>
                <w:sz w:val="20"/>
                <w:szCs w:val="20"/>
                <w:shd w:val="solid" w:color="000000" w:fill="000000"/>
                <w:fitText w:val="390" w:id="-1435748850"/>
                <w14:textFill>
                  <w14:solidFill>
                    <w14:srgbClr w14:val="000000">
                      <w14:alpha w14:val="100000"/>
                    </w14:srgbClr>
                  </w14:solidFill>
                </w14:textFill>
              </w:rPr>
              <w:t>|||</w:t>
            </w:r>
            <w:r w:rsidR="00650CB8" w:rsidRPr="00650CB8">
              <w:rPr>
                <w:rFonts w:ascii="Arial Narrow" w:hAnsi="Arial Narrow" w:cs="Calibri"/>
                <w:color w:val="000000"/>
                <w:spacing w:val="1"/>
                <w:sz w:val="20"/>
                <w:szCs w:val="20"/>
                <w:shd w:val="solid" w:color="000000" w:fill="000000"/>
                <w:fitText w:val="390" w:id="-1435748850"/>
                <w14:textFill>
                  <w14:solidFill>
                    <w14:srgbClr w14:val="000000">
                      <w14:alpha w14:val="100000"/>
                    </w14:srgbClr>
                  </w14:solidFill>
                </w14:textFill>
              </w:rPr>
              <w:t>|</w:t>
            </w:r>
          </w:p>
        </w:tc>
      </w:tr>
      <w:tr w:rsidR="00C27022" w14:paraId="51E4754D" w14:textId="77777777" w:rsidTr="00E41B5E">
        <w:tc>
          <w:tcPr>
            <w:tcW w:w="3256" w:type="dxa"/>
            <w:tcMar>
              <w:top w:w="0" w:type="dxa"/>
              <w:left w:w="108" w:type="dxa"/>
              <w:bottom w:w="0" w:type="dxa"/>
              <w:right w:w="108" w:type="dxa"/>
            </w:tcMar>
            <w:hideMark/>
          </w:tcPr>
          <w:p w14:paraId="1CD19FDB" w14:textId="43B89101" w:rsidR="00C27022" w:rsidRPr="00470C00" w:rsidRDefault="00C27022" w:rsidP="00BF34B1">
            <w:pPr>
              <w:keepNext/>
              <w:jc w:val="left"/>
              <w:rPr>
                <w:rFonts w:ascii="Arial Narrow" w:hAnsi="Arial Narrow"/>
                <w:sz w:val="20"/>
                <w:szCs w:val="20"/>
              </w:rPr>
            </w:pPr>
            <w:r w:rsidRPr="00470C00">
              <w:rPr>
                <w:rFonts w:ascii="Arial Narrow" w:hAnsi="Arial Narrow"/>
                <w:sz w:val="20"/>
                <w:szCs w:val="20"/>
              </w:rPr>
              <w:t>New population</w:t>
            </w:r>
            <w:r>
              <w:rPr>
                <w:rFonts w:ascii="Arial Narrow" w:hAnsi="Arial Narrow"/>
                <w:sz w:val="20"/>
                <w:szCs w:val="20"/>
              </w:rPr>
              <w:t>,</w:t>
            </w:r>
            <w:r w:rsidRPr="00470C00">
              <w:rPr>
                <w:rFonts w:ascii="Arial Narrow" w:hAnsi="Arial Narrow"/>
                <w:sz w:val="20"/>
                <w:szCs w:val="20"/>
              </w:rPr>
              <w:t xml:space="preserve"> lower </w:t>
            </w:r>
            <w:r w:rsidR="00EC2A52">
              <w:rPr>
                <w:rFonts w:ascii="Arial Narrow" w:hAnsi="Arial Narrow"/>
                <w:sz w:val="20"/>
                <w:szCs w:val="20"/>
              </w:rPr>
              <w:t xml:space="preserve">published and effective </w:t>
            </w:r>
            <w:r w:rsidRPr="00470C00">
              <w:rPr>
                <w:rFonts w:ascii="Arial Narrow" w:hAnsi="Arial Narrow"/>
                <w:sz w:val="20"/>
                <w:szCs w:val="20"/>
              </w:rPr>
              <w:t>price</w:t>
            </w:r>
          </w:p>
        </w:tc>
        <w:tc>
          <w:tcPr>
            <w:tcW w:w="977" w:type="dxa"/>
            <w:vAlign w:val="center"/>
          </w:tcPr>
          <w:p w14:paraId="30EE5346" w14:textId="04E2E7A5" w:rsidR="00C27022" w:rsidRPr="00446EE3" w:rsidRDefault="00650CB8" w:rsidP="00E41B5E">
            <w:pPr>
              <w:keepNext/>
              <w:jc w:val="center"/>
              <w:rPr>
                <w:rFonts w:ascii="Arial Narrow" w:hAnsi="Arial Narrow" w:cs="Calibri"/>
                <w:color w:val="000000"/>
                <w:sz w:val="20"/>
                <w:szCs w:val="20"/>
              </w:rPr>
            </w:pPr>
            <w:r w:rsidRPr="00650CB8">
              <w:rPr>
                <w:rFonts w:ascii="Arial Narrow" w:hAnsi="Arial Narrow" w:cs="Calibri"/>
                <w:color w:val="000000"/>
                <w:spacing w:val="32"/>
                <w:sz w:val="20"/>
                <w:szCs w:val="20"/>
                <w:shd w:val="solid" w:color="000000" w:fill="000000"/>
                <w:fitText w:val="420" w:id="-1435748849"/>
                <w14:textFill>
                  <w14:solidFill>
                    <w14:srgbClr w14:val="000000">
                      <w14:alpha w14:val="100000"/>
                    </w14:srgbClr>
                  </w14:solidFill>
                </w14:textFill>
              </w:rPr>
              <w:t>|||||</w:t>
            </w:r>
            <w:r w:rsidRPr="00650CB8">
              <w:rPr>
                <w:rFonts w:ascii="Arial Narrow" w:hAnsi="Arial Narrow" w:cs="Calibri"/>
                <w:color w:val="000000"/>
                <w:spacing w:val="5"/>
                <w:sz w:val="20"/>
                <w:szCs w:val="20"/>
                <w:shd w:val="solid" w:color="000000" w:fill="000000"/>
                <w:fitText w:val="420" w:id="-1435748849"/>
                <w14:textFill>
                  <w14:solidFill>
                    <w14:srgbClr w14:val="000000">
                      <w14:alpha w14:val="100000"/>
                    </w14:srgbClr>
                  </w14:solidFill>
                </w14:textFill>
              </w:rPr>
              <w:t>|</w:t>
            </w:r>
            <w:r w:rsidR="00C27022">
              <w:rPr>
                <w:rFonts w:ascii="Arial Narrow" w:hAnsi="Arial Narrow" w:cs="Calibri"/>
                <w:color w:val="000000"/>
                <w:sz w:val="20"/>
                <w:szCs w:val="20"/>
              </w:rPr>
              <w:t>%</w:t>
            </w:r>
          </w:p>
        </w:tc>
        <w:tc>
          <w:tcPr>
            <w:tcW w:w="1196" w:type="dxa"/>
            <w:tcMar>
              <w:top w:w="0" w:type="dxa"/>
              <w:left w:w="108" w:type="dxa"/>
              <w:bottom w:w="0" w:type="dxa"/>
              <w:right w:w="108" w:type="dxa"/>
            </w:tcMar>
            <w:vAlign w:val="center"/>
          </w:tcPr>
          <w:p w14:paraId="41FD7F8B" w14:textId="3ADE9344" w:rsidR="00C27022" w:rsidRPr="00470C00" w:rsidRDefault="00C27022" w:rsidP="00BF34B1">
            <w:pPr>
              <w:keepNext/>
              <w:jc w:val="center"/>
              <w:rPr>
                <w:rFonts w:ascii="Arial Narrow" w:hAnsi="Arial Narrow"/>
                <w:sz w:val="20"/>
                <w:szCs w:val="20"/>
              </w:rPr>
            </w:pPr>
            <w:r w:rsidRPr="00446EE3">
              <w:rPr>
                <w:rFonts w:ascii="Arial Narrow" w:hAnsi="Arial Narrow" w:cs="Calibri"/>
                <w:color w:val="000000"/>
                <w:sz w:val="20"/>
                <w:szCs w:val="20"/>
              </w:rPr>
              <w:t>$</w:t>
            </w:r>
            <w:r w:rsidR="00650CB8" w:rsidRPr="00650CB8">
              <w:rPr>
                <w:rFonts w:ascii="Arial Narrow" w:hAnsi="Arial Narrow" w:cs="Calibri"/>
                <w:color w:val="000000"/>
                <w:spacing w:val="73"/>
                <w:sz w:val="20"/>
                <w:szCs w:val="20"/>
                <w:shd w:val="solid" w:color="000000" w:fill="000000"/>
                <w:fitText w:val="390" w:id="-1435748848"/>
                <w14:textFill>
                  <w14:solidFill>
                    <w14:srgbClr w14:val="000000">
                      <w14:alpha w14:val="100000"/>
                    </w14:srgbClr>
                  </w14:solidFill>
                </w14:textFill>
              </w:rPr>
              <w:t>|||</w:t>
            </w:r>
            <w:r w:rsidR="00650CB8" w:rsidRPr="00650CB8">
              <w:rPr>
                <w:rFonts w:ascii="Arial Narrow" w:hAnsi="Arial Narrow" w:cs="Calibri"/>
                <w:color w:val="000000"/>
                <w:spacing w:val="1"/>
                <w:sz w:val="20"/>
                <w:szCs w:val="20"/>
                <w:shd w:val="solid" w:color="000000" w:fill="000000"/>
                <w:fitText w:val="390" w:id="-1435748848"/>
                <w14:textFill>
                  <w14:solidFill>
                    <w14:srgbClr w14:val="000000">
                      <w14:alpha w14:val="100000"/>
                    </w14:srgbClr>
                  </w14:solidFill>
                </w14:textFill>
              </w:rPr>
              <w:t>|</w:t>
            </w:r>
          </w:p>
        </w:tc>
        <w:tc>
          <w:tcPr>
            <w:tcW w:w="1196" w:type="dxa"/>
            <w:tcMar>
              <w:top w:w="0" w:type="dxa"/>
              <w:left w:w="108" w:type="dxa"/>
              <w:bottom w:w="0" w:type="dxa"/>
              <w:right w:w="108" w:type="dxa"/>
            </w:tcMar>
            <w:vAlign w:val="center"/>
          </w:tcPr>
          <w:p w14:paraId="3512CC8A" w14:textId="7B255B69" w:rsidR="00C27022" w:rsidRPr="00470C00" w:rsidRDefault="00C27022" w:rsidP="00BF34B1">
            <w:pPr>
              <w:keepNext/>
              <w:jc w:val="center"/>
              <w:rPr>
                <w:rFonts w:ascii="Arial Narrow" w:hAnsi="Arial Narrow"/>
                <w:sz w:val="20"/>
                <w:szCs w:val="20"/>
              </w:rPr>
            </w:pPr>
            <w:r w:rsidRPr="00446EE3">
              <w:rPr>
                <w:rFonts w:ascii="Arial Narrow" w:hAnsi="Arial Narrow" w:cs="Calibri"/>
                <w:color w:val="000000"/>
                <w:sz w:val="20"/>
                <w:szCs w:val="20"/>
              </w:rPr>
              <w:t>$</w:t>
            </w:r>
            <w:r w:rsidR="00650CB8" w:rsidRPr="00650CB8">
              <w:rPr>
                <w:rFonts w:ascii="Arial Narrow" w:hAnsi="Arial Narrow" w:cs="Calibri"/>
                <w:color w:val="000000"/>
                <w:spacing w:val="73"/>
                <w:sz w:val="20"/>
                <w:szCs w:val="20"/>
                <w:shd w:val="solid" w:color="000000" w:fill="000000"/>
                <w:fitText w:val="390" w:id="-1435748864"/>
                <w14:textFill>
                  <w14:solidFill>
                    <w14:srgbClr w14:val="000000">
                      <w14:alpha w14:val="100000"/>
                    </w14:srgbClr>
                  </w14:solidFill>
                </w14:textFill>
              </w:rPr>
              <w:t>|||</w:t>
            </w:r>
            <w:r w:rsidR="00650CB8" w:rsidRPr="00650CB8">
              <w:rPr>
                <w:rFonts w:ascii="Arial Narrow" w:hAnsi="Arial Narrow" w:cs="Calibri"/>
                <w:color w:val="000000"/>
                <w:spacing w:val="1"/>
                <w:sz w:val="20"/>
                <w:szCs w:val="20"/>
                <w:shd w:val="solid" w:color="000000" w:fill="000000"/>
                <w:fitText w:val="390" w:id="-1435748864"/>
                <w14:textFill>
                  <w14:solidFill>
                    <w14:srgbClr w14:val="000000">
                      <w14:alpha w14:val="100000"/>
                    </w14:srgbClr>
                  </w14:solidFill>
                </w14:textFill>
              </w:rPr>
              <w:t>|</w:t>
            </w:r>
          </w:p>
        </w:tc>
        <w:tc>
          <w:tcPr>
            <w:tcW w:w="1196" w:type="dxa"/>
            <w:tcMar>
              <w:top w:w="0" w:type="dxa"/>
              <w:left w:w="108" w:type="dxa"/>
              <w:bottom w:w="0" w:type="dxa"/>
              <w:right w:w="108" w:type="dxa"/>
            </w:tcMar>
            <w:vAlign w:val="center"/>
          </w:tcPr>
          <w:p w14:paraId="2D3DAA31" w14:textId="5B5B2687" w:rsidR="00C27022" w:rsidRPr="00470C00" w:rsidRDefault="00C27022" w:rsidP="00BF34B1">
            <w:pPr>
              <w:keepNext/>
              <w:jc w:val="center"/>
              <w:rPr>
                <w:rFonts w:ascii="Arial Narrow" w:hAnsi="Arial Narrow"/>
                <w:sz w:val="20"/>
                <w:szCs w:val="20"/>
              </w:rPr>
            </w:pPr>
            <w:r w:rsidRPr="00446EE3">
              <w:rPr>
                <w:rFonts w:ascii="Arial Narrow" w:hAnsi="Arial Narrow" w:cs="Calibri"/>
                <w:color w:val="000000"/>
                <w:sz w:val="20"/>
                <w:szCs w:val="20"/>
              </w:rPr>
              <w:t>$</w:t>
            </w:r>
            <w:r w:rsidR="00650CB8" w:rsidRPr="00650CB8">
              <w:rPr>
                <w:rFonts w:ascii="Arial Narrow" w:hAnsi="Arial Narrow" w:cs="Calibri"/>
                <w:color w:val="000000"/>
                <w:spacing w:val="73"/>
                <w:sz w:val="20"/>
                <w:szCs w:val="20"/>
                <w:shd w:val="solid" w:color="000000" w:fill="000000"/>
                <w:fitText w:val="390" w:id="-1435748863"/>
                <w14:textFill>
                  <w14:solidFill>
                    <w14:srgbClr w14:val="000000">
                      <w14:alpha w14:val="100000"/>
                    </w14:srgbClr>
                  </w14:solidFill>
                </w14:textFill>
              </w:rPr>
              <w:t>|||</w:t>
            </w:r>
            <w:r w:rsidR="00650CB8" w:rsidRPr="00650CB8">
              <w:rPr>
                <w:rFonts w:ascii="Arial Narrow" w:hAnsi="Arial Narrow" w:cs="Calibri"/>
                <w:color w:val="000000"/>
                <w:spacing w:val="1"/>
                <w:sz w:val="20"/>
                <w:szCs w:val="20"/>
                <w:shd w:val="solid" w:color="000000" w:fill="000000"/>
                <w:fitText w:val="390" w:id="-1435748863"/>
                <w14:textFill>
                  <w14:solidFill>
                    <w14:srgbClr w14:val="000000">
                      <w14:alpha w14:val="100000"/>
                    </w14:srgbClr>
                  </w14:solidFill>
                </w14:textFill>
              </w:rPr>
              <w:t>|</w:t>
            </w:r>
          </w:p>
        </w:tc>
        <w:tc>
          <w:tcPr>
            <w:tcW w:w="1196" w:type="dxa"/>
            <w:tcMar>
              <w:top w:w="0" w:type="dxa"/>
              <w:left w:w="108" w:type="dxa"/>
              <w:bottom w:w="0" w:type="dxa"/>
              <w:right w:w="108" w:type="dxa"/>
            </w:tcMar>
            <w:vAlign w:val="center"/>
          </w:tcPr>
          <w:p w14:paraId="31B6EE65" w14:textId="45D677C2" w:rsidR="00C27022" w:rsidRPr="00470C00" w:rsidRDefault="00C27022" w:rsidP="00BF34B1">
            <w:pPr>
              <w:keepNext/>
              <w:jc w:val="center"/>
              <w:rPr>
                <w:rFonts w:ascii="Arial Narrow" w:hAnsi="Arial Narrow"/>
                <w:sz w:val="20"/>
                <w:szCs w:val="20"/>
              </w:rPr>
            </w:pPr>
            <w:r w:rsidRPr="00446EE3">
              <w:rPr>
                <w:rFonts w:ascii="Arial Narrow" w:hAnsi="Arial Narrow" w:cs="Calibri"/>
                <w:color w:val="000000"/>
                <w:sz w:val="20"/>
                <w:szCs w:val="20"/>
              </w:rPr>
              <w:t>$</w:t>
            </w:r>
            <w:r w:rsidR="00650CB8" w:rsidRPr="00650CB8">
              <w:rPr>
                <w:rFonts w:ascii="Arial Narrow" w:hAnsi="Arial Narrow" w:cs="Calibri"/>
                <w:color w:val="000000"/>
                <w:spacing w:val="73"/>
                <w:sz w:val="20"/>
                <w:szCs w:val="20"/>
                <w:shd w:val="solid" w:color="000000" w:fill="000000"/>
                <w:fitText w:val="390" w:id="-1435748862"/>
                <w14:textFill>
                  <w14:solidFill>
                    <w14:srgbClr w14:val="000000">
                      <w14:alpha w14:val="100000"/>
                    </w14:srgbClr>
                  </w14:solidFill>
                </w14:textFill>
              </w:rPr>
              <w:t>|||</w:t>
            </w:r>
            <w:r w:rsidR="00650CB8" w:rsidRPr="00650CB8">
              <w:rPr>
                <w:rFonts w:ascii="Arial Narrow" w:hAnsi="Arial Narrow" w:cs="Calibri"/>
                <w:color w:val="000000"/>
                <w:spacing w:val="1"/>
                <w:sz w:val="20"/>
                <w:szCs w:val="20"/>
                <w:shd w:val="solid" w:color="000000" w:fill="000000"/>
                <w:fitText w:val="390" w:id="-1435748862"/>
                <w14:textFill>
                  <w14:solidFill>
                    <w14:srgbClr w14:val="000000">
                      <w14:alpha w14:val="100000"/>
                    </w14:srgbClr>
                  </w14:solidFill>
                </w14:textFill>
              </w:rPr>
              <w:t>|</w:t>
            </w:r>
          </w:p>
        </w:tc>
      </w:tr>
      <w:tr w:rsidR="00C27022" w14:paraId="764988B7" w14:textId="77777777" w:rsidTr="00BF34B1">
        <w:tc>
          <w:tcPr>
            <w:tcW w:w="3256" w:type="dxa"/>
            <w:tcMar>
              <w:top w:w="0" w:type="dxa"/>
              <w:left w:w="108" w:type="dxa"/>
              <w:bottom w:w="0" w:type="dxa"/>
              <w:right w:w="108" w:type="dxa"/>
            </w:tcMar>
            <w:hideMark/>
          </w:tcPr>
          <w:p w14:paraId="4474F84B" w14:textId="77777777" w:rsidR="00C27022" w:rsidRPr="00470C00" w:rsidRDefault="00C27022" w:rsidP="00BF34B1">
            <w:pPr>
              <w:keepNext/>
              <w:jc w:val="left"/>
              <w:rPr>
                <w:rFonts w:ascii="Arial Narrow" w:hAnsi="Arial Narrow"/>
                <w:sz w:val="20"/>
                <w:szCs w:val="20"/>
              </w:rPr>
            </w:pPr>
            <w:r w:rsidRPr="00470C00">
              <w:rPr>
                <w:rFonts w:ascii="Arial Narrow" w:hAnsi="Arial Narrow"/>
                <w:sz w:val="20"/>
                <w:szCs w:val="20"/>
              </w:rPr>
              <w:t>Weighted price</w:t>
            </w:r>
            <w:r>
              <w:rPr>
                <w:rFonts w:ascii="Arial Narrow" w:hAnsi="Arial Narrow"/>
                <w:sz w:val="20"/>
                <w:szCs w:val="20"/>
              </w:rPr>
              <w:t xml:space="preserve"> (existing/new population)</w:t>
            </w:r>
          </w:p>
        </w:tc>
        <w:tc>
          <w:tcPr>
            <w:tcW w:w="977" w:type="dxa"/>
            <w:vAlign w:val="center"/>
          </w:tcPr>
          <w:p w14:paraId="56662F9C" w14:textId="4CDA45C9" w:rsidR="00C27022" w:rsidRPr="00237F17" w:rsidRDefault="00650CB8" w:rsidP="00BF34B1">
            <w:pPr>
              <w:keepNext/>
              <w:jc w:val="center"/>
              <w:rPr>
                <w:rFonts w:ascii="Arial Narrow" w:hAnsi="Arial Narrow" w:cs="Calibri"/>
                <w:b/>
                <w:bCs/>
                <w:color w:val="000000"/>
                <w:sz w:val="20"/>
                <w:szCs w:val="20"/>
              </w:rPr>
            </w:pPr>
            <w:r w:rsidRPr="00650CB8">
              <w:rPr>
                <w:rFonts w:ascii="Arial Narrow" w:hAnsi="Arial Narrow" w:cs="Calibri"/>
                <w:b/>
                <w:bCs/>
                <w:color w:val="000000"/>
                <w:spacing w:val="68"/>
                <w:sz w:val="20"/>
                <w:szCs w:val="20"/>
                <w:shd w:val="solid" w:color="000000" w:fill="000000"/>
                <w:fitText w:val="390" w:id="-1435748861"/>
                <w14:textFill>
                  <w14:solidFill>
                    <w14:srgbClr w14:val="000000">
                      <w14:alpha w14:val="100000"/>
                    </w14:srgbClr>
                  </w14:solidFill>
                </w14:textFill>
              </w:rPr>
              <w:t>|||</w:t>
            </w:r>
            <w:r w:rsidRPr="00650CB8">
              <w:rPr>
                <w:rFonts w:ascii="Arial Narrow" w:hAnsi="Arial Narrow" w:cs="Calibri"/>
                <w:b/>
                <w:bCs/>
                <w:color w:val="000000"/>
                <w:spacing w:val="3"/>
                <w:sz w:val="20"/>
                <w:szCs w:val="20"/>
                <w:shd w:val="solid" w:color="000000" w:fill="000000"/>
                <w:fitText w:val="390" w:id="-1435748861"/>
                <w14:textFill>
                  <w14:solidFill>
                    <w14:srgbClr w14:val="000000">
                      <w14:alpha w14:val="100000"/>
                    </w14:srgbClr>
                  </w14:solidFill>
                </w14:textFill>
              </w:rPr>
              <w:t>|</w:t>
            </w:r>
            <w:r w:rsidR="00C27022">
              <w:rPr>
                <w:rFonts w:ascii="Arial Narrow" w:hAnsi="Arial Narrow" w:cs="Calibri"/>
                <w:b/>
                <w:bCs/>
                <w:color w:val="000000"/>
                <w:sz w:val="20"/>
                <w:szCs w:val="20"/>
              </w:rPr>
              <w:t>%</w:t>
            </w:r>
          </w:p>
        </w:tc>
        <w:tc>
          <w:tcPr>
            <w:tcW w:w="1196" w:type="dxa"/>
            <w:tcMar>
              <w:top w:w="0" w:type="dxa"/>
              <w:left w:w="108" w:type="dxa"/>
              <w:bottom w:w="0" w:type="dxa"/>
              <w:right w:w="108" w:type="dxa"/>
            </w:tcMar>
            <w:vAlign w:val="center"/>
          </w:tcPr>
          <w:p w14:paraId="293D4FC3" w14:textId="46D6B9B7" w:rsidR="00C27022" w:rsidRPr="00470C00" w:rsidRDefault="00C27022" w:rsidP="00BF34B1">
            <w:pPr>
              <w:keepNext/>
              <w:jc w:val="center"/>
              <w:rPr>
                <w:rFonts w:ascii="Arial Narrow" w:hAnsi="Arial Narrow"/>
                <w:sz w:val="20"/>
                <w:szCs w:val="20"/>
              </w:rPr>
            </w:pPr>
            <w:r w:rsidRPr="00237F17">
              <w:rPr>
                <w:rFonts w:ascii="Arial Narrow" w:hAnsi="Arial Narrow" w:cs="Calibri"/>
                <w:b/>
                <w:bCs/>
                <w:color w:val="000000"/>
                <w:sz w:val="20"/>
                <w:szCs w:val="20"/>
              </w:rPr>
              <w:t>$</w:t>
            </w:r>
            <w:r w:rsidR="00650CB8" w:rsidRPr="00650CB8">
              <w:rPr>
                <w:rFonts w:ascii="Arial Narrow" w:hAnsi="Arial Narrow" w:cs="Calibri"/>
                <w:b/>
                <w:bCs/>
                <w:color w:val="000000"/>
                <w:spacing w:val="58"/>
                <w:sz w:val="20"/>
                <w:szCs w:val="20"/>
                <w:shd w:val="solid" w:color="000000" w:fill="000000"/>
                <w:fitText w:val="360" w:id="-1435748860"/>
                <w14:textFill>
                  <w14:solidFill>
                    <w14:srgbClr w14:val="000000">
                      <w14:alpha w14:val="100000"/>
                    </w14:srgbClr>
                  </w14:solidFill>
                </w14:textFill>
              </w:rPr>
              <w:t>|||</w:t>
            </w:r>
            <w:r w:rsidR="00650CB8" w:rsidRPr="00650CB8">
              <w:rPr>
                <w:rFonts w:ascii="Arial Narrow" w:hAnsi="Arial Narrow" w:cs="Calibri"/>
                <w:b/>
                <w:bCs/>
                <w:color w:val="000000"/>
                <w:spacing w:val="3"/>
                <w:sz w:val="20"/>
                <w:szCs w:val="20"/>
                <w:shd w:val="solid" w:color="000000" w:fill="000000"/>
                <w:fitText w:val="360" w:id="-1435748860"/>
                <w14:textFill>
                  <w14:solidFill>
                    <w14:srgbClr w14:val="000000">
                      <w14:alpha w14:val="100000"/>
                    </w14:srgbClr>
                  </w14:solidFill>
                </w14:textFill>
              </w:rPr>
              <w:t>|</w:t>
            </w:r>
          </w:p>
        </w:tc>
        <w:tc>
          <w:tcPr>
            <w:tcW w:w="1196" w:type="dxa"/>
            <w:tcMar>
              <w:top w:w="0" w:type="dxa"/>
              <w:left w:w="108" w:type="dxa"/>
              <w:bottom w:w="0" w:type="dxa"/>
              <w:right w:w="108" w:type="dxa"/>
            </w:tcMar>
            <w:vAlign w:val="center"/>
          </w:tcPr>
          <w:p w14:paraId="3029A862" w14:textId="5E7EBDB3" w:rsidR="00C27022" w:rsidRPr="00470C00" w:rsidRDefault="00C27022" w:rsidP="00BF34B1">
            <w:pPr>
              <w:keepNext/>
              <w:jc w:val="center"/>
              <w:rPr>
                <w:rFonts w:ascii="Arial Narrow" w:hAnsi="Arial Narrow"/>
                <w:sz w:val="20"/>
                <w:szCs w:val="20"/>
              </w:rPr>
            </w:pPr>
            <w:r w:rsidRPr="00237F17">
              <w:rPr>
                <w:rFonts w:ascii="Arial Narrow" w:hAnsi="Arial Narrow" w:cs="Calibri"/>
                <w:b/>
                <w:bCs/>
                <w:color w:val="000000"/>
                <w:sz w:val="20"/>
                <w:szCs w:val="20"/>
              </w:rPr>
              <w:t>$</w:t>
            </w:r>
            <w:r w:rsidR="00650CB8" w:rsidRPr="00650CB8">
              <w:rPr>
                <w:rFonts w:ascii="Arial Narrow" w:hAnsi="Arial Narrow" w:cs="Calibri"/>
                <w:b/>
                <w:bCs/>
                <w:color w:val="000000"/>
                <w:spacing w:val="58"/>
                <w:sz w:val="20"/>
                <w:szCs w:val="20"/>
                <w:shd w:val="solid" w:color="000000" w:fill="000000"/>
                <w:fitText w:val="360" w:id="-1435748859"/>
                <w14:textFill>
                  <w14:solidFill>
                    <w14:srgbClr w14:val="000000">
                      <w14:alpha w14:val="100000"/>
                    </w14:srgbClr>
                  </w14:solidFill>
                </w14:textFill>
              </w:rPr>
              <w:t>|||</w:t>
            </w:r>
            <w:r w:rsidR="00650CB8" w:rsidRPr="00650CB8">
              <w:rPr>
                <w:rFonts w:ascii="Arial Narrow" w:hAnsi="Arial Narrow" w:cs="Calibri"/>
                <w:b/>
                <w:bCs/>
                <w:color w:val="000000"/>
                <w:spacing w:val="3"/>
                <w:sz w:val="20"/>
                <w:szCs w:val="20"/>
                <w:shd w:val="solid" w:color="000000" w:fill="000000"/>
                <w:fitText w:val="360" w:id="-1435748859"/>
                <w14:textFill>
                  <w14:solidFill>
                    <w14:srgbClr w14:val="000000">
                      <w14:alpha w14:val="100000"/>
                    </w14:srgbClr>
                  </w14:solidFill>
                </w14:textFill>
              </w:rPr>
              <w:t>|</w:t>
            </w:r>
          </w:p>
        </w:tc>
        <w:tc>
          <w:tcPr>
            <w:tcW w:w="1196" w:type="dxa"/>
            <w:tcMar>
              <w:top w:w="0" w:type="dxa"/>
              <w:left w:w="108" w:type="dxa"/>
              <w:bottom w:w="0" w:type="dxa"/>
              <w:right w:w="108" w:type="dxa"/>
            </w:tcMar>
            <w:vAlign w:val="center"/>
          </w:tcPr>
          <w:p w14:paraId="492D8873" w14:textId="2DA4404F" w:rsidR="00C27022" w:rsidRPr="00470C00" w:rsidRDefault="00C27022" w:rsidP="00BF34B1">
            <w:pPr>
              <w:keepNext/>
              <w:jc w:val="center"/>
              <w:rPr>
                <w:rFonts w:ascii="Arial Narrow" w:hAnsi="Arial Narrow"/>
                <w:sz w:val="20"/>
                <w:szCs w:val="20"/>
              </w:rPr>
            </w:pPr>
            <w:r w:rsidRPr="00237F17">
              <w:rPr>
                <w:rFonts w:ascii="Arial Narrow" w:hAnsi="Arial Narrow" w:cs="Calibri"/>
                <w:b/>
                <w:bCs/>
                <w:color w:val="000000"/>
                <w:sz w:val="20"/>
                <w:szCs w:val="20"/>
              </w:rPr>
              <w:t>$</w:t>
            </w:r>
            <w:r w:rsidR="00650CB8" w:rsidRPr="00650CB8">
              <w:rPr>
                <w:rFonts w:ascii="Arial Narrow" w:hAnsi="Arial Narrow" w:cs="Calibri"/>
                <w:b/>
                <w:bCs/>
                <w:color w:val="000000"/>
                <w:spacing w:val="58"/>
                <w:sz w:val="20"/>
                <w:szCs w:val="20"/>
                <w:shd w:val="solid" w:color="000000" w:fill="000000"/>
                <w:fitText w:val="360" w:id="-1435748858"/>
                <w14:textFill>
                  <w14:solidFill>
                    <w14:srgbClr w14:val="000000">
                      <w14:alpha w14:val="100000"/>
                    </w14:srgbClr>
                  </w14:solidFill>
                </w14:textFill>
              </w:rPr>
              <w:t>|||</w:t>
            </w:r>
            <w:r w:rsidR="00650CB8" w:rsidRPr="00650CB8">
              <w:rPr>
                <w:rFonts w:ascii="Arial Narrow" w:hAnsi="Arial Narrow" w:cs="Calibri"/>
                <w:b/>
                <w:bCs/>
                <w:color w:val="000000"/>
                <w:spacing w:val="3"/>
                <w:sz w:val="20"/>
                <w:szCs w:val="20"/>
                <w:shd w:val="solid" w:color="000000" w:fill="000000"/>
                <w:fitText w:val="360" w:id="-1435748858"/>
                <w14:textFill>
                  <w14:solidFill>
                    <w14:srgbClr w14:val="000000">
                      <w14:alpha w14:val="100000"/>
                    </w14:srgbClr>
                  </w14:solidFill>
                </w14:textFill>
              </w:rPr>
              <w:t>|</w:t>
            </w:r>
          </w:p>
        </w:tc>
        <w:tc>
          <w:tcPr>
            <w:tcW w:w="1196" w:type="dxa"/>
            <w:tcMar>
              <w:top w:w="0" w:type="dxa"/>
              <w:left w:w="108" w:type="dxa"/>
              <w:bottom w:w="0" w:type="dxa"/>
              <w:right w:w="108" w:type="dxa"/>
            </w:tcMar>
            <w:vAlign w:val="center"/>
          </w:tcPr>
          <w:p w14:paraId="72D87D3D" w14:textId="145057EF" w:rsidR="00C27022" w:rsidRPr="00470C00" w:rsidRDefault="00C27022" w:rsidP="00BF34B1">
            <w:pPr>
              <w:keepNext/>
              <w:jc w:val="center"/>
              <w:rPr>
                <w:rFonts w:ascii="Arial Narrow" w:hAnsi="Arial Narrow"/>
                <w:sz w:val="20"/>
                <w:szCs w:val="20"/>
              </w:rPr>
            </w:pPr>
            <w:r w:rsidRPr="00237F17">
              <w:rPr>
                <w:rFonts w:ascii="Arial Narrow" w:hAnsi="Arial Narrow" w:cs="Calibri"/>
                <w:b/>
                <w:bCs/>
                <w:color w:val="000000"/>
                <w:sz w:val="20"/>
                <w:szCs w:val="20"/>
              </w:rPr>
              <w:t>$</w:t>
            </w:r>
            <w:r w:rsidR="00650CB8" w:rsidRPr="00650CB8">
              <w:rPr>
                <w:rFonts w:ascii="Arial Narrow" w:hAnsi="Arial Narrow" w:cs="Calibri"/>
                <w:b/>
                <w:bCs/>
                <w:color w:val="000000"/>
                <w:spacing w:val="58"/>
                <w:sz w:val="20"/>
                <w:szCs w:val="20"/>
                <w:shd w:val="solid" w:color="000000" w:fill="000000"/>
                <w:fitText w:val="360" w:id="-1435748857"/>
                <w14:textFill>
                  <w14:solidFill>
                    <w14:srgbClr w14:val="000000">
                      <w14:alpha w14:val="100000"/>
                    </w14:srgbClr>
                  </w14:solidFill>
                </w14:textFill>
              </w:rPr>
              <w:t>|||</w:t>
            </w:r>
            <w:r w:rsidR="00650CB8" w:rsidRPr="00650CB8">
              <w:rPr>
                <w:rFonts w:ascii="Arial Narrow" w:hAnsi="Arial Narrow" w:cs="Calibri"/>
                <w:b/>
                <w:bCs/>
                <w:color w:val="000000"/>
                <w:spacing w:val="3"/>
                <w:sz w:val="20"/>
                <w:szCs w:val="20"/>
                <w:shd w:val="solid" w:color="000000" w:fill="000000"/>
                <w:fitText w:val="360" w:id="-1435748857"/>
                <w14:textFill>
                  <w14:solidFill>
                    <w14:srgbClr w14:val="000000">
                      <w14:alpha w14:val="100000"/>
                    </w14:srgbClr>
                  </w14:solidFill>
                </w14:textFill>
              </w:rPr>
              <w:t>|</w:t>
            </w:r>
          </w:p>
        </w:tc>
      </w:tr>
    </w:tbl>
    <w:p w14:paraId="7E0EC28C" w14:textId="77777777" w:rsidR="00C27022" w:rsidRPr="00E211A6" w:rsidRDefault="00C27022" w:rsidP="00293F12">
      <w:pPr>
        <w:pStyle w:val="TableFigureFooter"/>
      </w:pPr>
      <w:r w:rsidRPr="00E211A6">
        <w:t>Source: Table 1.4-5, p27 of the submission ‘Price and cap calculations’ Excel spreadsheet, Appendix 6 of the submission</w:t>
      </w:r>
    </w:p>
    <w:p w14:paraId="174A6E9F" w14:textId="77777777" w:rsidR="00C27022" w:rsidRPr="00E211A6" w:rsidRDefault="00C27022" w:rsidP="00293F12">
      <w:pPr>
        <w:pStyle w:val="TableFigureFooter"/>
      </w:pPr>
      <w:r w:rsidRPr="00E211A6">
        <w:t>Abbreviations: DPMQ, dispensed price for maximum quantity.</w:t>
      </w:r>
    </w:p>
    <w:p w14:paraId="1D8283AF" w14:textId="14E8DDD3" w:rsidR="00C27022" w:rsidRDefault="00C27022" w:rsidP="00293F12">
      <w:pPr>
        <w:pStyle w:val="TableFigureFooter"/>
      </w:pPr>
      <w:r w:rsidRPr="00E211A6">
        <w:t xml:space="preserve">Note: </w:t>
      </w:r>
      <w:r w:rsidR="00D0687D">
        <w:t>f</w:t>
      </w:r>
      <w:r w:rsidRPr="00E211A6">
        <w:t>or simplicity, the DPMQ for evolocumab 140 mg is based on the maximum quantity of 2. Similar price reductions were proposed for the homozygous familial hypercholesterolaemia listing</w:t>
      </w:r>
      <w:r w:rsidR="003438CF">
        <w:t>, which has</w:t>
      </w:r>
      <w:r w:rsidRPr="00E211A6">
        <w:t xml:space="preserve"> a maximum quantity of 3.</w:t>
      </w:r>
    </w:p>
    <w:p w14:paraId="44929C07" w14:textId="77777777" w:rsidR="00985590" w:rsidRPr="00E211A6" w:rsidRDefault="00985590" w:rsidP="00293F12">
      <w:pPr>
        <w:pStyle w:val="TableFigureFooter"/>
      </w:pPr>
    </w:p>
    <w:p w14:paraId="4D8D9443" w14:textId="39641E96" w:rsidR="00F62FD8" w:rsidRDefault="00F62FD8" w:rsidP="009F3D8B">
      <w:pPr>
        <w:pStyle w:val="ExecSumBodyText"/>
      </w:pPr>
      <w:r w:rsidRPr="00FF4735">
        <w:rPr>
          <w:iCs/>
        </w:rPr>
        <w:lastRenderedPageBreak/>
        <w:t>The weighting between current and new populations</w:t>
      </w:r>
      <w:r w:rsidR="00EC2035" w:rsidRPr="00FF4735">
        <w:rPr>
          <w:iCs/>
        </w:rPr>
        <w:t xml:space="preserve"> and the consequent weighted effective price is</w:t>
      </w:r>
      <w:r w:rsidRPr="00FF4735">
        <w:rPr>
          <w:iCs/>
        </w:rPr>
        <w:t xml:space="preserve"> dependent on </w:t>
      </w:r>
      <w:r w:rsidR="00466D81" w:rsidRPr="00FF4735">
        <w:rPr>
          <w:iCs/>
        </w:rPr>
        <w:t xml:space="preserve">the size of the eligible patient population and </w:t>
      </w:r>
      <w:r w:rsidRPr="00FF4735">
        <w:rPr>
          <w:iCs/>
        </w:rPr>
        <w:t>the assumed uptake of evolocumab</w:t>
      </w:r>
      <w:r w:rsidR="00466D81" w:rsidRPr="00FF4735">
        <w:rPr>
          <w:iCs/>
        </w:rPr>
        <w:t xml:space="preserve"> in patients with </w:t>
      </w:r>
      <w:r w:rsidR="006D7786" w:rsidRPr="00FF4735">
        <w:rPr>
          <w:iCs/>
        </w:rPr>
        <w:t xml:space="preserve">LDL-C </w:t>
      </w:r>
      <w:r w:rsidR="00466D81" w:rsidRPr="00FF4735">
        <w:rPr>
          <w:iCs/>
        </w:rPr>
        <w:t>between 1.8 and 2.6 mmol/L</w:t>
      </w:r>
      <w:r w:rsidR="00EC2035" w:rsidRPr="00FF4735">
        <w:rPr>
          <w:iCs/>
        </w:rPr>
        <w:t>.</w:t>
      </w:r>
      <w:r w:rsidR="002F5589" w:rsidRPr="00FF4735">
        <w:rPr>
          <w:iCs/>
        </w:rPr>
        <w:t xml:space="preserve"> Given the uncertainties regarding the submission’s </w:t>
      </w:r>
      <w:r w:rsidR="00466D81" w:rsidRPr="00FF4735">
        <w:rPr>
          <w:iCs/>
        </w:rPr>
        <w:t xml:space="preserve">estimated size of the eligible population and uptake assumptions, the </w:t>
      </w:r>
      <w:r w:rsidR="00EB7EA1">
        <w:rPr>
          <w:iCs/>
        </w:rPr>
        <w:t xml:space="preserve">evaluation considered that the </w:t>
      </w:r>
      <w:r w:rsidR="00023A31" w:rsidRPr="00FF4735">
        <w:rPr>
          <w:iCs/>
        </w:rPr>
        <w:t>calculated weighted effective price may not be appropriate.</w:t>
      </w:r>
      <w:r w:rsidR="00427255">
        <w:rPr>
          <w:iCs/>
        </w:rPr>
        <w:t xml:space="preserve"> </w:t>
      </w:r>
      <w:r w:rsidR="00427255" w:rsidRPr="001F281D">
        <w:t>The PSCR maintained the face validity of lower uptake rates in patients with LDL-C levels closer to the target of &lt;</w:t>
      </w:r>
      <w:r w:rsidR="00EB7EA1">
        <w:t> </w:t>
      </w:r>
      <w:r w:rsidR="00427255" w:rsidRPr="001F281D">
        <w:t>1.8</w:t>
      </w:r>
      <w:r w:rsidR="00EB7EA1">
        <w:t> </w:t>
      </w:r>
      <w:r w:rsidR="00427255" w:rsidRPr="001F281D">
        <w:t>mmol/L. To support this claim, the PSCR present</w:t>
      </w:r>
      <w:r w:rsidR="007A0B4C" w:rsidRPr="001F281D">
        <w:t>ed</w:t>
      </w:r>
      <w:r w:rsidR="00427255" w:rsidRPr="001F281D">
        <w:t xml:space="preserve"> a</w:t>
      </w:r>
      <w:r w:rsidR="007A0B4C" w:rsidRPr="001F281D">
        <w:t xml:space="preserve"> 2022</w:t>
      </w:r>
      <w:r w:rsidR="00427255" w:rsidRPr="001F281D">
        <w:t xml:space="preserve"> chart audit conducted by the sponsor in the United States </w:t>
      </w:r>
      <w:r w:rsidR="00616456" w:rsidRPr="001F281D">
        <w:t>(US)</w:t>
      </w:r>
      <w:r w:rsidR="00427255" w:rsidRPr="001F281D">
        <w:t xml:space="preserve">, in which 12% of patients (155/1,286) had an LDL-C below 2.6 mmol/L prior to initiating a PCSK9 inhibitor. The ESC noted that this data could not be verified, that no information was provided with respect to eligibility requirements for treatment or background therapies and that it was unclear what proportion of patients with symptomatic ASCVD had LDL-C below 2.6 mmol/L. Overall, the US data was of unknown applicability to the Australian population. </w:t>
      </w:r>
      <w:r w:rsidR="001C3457" w:rsidRPr="001F281D">
        <w:t xml:space="preserve">The ESC considered that the assumption of higher uptake in the existing population compared with the expanded population met face validity, but </w:t>
      </w:r>
      <w:r w:rsidR="00206772" w:rsidRPr="001F281D">
        <w:t xml:space="preserve">that </w:t>
      </w:r>
      <w:r w:rsidR="001C3457" w:rsidRPr="001F281D">
        <w:t>the split (</w:t>
      </w:r>
      <w:r w:rsidR="00650CB8" w:rsidRPr="00F35BF1">
        <w:rPr>
          <w:color w:val="000000"/>
          <w:w w:val="15"/>
          <w:shd w:val="solid" w:color="000000" w:fill="000000"/>
          <w:fitText w:val="-20" w:id="-1435748856"/>
          <w14:textFill>
            <w14:solidFill>
              <w14:srgbClr w14:val="000000">
                <w14:alpha w14:val="100000"/>
              </w14:srgbClr>
            </w14:solidFill>
          </w14:textFill>
        </w:rPr>
        <w:t xml:space="preserve">|  </w:t>
      </w:r>
      <w:r w:rsidR="00650CB8" w:rsidRPr="00F35BF1">
        <w:rPr>
          <w:color w:val="000000"/>
          <w:spacing w:val="-69"/>
          <w:w w:val="15"/>
          <w:shd w:val="solid" w:color="000000" w:fill="000000"/>
          <w:fitText w:val="-20" w:id="-1435748856"/>
          <w14:textFill>
            <w14:solidFill>
              <w14:srgbClr w14:val="000000">
                <w14:alpha w14:val="100000"/>
              </w14:srgbClr>
            </w14:solidFill>
          </w14:textFill>
        </w:rPr>
        <w:t>|</w:t>
      </w:r>
      <w:r w:rsidR="001C3457" w:rsidRPr="001776EA">
        <w:t>%/</w:t>
      </w:r>
      <w:r w:rsidR="00650CB8" w:rsidRPr="00F35BF1">
        <w:rPr>
          <w:color w:val="000000"/>
          <w:w w:val="15"/>
          <w:shd w:val="solid" w:color="000000" w:fill="000000"/>
          <w:fitText w:val="-20" w:id="-1435748855"/>
          <w14:textFill>
            <w14:solidFill>
              <w14:srgbClr w14:val="000000">
                <w14:alpha w14:val="100000"/>
              </w14:srgbClr>
            </w14:solidFill>
          </w14:textFill>
        </w:rPr>
        <w:t xml:space="preserve">|  </w:t>
      </w:r>
      <w:r w:rsidR="00650CB8" w:rsidRPr="00F35BF1">
        <w:rPr>
          <w:color w:val="000000"/>
          <w:spacing w:val="-69"/>
          <w:w w:val="15"/>
          <w:shd w:val="solid" w:color="000000" w:fill="000000"/>
          <w:fitText w:val="-20" w:id="-1435748855"/>
          <w14:textFill>
            <w14:solidFill>
              <w14:srgbClr w14:val="000000">
                <w14:alpha w14:val="100000"/>
              </w14:srgbClr>
            </w14:solidFill>
          </w14:textFill>
        </w:rPr>
        <w:t>|</w:t>
      </w:r>
      <w:r w:rsidR="001C3457" w:rsidRPr="001F281D">
        <w:t xml:space="preserve">%) was highly uncertain. </w:t>
      </w:r>
    </w:p>
    <w:p w14:paraId="3B1AD13F" w14:textId="6E7BA08F" w:rsidR="00985590" w:rsidRDefault="00EB7EA1" w:rsidP="00650F43">
      <w:pPr>
        <w:pStyle w:val="ExecSumBodyText"/>
      </w:pPr>
      <w:r>
        <w:t xml:space="preserve">The pre-PBAC provided a revised price proposal, which it stated reflected an increase in the weighting of the additional population from </w:t>
      </w:r>
      <w:r w:rsidR="00650CB8" w:rsidRPr="00F35BF1">
        <w:rPr>
          <w:color w:val="000000"/>
          <w:w w:val="15"/>
          <w:shd w:val="solid" w:color="000000" w:fill="000000"/>
          <w:fitText w:val="-20" w:id="-1435748854"/>
          <w14:textFill>
            <w14:solidFill>
              <w14:srgbClr w14:val="000000">
                <w14:alpha w14:val="100000"/>
              </w14:srgbClr>
            </w14:solidFill>
          </w14:textFill>
        </w:rPr>
        <w:t xml:space="preserve">|  </w:t>
      </w:r>
      <w:r w:rsidR="00650CB8" w:rsidRPr="00F35BF1">
        <w:rPr>
          <w:color w:val="000000"/>
          <w:spacing w:val="-69"/>
          <w:w w:val="15"/>
          <w:shd w:val="solid" w:color="000000" w:fill="000000"/>
          <w:fitText w:val="-20" w:id="-1435748854"/>
          <w14:textFill>
            <w14:solidFill>
              <w14:srgbClr w14:val="000000">
                <w14:alpha w14:val="100000"/>
              </w14:srgbClr>
            </w14:solidFill>
          </w14:textFill>
        </w:rPr>
        <w:t>|</w:t>
      </w:r>
      <w:r>
        <w:t xml:space="preserve">% to </w:t>
      </w:r>
      <w:r w:rsidR="00650CB8" w:rsidRPr="00F35BF1">
        <w:rPr>
          <w:color w:val="000000"/>
          <w:w w:val="15"/>
          <w:shd w:val="solid" w:color="000000" w:fill="000000"/>
          <w:fitText w:val="-20" w:id="-1435748853"/>
          <w14:textFill>
            <w14:solidFill>
              <w14:srgbClr w14:val="000000">
                <w14:alpha w14:val="100000"/>
              </w14:srgbClr>
            </w14:solidFill>
          </w14:textFill>
        </w:rPr>
        <w:t xml:space="preserve">|  </w:t>
      </w:r>
      <w:r w:rsidR="00650CB8" w:rsidRPr="00F35BF1">
        <w:rPr>
          <w:color w:val="000000"/>
          <w:spacing w:val="-69"/>
          <w:w w:val="15"/>
          <w:shd w:val="solid" w:color="000000" w:fill="000000"/>
          <w:fitText w:val="-20" w:id="-1435748853"/>
          <w14:textFill>
            <w14:solidFill>
              <w14:srgbClr w14:val="000000">
                <w14:alpha w14:val="100000"/>
              </w14:srgbClr>
            </w14:solidFill>
          </w14:textFill>
        </w:rPr>
        <w:t>|</w:t>
      </w:r>
      <w:r>
        <w:t>%.</w:t>
      </w:r>
      <w:r w:rsidR="00B3141B">
        <w:t xml:space="preserve"> The pre-PBAC response then stated the assumed population distribution for pricing purposes would effectively be </w:t>
      </w:r>
      <w:r w:rsidR="00650CB8" w:rsidRPr="00F35BF1">
        <w:rPr>
          <w:color w:val="000000"/>
          <w:w w:val="15"/>
          <w:shd w:val="solid" w:color="000000" w:fill="000000"/>
          <w:fitText w:val="-20" w:id="-1435748852"/>
          <w14:textFill>
            <w14:solidFill>
              <w14:srgbClr w14:val="000000">
                <w14:alpha w14:val="100000"/>
              </w14:srgbClr>
            </w14:solidFill>
          </w14:textFill>
        </w:rPr>
        <w:t xml:space="preserve">|  </w:t>
      </w:r>
      <w:r w:rsidR="00650CB8" w:rsidRPr="00F35BF1">
        <w:rPr>
          <w:color w:val="000000"/>
          <w:spacing w:val="-69"/>
          <w:w w:val="15"/>
          <w:shd w:val="solid" w:color="000000" w:fill="000000"/>
          <w:fitText w:val="-20" w:id="-1435748852"/>
          <w14:textFill>
            <w14:solidFill>
              <w14:srgbClr w14:val="000000">
                <w14:alpha w14:val="100000"/>
              </w14:srgbClr>
            </w14:solidFill>
          </w14:textFill>
        </w:rPr>
        <w:t>|</w:t>
      </w:r>
      <w:r w:rsidR="00B3141B">
        <w:t xml:space="preserve">% FH: </w:t>
      </w:r>
      <w:r w:rsidR="00650CB8" w:rsidRPr="00F35BF1">
        <w:rPr>
          <w:color w:val="000000"/>
          <w:w w:val="15"/>
          <w:shd w:val="solid" w:color="000000" w:fill="000000"/>
          <w:fitText w:val="-20" w:id="-1435748851"/>
          <w14:textFill>
            <w14:solidFill>
              <w14:srgbClr w14:val="000000">
                <w14:alpha w14:val="100000"/>
              </w14:srgbClr>
            </w14:solidFill>
          </w14:textFill>
        </w:rPr>
        <w:t xml:space="preserve">|  </w:t>
      </w:r>
      <w:r w:rsidR="00650CB8" w:rsidRPr="00F35BF1">
        <w:rPr>
          <w:color w:val="000000"/>
          <w:spacing w:val="-69"/>
          <w:w w:val="15"/>
          <w:shd w:val="solid" w:color="000000" w:fill="000000"/>
          <w:fitText w:val="-20" w:id="-1435748851"/>
          <w14:textFill>
            <w14:solidFill>
              <w14:srgbClr w14:val="000000">
                <w14:alpha w14:val="100000"/>
              </w14:srgbClr>
            </w14:solidFill>
          </w14:textFill>
        </w:rPr>
        <w:t>|</w:t>
      </w:r>
      <w:r w:rsidR="00B3141B">
        <w:t xml:space="preserve">% ASCVD &gt; 2.6 mmol/L: </w:t>
      </w:r>
      <w:r w:rsidR="00650CB8" w:rsidRPr="00F35BF1">
        <w:rPr>
          <w:color w:val="000000"/>
          <w:w w:val="15"/>
          <w:shd w:val="solid" w:color="000000" w:fill="000000"/>
          <w:fitText w:val="-20" w:id="-1435748850"/>
          <w14:textFill>
            <w14:solidFill>
              <w14:srgbClr w14:val="000000">
                <w14:alpha w14:val="100000"/>
              </w14:srgbClr>
            </w14:solidFill>
          </w14:textFill>
        </w:rPr>
        <w:t xml:space="preserve">|  </w:t>
      </w:r>
      <w:r w:rsidR="00650CB8" w:rsidRPr="00F35BF1">
        <w:rPr>
          <w:color w:val="000000"/>
          <w:spacing w:val="-69"/>
          <w:w w:val="15"/>
          <w:shd w:val="solid" w:color="000000" w:fill="000000"/>
          <w:fitText w:val="-20" w:id="-1435748850"/>
          <w14:textFill>
            <w14:solidFill>
              <w14:srgbClr w14:val="000000">
                <w14:alpha w14:val="100000"/>
              </w14:srgbClr>
            </w14:solidFill>
          </w14:textFill>
        </w:rPr>
        <w:t>|</w:t>
      </w:r>
      <w:r w:rsidR="00B3141B">
        <w:t>% ASCVD &gt; 1.8 and ≤ 2.6 mmol/L.</w:t>
      </w:r>
    </w:p>
    <w:p w14:paraId="000C1426" w14:textId="77777777" w:rsidR="00985590" w:rsidRDefault="00985590">
      <w:pPr>
        <w:jc w:val="left"/>
        <w:rPr>
          <w:rFonts w:asciiTheme="minorHAnsi" w:hAnsiTheme="minorHAnsi"/>
          <w:snapToGrid w:val="0"/>
        </w:rPr>
      </w:pPr>
      <w:r>
        <w:br w:type="page"/>
      </w:r>
    </w:p>
    <w:p w14:paraId="31D42E18" w14:textId="55308152" w:rsidR="00EB7EA1" w:rsidRPr="00650F43" w:rsidRDefault="00EB7EA1" w:rsidP="00EB7EA1">
      <w:pPr>
        <w:pStyle w:val="Caption"/>
        <w:rPr>
          <w:rFonts w:ascii="Arial Narrow" w:hAnsi="Arial Narrow"/>
          <w:sz w:val="20"/>
          <w:szCs w:val="20"/>
        </w:rPr>
      </w:pPr>
      <w:r w:rsidRPr="00650F43">
        <w:rPr>
          <w:rFonts w:ascii="Arial Narrow" w:hAnsi="Arial Narrow"/>
          <w:sz w:val="20"/>
          <w:szCs w:val="20"/>
        </w:rPr>
        <w:lastRenderedPageBreak/>
        <w:t xml:space="preserve">Table </w:t>
      </w:r>
      <w:r w:rsidRPr="00650F43">
        <w:rPr>
          <w:rFonts w:ascii="Arial Narrow" w:hAnsi="Arial Narrow"/>
          <w:sz w:val="20"/>
          <w:szCs w:val="20"/>
        </w:rPr>
        <w:fldChar w:fldCharType="begin"/>
      </w:r>
      <w:r w:rsidRPr="00650F43">
        <w:rPr>
          <w:rFonts w:ascii="Arial Narrow" w:hAnsi="Arial Narrow"/>
          <w:sz w:val="20"/>
          <w:szCs w:val="20"/>
        </w:rPr>
        <w:instrText xml:space="preserve"> SEQ Table \* ARABIC </w:instrText>
      </w:r>
      <w:r w:rsidRPr="00650F43">
        <w:rPr>
          <w:rFonts w:ascii="Arial Narrow" w:hAnsi="Arial Narrow"/>
          <w:sz w:val="20"/>
          <w:szCs w:val="20"/>
        </w:rPr>
        <w:fldChar w:fldCharType="separate"/>
      </w:r>
      <w:r w:rsidR="00EB7F7C" w:rsidRPr="00650F43">
        <w:rPr>
          <w:rFonts w:ascii="Arial Narrow" w:hAnsi="Arial Narrow"/>
          <w:noProof/>
          <w:sz w:val="20"/>
          <w:szCs w:val="20"/>
        </w:rPr>
        <w:t>4</w:t>
      </w:r>
      <w:r w:rsidRPr="00650F43">
        <w:rPr>
          <w:rFonts w:ascii="Arial Narrow" w:hAnsi="Arial Narrow"/>
          <w:sz w:val="20"/>
          <w:szCs w:val="20"/>
        </w:rPr>
        <w:fldChar w:fldCharType="end"/>
      </w:r>
      <w:r w:rsidRPr="00650F43">
        <w:rPr>
          <w:rFonts w:ascii="Arial Narrow" w:hAnsi="Arial Narrow"/>
          <w:sz w:val="20"/>
          <w:szCs w:val="20"/>
        </w:rPr>
        <w:t>: Revised price proposal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4: Revised price proposal"/>
      </w:tblPr>
      <w:tblGrid>
        <w:gridCol w:w="3256"/>
        <w:gridCol w:w="992"/>
        <w:gridCol w:w="1134"/>
        <w:gridCol w:w="1276"/>
        <w:gridCol w:w="1275"/>
        <w:gridCol w:w="1084"/>
      </w:tblGrid>
      <w:tr w:rsidR="00EB7EA1" w:rsidRPr="00EB7EA1" w14:paraId="04EEB7C5" w14:textId="77777777" w:rsidTr="00EB7EA1">
        <w:trPr>
          <w:trHeight w:val="346"/>
        </w:trPr>
        <w:tc>
          <w:tcPr>
            <w:tcW w:w="3256" w:type="dxa"/>
            <w:vAlign w:val="bottom"/>
          </w:tcPr>
          <w:p w14:paraId="2F5F4C62" w14:textId="3586DC1C" w:rsidR="00EB7EA1" w:rsidRPr="00EB7EA1" w:rsidRDefault="00EB7EA1" w:rsidP="00EB7EA1">
            <w:pPr>
              <w:jc w:val="left"/>
              <w:rPr>
                <w:rFonts w:ascii="Arial Narrow" w:hAnsi="Arial Narrow"/>
                <w:b/>
                <w:bCs/>
                <w:snapToGrid w:val="0"/>
                <w:sz w:val="20"/>
                <w:szCs w:val="20"/>
              </w:rPr>
            </w:pPr>
            <w:r w:rsidRPr="00EB7EA1">
              <w:rPr>
                <w:rFonts w:ascii="Arial Narrow" w:hAnsi="Arial Narrow"/>
                <w:b/>
                <w:bCs/>
                <w:snapToGrid w:val="0"/>
                <w:sz w:val="20"/>
                <w:szCs w:val="20"/>
              </w:rPr>
              <w:t xml:space="preserve">Price basis </w:t>
            </w:r>
          </w:p>
        </w:tc>
        <w:tc>
          <w:tcPr>
            <w:tcW w:w="992" w:type="dxa"/>
            <w:vMerge w:val="restart"/>
            <w:vAlign w:val="center"/>
          </w:tcPr>
          <w:p w14:paraId="76021CF9" w14:textId="7087618A" w:rsidR="00EB7EA1" w:rsidRPr="00EB7EA1" w:rsidRDefault="00EB7EA1" w:rsidP="00EB7EA1">
            <w:pPr>
              <w:jc w:val="center"/>
              <w:rPr>
                <w:rFonts w:ascii="Arial Narrow" w:hAnsi="Arial Narrow"/>
                <w:b/>
                <w:bCs/>
                <w:snapToGrid w:val="0"/>
                <w:sz w:val="20"/>
                <w:szCs w:val="20"/>
              </w:rPr>
            </w:pPr>
            <w:r w:rsidRPr="00EB7EA1">
              <w:rPr>
                <w:rFonts w:ascii="Arial Narrow" w:hAnsi="Arial Narrow"/>
                <w:b/>
                <w:bCs/>
                <w:snapToGrid w:val="0"/>
                <w:sz w:val="20"/>
                <w:szCs w:val="20"/>
              </w:rPr>
              <w:t>Rebate</w:t>
            </w:r>
          </w:p>
        </w:tc>
        <w:tc>
          <w:tcPr>
            <w:tcW w:w="2410" w:type="dxa"/>
            <w:gridSpan w:val="2"/>
            <w:vAlign w:val="center"/>
          </w:tcPr>
          <w:p w14:paraId="4A1E6056" w14:textId="14B5E8A4" w:rsidR="00EB7EA1" w:rsidRPr="00EB7EA1" w:rsidRDefault="00EB7EA1" w:rsidP="00EB7EA1">
            <w:pPr>
              <w:jc w:val="center"/>
              <w:rPr>
                <w:rFonts w:ascii="Arial Narrow" w:hAnsi="Arial Narrow"/>
                <w:b/>
                <w:bCs/>
                <w:snapToGrid w:val="0"/>
                <w:sz w:val="20"/>
                <w:szCs w:val="20"/>
              </w:rPr>
            </w:pPr>
            <w:r w:rsidRPr="00EB7EA1">
              <w:rPr>
                <w:rFonts w:ascii="Arial Narrow" w:hAnsi="Arial Narrow"/>
                <w:b/>
                <w:bCs/>
                <w:snapToGrid w:val="0"/>
                <w:sz w:val="20"/>
                <w:szCs w:val="20"/>
              </w:rPr>
              <w:t>140 mg in 1 mL pen device</w:t>
            </w:r>
            <w:r w:rsidRPr="00EB7EA1">
              <w:rPr>
                <w:rFonts w:ascii="Arial Narrow" w:hAnsi="Arial Narrow"/>
                <w:b/>
                <w:bCs/>
                <w:snapToGrid w:val="0"/>
                <w:sz w:val="20"/>
                <w:szCs w:val="20"/>
                <w:vertAlign w:val="superscript"/>
              </w:rPr>
              <w:t>a</w:t>
            </w:r>
          </w:p>
        </w:tc>
        <w:tc>
          <w:tcPr>
            <w:tcW w:w="2359" w:type="dxa"/>
            <w:gridSpan w:val="2"/>
            <w:vAlign w:val="center"/>
          </w:tcPr>
          <w:p w14:paraId="0A62A208" w14:textId="21AA98A6" w:rsidR="00EB7EA1" w:rsidRPr="00EB7EA1" w:rsidRDefault="00EB7EA1" w:rsidP="00EB7EA1">
            <w:pPr>
              <w:jc w:val="center"/>
              <w:rPr>
                <w:rFonts w:ascii="Arial Narrow" w:hAnsi="Arial Narrow"/>
                <w:b/>
                <w:bCs/>
                <w:snapToGrid w:val="0"/>
                <w:sz w:val="20"/>
                <w:szCs w:val="20"/>
              </w:rPr>
            </w:pPr>
            <w:r w:rsidRPr="00EB7EA1">
              <w:rPr>
                <w:rFonts w:ascii="Arial Narrow" w:hAnsi="Arial Narrow"/>
                <w:b/>
                <w:bCs/>
                <w:snapToGrid w:val="0"/>
                <w:sz w:val="20"/>
                <w:szCs w:val="20"/>
              </w:rPr>
              <w:t>420 mg in 3.5 mL cartridge</w:t>
            </w:r>
          </w:p>
        </w:tc>
      </w:tr>
      <w:tr w:rsidR="007813C9" w:rsidRPr="00EB7EA1" w14:paraId="3004BF69" w14:textId="77777777" w:rsidTr="007813C9">
        <w:trPr>
          <w:trHeight w:val="346"/>
        </w:trPr>
        <w:tc>
          <w:tcPr>
            <w:tcW w:w="3256" w:type="dxa"/>
          </w:tcPr>
          <w:p w14:paraId="6A1AC859" w14:textId="77777777" w:rsidR="00EB7EA1" w:rsidRPr="00EB7EA1" w:rsidRDefault="00EB7EA1" w:rsidP="00EB7EA1">
            <w:pPr>
              <w:rPr>
                <w:rFonts w:ascii="Arial Narrow" w:hAnsi="Arial Narrow"/>
                <w:snapToGrid w:val="0"/>
                <w:sz w:val="20"/>
                <w:szCs w:val="20"/>
              </w:rPr>
            </w:pPr>
          </w:p>
        </w:tc>
        <w:tc>
          <w:tcPr>
            <w:tcW w:w="992" w:type="dxa"/>
            <w:vMerge/>
            <w:vAlign w:val="center"/>
          </w:tcPr>
          <w:p w14:paraId="2084DC38" w14:textId="77777777" w:rsidR="00EB7EA1" w:rsidRPr="00EB7EA1" w:rsidRDefault="00EB7EA1" w:rsidP="00EB7EA1">
            <w:pPr>
              <w:jc w:val="center"/>
              <w:rPr>
                <w:rFonts w:ascii="Arial Narrow" w:hAnsi="Arial Narrow"/>
                <w:b/>
                <w:bCs/>
                <w:snapToGrid w:val="0"/>
                <w:sz w:val="20"/>
                <w:szCs w:val="20"/>
              </w:rPr>
            </w:pPr>
          </w:p>
        </w:tc>
        <w:tc>
          <w:tcPr>
            <w:tcW w:w="1134" w:type="dxa"/>
            <w:vAlign w:val="center"/>
          </w:tcPr>
          <w:p w14:paraId="369723E8" w14:textId="28AECD35" w:rsidR="00EB7EA1" w:rsidRPr="00EB7EA1" w:rsidRDefault="00EB7EA1" w:rsidP="00EB7EA1">
            <w:pPr>
              <w:jc w:val="center"/>
              <w:rPr>
                <w:rFonts w:ascii="Arial Narrow" w:hAnsi="Arial Narrow"/>
                <w:b/>
                <w:bCs/>
                <w:snapToGrid w:val="0"/>
                <w:sz w:val="20"/>
                <w:szCs w:val="20"/>
              </w:rPr>
            </w:pPr>
            <w:r w:rsidRPr="00EB7EA1">
              <w:rPr>
                <w:rFonts w:ascii="Arial Narrow" w:hAnsi="Arial Narrow"/>
                <w:b/>
                <w:bCs/>
                <w:snapToGrid w:val="0"/>
                <w:sz w:val="20"/>
                <w:szCs w:val="20"/>
              </w:rPr>
              <w:t xml:space="preserve">Published DPMQ </w:t>
            </w:r>
            <w:r w:rsidRPr="00EB7EA1">
              <w:rPr>
                <w:rFonts w:ascii="Arial Narrow" w:hAnsi="Arial Narrow"/>
                <w:b/>
                <w:bCs/>
                <w:snapToGrid w:val="0"/>
                <w:sz w:val="20"/>
                <w:szCs w:val="20"/>
                <w:vertAlign w:val="superscript"/>
              </w:rPr>
              <w:t>b</w:t>
            </w:r>
          </w:p>
        </w:tc>
        <w:tc>
          <w:tcPr>
            <w:tcW w:w="1276" w:type="dxa"/>
            <w:vAlign w:val="center"/>
          </w:tcPr>
          <w:p w14:paraId="24011AAD" w14:textId="41317D0F" w:rsidR="00EB7EA1" w:rsidRPr="00EB7EA1" w:rsidRDefault="00EB7EA1" w:rsidP="00EB7EA1">
            <w:pPr>
              <w:jc w:val="center"/>
              <w:rPr>
                <w:rFonts w:ascii="Arial Narrow" w:hAnsi="Arial Narrow"/>
                <w:b/>
                <w:bCs/>
                <w:snapToGrid w:val="0"/>
                <w:sz w:val="20"/>
                <w:szCs w:val="20"/>
              </w:rPr>
            </w:pPr>
            <w:r w:rsidRPr="00EB7EA1">
              <w:rPr>
                <w:rFonts w:ascii="Arial Narrow" w:hAnsi="Arial Narrow"/>
                <w:b/>
                <w:bCs/>
                <w:snapToGrid w:val="0"/>
                <w:sz w:val="20"/>
                <w:szCs w:val="20"/>
              </w:rPr>
              <w:t>Effective DPMQ</w:t>
            </w:r>
            <w:r w:rsidRPr="00EB7EA1">
              <w:rPr>
                <w:rFonts w:ascii="Arial Narrow" w:hAnsi="Arial Narrow"/>
                <w:b/>
                <w:bCs/>
                <w:snapToGrid w:val="0"/>
                <w:sz w:val="20"/>
                <w:szCs w:val="20"/>
                <w:vertAlign w:val="superscript"/>
              </w:rPr>
              <w:t xml:space="preserve"> b</w:t>
            </w:r>
          </w:p>
        </w:tc>
        <w:tc>
          <w:tcPr>
            <w:tcW w:w="1275" w:type="dxa"/>
            <w:vAlign w:val="center"/>
          </w:tcPr>
          <w:p w14:paraId="45F54943" w14:textId="6F198D8B" w:rsidR="00EB7EA1" w:rsidRPr="00EB7EA1" w:rsidRDefault="00EB7EA1" w:rsidP="00EB7EA1">
            <w:pPr>
              <w:jc w:val="center"/>
              <w:rPr>
                <w:rFonts w:ascii="Arial Narrow" w:hAnsi="Arial Narrow"/>
                <w:b/>
                <w:bCs/>
                <w:snapToGrid w:val="0"/>
                <w:sz w:val="20"/>
                <w:szCs w:val="20"/>
              </w:rPr>
            </w:pPr>
            <w:r w:rsidRPr="00EB7EA1">
              <w:rPr>
                <w:rFonts w:ascii="Arial Narrow" w:hAnsi="Arial Narrow"/>
                <w:b/>
                <w:bCs/>
                <w:snapToGrid w:val="0"/>
                <w:sz w:val="20"/>
                <w:szCs w:val="20"/>
              </w:rPr>
              <w:t>Published DPMQ</w:t>
            </w:r>
            <w:r w:rsidRPr="00EB7EA1">
              <w:rPr>
                <w:rFonts w:ascii="Arial Narrow" w:hAnsi="Arial Narrow"/>
                <w:b/>
                <w:bCs/>
                <w:snapToGrid w:val="0"/>
                <w:sz w:val="20"/>
                <w:szCs w:val="20"/>
                <w:vertAlign w:val="superscript"/>
              </w:rPr>
              <w:t xml:space="preserve"> b</w:t>
            </w:r>
          </w:p>
        </w:tc>
        <w:tc>
          <w:tcPr>
            <w:tcW w:w="1084" w:type="dxa"/>
            <w:vAlign w:val="center"/>
          </w:tcPr>
          <w:p w14:paraId="59691984" w14:textId="6DE5252C" w:rsidR="00EB7EA1" w:rsidRPr="00EB7EA1" w:rsidRDefault="00EB7EA1" w:rsidP="00EB7EA1">
            <w:pPr>
              <w:jc w:val="center"/>
              <w:rPr>
                <w:rFonts w:ascii="Arial Narrow" w:hAnsi="Arial Narrow"/>
                <w:b/>
                <w:bCs/>
                <w:snapToGrid w:val="0"/>
                <w:sz w:val="20"/>
                <w:szCs w:val="20"/>
              </w:rPr>
            </w:pPr>
            <w:r w:rsidRPr="00EB7EA1">
              <w:rPr>
                <w:rFonts w:ascii="Arial Narrow" w:hAnsi="Arial Narrow"/>
                <w:b/>
                <w:bCs/>
                <w:snapToGrid w:val="0"/>
                <w:sz w:val="20"/>
                <w:szCs w:val="20"/>
              </w:rPr>
              <w:t>Effective DPMQ</w:t>
            </w:r>
            <w:r w:rsidRPr="00EB7EA1">
              <w:rPr>
                <w:rFonts w:ascii="Arial Narrow" w:hAnsi="Arial Narrow"/>
                <w:b/>
                <w:bCs/>
                <w:snapToGrid w:val="0"/>
                <w:sz w:val="20"/>
                <w:szCs w:val="20"/>
                <w:vertAlign w:val="superscript"/>
              </w:rPr>
              <w:t xml:space="preserve"> b</w:t>
            </w:r>
          </w:p>
        </w:tc>
      </w:tr>
      <w:tr w:rsidR="00EB7EA1" w:rsidRPr="00EB7EA1" w14:paraId="19D9854A" w14:textId="77777777" w:rsidTr="00EB7EA1">
        <w:trPr>
          <w:trHeight w:val="93"/>
        </w:trPr>
        <w:tc>
          <w:tcPr>
            <w:tcW w:w="9017" w:type="dxa"/>
            <w:gridSpan w:val="6"/>
          </w:tcPr>
          <w:p w14:paraId="640B200D" w14:textId="77777777" w:rsidR="00EB7EA1" w:rsidRPr="00EB7EA1" w:rsidRDefault="00EB7EA1" w:rsidP="00EB7EA1">
            <w:pPr>
              <w:rPr>
                <w:rFonts w:ascii="Arial Narrow" w:hAnsi="Arial Narrow"/>
                <w:snapToGrid w:val="0"/>
                <w:sz w:val="20"/>
                <w:szCs w:val="20"/>
              </w:rPr>
            </w:pPr>
            <w:r w:rsidRPr="00EB7EA1">
              <w:rPr>
                <w:rFonts w:ascii="Arial Narrow" w:hAnsi="Arial Narrow"/>
                <w:snapToGrid w:val="0"/>
                <w:sz w:val="20"/>
                <w:szCs w:val="20"/>
              </w:rPr>
              <w:t xml:space="preserve">Existing listing prices </w:t>
            </w:r>
          </w:p>
        </w:tc>
      </w:tr>
      <w:tr w:rsidR="007813C9" w:rsidRPr="00EB7EA1" w14:paraId="2B7B6DD8" w14:textId="77777777" w:rsidTr="007813C9">
        <w:trPr>
          <w:trHeight w:val="93"/>
        </w:trPr>
        <w:tc>
          <w:tcPr>
            <w:tcW w:w="3256" w:type="dxa"/>
          </w:tcPr>
          <w:p w14:paraId="48DB374E" w14:textId="77777777" w:rsidR="00EB7EA1" w:rsidRPr="00EB7EA1" w:rsidRDefault="00EB7EA1" w:rsidP="00EB7EA1">
            <w:pPr>
              <w:rPr>
                <w:rFonts w:ascii="Arial Narrow" w:hAnsi="Arial Narrow"/>
                <w:snapToGrid w:val="0"/>
                <w:sz w:val="20"/>
                <w:szCs w:val="20"/>
              </w:rPr>
            </w:pPr>
            <w:r w:rsidRPr="00EB7EA1">
              <w:rPr>
                <w:rFonts w:ascii="Arial Narrow" w:hAnsi="Arial Narrow"/>
                <w:snapToGrid w:val="0"/>
                <w:sz w:val="20"/>
                <w:szCs w:val="20"/>
              </w:rPr>
              <w:t xml:space="preserve">April 2022 prices (inc. 5% SPR) </w:t>
            </w:r>
          </w:p>
        </w:tc>
        <w:tc>
          <w:tcPr>
            <w:tcW w:w="992" w:type="dxa"/>
          </w:tcPr>
          <w:p w14:paraId="1CE599DC" w14:textId="6B70D06D" w:rsidR="00EB7EA1" w:rsidRPr="00EB7EA1" w:rsidRDefault="00650CB8" w:rsidP="00EB7EA1">
            <w:pPr>
              <w:rPr>
                <w:rFonts w:ascii="Arial Narrow" w:hAnsi="Arial Narrow"/>
                <w:snapToGrid w:val="0"/>
                <w:sz w:val="20"/>
                <w:szCs w:val="20"/>
              </w:rPr>
            </w:pPr>
            <w:r w:rsidRPr="00650CB8">
              <w:rPr>
                <w:rFonts w:ascii="Arial Narrow" w:hAnsi="Arial Narrow"/>
                <w:snapToGrid w:val="0"/>
                <w:color w:val="000000"/>
                <w:spacing w:val="9"/>
                <w:sz w:val="20"/>
                <w:szCs w:val="20"/>
                <w:shd w:val="solid" w:color="000000" w:fill="000000"/>
                <w:fitText w:val="310" w:id="-1435748849"/>
                <w14:textFill>
                  <w14:solidFill>
                    <w14:srgbClr w14:val="000000">
                      <w14:alpha w14:val="100000"/>
                    </w14:srgbClr>
                  </w14:solidFill>
                </w14:textFill>
              </w:rPr>
              <w:t>||  |</w:t>
            </w:r>
            <w:r w:rsidRPr="00650CB8">
              <w:rPr>
                <w:rFonts w:ascii="Arial Narrow" w:hAnsi="Arial Narrow"/>
                <w:snapToGrid w:val="0"/>
                <w:color w:val="000000"/>
                <w:spacing w:val="4"/>
                <w:sz w:val="20"/>
                <w:szCs w:val="20"/>
                <w:shd w:val="solid" w:color="000000" w:fill="000000"/>
                <w:fitText w:val="310" w:id="-1435748849"/>
                <w14:textFill>
                  <w14:solidFill>
                    <w14:srgbClr w14:val="000000">
                      <w14:alpha w14:val="100000"/>
                    </w14:srgbClr>
                  </w14:solidFill>
                </w14:textFill>
              </w:rPr>
              <w:t>|</w:t>
            </w:r>
            <w:r w:rsidR="00EB7EA1" w:rsidRPr="00EB7EA1">
              <w:rPr>
                <w:rFonts w:ascii="Arial Narrow" w:hAnsi="Arial Narrow"/>
                <w:snapToGrid w:val="0"/>
                <w:sz w:val="20"/>
                <w:szCs w:val="20"/>
              </w:rPr>
              <w:t>%</w:t>
            </w:r>
            <w:r w:rsidR="00EB7EA1" w:rsidRPr="00EB7EA1">
              <w:rPr>
                <w:rFonts w:ascii="Arial Narrow" w:hAnsi="Arial Narrow"/>
                <w:snapToGrid w:val="0"/>
                <w:sz w:val="20"/>
                <w:szCs w:val="20"/>
                <w:vertAlign w:val="superscript"/>
              </w:rPr>
              <w:t>c</w:t>
            </w:r>
            <w:r w:rsidR="00EB7EA1" w:rsidRPr="00EB7EA1">
              <w:rPr>
                <w:rFonts w:ascii="Arial Narrow" w:hAnsi="Arial Narrow"/>
                <w:snapToGrid w:val="0"/>
                <w:sz w:val="20"/>
                <w:szCs w:val="20"/>
              </w:rPr>
              <w:t xml:space="preserve"> </w:t>
            </w:r>
          </w:p>
        </w:tc>
        <w:tc>
          <w:tcPr>
            <w:tcW w:w="1134" w:type="dxa"/>
          </w:tcPr>
          <w:p w14:paraId="2F4C3D54" w14:textId="77777777" w:rsidR="00EB7EA1" w:rsidRPr="00EB7EA1" w:rsidRDefault="00EB7EA1" w:rsidP="00EB7EA1">
            <w:pPr>
              <w:rPr>
                <w:rFonts w:ascii="Arial Narrow" w:hAnsi="Arial Narrow"/>
                <w:snapToGrid w:val="0"/>
                <w:sz w:val="20"/>
                <w:szCs w:val="20"/>
              </w:rPr>
            </w:pPr>
            <w:r w:rsidRPr="00EB7EA1">
              <w:rPr>
                <w:rFonts w:ascii="Arial Narrow" w:hAnsi="Arial Narrow"/>
                <w:snapToGrid w:val="0"/>
                <w:sz w:val="20"/>
                <w:szCs w:val="20"/>
              </w:rPr>
              <w:t xml:space="preserve">$473.32 </w:t>
            </w:r>
          </w:p>
        </w:tc>
        <w:tc>
          <w:tcPr>
            <w:tcW w:w="1276" w:type="dxa"/>
          </w:tcPr>
          <w:p w14:paraId="1AD98008" w14:textId="7C2D28F2" w:rsidR="00EB7EA1" w:rsidRPr="00EB7EA1" w:rsidRDefault="00EB7EA1" w:rsidP="00EB7EA1">
            <w:pPr>
              <w:rPr>
                <w:rFonts w:ascii="Arial Narrow" w:hAnsi="Arial Narrow"/>
                <w:snapToGrid w:val="0"/>
                <w:sz w:val="20"/>
                <w:szCs w:val="20"/>
              </w:rPr>
            </w:pPr>
            <w:r w:rsidRPr="00EB7EA1">
              <w:rPr>
                <w:rFonts w:ascii="Arial Narrow" w:hAnsi="Arial Narrow"/>
                <w:snapToGrid w:val="0"/>
                <w:sz w:val="20"/>
                <w:szCs w:val="20"/>
              </w:rPr>
              <w:t>$</w:t>
            </w:r>
            <w:r w:rsidR="00650CB8" w:rsidRPr="00650CB8">
              <w:rPr>
                <w:rFonts w:ascii="Arial Narrow" w:hAnsi="Arial Narrow"/>
                <w:snapToGrid w:val="0"/>
                <w:color w:val="000000"/>
                <w:spacing w:val="19"/>
                <w:sz w:val="20"/>
                <w:szCs w:val="20"/>
                <w:shd w:val="solid" w:color="000000" w:fill="000000"/>
                <w:fitText w:val="480" w:id="-1435748848"/>
                <w14:textFill>
                  <w14:solidFill>
                    <w14:srgbClr w14:val="000000">
                      <w14:alpha w14:val="100000"/>
                    </w14:srgbClr>
                  </w14:solidFill>
                </w14:textFill>
              </w:rPr>
              <w:t>|||  ||</w:t>
            </w:r>
            <w:r w:rsidR="00650CB8" w:rsidRPr="00650CB8">
              <w:rPr>
                <w:rFonts w:ascii="Arial Narrow" w:hAnsi="Arial Narrow"/>
                <w:snapToGrid w:val="0"/>
                <w:color w:val="000000"/>
                <w:spacing w:val="1"/>
                <w:sz w:val="20"/>
                <w:szCs w:val="20"/>
                <w:shd w:val="solid" w:color="000000" w:fill="000000"/>
                <w:fitText w:val="480" w:id="-1435748848"/>
                <w14:textFill>
                  <w14:solidFill>
                    <w14:srgbClr w14:val="000000">
                      <w14:alpha w14:val="100000"/>
                    </w14:srgbClr>
                  </w14:solidFill>
                </w14:textFill>
              </w:rPr>
              <w:t>|</w:t>
            </w:r>
            <w:r w:rsidRPr="00EB7EA1">
              <w:rPr>
                <w:rFonts w:ascii="Arial Narrow" w:hAnsi="Arial Narrow"/>
                <w:snapToGrid w:val="0"/>
                <w:sz w:val="20"/>
                <w:szCs w:val="20"/>
              </w:rPr>
              <w:t xml:space="preserve"> </w:t>
            </w:r>
          </w:p>
        </w:tc>
        <w:tc>
          <w:tcPr>
            <w:tcW w:w="1275" w:type="dxa"/>
          </w:tcPr>
          <w:p w14:paraId="25117572" w14:textId="77777777" w:rsidR="00EB7EA1" w:rsidRPr="00EB7EA1" w:rsidRDefault="00EB7EA1" w:rsidP="00EB7EA1">
            <w:pPr>
              <w:rPr>
                <w:rFonts w:ascii="Arial Narrow" w:hAnsi="Arial Narrow"/>
                <w:snapToGrid w:val="0"/>
                <w:sz w:val="20"/>
                <w:szCs w:val="20"/>
              </w:rPr>
            </w:pPr>
            <w:r w:rsidRPr="00EB7EA1">
              <w:rPr>
                <w:rFonts w:ascii="Arial Narrow" w:hAnsi="Arial Narrow"/>
                <w:snapToGrid w:val="0"/>
                <w:sz w:val="20"/>
                <w:szCs w:val="20"/>
              </w:rPr>
              <w:t xml:space="preserve">$512.57 </w:t>
            </w:r>
          </w:p>
        </w:tc>
        <w:tc>
          <w:tcPr>
            <w:tcW w:w="1084" w:type="dxa"/>
          </w:tcPr>
          <w:p w14:paraId="29D35548" w14:textId="6D67FE1A" w:rsidR="00EB7EA1" w:rsidRPr="00EB7EA1" w:rsidRDefault="00EB7EA1" w:rsidP="00EB7EA1">
            <w:pPr>
              <w:rPr>
                <w:rFonts w:ascii="Arial Narrow" w:hAnsi="Arial Narrow"/>
                <w:snapToGrid w:val="0"/>
                <w:sz w:val="20"/>
                <w:szCs w:val="20"/>
              </w:rPr>
            </w:pPr>
            <w:r w:rsidRPr="00EB7EA1">
              <w:rPr>
                <w:rFonts w:ascii="Arial Narrow" w:hAnsi="Arial Narrow"/>
                <w:snapToGrid w:val="0"/>
                <w:sz w:val="20"/>
                <w:szCs w:val="20"/>
              </w:rPr>
              <w:t>$</w:t>
            </w:r>
            <w:r w:rsidR="00650CB8" w:rsidRPr="00650CB8">
              <w:rPr>
                <w:rFonts w:ascii="Arial Narrow" w:hAnsi="Arial Narrow"/>
                <w:snapToGrid w:val="0"/>
                <w:color w:val="000000"/>
                <w:spacing w:val="19"/>
                <w:sz w:val="20"/>
                <w:szCs w:val="20"/>
                <w:shd w:val="solid" w:color="000000" w:fill="000000"/>
                <w:fitText w:val="480" w:id="-1435748864"/>
                <w14:textFill>
                  <w14:solidFill>
                    <w14:srgbClr w14:val="000000">
                      <w14:alpha w14:val="100000"/>
                    </w14:srgbClr>
                  </w14:solidFill>
                </w14:textFill>
              </w:rPr>
              <w:t>|||  ||</w:t>
            </w:r>
            <w:r w:rsidR="00650CB8" w:rsidRPr="00650CB8">
              <w:rPr>
                <w:rFonts w:ascii="Arial Narrow" w:hAnsi="Arial Narrow"/>
                <w:snapToGrid w:val="0"/>
                <w:color w:val="000000"/>
                <w:spacing w:val="1"/>
                <w:sz w:val="20"/>
                <w:szCs w:val="20"/>
                <w:shd w:val="solid" w:color="000000" w:fill="000000"/>
                <w:fitText w:val="480" w:id="-1435748864"/>
                <w14:textFill>
                  <w14:solidFill>
                    <w14:srgbClr w14:val="000000">
                      <w14:alpha w14:val="100000"/>
                    </w14:srgbClr>
                  </w14:solidFill>
                </w14:textFill>
              </w:rPr>
              <w:t>|</w:t>
            </w:r>
            <w:r w:rsidRPr="00EB7EA1">
              <w:rPr>
                <w:rFonts w:ascii="Arial Narrow" w:hAnsi="Arial Narrow"/>
                <w:snapToGrid w:val="0"/>
                <w:sz w:val="20"/>
                <w:szCs w:val="20"/>
              </w:rPr>
              <w:t xml:space="preserve"> </w:t>
            </w:r>
          </w:p>
        </w:tc>
      </w:tr>
      <w:tr w:rsidR="007813C9" w:rsidRPr="00EB7EA1" w14:paraId="45B10E16" w14:textId="77777777" w:rsidTr="007813C9">
        <w:trPr>
          <w:trHeight w:val="93"/>
        </w:trPr>
        <w:tc>
          <w:tcPr>
            <w:tcW w:w="3256" w:type="dxa"/>
          </w:tcPr>
          <w:p w14:paraId="3931C445" w14:textId="77777777" w:rsidR="00EB7EA1" w:rsidRPr="00EB7EA1" w:rsidRDefault="00EB7EA1" w:rsidP="00EB7EA1">
            <w:pPr>
              <w:rPr>
                <w:rFonts w:ascii="Arial Narrow" w:hAnsi="Arial Narrow"/>
                <w:snapToGrid w:val="0"/>
                <w:sz w:val="20"/>
                <w:szCs w:val="20"/>
              </w:rPr>
            </w:pPr>
            <w:r w:rsidRPr="00EB7EA1">
              <w:rPr>
                <w:rFonts w:ascii="Arial Narrow" w:hAnsi="Arial Narrow"/>
                <w:snapToGrid w:val="0"/>
                <w:sz w:val="20"/>
                <w:szCs w:val="20"/>
              </w:rPr>
              <w:t xml:space="preserve">With a further reduction in published price </w:t>
            </w:r>
          </w:p>
        </w:tc>
        <w:tc>
          <w:tcPr>
            <w:tcW w:w="992" w:type="dxa"/>
          </w:tcPr>
          <w:p w14:paraId="45436BE0" w14:textId="4D8F5AC9" w:rsidR="00EB7EA1" w:rsidRPr="00EB7EA1" w:rsidRDefault="00650CB8" w:rsidP="00EB7EA1">
            <w:pPr>
              <w:rPr>
                <w:rFonts w:ascii="Arial Narrow" w:hAnsi="Arial Narrow"/>
                <w:snapToGrid w:val="0"/>
                <w:sz w:val="20"/>
                <w:szCs w:val="20"/>
              </w:rPr>
            </w:pPr>
            <w:r w:rsidRPr="00650CB8">
              <w:rPr>
                <w:rFonts w:ascii="Arial Narrow" w:hAnsi="Arial Narrow"/>
                <w:snapToGrid w:val="0"/>
                <w:color w:val="000000"/>
                <w:spacing w:val="9"/>
                <w:sz w:val="20"/>
                <w:szCs w:val="20"/>
                <w:shd w:val="solid" w:color="000000" w:fill="000000"/>
                <w:fitText w:val="310" w:id="-1435748863"/>
                <w14:textFill>
                  <w14:solidFill>
                    <w14:srgbClr w14:val="000000">
                      <w14:alpha w14:val="100000"/>
                    </w14:srgbClr>
                  </w14:solidFill>
                </w14:textFill>
              </w:rPr>
              <w:t>||  |</w:t>
            </w:r>
            <w:r w:rsidRPr="00650CB8">
              <w:rPr>
                <w:rFonts w:ascii="Arial Narrow" w:hAnsi="Arial Narrow"/>
                <w:snapToGrid w:val="0"/>
                <w:color w:val="000000"/>
                <w:spacing w:val="4"/>
                <w:sz w:val="20"/>
                <w:szCs w:val="20"/>
                <w:shd w:val="solid" w:color="000000" w:fill="000000"/>
                <w:fitText w:val="310" w:id="-1435748863"/>
                <w14:textFill>
                  <w14:solidFill>
                    <w14:srgbClr w14:val="000000">
                      <w14:alpha w14:val="100000"/>
                    </w14:srgbClr>
                  </w14:solidFill>
                </w14:textFill>
              </w:rPr>
              <w:t>|</w:t>
            </w:r>
            <w:r w:rsidR="00EB7EA1" w:rsidRPr="00EB7EA1">
              <w:rPr>
                <w:rFonts w:ascii="Arial Narrow" w:hAnsi="Arial Narrow"/>
                <w:snapToGrid w:val="0"/>
                <w:sz w:val="20"/>
                <w:szCs w:val="20"/>
              </w:rPr>
              <w:t>%</w:t>
            </w:r>
            <w:r w:rsidR="00EB7EA1" w:rsidRPr="00EB7EA1">
              <w:rPr>
                <w:rFonts w:ascii="Arial Narrow" w:hAnsi="Arial Narrow"/>
                <w:snapToGrid w:val="0"/>
                <w:sz w:val="20"/>
                <w:szCs w:val="20"/>
                <w:vertAlign w:val="superscript"/>
              </w:rPr>
              <w:t xml:space="preserve">d </w:t>
            </w:r>
          </w:p>
        </w:tc>
        <w:tc>
          <w:tcPr>
            <w:tcW w:w="1134" w:type="dxa"/>
          </w:tcPr>
          <w:p w14:paraId="468E3DED" w14:textId="0D32B4D4" w:rsidR="00EB7EA1" w:rsidRPr="00EB7EA1" w:rsidRDefault="00EB7EA1" w:rsidP="00EB7EA1">
            <w:pPr>
              <w:rPr>
                <w:rFonts w:ascii="Arial Narrow" w:hAnsi="Arial Narrow"/>
                <w:snapToGrid w:val="0"/>
                <w:sz w:val="20"/>
                <w:szCs w:val="20"/>
              </w:rPr>
            </w:pPr>
            <w:r w:rsidRPr="00EB7EA1">
              <w:rPr>
                <w:rFonts w:ascii="Arial Narrow" w:hAnsi="Arial Narrow"/>
                <w:snapToGrid w:val="0"/>
                <w:sz w:val="20"/>
                <w:szCs w:val="20"/>
              </w:rPr>
              <w:t>$</w:t>
            </w:r>
            <w:r w:rsidR="00650CB8" w:rsidRPr="00650CB8">
              <w:rPr>
                <w:rFonts w:ascii="Arial Narrow" w:hAnsi="Arial Narrow"/>
                <w:snapToGrid w:val="0"/>
                <w:color w:val="000000"/>
                <w:spacing w:val="19"/>
                <w:sz w:val="20"/>
                <w:szCs w:val="20"/>
                <w:shd w:val="solid" w:color="000000" w:fill="000000"/>
                <w:fitText w:val="480" w:id="-1435748862"/>
                <w14:textFill>
                  <w14:solidFill>
                    <w14:srgbClr w14:val="000000">
                      <w14:alpha w14:val="100000"/>
                    </w14:srgbClr>
                  </w14:solidFill>
                </w14:textFill>
              </w:rPr>
              <w:t>|||  ||</w:t>
            </w:r>
            <w:r w:rsidR="00650CB8" w:rsidRPr="00650CB8">
              <w:rPr>
                <w:rFonts w:ascii="Arial Narrow" w:hAnsi="Arial Narrow"/>
                <w:snapToGrid w:val="0"/>
                <w:color w:val="000000"/>
                <w:spacing w:val="1"/>
                <w:sz w:val="20"/>
                <w:szCs w:val="20"/>
                <w:shd w:val="solid" w:color="000000" w:fill="000000"/>
                <w:fitText w:val="480" w:id="-1435748862"/>
                <w14:textFill>
                  <w14:solidFill>
                    <w14:srgbClr w14:val="000000">
                      <w14:alpha w14:val="100000"/>
                    </w14:srgbClr>
                  </w14:solidFill>
                </w14:textFill>
              </w:rPr>
              <w:t>|</w:t>
            </w:r>
            <w:r w:rsidRPr="00EB7EA1">
              <w:rPr>
                <w:rFonts w:ascii="Arial Narrow" w:hAnsi="Arial Narrow"/>
                <w:snapToGrid w:val="0"/>
                <w:sz w:val="20"/>
                <w:szCs w:val="20"/>
              </w:rPr>
              <w:t xml:space="preserve"> </w:t>
            </w:r>
          </w:p>
        </w:tc>
        <w:tc>
          <w:tcPr>
            <w:tcW w:w="1276" w:type="dxa"/>
          </w:tcPr>
          <w:p w14:paraId="59EA86DC" w14:textId="6A9A461C" w:rsidR="00EB7EA1" w:rsidRPr="00EB7EA1" w:rsidRDefault="00EB7EA1" w:rsidP="00EB7EA1">
            <w:pPr>
              <w:rPr>
                <w:rFonts w:ascii="Arial Narrow" w:hAnsi="Arial Narrow"/>
                <w:snapToGrid w:val="0"/>
                <w:sz w:val="20"/>
                <w:szCs w:val="20"/>
              </w:rPr>
            </w:pPr>
            <w:r w:rsidRPr="00EB7EA1">
              <w:rPr>
                <w:rFonts w:ascii="Arial Narrow" w:hAnsi="Arial Narrow"/>
                <w:snapToGrid w:val="0"/>
                <w:sz w:val="20"/>
                <w:szCs w:val="20"/>
              </w:rPr>
              <w:t>$</w:t>
            </w:r>
            <w:r w:rsidR="00650CB8" w:rsidRPr="00650CB8">
              <w:rPr>
                <w:rFonts w:ascii="Arial Narrow" w:hAnsi="Arial Narrow"/>
                <w:snapToGrid w:val="0"/>
                <w:color w:val="000000"/>
                <w:spacing w:val="19"/>
                <w:sz w:val="20"/>
                <w:szCs w:val="20"/>
                <w:shd w:val="solid" w:color="000000" w:fill="000000"/>
                <w:fitText w:val="480" w:id="-1435748861"/>
                <w14:textFill>
                  <w14:solidFill>
                    <w14:srgbClr w14:val="000000">
                      <w14:alpha w14:val="100000"/>
                    </w14:srgbClr>
                  </w14:solidFill>
                </w14:textFill>
              </w:rPr>
              <w:t>|||  ||</w:t>
            </w:r>
            <w:r w:rsidR="00650CB8" w:rsidRPr="00650CB8">
              <w:rPr>
                <w:rFonts w:ascii="Arial Narrow" w:hAnsi="Arial Narrow"/>
                <w:snapToGrid w:val="0"/>
                <w:color w:val="000000"/>
                <w:spacing w:val="1"/>
                <w:sz w:val="20"/>
                <w:szCs w:val="20"/>
                <w:shd w:val="solid" w:color="000000" w:fill="000000"/>
                <w:fitText w:val="480" w:id="-1435748861"/>
                <w14:textFill>
                  <w14:solidFill>
                    <w14:srgbClr w14:val="000000">
                      <w14:alpha w14:val="100000"/>
                    </w14:srgbClr>
                  </w14:solidFill>
                </w14:textFill>
              </w:rPr>
              <w:t>|</w:t>
            </w:r>
            <w:r w:rsidRPr="00EB7EA1">
              <w:rPr>
                <w:rFonts w:ascii="Arial Narrow" w:hAnsi="Arial Narrow"/>
                <w:snapToGrid w:val="0"/>
                <w:sz w:val="20"/>
                <w:szCs w:val="20"/>
              </w:rPr>
              <w:t xml:space="preserve"> </w:t>
            </w:r>
          </w:p>
        </w:tc>
        <w:tc>
          <w:tcPr>
            <w:tcW w:w="1275" w:type="dxa"/>
          </w:tcPr>
          <w:p w14:paraId="154496FE" w14:textId="3F7F11EC" w:rsidR="00EB7EA1" w:rsidRPr="00EB7EA1" w:rsidRDefault="00EB7EA1" w:rsidP="00EB7EA1">
            <w:pPr>
              <w:rPr>
                <w:rFonts w:ascii="Arial Narrow" w:hAnsi="Arial Narrow"/>
                <w:snapToGrid w:val="0"/>
                <w:sz w:val="20"/>
                <w:szCs w:val="20"/>
              </w:rPr>
            </w:pPr>
            <w:r w:rsidRPr="00EB7EA1">
              <w:rPr>
                <w:rFonts w:ascii="Arial Narrow" w:hAnsi="Arial Narrow"/>
                <w:snapToGrid w:val="0"/>
                <w:sz w:val="20"/>
                <w:szCs w:val="20"/>
              </w:rPr>
              <w:t>$</w:t>
            </w:r>
            <w:r w:rsidR="00650CB8" w:rsidRPr="00650CB8">
              <w:rPr>
                <w:rFonts w:ascii="Arial Narrow" w:hAnsi="Arial Narrow"/>
                <w:snapToGrid w:val="0"/>
                <w:color w:val="000000"/>
                <w:spacing w:val="19"/>
                <w:sz w:val="20"/>
                <w:szCs w:val="20"/>
                <w:shd w:val="solid" w:color="000000" w:fill="000000"/>
                <w:fitText w:val="480" w:id="-1435748860"/>
                <w14:textFill>
                  <w14:solidFill>
                    <w14:srgbClr w14:val="000000">
                      <w14:alpha w14:val="100000"/>
                    </w14:srgbClr>
                  </w14:solidFill>
                </w14:textFill>
              </w:rPr>
              <w:t>|||  ||</w:t>
            </w:r>
            <w:r w:rsidR="00650CB8" w:rsidRPr="00650CB8">
              <w:rPr>
                <w:rFonts w:ascii="Arial Narrow" w:hAnsi="Arial Narrow"/>
                <w:snapToGrid w:val="0"/>
                <w:color w:val="000000"/>
                <w:spacing w:val="1"/>
                <w:sz w:val="20"/>
                <w:szCs w:val="20"/>
                <w:shd w:val="solid" w:color="000000" w:fill="000000"/>
                <w:fitText w:val="480" w:id="-1435748860"/>
                <w14:textFill>
                  <w14:solidFill>
                    <w14:srgbClr w14:val="000000">
                      <w14:alpha w14:val="100000"/>
                    </w14:srgbClr>
                  </w14:solidFill>
                </w14:textFill>
              </w:rPr>
              <w:t>|</w:t>
            </w:r>
            <w:r w:rsidRPr="00EB7EA1">
              <w:rPr>
                <w:rFonts w:ascii="Arial Narrow" w:hAnsi="Arial Narrow"/>
                <w:snapToGrid w:val="0"/>
                <w:sz w:val="20"/>
                <w:szCs w:val="20"/>
              </w:rPr>
              <w:t xml:space="preserve"> </w:t>
            </w:r>
          </w:p>
        </w:tc>
        <w:tc>
          <w:tcPr>
            <w:tcW w:w="1084" w:type="dxa"/>
          </w:tcPr>
          <w:p w14:paraId="0361456D" w14:textId="098A9754" w:rsidR="00EB7EA1" w:rsidRPr="00EB7EA1" w:rsidRDefault="00EB7EA1" w:rsidP="00EB7EA1">
            <w:pPr>
              <w:rPr>
                <w:rFonts w:ascii="Arial Narrow" w:hAnsi="Arial Narrow"/>
                <w:snapToGrid w:val="0"/>
                <w:sz w:val="20"/>
                <w:szCs w:val="20"/>
              </w:rPr>
            </w:pPr>
            <w:r w:rsidRPr="00EB7EA1">
              <w:rPr>
                <w:rFonts w:ascii="Arial Narrow" w:hAnsi="Arial Narrow"/>
                <w:snapToGrid w:val="0"/>
                <w:sz w:val="20"/>
                <w:szCs w:val="20"/>
              </w:rPr>
              <w:t>$</w:t>
            </w:r>
            <w:r w:rsidR="00650CB8" w:rsidRPr="00650CB8">
              <w:rPr>
                <w:rFonts w:ascii="Arial Narrow" w:hAnsi="Arial Narrow"/>
                <w:snapToGrid w:val="0"/>
                <w:color w:val="000000"/>
                <w:spacing w:val="19"/>
                <w:sz w:val="20"/>
                <w:szCs w:val="20"/>
                <w:shd w:val="solid" w:color="000000" w:fill="000000"/>
                <w:fitText w:val="480" w:id="-1435748859"/>
                <w14:textFill>
                  <w14:solidFill>
                    <w14:srgbClr w14:val="000000">
                      <w14:alpha w14:val="100000"/>
                    </w14:srgbClr>
                  </w14:solidFill>
                </w14:textFill>
              </w:rPr>
              <w:t>|||  ||</w:t>
            </w:r>
            <w:r w:rsidR="00650CB8" w:rsidRPr="00650CB8">
              <w:rPr>
                <w:rFonts w:ascii="Arial Narrow" w:hAnsi="Arial Narrow"/>
                <w:snapToGrid w:val="0"/>
                <w:color w:val="000000"/>
                <w:spacing w:val="1"/>
                <w:sz w:val="20"/>
                <w:szCs w:val="20"/>
                <w:shd w:val="solid" w:color="000000" w:fill="000000"/>
                <w:fitText w:val="480" w:id="-1435748859"/>
                <w14:textFill>
                  <w14:solidFill>
                    <w14:srgbClr w14:val="000000">
                      <w14:alpha w14:val="100000"/>
                    </w14:srgbClr>
                  </w14:solidFill>
                </w14:textFill>
              </w:rPr>
              <w:t>|</w:t>
            </w:r>
            <w:r w:rsidRPr="00EB7EA1">
              <w:rPr>
                <w:rFonts w:ascii="Arial Narrow" w:hAnsi="Arial Narrow"/>
                <w:snapToGrid w:val="0"/>
                <w:sz w:val="20"/>
                <w:szCs w:val="20"/>
              </w:rPr>
              <w:t xml:space="preserve"> </w:t>
            </w:r>
          </w:p>
        </w:tc>
      </w:tr>
      <w:tr w:rsidR="007813C9" w:rsidRPr="00EB7EA1" w14:paraId="63371A44" w14:textId="77777777" w:rsidTr="007813C9">
        <w:trPr>
          <w:trHeight w:val="93"/>
        </w:trPr>
        <w:tc>
          <w:tcPr>
            <w:tcW w:w="3256" w:type="dxa"/>
          </w:tcPr>
          <w:p w14:paraId="34763144" w14:textId="77777777" w:rsidR="00EB7EA1" w:rsidRPr="00EB7EA1" w:rsidRDefault="00EB7EA1" w:rsidP="00EB7EA1">
            <w:pPr>
              <w:rPr>
                <w:rFonts w:ascii="Arial Narrow" w:hAnsi="Arial Narrow"/>
                <w:snapToGrid w:val="0"/>
                <w:sz w:val="20"/>
                <w:szCs w:val="20"/>
              </w:rPr>
            </w:pPr>
            <w:r w:rsidRPr="00EB7EA1">
              <w:rPr>
                <w:rFonts w:ascii="Arial Narrow" w:hAnsi="Arial Narrow"/>
                <w:snapToGrid w:val="0"/>
                <w:sz w:val="20"/>
                <w:szCs w:val="20"/>
              </w:rPr>
              <w:t xml:space="preserve">Proposed prices – additional population </w:t>
            </w:r>
          </w:p>
        </w:tc>
        <w:tc>
          <w:tcPr>
            <w:tcW w:w="992" w:type="dxa"/>
          </w:tcPr>
          <w:p w14:paraId="354CDE49" w14:textId="74E4BB95" w:rsidR="00EB7EA1" w:rsidRPr="00EB7EA1" w:rsidRDefault="00650CB8" w:rsidP="00EB7EA1">
            <w:pPr>
              <w:rPr>
                <w:rFonts w:ascii="Arial Narrow" w:hAnsi="Arial Narrow"/>
                <w:snapToGrid w:val="0"/>
                <w:sz w:val="20"/>
                <w:szCs w:val="20"/>
              </w:rPr>
            </w:pPr>
            <w:r w:rsidRPr="00650CB8">
              <w:rPr>
                <w:rFonts w:ascii="Arial Narrow" w:hAnsi="Arial Narrow"/>
                <w:snapToGrid w:val="0"/>
                <w:color w:val="000000"/>
                <w:spacing w:val="9"/>
                <w:sz w:val="20"/>
                <w:szCs w:val="20"/>
                <w:shd w:val="solid" w:color="000000" w:fill="000000"/>
                <w:fitText w:val="310" w:id="-1435748858"/>
                <w14:textFill>
                  <w14:solidFill>
                    <w14:srgbClr w14:val="000000">
                      <w14:alpha w14:val="100000"/>
                    </w14:srgbClr>
                  </w14:solidFill>
                </w14:textFill>
              </w:rPr>
              <w:t>||  |</w:t>
            </w:r>
            <w:r w:rsidRPr="00650CB8">
              <w:rPr>
                <w:rFonts w:ascii="Arial Narrow" w:hAnsi="Arial Narrow"/>
                <w:snapToGrid w:val="0"/>
                <w:color w:val="000000"/>
                <w:spacing w:val="4"/>
                <w:sz w:val="20"/>
                <w:szCs w:val="20"/>
                <w:shd w:val="solid" w:color="000000" w:fill="000000"/>
                <w:fitText w:val="310" w:id="-1435748858"/>
                <w14:textFill>
                  <w14:solidFill>
                    <w14:srgbClr w14:val="000000">
                      <w14:alpha w14:val="100000"/>
                    </w14:srgbClr>
                  </w14:solidFill>
                </w14:textFill>
              </w:rPr>
              <w:t>|</w:t>
            </w:r>
            <w:r w:rsidR="00EB7EA1" w:rsidRPr="00EB7EA1">
              <w:rPr>
                <w:rFonts w:ascii="Arial Narrow" w:hAnsi="Arial Narrow"/>
                <w:snapToGrid w:val="0"/>
                <w:sz w:val="20"/>
                <w:szCs w:val="20"/>
              </w:rPr>
              <w:t xml:space="preserve">% </w:t>
            </w:r>
          </w:p>
        </w:tc>
        <w:tc>
          <w:tcPr>
            <w:tcW w:w="1134" w:type="dxa"/>
          </w:tcPr>
          <w:p w14:paraId="60F87587" w14:textId="00D653B5" w:rsidR="00EB7EA1" w:rsidRPr="00EB7EA1" w:rsidRDefault="00EB7EA1" w:rsidP="00EB7EA1">
            <w:pPr>
              <w:rPr>
                <w:rFonts w:ascii="Arial Narrow" w:hAnsi="Arial Narrow"/>
                <w:snapToGrid w:val="0"/>
                <w:sz w:val="20"/>
                <w:szCs w:val="20"/>
              </w:rPr>
            </w:pPr>
            <w:r w:rsidRPr="00EB7EA1">
              <w:rPr>
                <w:rFonts w:ascii="Arial Narrow" w:hAnsi="Arial Narrow"/>
                <w:snapToGrid w:val="0"/>
                <w:sz w:val="20"/>
                <w:szCs w:val="20"/>
              </w:rPr>
              <w:t>$</w:t>
            </w:r>
            <w:r w:rsidR="00650CB8" w:rsidRPr="00650CB8">
              <w:rPr>
                <w:rFonts w:ascii="Arial Narrow" w:hAnsi="Arial Narrow"/>
                <w:snapToGrid w:val="0"/>
                <w:color w:val="000000"/>
                <w:spacing w:val="19"/>
                <w:sz w:val="20"/>
                <w:szCs w:val="20"/>
                <w:shd w:val="solid" w:color="000000" w:fill="000000"/>
                <w:fitText w:val="480" w:id="-1435748857"/>
                <w14:textFill>
                  <w14:solidFill>
                    <w14:srgbClr w14:val="000000">
                      <w14:alpha w14:val="100000"/>
                    </w14:srgbClr>
                  </w14:solidFill>
                </w14:textFill>
              </w:rPr>
              <w:t>|||  ||</w:t>
            </w:r>
            <w:r w:rsidR="00650CB8" w:rsidRPr="00650CB8">
              <w:rPr>
                <w:rFonts w:ascii="Arial Narrow" w:hAnsi="Arial Narrow"/>
                <w:snapToGrid w:val="0"/>
                <w:color w:val="000000"/>
                <w:spacing w:val="1"/>
                <w:sz w:val="20"/>
                <w:szCs w:val="20"/>
                <w:shd w:val="solid" w:color="000000" w:fill="000000"/>
                <w:fitText w:val="480" w:id="-1435748857"/>
                <w14:textFill>
                  <w14:solidFill>
                    <w14:srgbClr w14:val="000000">
                      <w14:alpha w14:val="100000"/>
                    </w14:srgbClr>
                  </w14:solidFill>
                </w14:textFill>
              </w:rPr>
              <w:t>|</w:t>
            </w:r>
            <w:r w:rsidRPr="00EB7EA1">
              <w:rPr>
                <w:rFonts w:ascii="Arial Narrow" w:hAnsi="Arial Narrow"/>
                <w:snapToGrid w:val="0"/>
                <w:sz w:val="20"/>
                <w:szCs w:val="20"/>
              </w:rPr>
              <w:t xml:space="preserve"> </w:t>
            </w:r>
          </w:p>
        </w:tc>
        <w:tc>
          <w:tcPr>
            <w:tcW w:w="1276" w:type="dxa"/>
          </w:tcPr>
          <w:p w14:paraId="36C1A22C" w14:textId="4EA36F50" w:rsidR="00EB7EA1" w:rsidRPr="00EB7EA1" w:rsidRDefault="00EB7EA1" w:rsidP="00EB7EA1">
            <w:pPr>
              <w:rPr>
                <w:rFonts w:ascii="Arial Narrow" w:hAnsi="Arial Narrow"/>
                <w:snapToGrid w:val="0"/>
                <w:sz w:val="20"/>
                <w:szCs w:val="20"/>
              </w:rPr>
            </w:pPr>
            <w:r w:rsidRPr="00EB7EA1">
              <w:rPr>
                <w:rFonts w:ascii="Arial Narrow" w:hAnsi="Arial Narrow"/>
                <w:snapToGrid w:val="0"/>
                <w:sz w:val="20"/>
                <w:szCs w:val="20"/>
              </w:rPr>
              <w:t>$</w:t>
            </w:r>
            <w:r w:rsidR="00650CB8" w:rsidRPr="00650CB8">
              <w:rPr>
                <w:rFonts w:ascii="Arial Narrow" w:hAnsi="Arial Narrow"/>
                <w:snapToGrid w:val="0"/>
                <w:color w:val="000000"/>
                <w:spacing w:val="19"/>
                <w:sz w:val="20"/>
                <w:szCs w:val="20"/>
                <w:shd w:val="solid" w:color="000000" w:fill="000000"/>
                <w:fitText w:val="480" w:id="-1435748856"/>
                <w14:textFill>
                  <w14:solidFill>
                    <w14:srgbClr w14:val="000000">
                      <w14:alpha w14:val="100000"/>
                    </w14:srgbClr>
                  </w14:solidFill>
                </w14:textFill>
              </w:rPr>
              <w:t>|||  ||</w:t>
            </w:r>
            <w:r w:rsidR="00650CB8" w:rsidRPr="00650CB8">
              <w:rPr>
                <w:rFonts w:ascii="Arial Narrow" w:hAnsi="Arial Narrow"/>
                <w:snapToGrid w:val="0"/>
                <w:color w:val="000000"/>
                <w:spacing w:val="1"/>
                <w:sz w:val="20"/>
                <w:szCs w:val="20"/>
                <w:shd w:val="solid" w:color="000000" w:fill="000000"/>
                <w:fitText w:val="480" w:id="-1435748856"/>
                <w14:textFill>
                  <w14:solidFill>
                    <w14:srgbClr w14:val="000000">
                      <w14:alpha w14:val="100000"/>
                    </w14:srgbClr>
                  </w14:solidFill>
                </w14:textFill>
              </w:rPr>
              <w:t>|</w:t>
            </w:r>
            <w:r w:rsidRPr="00EB7EA1">
              <w:rPr>
                <w:rFonts w:ascii="Arial Narrow" w:hAnsi="Arial Narrow"/>
                <w:snapToGrid w:val="0"/>
                <w:sz w:val="20"/>
                <w:szCs w:val="20"/>
              </w:rPr>
              <w:t xml:space="preserve"> </w:t>
            </w:r>
          </w:p>
        </w:tc>
        <w:tc>
          <w:tcPr>
            <w:tcW w:w="1275" w:type="dxa"/>
          </w:tcPr>
          <w:p w14:paraId="3D773B90" w14:textId="5796E0B0" w:rsidR="00EB7EA1" w:rsidRPr="00EB7EA1" w:rsidRDefault="00EB7EA1" w:rsidP="00EB7EA1">
            <w:pPr>
              <w:rPr>
                <w:rFonts w:ascii="Arial Narrow" w:hAnsi="Arial Narrow"/>
                <w:snapToGrid w:val="0"/>
                <w:sz w:val="20"/>
                <w:szCs w:val="20"/>
              </w:rPr>
            </w:pPr>
            <w:r w:rsidRPr="00EB7EA1">
              <w:rPr>
                <w:rFonts w:ascii="Arial Narrow" w:hAnsi="Arial Narrow"/>
                <w:snapToGrid w:val="0"/>
                <w:sz w:val="20"/>
                <w:szCs w:val="20"/>
              </w:rPr>
              <w:t>$</w:t>
            </w:r>
            <w:r w:rsidR="00650CB8" w:rsidRPr="00650CB8">
              <w:rPr>
                <w:rFonts w:ascii="Arial Narrow" w:hAnsi="Arial Narrow"/>
                <w:snapToGrid w:val="0"/>
                <w:color w:val="000000"/>
                <w:spacing w:val="19"/>
                <w:sz w:val="20"/>
                <w:szCs w:val="20"/>
                <w:shd w:val="solid" w:color="000000" w:fill="000000"/>
                <w:fitText w:val="480" w:id="-1435748855"/>
                <w14:textFill>
                  <w14:solidFill>
                    <w14:srgbClr w14:val="000000">
                      <w14:alpha w14:val="100000"/>
                    </w14:srgbClr>
                  </w14:solidFill>
                </w14:textFill>
              </w:rPr>
              <w:t>|||  ||</w:t>
            </w:r>
            <w:r w:rsidR="00650CB8" w:rsidRPr="00650CB8">
              <w:rPr>
                <w:rFonts w:ascii="Arial Narrow" w:hAnsi="Arial Narrow"/>
                <w:snapToGrid w:val="0"/>
                <w:color w:val="000000"/>
                <w:spacing w:val="1"/>
                <w:sz w:val="20"/>
                <w:szCs w:val="20"/>
                <w:shd w:val="solid" w:color="000000" w:fill="000000"/>
                <w:fitText w:val="480" w:id="-1435748855"/>
                <w14:textFill>
                  <w14:solidFill>
                    <w14:srgbClr w14:val="000000">
                      <w14:alpha w14:val="100000"/>
                    </w14:srgbClr>
                  </w14:solidFill>
                </w14:textFill>
              </w:rPr>
              <w:t>|</w:t>
            </w:r>
            <w:r w:rsidRPr="00EB7EA1">
              <w:rPr>
                <w:rFonts w:ascii="Arial Narrow" w:hAnsi="Arial Narrow"/>
                <w:snapToGrid w:val="0"/>
                <w:sz w:val="20"/>
                <w:szCs w:val="20"/>
              </w:rPr>
              <w:t xml:space="preserve"> </w:t>
            </w:r>
          </w:p>
        </w:tc>
        <w:tc>
          <w:tcPr>
            <w:tcW w:w="1084" w:type="dxa"/>
          </w:tcPr>
          <w:p w14:paraId="2234EB64" w14:textId="3D693BA4" w:rsidR="00EB7EA1" w:rsidRPr="00EB7EA1" w:rsidRDefault="00EB7EA1" w:rsidP="00EB7EA1">
            <w:pPr>
              <w:rPr>
                <w:rFonts w:ascii="Arial Narrow" w:hAnsi="Arial Narrow"/>
                <w:snapToGrid w:val="0"/>
                <w:sz w:val="20"/>
                <w:szCs w:val="20"/>
              </w:rPr>
            </w:pPr>
            <w:r w:rsidRPr="00EB7EA1">
              <w:rPr>
                <w:rFonts w:ascii="Arial Narrow" w:hAnsi="Arial Narrow"/>
                <w:snapToGrid w:val="0"/>
                <w:sz w:val="20"/>
                <w:szCs w:val="20"/>
              </w:rPr>
              <w:t>$</w:t>
            </w:r>
            <w:r w:rsidR="00650CB8" w:rsidRPr="00650CB8">
              <w:rPr>
                <w:rFonts w:ascii="Arial Narrow" w:hAnsi="Arial Narrow"/>
                <w:snapToGrid w:val="0"/>
                <w:color w:val="000000"/>
                <w:spacing w:val="19"/>
                <w:sz w:val="20"/>
                <w:szCs w:val="20"/>
                <w:shd w:val="solid" w:color="000000" w:fill="000000"/>
                <w:fitText w:val="480" w:id="-1435748854"/>
                <w14:textFill>
                  <w14:solidFill>
                    <w14:srgbClr w14:val="000000">
                      <w14:alpha w14:val="100000"/>
                    </w14:srgbClr>
                  </w14:solidFill>
                </w14:textFill>
              </w:rPr>
              <w:t>|||  ||</w:t>
            </w:r>
            <w:r w:rsidR="00650CB8" w:rsidRPr="00650CB8">
              <w:rPr>
                <w:rFonts w:ascii="Arial Narrow" w:hAnsi="Arial Narrow"/>
                <w:snapToGrid w:val="0"/>
                <w:color w:val="000000"/>
                <w:spacing w:val="1"/>
                <w:sz w:val="20"/>
                <w:szCs w:val="20"/>
                <w:shd w:val="solid" w:color="000000" w:fill="000000"/>
                <w:fitText w:val="480" w:id="-1435748854"/>
                <w14:textFill>
                  <w14:solidFill>
                    <w14:srgbClr w14:val="000000">
                      <w14:alpha w14:val="100000"/>
                    </w14:srgbClr>
                  </w14:solidFill>
                </w14:textFill>
              </w:rPr>
              <w:t>|</w:t>
            </w:r>
            <w:r w:rsidRPr="00EB7EA1">
              <w:rPr>
                <w:rFonts w:ascii="Arial Narrow" w:hAnsi="Arial Narrow"/>
                <w:snapToGrid w:val="0"/>
                <w:sz w:val="20"/>
                <w:szCs w:val="20"/>
              </w:rPr>
              <w:t xml:space="preserve"> </w:t>
            </w:r>
          </w:p>
        </w:tc>
      </w:tr>
      <w:tr w:rsidR="007813C9" w:rsidRPr="00EB7EA1" w14:paraId="3C644F8A" w14:textId="77777777" w:rsidTr="007813C9">
        <w:trPr>
          <w:trHeight w:val="93"/>
        </w:trPr>
        <w:tc>
          <w:tcPr>
            <w:tcW w:w="3256" w:type="dxa"/>
          </w:tcPr>
          <w:p w14:paraId="53F792B8" w14:textId="77777777" w:rsidR="00EB7EA1" w:rsidRPr="00EB7EA1" w:rsidRDefault="00EB7EA1" w:rsidP="00EB7EA1">
            <w:pPr>
              <w:rPr>
                <w:rFonts w:ascii="Arial Narrow" w:hAnsi="Arial Narrow"/>
                <w:snapToGrid w:val="0"/>
                <w:sz w:val="20"/>
                <w:szCs w:val="20"/>
              </w:rPr>
            </w:pPr>
            <w:r w:rsidRPr="00EB7EA1">
              <w:rPr>
                <w:rFonts w:ascii="Arial Narrow" w:hAnsi="Arial Narrow"/>
                <w:snapToGrid w:val="0"/>
                <w:sz w:val="20"/>
                <w:szCs w:val="20"/>
              </w:rPr>
              <w:t xml:space="preserve">Submission overall weighted prices </w:t>
            </w:r>
          </w:p>
        </w:tc>
        <w:tc>
          <w:tcPr>
            <w:tcW w:w="992" w:type="dxa"/>
          </w:tcPr>
          <w:p w14:paraId="5BC48BE3" w14:textId="40D5597F" w:rsidR="00EB7EA1" w:rsidRPr="00EB7EA1" w:rsidRDefault="00650CB8" w:rsidP="00EB7EA1">
            <w:pPr>
              <w:rPr>
                <w:rFonts w:ascii="Arial Narrow" w:hAnsi="Arial Narrow"/>
                <w:snapToGrid w:val="0"/>
                <w:sz w:val="20"/>
                <w:szCs w:val="20"/>
              </w:rPr>
            </w:pPr>
            <w:r w:rsidRPr="00650CB8">
              <w:rPr>
                <w:rFonts w:ascii="Arial Narrow" w:hAnsi="Arial Narrow"/>
                <w:snapToGrid w:val="0"/>
                <w:color w:val="000000"/>
                <w:spacing w:val="9"/>
                <w:sz w:val="20"/>
                <w:szCs w:val="20"/>
                <w:shd w:val="solid" w:color="000000" w:fill="000000"/>
                <w:fitText w:val="310" w:id="-1435748853"/>
                <w14:textFill>
                  <w14:solidFill>
                    <w14:srgbClr w14:val="000000">
                      <w14:alpha w14:val="100000"/>
                    </w14:srgbClr>
                  </w14:solidFill>
                </w14:textFill>
              </w:rPr>
              <w:t>||  |</w:t>
            </w:r>
            <w:r w:rsidRPr="00650CB8">
              <w:rPr>
                <w:rFonts w:ascii="Arial Narrow" w:hAnsi="Arial Narrow"/>
                <w:snapToGrid w:val="0"/>
                <w:color w:val="000000"/>
                <w:spacing w:val="4"/>
                <w:sz w:val="20"/>
                <w:szCs w:val="20"/>
                <w:shd w:val="solid" w:color="000000" w:fill="000000"/>
                <w:fitText w:val="310" w:id="-1435748853"/>
                <w14:textFill>
                  <w14:solidFill>
                    <w14:srgbClr w14:val="000000">
                      <w14:alpha w14:val="100000"/>
                    </w14:srgbClr>
                  </w14:solidFill>
                </w14:textFill>
              </w:rPr>
              <w:t>|</w:t>
            </w:r>
            <w:r w:rsidR="00EB7EA1" w:rsidRPr="00EB7EA1">
              <w:rPr>
                <w:rFonts w:ascii="Arial Narrow" w:hAnsi="Arial Narrow"/>
                <w:snapToGrid w:val="0"/>
                <w:sz w:val="20"/>
                <w:szCs w:val="20"/>
              </w:rPr>
              <w:t xml:space="preserve">% </w:t>
            </w:r>
          </w:p>
        </w:tc>
        <w:tc>
          <w:tcPr>
            <w:tcW w:w="1134" w:type="dxa"/>
          </w:tcPr>
          <w:p w14:paraId="1E3764A6" w14:textId="336FEF41" w:rsidR="00EB7EA1" w:rsidRPr="00EB7EA1" w:rsidRDefault="00EB7EA1" w:rsidP="00EB7EA1">
            <w:pPr>
              <w:rPr>
                <w:rFonts w:ascii="Arial Narrow" w:hAnsi="Arial Narrow"/>
                <w:snapToGrid w:val="0"/>
                <w:sz w:val="20"/>
                <w:szCs w:val="20"/>
              </w:rPr>
            </w:pPr>
            <w:r w:rsidRPr="00EB7EA1">
              <w:rPr>
                <w:rFonts w:ascii="Arial Narrow" w:hAnsi="Arial Narrow"/>
                <w:snapToGrid w:val="0"/>
                <w:sz w:val="20"/>
                <w:szCs w:val="20"/>
              </w:rPr>
              <w:t>$</w:t>
            </w:r>
            <w:r w:rsidR="00650CB8" w:rsidRPr="00650CB8">
              <w:rPr>
                <w:rFonts w:ascii="Arial Narrow" w:hAnsi="Arial Narrow"/>
                <w:snapToGrid w:val="0"/>
                <w:color w:val="000000"/>
                <w:spacing w:val="19"/>
                <w:sz w:val="20"/>
                <w:szCs w:val="20"/>
                <w:shd w:val="solid" w:color="000000" w:fill="000000"/>
                <w:fitText w:val="480" w:id="-1435748852"/>
                <w14:textFill>
                  <w14:solidFill>
                    <w14:srgbClr w14:val="000000">
                      <w14:alpha w14:val="100000"/>
                    </w14:srgbClr>
                  </w14:solidFill>
                </w14:textFill>
              </w:rPr>
              <w:t>|||  ||</w:t>
            </w:r>
            <w:r w:rsidR="00650CB8" w:rsidRPr="00650CB8">
              <w:rPr>
                <w:rFonts w:ascii="Arial Narrow" w:hAnsi="Arial Narrow"/>
                <w:snapToGrid w:val="0"/>
                <w:color w:val="000000"/>
                <w:spacing w:val="1"/>
                <w:sz w:val="20"/>
                <w:szCs w:val="20"/>
                <w:shd w:val="solid" w:color="000000" w:fill="000000"/>
                <w:fitText w:val="480" w:id="-1435748852"/>
                <w14:textFill>
                  <w14:solidFill>
                    <w14:srgbClr w14:val="000000">
                      <w14:alpha w14:val="100000"/>
                    </w14:srgbClr>
                  </w14:solidFill>
                </w14:textFill>
              </w:rPr>
              <w:t>|</w:t>
            </w:r>
            <w:r w:rsidRPr="00EB7EA1">
              <w:rPr>
                <w:rFonts w:ascii="Arial Narrow" w:hAnsi="Arial Narrow"/>
                <w:snapToGrid w:val="0"/>
                <w:sz w:val="20"/>
                <w:szCs w:val="20"/>
              </w:rPr>
              <w:t xml:space="preserve"> </w:t>
            </w:r>
          </w:p>
        </w:tc>
        <w:tc>
          <w:tcPr>
            <w:tcW w:w="1276" w:type="dxa"/>
          </w:tcPr>
          <w:p w14:paraId="4E1CFE55" w14:textId="03659E9C" w:rsidR="00EB7EA1" w:rsidRPr="00EB7EA1" w:rsidRDefault="00EB7EA1" w:rsidP="00EB7EA1">
            <w:pPr>
              <w:rPr>
                <w:rFonts w:ascii="Arial Narrow" w:hAnsi="Arial Narrow"/>
                <w:snapToGrid w:val="0"/>
                <w:sz w:val="20"/>
                <w:szCs w:val="20"/>
              </w:rPr>
            </w:pPr>
            <w:r w:rsidRPr="00EB7EA1">
              <w:rPr>
                <w:rFonts w:ascii="Arial Narrow" w:hAnsi="Arial Narrow"/>
                <w:snapToGrid w:val="0"/>
                <w:sz w:val="20"/>
                <w:szCs w:val="20"/>
              </w:rPr>
              <w:t>$</w:t>
            </w:r>
            <w:r w:rsidR="00650CB8" w:rsidRPr="00650CB8">
              <w:rPr>
                <w:rFonts w:ascii="Arial Narrow" w:hAnsi="Arial Narrow"/>
                <w:snapToGrid w:val="0"/>
                <w:color w:val="000000"/>
                <w:spacing w:val="19"/>
                <w:sz w:val="20"/>
                <w:szCs w:val="20"/>
                <w:shd w:val="solid" w:color="000000" w:fill="000000"/>
                <w:fitText w:val="480" w:id="-1435748851"/>
                <w14:textFill>
                  <w14:solidFill>
                    <w14:srgbClr w14:val="000000">
                      <w14:alpha w14:val="100000"/>
                    </w14:srgbClr>
                  </w14:solidFill>
                </w14:textFill>
              </w:rPr>
              <w:t>|||  ||</w:t>
            </w:r>
            <w:r w:rsidR="00650CB8" w:rsidRPr="00650CB8">
              <w:rPr>
                <w:rFonts w:ascii="Arial Narrow" w:hAnsi="Arial Narrow"/>
                <w:snapToGrid w:val="0"/>
                <w:color w:val="000000"/>
                <w:spacing w:val="1"/>
                <w:sz w:val="20"/>
                <w:szCs w:val="20"/>
                <w:shd w:val="solid" w:color="000000" w:fill="000000"/>
                <w:fitText w:val="480" w:id="-1435748851"/>
                <w14:textFill>
                  <w14:solidFill>
                    <w14:srgbClr w14:val="000000">
                      <w14:alpha w14:val="100000"/>
                    </w14:srgbClr>
                  </w14:solidFill>
                </w14:textFill>
              </w:rPr>
              <w:t>|</w:t>
            </w:r>
            <w:r w:rsidRPr="00EB7EA1">
              <w:rPr>
                <w:rFonts w:ascii="Arial Narrow" w:hAnsi="Arial Narrow"/>
                <w:snapToGrid w:val="0"/>
                <w:sz w:val="20"/>
                <w:szCs w:val="20"/>
              </w:rPr>
              <w:t xml:space="preserve"> </w:t>
            </w:r>
          </w:p>
        </w:tc>
        <w:tc>
          <w:tcPr>
            <w:tcW w:w="1275" w:type="dxa"/>
          </w:tcPr>
          <w:p w14:paraId="4955EE67" w14:textId="42A2DCD6" w:rsidR="00EB7EA1" w:rsidRPr="00EB7EA1" w:rsidRDefault="00EB7EA1" w:rsidP="00EB7EA1">
            <w:pPr>
              <w:rPr>
                <w:rFonts w:ascii="Arial Narrow" w:hAnsi="Arial Narrow"/>
                <w:snapToGrid w:val="0"/>
                <w:sz w:val="20"/>
                <w:szCs w:val="20"/>
              </w:rPr>
            </w:pPr>
            <w:r w:rsidRPr="00EB7EA1">
              <w:rPr>
                <w:rFonts w:ascii="Arial Narrow" w:hAnsi="Arial Narrow"/>
                <w:snapToGrid w:val="0"/>
                <w:sz w:val="20"/>
                <w:szCs w:val="20"/>
              </w:rPr>
              <w:t>$</w:t>
            </w:r>
            <w:r w:rsidR="00650CB8" w:rsidRPr="00650CB8">
              <w:rPr>
                <w:rFonts w:ascii="Arial Narrow" w:hAnsi="Arial Narrow"/>
                <w:snapToGrid w:val="0"/>
                <w:color w:val="000000"/>
                <w:spacing w:val="19"/>
                <w:sz w:val="20"/>
                <w:szCs w:val="20"/>
                <w:shd w:val="solid" w:color="000000" w:fill="000000"/>
                <w:fitText w:val="480" w:id="-1435748850"/>
                <w14:textFill>
                  <w14:solidFill>
                    <w14:srgbClr w14:val="000000">
                      <w14:alpha w14:val="100000"/>
                    </w14:srgbClr>
                  </w14:solidFill>
                </w14:textFill>
              </w:rPr>
              <w:t>|||  ||</w:t>
            </w:r>
            <w:r w:rsidR="00650CB8" w:rsidRPr="00650CB8">
              <w:rPr>
                <w:rFonts w:ascii="Arial Narrow" w:hAnsi="Arial Narrow"/>
                <w:snapToGrid w:val="0"/>
                <w:color w:val="000000"/>
                <w:spacing w:val="1"/>
                <w:sz w:val="20"/>
                <w:szCs w:val="20"/>
                <w:shd w:val="solid" w:color="000000" w:fill="000000"/>
                <w:fitText w:val="480" w:id="-1435748850"/>
                <w14:textFill>
                  <w14:solidFill>
                    <w14:srgbClr w14:val="000000">
                      <w14:alpha w14:val="100000"/>
                    </w14:srgbClr>
                  </w14:solidFill>
                </w14:textFill>
              </w:rPr>
              <w:t>|</w:t>
            </w:r>
            <w:r w:rsidRPr="00EB7EA1">
              <w:rPr>
                <w:rFonts w:ascii="Arial Narrow" w:hAnsi="Arial Narrow"/>
                <w:snapToGrid w:val="0"/>
                <w:sz w:val="20"/>
                <w:szCs w:val="20"/>
              </w:rPr>
              <w:t xml:space="preserve"> </w:t>
            </w:r>
          </w:p>
        </w:tc>
        <w:tc>
          <w:tcPr>
            <w:tcW w:w="1084" w:type="dxa"/>
          </w:tcPr>
          <w:p w14:paraId="00A7B200" w14:textId="60078A7E" w:rsidR="00EB7EA1" w:rsidRPr="00EB7EA1" w:rsidRDefault="00EB7EA1" w:rsidP="00EB7EA1">
            <w:pPr>
              <w:rPr>
                <w:rFonts w:ascii="Arial Narrow" w:hAnsi="Arial Narrow"/>
                <w:snapToGrid w:val="0"/>
                <w:sz w:val="20"/>
                <w:szCs w:val="20"/>
              </w:rPr>
            </w:pPr>
            <w:r w:rsidRPr="00EB7EA1">
              <w:rPr>
                <w:rFonts w:ascii="Arial Narrow" w:hAnsi="Arial Narrow"/>
                <w:snapToGrid w:val="0"/>
                <w:sz w:val="20"/>
                <w:szCs w:val="20"/>
              </w:rPr>
              <w:t>$</w:t>
            </w:r>
            <w:r w:rsidR="00650CB8" w:rsidRPr="00650CB8">
              <w:rPr>
                <w:rFonts w:ascii="Arial Narrow" w:hAnsi="Arial Narrow"/>
                <w:snapToGrid w:val="0"/>
                <w:color w:val="000000"/>
                <w:spacing w:val="19"/>
                <w:sz w:val="20"/>
                <w:szCs w:val="20"/>
                <w:shd w:val="solid" w:color="000000" w:fill="000000"/>
                <w:fitText w:val="480" w:id="-1435748849"/>
                <w14:textFill>
                  <w14:solidFill>
                    <w14:srgbClr w14:val="000000">
                      <w14:alpha w14:val="100000"/>
                    </w14:srgbClr>
                  </w14:solidFill>
                </w14:textFill>
              </w:rPr>
              <w:t>|||  ||</w:t>
            </w:r>
            <w:r w:rsidR="00650CB8" w:rsidRPr="00650CB8">
              <w:rPr>
                <w:rFonts w:ascii="Arial Narrow" w:hAnsi="Arial Narrow"/>
                <w:snapToGrid w:val="0"/>
                <w:color w:val="000000"/>
                <w:spacing w:val="1"/>
                <w:sz w:val="20"/>
                <w:szCs w:val="20"/>
                <w:shd w:val="solid" w:color="000000" w:fill="000000"/>
                <w:fitText w:val="480" w:id="-1435748849"/>
                <w14:textFill>
                  <w14:solidFill>
                    <w14:srgbClr w14:val="000000">
                      <w14:alpha w14:val="100000"/>
                    </w14:srgbClr>
                  </w14:solidFill>
                </w14:textFill>
              </w:rPr>
              <w:t>|</w:t>
            </w:r>
            <w:r w:rsidRPr="00EB7EA1">
              <w:rPr>
                <w:rFonts w:ascii="Arial Narrow" w:hAnsi="Arial Narrow"/>
                <w:snapToGrid w:val="0"/>
                <w:sz w:val="20"/>
                <w:szCs w:val="20"/>
              </w:rPr>
              <w:t xml:space="preserve"> </w:t>
            </w:r>
          </w:p>
        </w:tc>
      </w:tr>
      <w:tr w:rsidR="007813C9" w:rsidRPr="00EB7EA1" w14:paraId="49BED767" w14:textId="77777777" w:rsidTr="007813C9">
        <w:trPr>
          <w:trHeight w:val="96"/>
        </w:trPr>
        <w:tc>
          <w:tcPr>
            <w:tcW w:w="3256" w:type="dxa"/>
          </w:tcPr>
          <w:p w14:paraId="6F4C3B0C" w14:textId="77777777" w:rsidR="00EB7EA1" w:rsidRPr="00EB7EA1" w:rsidRDefault="00EB7EA1" w:rsidP="00EB7EA1">
            <w:pPr>
              <w:rPr>
                <w:rFonts w:ascii="Arial Narrow" w:hAnsi="Arial Narrow"/>
                <w:snapToGrid w:val="0"/>
                <w:sz w:val="20"/>
                <w:szCs w:val="20"/>
              </w:rPr>
            </w:pPr>
            <w:r w:rsidRPr="00EB7EA1">
              <w:rPr>
                <w:rFonts w:ascii="Arial Narrow" w:hAnsi="Arial Narrow"/>
                <w:snapToGrid w:val="0"/>
                <w:sz w:val="20"/>
                <w:szCs w:val="20"/>
              </w:rPr>
              <w:t xml:space="preserve">Revised overall weighted prices </w:t>
            </w:r>
          </w:p>
        </w:tc>
        <w:tc>
          <w:tcPr>
            <w:tcW w:w="992" w:type="dxa"/>
          </w:tcPr>
          <w:p w14:paraId="5A821F76" w14:textId="10DC197D" w:rsidR="00EB7EA1" w:rsidRPr="00EB7EA1" w:rsidRDefault="00650CB8" w:rsidP="00EB7EA1">
            <w:pPr>
              <w:rPr>
                <w:rFonts w:ascii="Arial Narrow" w:hAnsi="Arial Narrow"/>
                <w:snapToGrid w:val="0"/>
                <w:sz w:val="20"/>
                <w:szCs w:val="20"/>
              </w:rPr>
            </w:pPr>
            <w:r w:rsidRPr="00650CB8">
              <w:rPr>
                <w:rFonts w:ascii="Arial Narrow" w:hAnsi="Arial Narrow"/>
                <w:snapToGrid w:val="0"/>
                <w:color w:val="000000"/>
                <w:spacing w:val="9"/>
                <w:sz w:val="20"/>
                <w:szCs w:val="20"/>
                <w:shd w:val="solid" w:color="000000" w:fill="000000"/>
                <w:fitText w:val="310" w:id="-1435748848"/>
                <w14:textFill>
                  <w14:solidFill>
                    <w14:srgbClr w14:val="000000">
                      <w14:alpha w14:val="100000"/>
                    </w14:srgbClr>
                  </w14:solidFill>
                </w14:textFill>
              </w:rPr>
              <w:t>||  |</w:t>
            </w:r>
            <w:r w:rsidRPr="00650CB8">
              <w:rPr>
                <w:rFonts w:ascii="Arial Narrow" w:hAnsi="Arial Narrow"/>
                <w:snapToGrid w:val="0"/>
                <w:color w:val="000000"/>
                <w:spacing w:val="4"/>
                <w:sz w:val="20"/>
                <w:szCs w:val="20"/>
                <w:shd w:val="solid" w:color="000000" w:fill="000000"/>
                <w:fitText w:val="310" w:id="-1435748848"/>
                <w14:textFill>
                  <w14:solidFill>
                    <w14:srgbClr w14:val="000000">
                      <w14:alpha w14:val="100000"/>
                    </w14:srgbClr>
                  </w14:solidFill>
                </w14:textFill>
              </w:rPr>
              <w:t>|</w:t>
            </w:r>
            <w:r w:rsidR="00EB7EA1" w:rsidRPr="00EB7EA1">
              <w:rPr>
                <w:rFonts w:ascii="Arial Narrow" w:hAnsi="Arial Narrow"/>
                <w:snapToGrid w:val="0"/>
                <w:sz w:val="20"/>
                <w:szCs w:val="20"/>
              </w:rPr>
              <w:t xml:space="preserve">% </w:t>
            </w:r>
          </w:p>
        </w:tc>
        <w:tc>
          <w:tcPr>
            <w:tcW w:w="1134" w:type="dxa"/>
          </w:tcPr>
          <w:p w14:paraId="4CFDE57B" w14:textId="26C32C57" w:rsidR="00EB7EA1" w:rsidRPr="00EB7EA1" w:rsidRDefault="00EB7EA1" w:rsidP="00EB7EA1">
            <w:pPr>
              <w:rPr>
                <w:rFonts w:ascii="Arial Narrow" w:hAnsi="Arial Narrow"/>
                <w:snapToGrid w:val="0"/>
                <w:sz w:val="20"/>
                <w:szCs w:val="20"/>
              </w:rPr>
            </w:pPr>
            <w:r w:rsidRPr="00EB7EA1">
              <w:rPr>
                <w:rFonts w:ascii="Arial Narrow" w:hAnsi="Arial Narrow"/>
                <w:snapToGrid w:val="0"/>
                <w:sz w:val="20"/>
                <w:szCs w:val="20"/>
              </w:rPr>
              <w:t>$</w:t>
            </w:r>
            <w:r w:rsidR="00650CB8" w:rsidRPr="00650CB8">
              <w:rPr>
                <w:rFonts w:ascii="Arial Narrow" w:hAnsi="Arial Narrow"/>
                <w:snapToGrid w:val="0"/>
                <w:color w:val="000000"/>
                <w:spacing w:val="19"/>
                <w:sz w:val="20"/>
                <w:szCs w:val="20"/>
                <w:shd w:val="solid" w:color="000000" w:fill="000000"/>
                <w:fitText w:val="480" w:id="-1435748864"/>
                <w14:textFill>
                  <w14:solidFill>
                    <w14:srgbClr w14:val="000000">
                      <w14:alpha w14:val="100000"/>
                    </w14:srgbClr>
                  </w14:solidFill>
                </w14:textFill>
              </w:rPr>
              <w:t>|||  ||</w:t>
            </w:r>
            <w:r w:rsidR="00650CB8" w:rsidRPr="00650CB8">
              <w:rPr>
                <w:rFonts w:ascii="Arial Narrow" w:hAnsi="Arial Narrow"/>
                <w:snapToGrid w:val="0"/>
                <w:color w:val="000000"/>
                <w:spacing w:val="1"/>
                <w:sz w:val="20"/>
                <w:szCs w:val="20"/>
                <w:shd w:val="solid" w:color="000000" w:fill="000000"/>
                <w:fitText w:val="480" w:id="-1435748864"/>
                <w14:textFill>
                  <w14:solidFill>
                    <w14:srgbClr w14:val="000000">
                      <w14:alpha w14:val="100000"/>
                    </w14:srgbClr>
                  </w14:solidFill>
                </w14:textFill>
              </w:rPr>
              <w:t>|</w:t>
            </w:r>
            <w:r w:rsidRPr="00EB7EA1">
              <w:rPr>
                <w:rFonts w:ascii="Arial Narrow" w:hAnsi="Arial Narrow"/>
                <w:snapToGrid w:val="0"/>
                <w:sz w:val="20"/>
                <w:szCs w:val="20"/>
              </w:rPr>
              <w:t xml:space="preserve"> </w:t>
            </w:r>
          </w:p>
        </w:tc>
        <w:tc>
          <w:tcPr>
            <w:tcW w:w="1276" w:type="dxa"/>
          </w:tcPr>
          <w:p w14:paraId="435983F0" w14:textId="30E81516" w:rsidR="00EB7EA1" w:rsidRPr="00EB7EA1" w:rsidRDefault="00EB7EA1" w:rsidP="00EB7EA1">
            <w:pPr>
              <w:rPr>
                <w:rFonts w:ascii="Arial Narrow" w:hAnsi="Arial Narrow"/>
                <w:snapToGrid w:val="0"/>
                <w:sz w:val="20"/>
                <w:szCs w:val="20"/>
              </w:rPr>
            </w:pPr>
            <w:r w:rsidRPr="00EB7EA1">
              <w:rPr>
                <w:rFonts w:ascii="Arial Narrow" w:hAnsi="Arial Narrow"/>
                <w:snapToGrid w:val="0"/>
                <w:sz w:val="20"/>
                <w:szCs w:val="20"/>
              </w:rPr>
              <w:t>$</w:t>
            </w:r>
            <w:r w:rsidR="00650CB8" w:rsidRPr="00650CB8">
              <w:rPr>
                <w:rFonts w:ascii="Arial Narrow" w:hAnsi="Arial Narrow"/>
                <w:snapToGrid w:val="0"/>
                <w:color w:val="000000"/>
                <w:spacing w:val="19"/>
                <w:sz w:val="20"/>
                <w:szCs w:val="20"/>
                <w:shd w:val="solid" w:color="000000" w:fill="000000"/>
                <w:fitText w:val="480" w:id="-1435748863"/>
                <w14:textFill>
                  <w14:solidFill>
                    <w14:srgbClr w14:val="000000">
                      <w14:alpha w14:val="100000"/>
                    </w14:srgbClr>
                  </w14:solidFill>
                </w14:textFill>
              </w:rPr>
              <w:t>|||  ||</w:t>
            </w:r>
            <w:r w:rsidR="00650CB8" w:rsidRPr="00650CB8">
              <w:rPr>
                <w:rFonts w:ascii="Arial Narrow" w:hAnsi="Arial Narrow"/>
                <w:snapToGrid w:val="0"/>
                <w:color w:val="000000"/>
                <w:spacing w:val="1"/>
                <w:sz w:val="20"/>
                <w:szCs w:val="20"/>
                <w:shd w:val="solid" w:color="000000" w:fill="000000"/>
                <w:fitText w:val="480" w:id="-1435748863"/>
                <w14:textFill>
                  <w14:solidFill>
                    <w14:srgbClr w14:val="000000">
                      <w14:alpha w14:val="100000"/>
                    </w14:srgbClr>
                  </w14:solidFill>
                </w14:textFill>
              </w:rPr>
              <w:t>|</w:t>
            </w:r>
            <w:r w:rsidRPr="00EB7EA1">
              <w:rPr>
                <w:rFonts w:ascii="Arial Narrow" w:hAnsi="Arial Narrow"/>
                <w:snapToGrid w:val="0"/>
                <w:sz w:val="20"/>
                <w:szCs w:val="20"/>
              </w:rPr>
              <w:t xml:space="preserve"> </w:t>
            </w:r>
          </w:p>
        </w:tc>
        <w:tc>
          <w:tcPr>
            <w:tcW w:w="1275" w:type="dxa"/>
          </w:tcPr>
          <w:p w14:paraId="5C276960" w14:textId="579B9D00" w:rsidR="00EB7EA1" w:rsidRPr="00EB7EA1" w:rsidRDefault="00EB7EA1" w:rsidP="00EB7EA1">
            <w:pPr>
              <w:rPr>
                <w:rFonts w:ascii="Arial Narrow" w:hAnsi="Arial Narrow"/>
                <w:snapToGrid w:val="0"/>
                <w:sz w:val="20"/>
                <w:szCs w:val="20"/>
              </w:rPr>
            </w:pPr>
            <w:r w:rsidRPr="00EB7EA1">
              <w:rPr>
                <w:rFonts w:ascii="Arial Narrow" w:hAnsi="Arial Narrow"/>
                <w:snapToGrid w:val="0"/>
                <w:sz w:val="20"/>
                <w:szCs w:val="20"/>
              </w:rPr>
              <w:t>$</w:t>
            </w:r>
            <w:r w:rsidR="00650CB8" w:rsidRPr="00650CB8">
              <w:rPr>
                <w:rFonts w:ascii="Arial Narrow" w:hAnsi="Arial Narrow"/>
                <w:snapToGrid w:val="0"/>
                <w:color w:val="000000"/>
                <w:spacing w:val="19"/>
                <w:sz w:val="20"/>
                <w:szCs w:val="20"/>
                <w:shd w:val="solid" w:color="000000" w:fill="000000"/>
                <w:fitText w:val="480" w:id="-1435748862"/>
                <w14:textFill>
                  <w14:solidFill>
                    <w14:srgbClr w14:val="000000">
                      <w14:alpha w14:val="100000"/>
                    </w14:srgbClr>
                  </w14:solidFill>
                </w14:textFill>
              </w:rPr>
              <w:t>|||  ||</w:t>
            </w:r>
            <w:r w:rsidR="00650CB8" w:rsidRPr="00650CB8">
              <w:rPr>
                <w:rFonts w:ascii="Arial Narrow" w:hAnsi="Arial Narrow"/>
                <w:snapToGrid w:val="0"/>
                <w:color w:val="000000"/>
                <w:spacing w:val="1"/>
                <w:sz w:val="20"/>
                <w:szCs w:val="20"/>
                <w:shd w:val="solid" w:color="000000" w:fill="000000"/>
                <w:fitText w:val="480" w:id="-1435748862"/>
                <w14:textFill>
                  <w14:solidFill>
                    <w14:srgbClr w14:val="000000">
                      <w14:alpha w14:val="100000"/>
                    </w14:srgbClr>
                  </w14:solidFill>
                </w14:textFill>
              </w:rPr>
              <w:t>|</w:t>
            </w:r>
            <w:r w:rsidRPr="00EB7EA1">
              <w:rPr>
                <w:rFonts w:ascii="Arial Narrow" w:hAnsi="Arial Narrow"/>
                <w:snapToGrid w:val="0"/>
                <w:sz w:val="20"/>
                <w:szCs w:val="20"/>
              </w:rPr>
              <w:t xml:space="preserve"> </w:t>
            </w:r>
          </w:p>
        </w:tc>
        <w:tc>
          <w:tcPr>
            <w:tcW w:w="1084" w:type="dxa"/>
          </w:tcPr>
          <w:p w14:paraId="6F0263E2" w14:textId="2120079F" w:rsidR="00EB7EA1" w:rsidRPr="00EB7EA1" w:rsidRDefault="00EB7EA1" w:rsidP="00EB7EA1">
            <w:pPr>
              <w:rPr>
                <w:rFonts w:ascii="Arial Narrow" w:hAnsi="Arial Narrow"/>
                <w:snapToGrid w:val="0"/>
                <w:sz w:val="20"/>
                <w:szCs w:val="20"/>
              </w:rPr>
            </w:pPr>
            <w:r w:rsidRPr="00EB7EA1">
              <w:rPr>
                <w:rFonts w:ascii="Arial Narrow" w:hAnsi="Arial Narrow"/>
                <w:snapToGrid w:val="0"/>
                <w:sz w:val="20"/>
                <w:szCs w:val="20"/>
              </w:rPr>
              <w:t>$</w:t>
            </w:r>
            <w:r w:rsidR="00650CB8" w:rsidRPr="00650CB8">
              <w:rPr>
                <w:rFonts w:ascii="Arial Narrow" w:hAnsi="Arial Narrow"/>
                <w:snapToGrid w:val="0"/>
                <w:color w:val="000000"/>
                <w:spacing w:val="19"/>
                <w:sz w:val="20"/>
                <w:szCs w:val="20"/>
                <w:shd w:val="solid" w:color="000000" w:fill="000000"/>
                <w:fitText w:val="480" w:id="-1435748861"/>
                <w14:textFill>
                  <w14:solidFill>
                    <w14:srgbClr w14:val="000000">
                      <w14:alpha w14:val="100000"/>
                    </w14:srgbClr>
                  </w14:solidFill>
                </w14:textFill>
              </w:rPr>
              <w:t>|||  ||</w:t>
            </w:r>
            <w:r w:rsidR="00650CB8" w:rsidRPr="00650CB8">
              <w:rPr>
                <w:rFonts w:ascii="Arial Narrow" w:hAnsi="Arial Narrow"/>
                <w:snapToGrid w:val="0"/>
                <w:color w:val="000000"/>
                <w:spacing w:val="1"/>
                <w:sz w:val="20"/>
                <w:szCs w:val="20"/>
                <w:shd w:val="solid" w:color="000000" w:fill="000000"/>
                <w:fitText w:val="480" w:id="-1435748861"/>
                <w14:textFill>
                  <w14:solidFill>
                    <w14:srgbClr w14:val="000000">
                      <w14:alpha w14:val="100000"/>
                    </w14:srgbClr>
                  </w14:solidFill>
                </w14:textFill>
              </w:rPr>
              <w:t>|</w:t>
            </w:r>
            <w:r w:rsidRPr="00EB7EA1">
              <w:rPr>
                <w:rFonts w:ascii="Arial Narrow" w:hAnsi="Arial Narrow"/>
                <w:snapToGrid w:val="0"/>
                <w:sz w:val="20"/>
                <w:szCs w:val="20"/>
              </w:rPr>
              <w:t xml:space="preserve"> </w:t>
            </w:r>
          </w:p>
        </w:tc>
      </w:tr>
    </w:tbl>
    <w:p w14:paraId="1EE02B5D" w14:textId="77777777" w:rsidR="00EB7EA1" w:rsidRPr="00EB7EA1" w:rsidRDefault="00EB7EA1" w:rsidP="00EB7EA1">
      <w:pPr>
        <w:autoSpaceDE w:val="0"/>
        <w:autoSpaceDN w:val="0"/>
        <w:adjustRightInd w:val="0"/>
        <w:jc w:val="left"/>
        <w:rPr>
          <w:rFonts w:ascii="Arial Narrow" w:hAnsi="Arial Narrow" w:cs="Calibri"/>
          <w:color w:val="000000"/>
          <w:sz w:val="16"/>
          <w:szCs w:val="16"/>
        </w:rPr>
      </w:pPr>
      <w:r w:rsidRPr="00EB7EA1">
        <w:rPr>
          <w:rFonts w:ascii="Arial Narrow" w:hAnsi="Arial Narrow" w:cs="Calibri"/>
          <w:color w:val="000000"/>
          <w:sz w:val="16"/>
          <w:szCs w:val="16"/>
        </w:rPr>
        <w:t xml:space="preserve">Abbreviations: DPMQ = dispensed price for maximum quantity; SPR = statutory price reduction. </w:t>
      </w:r>
    </w:p>
    <w:p w14:paraId="05E16227" w14:textId="77777777" w:rsidR="00EB7EA1" w:rsidRDefault="00EB7EA1" w:rsidP="00EB7EA1">
      <w:pPr>
        <w:pStyle w:val="ExecSumBodyText"/>
        <w:numPr>
          <w:ilvl w:val="0"/>
          <w:numId w:val="0"/>
        </w:numPr>
        <w:spacing w:after="0"/>
        <w:ind w:left="720" w:hanging="720"/>
        <w:rPr>
          <w:rFonts w:ascii="Arial Narrow" w:hAnsi="Arial Narrow" w:cs="Calibri"/>
          <w:snapToGrid/>
          <w:color w:val="000000"/>
          <w:sz w:val="16"/>
          <w:szCs w:val="16"/>
        </w:rPr>
      </w:pPr>
      <w:r w:rsidRPr="00EB7EA1">
        <w:rPr>
          <w:rFonts w:ascii="Arial Narrow" w:hAnsi="Arial Narrow" w:cs="Calibri"/>
          <w:snapToGrid/>
          <w:color w:val="000000"/>
          <w:sz w:val="16"/>
          <w:szCs w:val="16"/>
        </w:rPr>
        <w:t xml:space="preserve">a. For simplicity, only prices for the maximum quantity of 2 are shown. </w:t>
      </w:r>
    </w:p>
    <w:p w14:paraId="530A9A28" w14:textId="77777777" w:rsidR="00EB7EA1" w:rsidRDefault="00EB7EA1" w:rsidP="00EB7EA1">
      <w:pPr>
        <w:pStyle w:val="ExecSumBodyText"/>
        <w:numPr>
          <w:ilvl w:val="0"/>
          <w:numId w:val="0"/>
        </w:numPr>
        <w:spacing w:after="0"/>
        <w:ind w:left="720" w:hanging="720"/>
        <w:rPr>
          <w:rFonts w:ascii="Arial Narrow" w:hAnsi="Arial Narrow" w:cs="Calibri"/>
          <w:snapToGrid/>
          <w:color w:val="000000"/>
          <w:sz w:val="16"/>
          <w:szCs w:val="16"/>
        </w:rPr>
      </w:pPr>
      <w:r w:rsidRPr="00EB7EA1">
        <w:rPr>
          <w:rFonts w:ascii="Arial Narrow" w:hAnsi="Arial Narrow" w:cs="Calibri"/>
          <w:snapToGrid/>
          <w:color w:val="000000"/>
          <w:sz w:val="16"/>
          <w:szCs w:val="16"/>
        </w:rPr>
        <w:t>b. Based on supply chain cost, fees and co-payments current as of June 2022.</w:t>
      </w:r>
    </w:p>
    <w:p w14:paraId="7F57696A" w14:textId="77777777" w:rsidR="00EB7EA1" w:rsidRDefault="00EB7EA1" w:rsidP="00EB7EA1">
      <w:pPr>
        <w:pStyle w:val="ExecSumBodyText"/>
        <w:numPr>
          <w:ilvl w:val="0"/>
          <w:numId w:val="0"/>
        </w:numPr>
        <w:spacing w:after="0"/>
        <w:ind w:left="720" w:hanging="720"/>
        <w:rPr>
          <w:rFonts w:ascii="Arial Narrow" w:hAnsi="Arial Narrow" w:cs="Calibri"/>
          <w:snapToGrid/>
          <w:color w:val="000000"/>
          <w:sz w:val="16"/>
          <w:szCs w:val="16"/>
        </w:rPr>
      </w:pPr>
      <w:r w:rsidRPr="00EB7EA1">
        <w:rPr>
          <w:rFonts w:ascii="Arial Narrow" w:hAnsi="Arial Narrow" w:cs="Calibri"/>
          <w:snapToGrid/>
          <w:color w:val="000000"/>
          <w:sz w:val="16"/>
          <w:szCs w:val="16"/>
        </w:rPr>
        <w:t xml:space="preserve">c. Current deed rebate. </w:t>
      </w:r>
    </w:p>
    <w:p w14:paraId="492BE777" w14:textId="4778911C" w:rsidR="00EB7EA1" w:rsidRDefault="00EB7EA1" w:rsidP="00EB7EA1">
      <w:pPr>
        <w:pStyle w:val="ExecSumBodyText"/>
        <w:numPr>
          <w:ilvl w:val="0"/>
          <w:numId w:val="0"/>
        </w:numPr>
        <w:ind w:left="720" w:hanging="720"/>
        <w:rPr>
          <w:rFonts w:ascii="Arial Narrow" w:hAnsi="Arial Narrow" w:cs="Calibri"/>
          <w:snapToGrid/>
          <w:color w:val="000000"/>
          <w:sz w:val="16"/>
          <w:szCs w:val="16"/>
        </w:rPr>
      </w:pPr>
      <w:r w:rsidRPr="00EB7EA1">
        <w:rPr>
          <w:rFonts w:ascii="Arial Narrow" w:hAnsi="Arial Narrow" w:cs="Calibri"/>
          <w:snapToGrid/>
          <w:color w:val="000000"/>
          <w:sz w:val="16"/>
          <w:szCs w:val="16"/>
        </w:rPr>
        <w:t>d. Revised rebate for existing listing with further reduction of list price, keeping effective prices the same.</w:t>
      </w:r>
    </w:p>
    <w:p w14:paraId="7763AD78" w14:textId="77777777" w:rsidR="00985590" w:rsidRPr="00EB7EA1" w:rsidRDefault="00985590" w:rsidP="00EB7EA1">
      <w:pPr>
        <w:pStyle w:val="ExecSumBodyText"/>
        <w:numPr>
          <w:ilvl w:val="0"/>
          <w:numId w:val="0"/>
        </w:numPr>
        <w:ind w:left="720" w:hanging="720"/>
        <w:rPr>
          <w:rFonts w:ascii="Arial Narrow" w:hAnsi="Arial Narrow"/>
        </w:rPr>
      </w:pPr>
    </w:p>
    <w:p w14:paraId="20001774" w14:textId="77777777" w:rsidR="001F281D" w:rsidRPr="00C33D30" w:rsidRDefault="001F281D" w:rsidP="001F281D">
      <w:pPr>
        <w:ind w:firstLine="709"/>
        <w:rPr>
          <w:rFonts w:asciiTheme="minorHAnsi" w:hAnsiTheme="minorHAnsi"/>
          <w:i/>
        </w:rPr>
      </w:pPr>
      <w:r w:rsidRPr="00C33D30">
        <w:rPr>
          <w:rFonts w:asciiTheme="minorHAnsi" w:hAnsiTheme="minorHAnsi"/>
          <w:i/>
        </w:rPr>
        <w:t>For more detail on PBAC’s view, see section 7 PBAC outcome.</w:t>
      </w:r>
    </w:p>
    <w:p w14:paraId="7075B85C" w14:textId="1655A25A" w:rsidR="00B50DB8" w:rsidRPr="00407F2D" w:rsidRDefault="00203181" w:rsidP="004E18E9">
      <w:pPr>
        <w:pStyle w:val="2-SectionHeading"/>
      </w:pPr>
      <w:bookmarkStart w:id="10" w:name="_Toc103773793"/>
      <w:r>
        <w:t xml:space="preserve">Population and </w:t>
      </w:r>
      <w:r w:rsidR="008E0D3C">
        <w:t>d</w:t>
      </w:r>
      <w:r>
        <w:t>isease</w:t>
      </w:r>
      <w:bookmarkEnd w:id="10"/>
    </w:p>
    <w:p w14:paraId="21FDD135" w14:textId="0A32CECE" w:rsidR="00894489" w:rsidRPr="002E4F02" w:rsidRDefault="00670CC8" w:rsidP="004E18E9">
      <w:pPr>
        <w:pStyle w:val="ExecSumBodyText"/>
        <w:rPr>
          <w:color w:val="0066FF"/>
        </w:rPr>
      </w:pPr>
      <w:r>
        <w:t>Hypercholesterolaemia is a common condition characterised by elevated serum cholesterol levels. The causes of hypercholesterolaemia can include both genetic and environmental factors (</w:t>
      </w:r>
      <w:r w:rsidR="00C61F38">
        <w:t>e.g.,</w:t>
      </w:r>
      <w:r>
        <w:t xml:space="preserve"> diet and lifestyle). The vast majority of patients with hypercholesterolaemia have elevated cholesterol levels in the absence of any specific genetic disorder.</w:t>
      </w:r>
    </w:p>
    <w:p w14:paraId="34F9A011" w14:textId="61E9B7FE" w:rsidR="002C2775" w:rsidRPr="002E4F02" w:rsidRDefault="003F652C" w:rsidP="004E18E9">
      <w:pPr>
        <w:pStyle w:val="ExecSumBodyText"/>
        <w:rPr>
          <w:color w:val="0066FF"/>
        </w:rPr>
      </w:pPr>
      <w:r>
        <w:t>Hypercholesterolaemia</w:t>
      </w:r>
      <w:r w:rsidRPr="00F227A4">
        <w:t xml:space="preserve"> is associated with the development of atherosclerosis and an</w:t>
      </w:r>
      <w:r>
        <w:t xml:space="preserve"> increased incidence of myocardial infarction, stable or unstable angina</w:t>
      </w:r>
      <w:r w:rsidRPr="00CA27A9">
        <w:t xml:space="preserve">, coronary </w:t>
      </w:r>
      <w:r>
        <w:t>revascularisation procedures, s</w:t>
      </w:r>
      <w:r w:rsidRPr="00CA27A9">
        <w:t xml:space="preserve">troke, </w:t>
      </w:r>
      <w:r>
        <w:t xml:space="preserve">transient ischaemic attack, </w:t>
      </w:r>
      <w:r w:rsidRPr="00CA27A9">
        <w:t>carotid endarterectomy</w:t>
      </w:r>
      <w:r>
        <w:t xml:space="preserve"> and intermittent claudication of peripheral arteries. These cardiovascular events can have a major impact on survival, quality of life and the future risk of further cardiovascular events.</w:t>
      </w:r>
    </w:p>
    <w:p w14:paraId="39AEE98A" w14:textId="4F63AF1A" w:rsidR="00490474" w:rsidRDefault="00490474" w:rsidP="00151789">
      <w:pPr>
        <w:pStyle w:val="ExecSumBodyText"/>
      </w:pPr>
      <w:r>
        <w:t xml:space="preserve">Evolocumab is </w:t>
      </w:r>
      <w:r w:rsidRPr="00705F75">
        <w:t>a monoclonal antibody that binds to circulating PCSK9 enzyme (proprotein convertase subtilisin/kexin type 9) which prevents PCSK9-mediated degradation of low-density lipoprotein receptors</w:t>
      </w:r>
      <w:r>
        <w:t xml:space="preserve"> (LDLR)</w:t>
      </w:r>
      <w:r w:rsidRPr="00705F75">
        <w:t xml:space="preserve"> on the surface of hepatic cells. Up-regulation of LDLR is associated with decreased serum </w:t>
      </w:r>
      <w:r w:rsidR="006D7786">
        <w:t xml:space="preserve">LDL-C </w:t>
      </w:r>
      <w:r w:rsidRPr="00705F75">
        <w:t>cholesterol levels.</w:t>
      </w:r>
    </w:p>
    <w:p w14:paraId="43EFDA3C" w14:textId="322CF837" w:rsidR="00151789" w:rsidRPr="00882085" w:rsidRDefault="00151789" w:rsidP="00151789">
      <w:pPr>
        <w:pStyle w:val="ExecSumBodyText"/>
      </w:pPr>
      <w:r>
        <w:t>The submission positioned evolocumab as a treatment option in patients with</w:t>
      </w:r>
      <w:r w:rsidRPr="005F2E00">
        <w:t xml:space="preserve"> </w:t>
      </w:r>
      <w:r w:rsidR="006D7786">
        <w:t xml:space="preserve">LDL-C </w:t>
      </w:r>
      <w:r w:rsidRPr="005F2E00">
        <w:t xml:space="preserve">levels above </w:t>
      </w:r>
      <w:r>
        <w:t>1.8</w:t>
      </w:r>
      <w:r w:rsidRPr="005F2E00">
        <w:t xml:space="preserve"> mmol/L despite optimised treatment with statins and ezetimibe</w:t>
      </w:r>
      <w:r w:rsidR="00267D19">
        <w:t xml:space="preserve">; </w:t>
      </w:r>
      <w:r w:rsidR="007A0B4C" w:rsidRPr="001F281D">
        <w:rPr>
          <w:iCs/>
        </w:rPr>
        <w:t>(</w:t>
      </w:r>
      <w:r w:rsidR="00267D19" w:rsidRPr="001F281D">
        <w:rPr>
          <w:iCs/>
        </w:rPr>
        <w:t>p</w:t>
      </w:r>
      <w:r w:rsidR="007A0B4C" w:rsidRPr="001F281D">
        <w:rPr>
          <w:iCs/>
        </w:rPr>
        <w:t xml:space="preserve">atients with HoFH need only to have trialled optimised treatment with statins). </w:t>
      </w:r>
    </w:p>
    <w:p w14:paraId="26B73A17" w14:textId="77777777" w:rsidR="001F281D" w:rsidRPr="00C33D30" w:rsidRDefault="001F281D" w:rsidP="001F281D">
      <w:pPr>
        <w:ind w:firstLine="709"/>
        <w:rPr>
          <w:rFonts w:asciiTheme="minorHAnsi" w:hAnsiTheme="minorHAnsi"/>
          <w:i/>
        </w:rPr>
      </w:pPr>
      <w:bookmarkStart w:id="11" w:name="_Toc103773794"/>
      <w:r w:rsidRPr="00C33D30">
        <w:rPr>
          <w:rFonts w:asciiTheme="minorHAnsi" w:hAnsiTheme="minorHAnsi"/>
          <w:i/>
        </w:rPr>
        <w:t>For more detail on PBAC’s view, see section 7 PBAC outcome.</w:t>
      </w:r>
    </w:p>
    <w:p w14:paraId="51E5AE96" w14:textId="68018688" w:rsidR="00B50DB8" w:rsidRPr="00407F2D" w:rsidRDefault="00B50DB8" w:rsidP="004E18E9">
      <w:pPr>
        <w:pStyle w:val="2-SectionHeading"/>
      </w:pPr>
      <w:r w:rsidRPr="00407F2D">
        <w:t>Comparator</w:t>
      </w:r>
      <w:bookmarkEnd w:id="11"/>
    </w:p>
    <w:p w14:paraId="26537D14" w14:textId="405B4298" w:rsidR="00CE4581" w:rsidRPr="00CE4581" w:rsidRDefault="00CE4581" w:rsidP="00882E3C">
      <w:pPr>
        <w:pStyle w:val="ExecSumBodyText"/>
        <w:rPr>
          <w:snapToGrid/>
          <w:lang w:val="en-US"/>
        </w:rPr>
      </w:pPr>
      <w:r w:rsidRPr="00A22E06">
        <w:t xml:space="preserve">The submission claimed that evolocumab would be used in addition to optimised background treatment (with statins and ezetimibe) and therefore nominated </w:t>
      </w:r>
      <w:r w:rsidR="001C3505">
        <w:lastRenderedPageBreak/>
        <w:t>‘</w:t>
      </w:r>
      <w:r w:rsidRPr="00A22E06">
        <w:t>placebo</w:t>
      </w:r>
      <w:r w:rsidR="001C3505">
        <w:t>’</w:t>
      </w:r>
      <w:r w:rsidRPr="00A22E06">
        <w:t xml:space="preserve"> </w:t>
      </w:r>
      <w:r w:rsidR="004944E1" w:rsidRPr="001F281D">
        <w:rPr>
          <w:iCs/>
        </w:rPr>
        <w:t>(optimised background treatment)</w:t>
      </w:r>
      <w:r w:rsidR="004944E1">
        <w:t xml:space="preserve"> </w:t>
      </w:r>
      <w:r w:rsidRPr="00A22E06">
        <w:t>as the main comparator</w:t>
      </w:r>
      <w:r>
        <w:t xml:space="preserve">, noting that the PBAC has considered </w:t>
      </w:r>
      <w:r w:rsidR="001C3505">
        <w:t>‘</w:t>
      </w:r>
      <w:r>
        <w:t>placebo</w:t>
      </w:r>
      <w:r w:rsidR="001C3505">
        <w:t>’</w:t>
      </w:r>
      <w:r>
        <w:t xml:space="preserve"> an appropriate comparator in previous evaluations of evolocumab, most recently at the July 2019 and November 2019 PBAC meetings</w:t>
      </w:r>
      <w:r w:rsidRPr="00A22E06">
        <w:t xml:space="preserve">. </w:t>
      </w:r>
      <w:r w:rsidRPr="00FF4735">
        <w:t xml:space="preserve">This comparator </w:t>
      </w:r>
      <w:r w:rsidR="007813C9">
        <w:t>was</w:t>
      </w:r>
      <w:r w:rsidRPr="00FF4735">
        <w:t xml:space="preserve"> appropriate.</w:t>
      </w:r>
    </w:p>
    <w:p w14:paraId="1C990455" w14:textId="725E7AA2" w:rsidR="00CE4581" w:rsidRPr="00CE4581" w:rsidRDefault="00CE4581" w:rsidP="00882E3C">
      <w:pPr>
        <w:pStyle w:val="ExecSumBodyText"/>
        <w:rPr>
          <w:snapToGrid/>
          <w:lang w:val="en-US"/>
        </w:rPr>
      </w:pPr>
      <w:r w:rsidRPr="0095479B">
        <w:t xml:space="preserve">The submission noted that alirocumab, a PCSK9 inhibitor from the same class as evolocumab, is listed on the PBS with the same restrictions as evolocumab. The sponsor did not consider alirocumab in this submission as a dose relativity between evolocumab and alirocumab has already been established. </w:t>
      </w:r>
    </w:p>
    <w:p w14:paraId="30A067BB" w14:textId="5B5770C5" w:rsidR="00B50DB8" w:rsidRDefault="00CE4581" w:rsidP="00523D98">
      <w:pPr>
        <w:pStyle w:val="ExecSumBodyText"/>
        <w:rPr>
          <w:iCs/>
          <w:snapToGrid/>
          <w:lang w:val="en-US"/>
        </w:rPr>
      </w:pPr>
      <w:r w:rsidRPr="00523D98">
        <w:rPr>
          <w:snapToGrid/>
          <w:lang w:val="en-US"/>
        </w:rPr>
        <w:t xml:space="preserve">The submission also noted that inclisiran, another PCSK9 inhibitor with a different mechanism of action to evolocumab, is TGA registered but not PBS listed in Australia, and was not included in the current submission due to the current lack of cardiovascular outcomes data for inclisiran. </w:t>
      </w:r>
      <w:r w:rsidRPr="00FF4735">
        <w:rPr>
          <w:iCs/>
          <w:snapToGrid/>
          <w:lang w:val="en-US"/>
        </w:rPr>
        <w:t xml:space="preserve">While inclisiran is not a relevant comparator for this submission, there may be flow on consequences for any future </w:t>
      </w:r>
      <w:r w:rsidR="006835FD" w:rsidRPr="00FF4735">
        <w:rPr>
          <w:iCs/>
          <w:snapToGrid/>
          <w:lang w:val="en-US"/>
        </w:rPr>
        <w:t>PBAC consideration of</w:t>
      </w:r>
      <w:r w:rsidRPr="00FF4735">
        <w:rPr>
          <w:iCs/>
          <w:snapToGrid/>
          <w:lang w:val="en-US"/>
        </w:rPr>
        <w:t xml:space="preserve"> inclisiran</w:t>
      </w:r>
      <w:r w:rsidR="008948B5" w:rsidRPr="00FF4735">
        <w:rPr>
          <w:iCs/>
          <w:snapToGrid/>
          <w:lang w:val="en-US"/>
        </w:rPr>
        <w:t xml:space="preserve"> (a submission for July 2021 </w:t>
      </w:r>
      <w:r w:rsidR="00CB4CFD" w:rsidRPr="00FF4735">
        <w:rPr>
          <w:iCs/>
          <w:snapToGrid/>
          <w:lang w:val="en-US"/>
        </w:rPr>
        <w:t xml:space="preserve">PBAC </w:t>
      </w:r>
      <w:r w:rsidR="008948B5" w:rsidRPr="00FF4735">
        <w:rPr>
          <w:iCs/>
          <w:snapToGrid/>
          <w:lang w:val="en-US"/>
        </w:rPr>
        <w:t>consideration was withdrawn)</w:t>
      </w:r>
      <w:r w:rsidRPr="00FF4735">
        <w:rPr>
          <w:iCs/>
          <w:snapToGrid/>
          <w:lang w:val="en-US"/>
        </w:rPr>
        <w:t>.</w:t>
      </w:r>
      <w:r w:rsidR="00BC591F" w:rsidRPr="00FF4735">
        <w:rPr>
          <w:iCs/>
          <w:snapToGrid/>
          <w:lang w:val="en-US"/>
        </w:rPr>
        <w:t xml:space="preserve"> </w:t>
      </w:r>
    </w:p>
    <w:p w14:paraId="448E27FB" w14:textId="21B74F72" w:rsidR="001F281D" w:rsidRPr="001F281D" w:rsidRDefault="001F281D" w:rsidP="001F281D">
      <w:pPr>
        <w:ind w:firstLine="709"/>
        <w:rPr>
          <w:rFonts w:asciiTheme="minorHAnsi" w:hAnsiTheme="minorHAnsi"/>
          <w:i/>
        </w:rPr>
      </w:pPr>
      <w:r w:rsidRPr="00C33D30">
        <w:rPr>
          <w:rFonts w:asciiTheme="minorHAnsi" w:hAnsiTheme="minorHAnsi"/>
          <w:i/>
        </w:rPr>
        <w:t>For more detail on PBAC’s view, see section 7 PBAC outcome.</w:t>
      </w:r>
    </w:p>
    <w:p w14:paraId="7F9C27C8" w14:textId="77777777" w:rsidR="00223D5A" w:rsidRPr="007813C9" w:rsidRDefault="00223D5A" w:rsidP="00223D5A">
      <w:pPr>
        <w:pStyle w:val="2-SectionHeading"/>
        <w:numPr>
          <w:ilvl w:val="0"/>
          <w:numId w:val="1"/>
        </w:numPr>
      </w:pPr>
      <w:bookmarkStart w:id="12" w:name="_Toc103773795"/>
      <w:bookmarkStart w:id="13" w:name="_Toc22897640"/>
      <w:r w:rsidRPr="007813C9">
        <w:t>Consideration of the evidence</w:t>
      </w:r>
      <w:bookmarkEnd w:id="12"/>
    </w:p>
    <w:p w14:paraId="4F5D2746" w14:textId="77777777" w:rsidR="007813C9" w:rsidRPr="007813C9" w:rsidRDefault="007813C9" w:rsidP="007813C9">
      <w:pPr>
        <w:pStyle w:val="3-SubsectionHeading"/>
      </w:pPr>
      <w:bookmarkStart w:id="14" w:name="_Hlk76375935"/>
      <w:bookmarkStart w:id="15" w:name="_Toc103773796"/>
      <w:r w:rsidRPr="007813C9">
        <w:t>Sponsor hearing</w:t>
      </w:r>
    </w:p>
    <w:p w14:paraId="43B87694" w14:textId="07704F57" w:rsidR="007813C9" w:rsidRPr="003B40EB" w:rsidRDefault="007813C9" w:rsidP="007813C9">
      <w:pPr>
        <w:widowControl w:val="0"/>
        <w:numPr>
          <w:ilvl w:val="1"/>
          <w:numId w:val="1"/>
        </w:numPr>
        <w:spacing w:after="120"/>
      </w:pPr>
      <w:bookmarkStart w:id="16" w:name="_Hlk76382586"/>
      <w:r w:rsidRPr="007813C9">
        <w:rPr>
          <w:rFonts w:asciiTheme="minorHAnsi" w:hAnsiTheme="minorHAnsi"/>
          <w:snapToGrid w:val="0"/>
        </w:rPr>
        <w:t xml:space="preserve">The sponsor requested a hearing for this item. The clinician highlighted that evolocumab was an important treatment option for highest risk patients, described how LDL-C targets have reduced over the past decade, and explained that there are many patients with LDL-C levels between 1.8 and 2.6 mmol/L who have significant cardiovascular disease and would benefit from treatment with evolocumab or alirocumab. The clinician described how evolocumab is well tolerated, with manageable injection reactions. The clinician was also supportive of extending initial prescribing to GPs in </w:t>
      </w:r>
      <w:r w:rsidRPr="003B40EB">
        <w:rPr>
          <w:rFonts w:asciiTheme="minorHAnsi" w:hAnsiTheme="minorHAnsi"/>
          <w:snapToGrid w:val="0"/>
        </w:rPr>
        <w:t>consultation with a speciality, noting that GPs currently play an important role in continuing therapy. The clinician considered that there was currently underutilisation of this treatment particularly among high-risk patients who require aggressive LDL</w:t>
      </w:r>
      <w:r w:rsidR="00EB7F7C" w:rsidRPr="003B40EB">
        <w:rPr>
          <w:rFonts w:asciiTheme="minorHAnsi" w:hAnsiTheme="minorHAnsi"/>
          <w:snapToGrid w:val="0"/>
        </w:rPr>
        <w:t>-C</w:t>
      </w:r>
      <w:r w:rsidRPr="003B40EB">
        <w:rPr>
          <w:rFonts w:asciiTheme="minorHAnsi" w:hAnsiTheme="minorHAnsi"/>
          <w:snapToGrid w:val="0"/>
        </w:rPr>
        <w:t xml:space="preserve"> reduction.</w:t>
      </w:r>
      <w:r w:rsidR="006F5ECA">
        <w:rPr>
          <w:rFonts w:asciiTheme="minorHAnsi" w:hAnsiTheme="minorHAnsi"/>
          <w:snapToGrid w:val="0"/>
        </w:rPr>
        <w:t xml:space="preserve"> The PBAC noted the </w:t>
      </w:r>
      <w:r w:rsidR="006F5ECA" w:rsidRPr="00836F75">
        <w:rPr>
          <w:rFonts w:asciiTheme="minorHAnsi" w:hAnsiTheme="minorHAnsi"/>
          <w:bCs/>
          <w:snapToGrid w:val="0"/>
        </w:rPr>
        <w:t>clinical perspective</w:t>
      </w:r>
      <w:r w:rsidR="006F5ECA">
        <w:rPr>
          <w:rFonts w:asciiTheme="minorHAnsi" w:hAnsiTheme="minorHAnsi"/>
          <w:snapToGrid w:val="0"/>
        </w:rPr>
        <w:t xml:space="preserve"> was supportive of the requested broader access to evolocumab.</w:t>
      </w:r>
    </w:p>
    <w:bookmarkEnd w:id="16"/>
    <w:p w14:paraId="2CF03412" w14:textId="77777777" w:rsidR="001F281D" w:rsidRPr="003B40EB" w:rsidRDefault="001F281D" w:rsidP="001F281D">
      <w:pPr>
        <w:pStyle w:val="3-SubsectionHeading"/>
      </w:pPr>
      <w:r w:rsidRPr="003B40EB">
        <w:t>Consumer comments</w:t>
      </w:r>
    </w:p>
    <w:p w14:paraId="7D43DA26" w14:textId="77777777" w:rsidR="003B40EB" w:rsidRPr="003B40EB" w:rsidRDefault="003B40EB" w:rsidP="003B40EB">
      <w:pPr>
        <w:widowControl w:val="0"/>
        <w:numPr>
          <w:ilvl w:val="1"/>
          <w:numId w:val="1"/>
        </w:numPr>
        <w:spacing w:after="120"/>
        <w:rPr>
          <w:rFonts w:asciiTheme="minorHAnsi" w:hAnsiTheme="minorHAnsi"/>
          <w:bCs/>
          <w:snapToGrid w:val="0"/>
        </w:rPr>
      </w:pPr>
      <w:bookmarkStart w:id="17" w:name="_Hlk76382618"/>
      <w:bookmarkEnd w:id="14"/>
      <w:r w:rsidRPr="003B40EB">
        <w:rPr>
          <w:rFonts w:asciiTheme="minorHAnsi" w:hAnsiTheme="minorHAnsi"/>
          <w:bCs/>
          <w:snapToGrid w:val="0"/>
        </w:rPr>
        <w:t xml:space="preserve">The PBAC noted and welcomed the input from individuals (2), health care professionals (13) and organisations (2) via the Consumer Comments facility on the PBS website.  The comments described how the proposed expanded listing would be in line with international clinical guidelines, and would be expected to reduce a range of cardiovascular events. Evolocumab was considered well tolerated. One individual commented that the lack of eligibility under current PBS criteria had resulted in a significant financial burden on their household. The vast majority of comments were supportive of GP initiation in consultation with specialists, noting current </w:t>
      </w:r>
      <w:r w:rsidRPr="003B40EB">
        <w:rPr>
          <w:rFonts w:asciiTheme="minorHAnsi" w:hAnsiTheme="minorHAnsi"/>
          <w:bCs/>
          <w:snapToGrid w:val="0"/>
        </w:rPr>
        <w:lastRenderedPageBreak/>
        <w:t>underutilisation resulting from limited access to specialists.</w:t>
      </w:r>
    </w:p>
    <w:p w14:paraId="2F14EEA6" w14:textId="77777777" w:rsidR="003B40EB" w:rsidRDefault="003B40EB" w:rsidP="003B40EB">
      <w:pPr>
        <w:widowControl w:val="0"/>
        <w:numPr>
          <w:ilvl w:val="1"/>
          <w:numId w:val="1"/>
        </w:numPr>
        <w:spacing w:after="120"/>
        <w:rPr>
          <w:rFonts w:asciiTheme="minorHAnsi" w:hAnsiTheme="minorHAnsi"/>
          <w:bCs/>
          <w:snapToGrid w:val="0"/>
        </w:rPr>
      </w:pPr>
      <w:r w:rsidRPr="003B40EB">
        <w:rPr>
          <w:rFonts w:asciiTheme="minorHAnsi" w:hAnsiTheme="minorHAnsi"/>
          <w:bCs/>
          <w:snapToGrid w:val="0"/>
        </w:rPr>
        <w:t>The PBAC noted the advice received from Hearts4heart, which described patient viewpoints of using evolocumab. The patients</w:t>
      </w:r>
      <w:r>
        <w:rPr>
          <w:rFonts w:asciiTheme="minorHAnsi" w:hAnsiTheme="minorHAnsi"/>
          <w:bCs/>
          <w:snapToGrid w:val="0"/>
        </w:rPr>
        <w:t xml:space="preserve"> expressed the peace of mind they felt knowing that they were doing something to reduce their risk of cardiovascular events. The injectable formulation was considered manageable. Hearts4heart also supported initial GP prescribing in order to broaden treatment access, since initiation by specialist physicians could require long wait times. </w:t>
      </w:r>
      <w:bookmarkStart w:id="18" w:name="_Hlk109296747"/>
      <w:r>
        <w:rPr>
          <w:rFonts w:asciiTheme="minorHAnsi" w:hAnsiTheme="minorHAnsi"/>
          <w:bCs/>
          <w:snapToGrid w:val="0"/>
        </w:rPr>
        <w:t xml:space="preserve">Specialist initiation raised equity issues for patients outside major urban centres, for patients with </w:t>
      </w:r>
      <w:r w:rsidRPr="00DF2D50">
        <w:rPr>
          <w:rFonts w:asciiTheme="minorHAnsi" w:hAnsiTheme="minorHAnsi"/>
          <w:bCs/>
          <w:snapToGrid w:val="0"/>
        </w:rPr>
        <w:t>lower socio-economic status</w:t>
      </w:r>
      <w:r>
        <w:rPr>
          <w:rFonts w:asciiTheme="minorHAnsi" w:hAnsiTheme="minorHAnsi"/>
          <w:bCs/>
          <w:snapToGrid w:val="0"/>
        </w:rPr>
        <w:t xml:space="preserve"> or poor mental health,</w:t>
      </w:r>
      <w:r w:rsidRPr="00DF2D50">
        <w:rPr>
          <w:rFonts w:asciiTheme="minorHAnsi" w:hAnsiTheme="minorHAnsi"/>
          <w:bCs/>
          <w:snapToGrid w:val="0"/>
        </w:rPr>
        <w:t xml:space="preserve"> </w:t>
      </w:r>
      <w:r>
        <w:rPr>
          <w:rFonts w:asciiTheme="minorHAnsi" w:hAnsiTheme="minorHAnsi"/>
          <w:bCs/>
          <w:snapToGrid w:val="0"/>
        </w:rPr>
        <w:t xml:space="preserve">as well as for older Australians and Aboriginal and/or Torres Strait Islander populations. </w:t>
      </w:r>
      <w:bookmarkEnd w:id="18"/>
    </w:p>
    <w:p w14:paraId="5114201C" w14:textId="5A049F96" w:rsidR="003B40EB" w:rsidRDefault="003B40EB" w:rsidP="003B40EB">
      <w:pPr>
        <w:widowControl w:val="0"/>
        <w:numPr>
          <w:ilvl w:val="1"/>
          <w:numId w:val="1"/>
        </w:numPr>
        <w:spacing w:after="120"/>
        <w:rPr>
          <w:rFonts w:asciiTheme="minorHAnsi" w:hAnsiTheme="minorHAnsi"/>
          <w:bCs/>
          <w:snapToGrid w:val="0"/>
        </w:rPr>
      </w:pPr>
      <w:r>
        <w:rPr>
          <w:rFonts w:asciiTheme="minorHAnsi" w:hAnsiTheme="minorHAnsi"/>
          <w:bCs/>
          <w:snapToGrid w:val="0"/>
        </w:rPr>
        <w:t xml:space="preserve">The PBAC also noted input from Her Heart, which was supportive of the expanded LDL-C criteria and GP initiation in consultation with specialists, noting that the restriction to specialist initiation posed equity issues, which further exacerbated gender disparities in relation to prescribing and adherence to treatment. </w:t>
      </w:r>
    </w:p>
    <w:p w14:paraId="7E6B3201" w14:textId="5BF6F4A9" w:rsidR="00910D2D" w:rsidRPr="00296B1A" w:rsidRDefault="00910D2D" w:rsidP="003B40EB">
      <w:pPr>
        <w:widowControl w:val="0"/>
        <w:numPr>
          <w:ilvl w:val="1"/>
          <w:numId w:val="1"/>
        </w:numPr>
        <w:spacing w:after="120"/>
        <w:rPr>
          <w:rFonts w:asciiTheme="minorHAnsi" w:hAnsiTheme="minorHAnsi"/>
          <w:bCs/>
          <w:snapToGrid w:val="0"/>
        </w:rPr>
      </w:pPr>
      <w:r w:rsidRPr="00836F75">
        <w:rPr>
          <w:rFonts w:asciiTheme="minorHAnsi" w:hAnsiTheme="minorHAnsi"/>
          <w:bCs/>
          <w:snapToGrid w:val="0"/>
        </w:rPr>
        <w:t xml:space="preserve">The PBAC noted that </w:t>
      </w:r>
      <w:r>
        <w:rPr>
          <w:rFonts w:asciiTheme="minorHAnsi" w:hAnsiTheme="minorHAnsi"/>
          <w:bCs/>
          <w:snapToGrid w:val="0"/>
        </w:rPr>
        <w:t>comments were</w:t>
      </w:r>
      <w:r w:rsidRPr="00836F75">
        <w:rPr>
          <w:rFonts w:asciiTheme="minorHAnsi" w:hAnsiTheme="minorHAnsi"/>
          <w:bCs/>
          <w:snapToGrid w:val="0"/>
        </w:rPr>
        <w:t xml:space="preserve"> supportive of the </w:t>
      </w:r>
      <w:r>
        <w:rPr>
          <w:rFonts w:asciiTheme="minorHAnsi" w:hAnsiTheme="minorHAnsi"/>
          <w:bCs/>
          <w:snapToGrid w:val="0"/>
        </w:rPr>
        <w:t>arguments</w:t>
      </w:r>
      <w:r w:rsidRPr="00836F75">
        <w:rPr>
          <w:rFonts w:asciiTheme="minorHAnsi" w:hAnsiTheme="minorHAnsi"/>
          <w:bCs/>
          <w:snapToGrid w:val="0"/>
        </w:rPr>
        <w:t xml:space="preserve"> provided in the submission</w:t>
      </w:r>
      <w:r>
        <w:rPr>
          <w:rFonts w:asciiTheme="minorHAnsi" w:hAnsiTheme="minorHAnsi"/>
          <w:bCs/>
          <w:snapToGrid w:val="0"/>
        </w:rPr>
        <w:t xml:space="preserve"> for broader access to evolocumab</w:t>
      </w:r>
      <w:r w:rsidRPr="00836F75">
        <w:rPr>
          <w:rFonts w:asciiTheme="minorHAnsi" w:hAnsiTheme="minorHAnsi"/>
          <w:bCs/>
          <w:snapToGrid w:val="0"/>
        </w:rPr>
        <w:t>.</w:t>
      </w:r>
    </w:p>
    <w:bookmarkEnd w:id="17"/>
    <w:p w14:paraId="609C0765" w14:textId="193DAEF7" w:rsidR="00B60939" w:rsidRPr="00C9624D" w:rsidRDefault="00B60939" w:rsidP="002E4F02">
      <w:pPr>
        <w:pStyle w:val="3-SubsectionHeading"/>
      </w:pPr>
      <w:r w:rsidRPr="00C9624D">
        <w:t>Clinical trials</w:t>
      </w:r>
      <w:bookmarkEnd w:id="13"/>
      <w:bookmarkEnd w:id="15"/>
    </w:p>
    <w:p w14:paraId="490CCD97" w14:textId="27E0333F" w:rsidR="001359C8" w:rsidRPr="00FF4735" w:rsidRDefault="001359C8" w:rsidP="001359C8">
      <w:pPr>
        <w:pStyle w:val="ExecSumBodyText"/>
        <w:rPr>
          <w:iCs/>
          <w:snapToGrid/>
          <w:lang w:val="en-US"/>
        </w:rPr>
      </w:pPr>
      <w:r w:rsidRPr="001359C8">
        <w:rPr>
          <w:snapToGrid/>
          <w:lang w:val="en-US"/>
        </w:rPr>
        <w:t xml:space="preserve">The submission was based on one head-to-head comparison of cardiovascular outcomes with evolocumab versus placebo in hypercholesterolaemia patients with atherosclerotic cardiovascular disease (FOURIER). </w:t>
      </w:r>
      <w:r w:rsidRPr="00FF4735">
        <w:rPr>
          <w:iCs/>
          <w:snapToGrid/>
          <w:lang w:val="en-US"/>
        </w:rPr>
        <w:t xml:space="preserve">Data from the FOURIER trial </w:t>
      </w:r>
      <w:r w:rsidR="00C61F38" w:rsidRPr="00FF4735">
        <w:rPr>
          <w:iCs/>
          <w:snapToGrid/>
          <w:lang w:val="en-US"/>
        </w:rPr>
        <w:t>has</w:t>
      </w:r>
      <w:r w:rsidRPr="00FF4735">
        <w:rPr>
          <w:iCs/>
          <w:snapToGrid/>
          <w:lang w:val="en-US"/>
        </w:rPr>
        <w:t xml:space="preserve"> been considered previously by the PBAC.</w:t>
      </w:r>
    </w:p>
    <w:p w14:paraId="17DE34DC" w14:textId="6EC8AFDA" w:rsidR="007F1017" w:rsidRPr="002E4F02" w:rsidRDefault="009D02FB" w:rsidP="002E4F02">
      <w:pPr>
        <w:pStyle w:val="ExecSumBodyText"/>
        <w:rPr>
          <w:color w:val="0066FF"/>
        </w:rPr>
      </w:pPr>
      <w:r w:rsidRPr="00FF4735">
        <w:rPr>
          <w:iCs/>
        </w:rPr>
        <w:t xml:space="preserve">The submission did not present specific clinical data to support the proposed extension of listing for hypercholesterolaemia patients with atherosclerotic disease who have an </w:t>
      </w:r>
      <w:r w:rsidR="006D7786" w:rsidRPr="00FF4735">
        <w:rPr>
          <w:iCs/>
        </w:rPr>
        <w:t xml:space="preserve">LDL-C </w:t>
      </w:r>
      <w:r w:rsidRPr="00FF4735">
        <w:rPr>
          <w:iCs/>
        </w:rPr>
        <w:t xml:space="preserve">level between 1.8 and 2.6 mmol/L, however patients with baseline </w:t>
      </w:r>
      <w:r w:rsidR="006D7786" w:rsidRPr="00FF4735">
        <w:rPr>
          <w:iCs/>
        </w:rPr>
        <w:t xml:space="preserve">LDL-C </w:t>
      </w:r>
      <w:r w:rsidRPr="00FF4735">
        <w:rPr>
          <w:iCs/>
        </w:rPr>
        <w:t>within this range were included in the FOURIER trial.</w:t>
      </w:r>
      <w:r w:rsidRPr="002E4F02">
        <w:rPr>
          <w:snapToGrid/>
          <w:color w:val="0066FF"/>
          <w:lang w:val="en-US"/>
        </w:rPr>
        <w:t xml:space="preserve"> </w:t>
      </w:r>
    </w:p>
    <w:p w14:paraId="2B59ABAC" w14:textId="61FEB13B" w:rsidR="00862502" w:rsidRPr="00B50DB8" w:rsidRDefault="00A73134" w:rsidP="002E4F02">
      <w:pPr>
        <w:pStyle w:val="ExecSumBodyText"/>
      </w:pPr>
      <w:r>
        <w:rPr>
          <w:snapToGrid/>
          <w:lang w:val="en-US"/>
        </w:rPr>
        <w:t xml:space="preserve">Details of the trial presented in the submission are provided in </w:t>
      </w:r>
      <w:r w:rsidR="006F4A9F">
        <w:rPr>
          <w:snapToGrid/>
          <w:lang w:val="en-US"/>
        </w:rPr>
        <w:fldChar w:fldCharType="begin"/>
      </w:r>
      <w:r w:rsidR="006F4A9F">
        <w:rPr>
          <w:snapToGrid/>
          <w:lang w:val="en-US"/>
        </w:rPr>
        <w:instrText xml:space="preserve"> REF _Ref102472833 \h </w:instrText>
      </w:r>
      <w:r w:rsidR="006F4A9F">
        <w:rPr>
          <w:snapToGrid/>
          <w:lang w:val="en-US"/>
        </w:rPr>
      </w:r>
      <w:r w:rsidR="006F4A9F">
        <w:rPr>
          <w:snapToGrid/>
          <w:lang w:val="en-US"/>
        </w:rPr>
        <w:fldChar w:fldCharType="separate"/>
      </w:r>
      <w:r w:rsidR="00EB7F7C" w:rsidRPr="002E4F02">
        <w:t>Table</w:t>
      </w:r>
      <w:r w:rsidR="00EB7F7C">
        <w:t xml:space="preserve"> </w:t>
      </w:r>
      <w:r w:rsidR="00EB7F7C">
        <w:rPr>
          <w:noProof/>
        </w:rPr>
        <w:t>5</w:t>
      </w:r>
      <w:r w:rsidR="006F4A9F">
        <w:rPr>
          <w:snapToGrid/>
          <w:lang w:val="en-US"/>
        </w:rPr>
        <w:fldChar w:fldCharType="end"/>
      </w:r>
      <w:r w:rsidR="006F4A9F">
        <w:rPr>
          <w:snapToGrid/>
          <w:lang w:val="en-US"/>
        </w:rPr>
        <w:t xml:space="preserve"> </w:t>
      </w:r>
      <w:r>
        <w:rPr>
          <w:snapToGrid/>
          <w:lang w:val="en-US"/>
        </w:rPr>
        <w:t>below.</w:t>
      </w:r>
    </w:p>
    <w:p w14:paraId="7DE3A286" w14:textId="02E218A7" w:rsidR="008E0D3C" w:rsidRPr="002E4F02" w:rsidRDefault="008E0D3C" w:rsidP="00230DB1">
      <w:pPr>
        <w:pStyle w:val="TableFigureCaption"/>
      </w:pPr>
      <w:bookmarkStart w:id="19" w:name="_Ref102472833"/>
      <w:r w:rsidRPr="002E4F02">
        <w:t>Table</w:t>
      </w:r>
      <w:r w:rsidR="006161F9">
        <w:t xml:space="preserve"> </w:t>
      </w:r>
      <w:fldSimple w:instr=" SEQ Table \* ARABIC ">
        <w:r w:rsidR="00EB7F7C">
          <w:rPr>
            <w:noProof/>
          </w:rPr>
          <w:t>5</w:t>
        </w:r>
      </w:fldSimple>
      <w:bookmarkEnd w:id="19"/>
      <w:r w:rsidR="006161F9">
        <w:t>:</w:t>
      </w:r>
      <w:r w:rsidR="00BC591F" w:rsidRPr="002E4F02">
        <w:t xml:space="preserve"> </w:t>
      </w:r>
      <w:r w:rsidRPr="002E4F02">
        <w:t>Trial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5: Trial and associated reports presented in the submission"/>
      </w:tblPr>
      <w:tblGrid>
        <w:gridCol w:w="1435"/>
        <w:gridCol w:w="5459"/>
        <w:gridCol w:w="2123"/>
      </w:tblGrid>
      <w:tr w:rsidR="006161F9" w:rsidRPr="00B41614" w14:paraId="1E5A3F6B" w14:textId="77777777" w:rsidTr="00BF34B1">
        <w:trPr>
          <w:tblHeader/>
        </w:trPr>
        <w:tc>
          <w:tcPr>
            <w:tcW w:w="796" w:type="pct"/>
            <w:vAlign w:val="center"/>
          </w:tcPr>
          <w:p w14:paraId="61626DF0" w14:textId="77777777" w:rsidR="006161F9" w:rsidRPr="00B41614" w:rsidRDefault="006161F9" w:rsidP="00BF34B1">
            <w:pPr>
              <w:pStyle w:val="Tableheadingrow"/>
            </w:pPr>
            <w:r w:rsidRPr="00B41614">
              <w:t>Trial ID</w:t>
            </w:r>
          </w:p>
        </w:tc>
        <w:tc>
          <w:tcPr>
            <w:tcW w:w="3027" w:type="pct"/>
            <w:tcBorders>
              <w:bottom w:val="single" w:sz="4" w:space="0" w:color="auto"/>
            </w:tcBorders>
            <w:vAlign w:val="center"/>
          </w:tcPr>
          <w:p w14:paraId="18208827" w14:textId="77777777" w:rsidR="006161F9" w:rsidRPr="00B41614" w:rsidRDefault="006161F9" w:rsidP="00BF34B1">
            <w:pPr>
              <w:pStyle w:val="Tableheadingrow"/>
            </w:pPr>
            <w:r w:rsidRPr="00B41614">
              <w:t>Protocol title/ Publication title</w:t>
            </w:r>
          </w:p>
        </w:tc>
        <w:tc>
          <w:tcPr>
            <w:tcW w:w="1177" w:type="pct"/>
            <w:tcBorders>
              <w:bottom w:val="single" w:sz="4" w:space="0" w:color="auto"/>
            </w:tcBorders>
            <w:vAlign w:val="center"/>
          </w:tcPr>
          <w:p w14:paraId="3313EC3A" w14:textId="77777777" w:rsidR="006161F9" w:rsidRPr="00B41614" w:rsidRDefault="006161F9" w:rsidP="00BF34B1">
            <w:pPr>
              <w:pStyle w:val="Tableheadingrow"/>
            </w:pPr>
            <w:r w:rsidRPr="00B41614">
              <w:t>Publication citation</w:t>
            </w:r>
          </w:p>
        </w:tc>
      </w:tr>
      <w:tr w:rsidR="006161F9" w:rsidRPr="00CB38A8" w14:paraId="4D5BD105" w14:textId="77777777" w:rsidTr="00BF34B1">
        <w:tc>
          <w:tcPr>
            <w:tcW w:w="796" w:type="pct"/>
            <w:vMerge w:val="restart"/>
            <w:vAlign w:val="center"/>
          </w:tcPr>
          <w:p w14:paraId="073FB741" w14:textId="77777777" w:rsidR="006161F9" w:rsidRPr="00CB38A8" w:rsidRDefault="006161F9" w:rsidP="00BF34B1">
            <w:pPr>
              <w:pStyle w:val="TableText"/>
            </w:pPr>
            <w:r>
              <w:t>FOURIER</w:t>
            </w:r>
          </w:p>
        </w:tc>
        <w:tc>
          <w:tcPr>
            <w:tcW w:w="3027" w:type="pct"/>
            <w:tcBorders>
              <w:bottom w:val="nil"/>
            </w:tcBorders>
            <w:vAlign w:val="center"/>
          </w:tcPr>
          <w:p w14:paraId="3265E1C0" w14:textId="77777777" w:rsidR="006161F9" w:rsidRPr="00A81A4E" w:rsidRDefault="006161F9" w:rsidP="00BF34B1">
            <w:pPr>
              <w:jc w:val="left"/>
              <w:rPr>
                <w:rFonts w:ascii="Arial Narrow" w:hAnsi="Arial Narrow"/>
                <w:sz w:val="20"/>
                <w:szCs w:val="20"/>
              </w:rPr>
            </w:pPr>
            <w:r w:rsidRPr="002936F3">
              <w:rPr>
                <w:rFonts w:ascii="Arial Narrow" w:hAnsi="Arial Narrow"/>
                <w:sz w:val="20"/>
                <w:szCs w:val="20"/>
              </w:rPr>
              <w:t xml:space="preserve">A Double-blind, Randomised, Placebo-controlled, Multicenter Study Assessing the Impact of Additional LDL-Cholesterol Reduction on Major Cardiovascular Events When </w:t>
            </w:r>
            <w:r>
              <w:rPr>
                <w:rFonts w:ascii="Arial Narrow" w:hAnsi="Arial Narrow"/>
                <w:sz w:val="20"/>
                <w:szCs w:val="20"/>
              </w:rPr>
              <w:t>Evolocumab (</w:t>
            </w:r>
            <w:r w:rsidRPr="002936F3">
              <w:rPr>
                <w:rFonts w:ascii="Arial Narrow" w:hAnsi="Arial Narrow"/>
                <w:sz w:val="20"/>
                <w:szCs w:val="20"/>
              </w:rPr>
              <w:t>AMG 145</w:t>
            </w:r>
            <w:r>
              <w:rPr>
                <w:rFonts w:ascii="Arial Narrow" w:hAnsi="Arial Narrow"/>
                <w:sz w:val="20"/>
                <w:szCs w:val="20"/>
              </w:rPr>
              <w:t>)</w:t>
            </w:r>
            <w:r w:rsidRPr="002936F3">
              <w:rPr>
                <w:rFonts w:ascii="Arial Narrow" w:hAnsi="Arial Narrow"/>
                <w:sz w:val="20"/>
                <w:szCs w:val="20"/>
              </w:rPr>
              <w:t xml:space="preserve"> is Used in Combination With Statin Therapy in Patients with Clinically Evident Cardiovascular Disease.</w:t>
            </w:r>
          </w:p>
        </w:tc>
        <w:tc>
          <w:tcPr>
            <w:tcW w:w="1177" w:type="pct"/>
            <w:tcBorders>
              <w:bottom w:val="nil"/>
            </w:tcBorders>
          </w:tcPr>
          <w:p w14:paraId="099251E1" w14:textId="77777777" w:rsidR="006161F9" w:rsidRPr="00CB38A8" w:rsidRDefault="006161F9" w:rsidP="00BF34B1">
            <w:pPr>
              <w:pStyle w:val="TableText"/>
            </w:pPr>
            <w:r>
              <w:t>Clinical Study Report, 10 April 2017</w:t>
            </w:r>
          </w:p>
        </w:tc>
      </w:tr>
      <w:tr w:rsidR="006161F9" w:rsidRPr="00CB38A8" w14:paraId="0A5D312E" w14:textId="77777777" w:rsidTr="00BF34B1">
        <w:tc>
          <w:tcPr>
            <w:tcW w:w="796" w:type="pct"/>
            <w:vMerge/>
            <w:vAlign w:val="center"/>
          </w:tcPr>
          <w:p w14:paraId="566E9411" w14:textId="77777777" w:rsidR="006161F9" w:rsidRPr="00CB38A8" w:rsidRDefault="006161F9" w:rsidP="00BF34B1">
            <w:pPr>
              <w:pStyle w:val="TableText"/>
            </w:pPr>
          </w:p>
        </w:tc>
        <w:tc>
          <w:tcPr>
            <w:tcW w:w="3027" w:type="pct"/>
            <w:tcBorders>
              <w:top w:val="nil"/>
              <w:bottom w:val="nil"/>
            </w:tcBorders>
            <w:vAlign w:val="center"/>
          </w:tcPr>
          <w:p w14:paraId="6B33358D" w14:textId="77777777" w:rsidR="006161F9" w:rsidRPr="006931E4" w:rsidRDefault="006161F9" w:rsidP="00BF34B1">
            <w:pPr>
              <w:contextualSpacing/>
              <w:jc w:val="left"/>
              <w:rPr>
                <w:rFonts w:ascii="Arial Narrow" w:hAnsi="Arial Narrow"/>
                <w:sz w:val="20"/>
                <w:szCs w:val="20"/>
              </w:rPr>
            </w:pPr>
            <w:r w:rsidRPr="006931E4">
              <w:rPr>
                <w:rFonts w:ascii="Arial Narrow" w:hAnsi="Arial Narrow"/>
                <w:sz w:val="20"/>
                <w:szCs w:val="20"/>
              </w:rPr>
              <w:t>Sabatine</w:t>
            </w:r>
            <w:r>
              <w:rPr>
                <w:rFonts w:ascii="Arial Narrow" w:hAnsi="Arial Narrow"/>
                <w:sz w:val="20"/>
                <w:szCs w:val="20"/>
              </w:rPr>
              <w:t xml:space="preserve"> MS, Giugliano RP, Keech AC,</w:t>
            </w:r>
            <w:r w:rsidRPr="006931E4">
              <w:rPr>
                <w:rFonts w:ascii="Arial Narrow" w:hAnsi="Arial Narrow"/>
                <w:sz w:val="20"/>
                <w:szCs w:val="20"/>
              </w:rPr>
              <w:t xml:space="preserve"> et al. Evolocumab and clinical outcomes in patients with cardiovascular disease. </w:t>
            </w:r>
          </w:p>
        </w:tc>
        <w:tc>
          <w:tcPr>
            <w:tcW w:w="1177" w:type="pct"/>
            <w:tcBorders>
              <w:top w:val="nil"/>
              <w:bottom w:val="nil"/>
            </w:tcBorders>
            <w:vAlign w:val="center"/>
          </w:tcPr>
          <w:p w14:paraId="269A5936" w14:textId="77777777" w:rsidR="006161F9" w:rsidRPr="00E34A35" w:rsidRDefault="006161F9" w:rsidP="00BF34B1">
            <w:pPr>
              <w:pStyle w:val="TableText"/>
              <w:rPr>
                <w:szCs w:val="18"/>
              </w:rPr>
            </w:pPr>
            <w:r w:rsidRPr="006931E4">
              <w:rPr>
                <w:i/>
                <w:iCs/>
                <w:szCs w:val="20"/>
              </w:rPr>
              <w:t>NEJM</w:t>
            </w:r>
            <w:r w:rsidRPr="006931E4">
              <w:rPr>
                <w:szCs w:val="20"/>
              </w:rPr>
              <w:t xml:space="preserve"> </w:t>
            </w:r>
            <w:r>
              <w:rPr>
                <w:szCs w:val="20"/>
              </w:rPr>
              <w:t xml:space="preserve">2017; </w:t>
            </w:r>
            <w:r w:rsidRPr="006931E4">
              <w:rPr>
                <w:szCs w:val="20"/>
              </w:rPr>
              <w:t>376 (18): 1713-1722</w:t>
            </w:r>
          </w:p>
        </w:tc>
      </w:tr>
      <w:tr w:rsidR="006161F9" w:rsidRPr="00CB38A8" w14:paraId="4484FA6C" w14:textId="77777777" w:rsidTr="00BF34B1">
        <w:tc>
          <w:tcPr>
            <w:tcW w:w="796" w:type="pct"/>
            <w:vMerge/>
            <w:tcBorders>
              <w:bottom w:val="single" w:sz="4" w:space="0" w:color="auto"/>
            </w:tcBorders>
            <w:vAlign w:val="center"/>
          </w:tcPr>
          <w:p w14:paraId="34346CE8" w14:textId="77777777" w:rsidR="006161F9" w:rsidRPr="00CB38A8" w:rsidRDefault="006161F9" w:rsidP="00BF34B1">
            <w:pPr>
              <w:pStyle w:val="TableText"/>
            </w:pPr>
          </w:p>
        </w:tc>
        <w:tc>
          <w:tcPr>
            <w:tcW w:w="3027" w:type="pct"/>
            <w:tcBorders>
              <w:top w:val="nil"/>
              <w:bottom w:val="single" w:sz="4" w:space="0" w:color="auto"/>
            </w:tcBorders>
            <w:vAlign w:val="center"/>
          </w:tcPr>
          <w:p w14:paraId="5A42C6CA" w14:textId="77777777" w:rsidR="006161F9" w:rsidRPr="00AB6248" w:rsidRDefault="006161F9" w:rsidP="00BF34B1">
            <w:pPr>
              <w:pStyle w:val="TableText"/>
              <w:rPr>
                <w:szCs w:val="18"/>
                <w:lang w:val="en-US"/>
              </w:rPr>
            </w:pPr>
            <w:r w:rsidRPr="002936F3">
              <w:rPr>
                <w:szCs w:val="20"/>
              </w:rPr>
              <w:t>Sabatine</w:t>
            </w:r>
            <w:r>
              <w:rPr>
                <w:szCs w:val="20"/>
              </w:rPr>
              <w:t xml:space="preserve"> MS, De Ferrari GM, Giugliano RP,</w:t>
            </w:r>
            <w:r w:rsidRPr="002936F3">
              <w:rPr>
                <w:szCs w:val="20"/>
              </w:rPr>
              <w:t xml:space="preserve"> et al. Clinical </w:t>
            </w:r>
            <w:r>
              <w:rPr>
                <w:szCs w:val="20"/>
              </w:rPr>
              <w:t>b</w:t>
            </w:r>
            <w:r w:rsidRPr="002936F3">
              <w:rPr>
                <w:szCs w:val="20"/>
              </w:rPr>
              <w:t xml:space="preserve">enefit of </w:t>
            </w:r>
            <w:r>
              <w:rPr>
                <w:szCs w:val="20"/>
              </w:rPr>
              <w:t>e</w:t>
            </w:r>
            <w:r w:rsidRPr="002936F3">
              <w:rPr>
                <w:szCs w:val="20"/>
              </w:rPr>
              <w:t xml:space="preserve">volocumab by </w:t>
            </w:r>
            <w:r>
              <w:rPr>
                <w:szCs w:val="20"/>
              </w:rPr>
              <w:t>s</w:t>
            </w:r>
            <w:r w:rsidRPr="002936F3">
              <w:rPr>
                <w:szCs w:val="20"/>
              </w:rPr>
              <w:t xml:space="preserve">everity and </w:t>
            </w:r>
            <w:r>
              <w:rPr>
                <w:szCs w:val="20"/>
              </w:rPr>
              <w:t>e</w:t>
            </w:r>
            <w:r w:rsidRPr="002936F3">
              <w:rPr>
                <w:szCs w:val="20"/>
              </w:rPr>
              <w:t xml:space="preserve">xtent of </w:t>
            </w:r>
            <w:r>
              <w:rPr>
                <w:szCs w:val="20"/>
              </w:rPr>
              <w:t>c</w:t>
            </w:r>
            <w:r w:rsidRPr="002936F3">
              <w:rPr>
                <w:szCs w:val="20"/>
              </w:rPr>
              <w:t xml:space="preserve">oronary </w:t>
            </w:r>
            <w:r>
              <w:rPr>
                <w:szCs w:val="20"/>
              </w:rPr>
              <w:t>a</w:t>
            </w:r>
            <w:r w:rsidRPr="002936F3">
              <w:rPr>
                <w:szCs w:val="20"/>
              </w:rPr>
              <w:t xml:space="preserve">rtery </w:t>
            </w:r>
            <w:r>
              <w:rPr>
                <w:szCs w:val="20"/>
              </w:rPr>
              <w:t>d</w:t>
            </w:r>
            <w:r w:rsidRPr="002936F3">
              <w:rPr>
                <w:szCs w:val="20"/>
              </w:rPr>
              <w:t xml:space="preserve">isease. </w:t>
            </w:r>
          </w:p>
        </w:tc>
        <w:tc>
          <w:tcPr>
            <w:tcW w:w="1177" w:type="pct"/>
            <w:tcBorders>
              <w:top w:val="nil"/>
              <w:bottom w:val="single" w:sz="4" w:space="0" w:color="auto"/>
            </w:tcBorders>
            <w:vAlign w:val="center"/>
          </w:tcPr>
          <w:p w14:paraId="4ED10A4D" w14:textId="55E9A9FB" w:rsidR="006161F9" w:rsidRPr="00AB6248" w:rsidRDefault="006161F9" w:rsidP="00BF34B1">
            <w:pPr>
              <w:pStyle w:val="TableText"/>
              <w:rPr>
                <w:i/>
                <w:szCs w:val="18"/>
                <w:lang w:val="en-US"/>
              </w:rPr>
            </w:pPr>
            <w:r w:rsidRPr="006931E4">
              <w:rPr>
                <w:i/>
                <w:iCs/>
                <w:szCs w:val="20"/>
              </w:rPr>
              <w:t>Circulation</w:t>
            </w:r>
            <w:r w:rsidRPr="002936F3">
              <w:rPr>
                <w:szCs w:val="20"/>
              </w:rPr>
              <w:t xml:space="preserve"> 2018; 138 (8)</w:t>
            </w:r>
            <w:r w:rsidR="00A06FAC">
              <w:rPr>
                <w:szCs w:val="20"/>
              </w:rPr>
              <w:t>:</w:t>
            </w:r>
            <w:r w:rsidRPr="002936F3">
              <w:rPr>
                <w:szCs w:val="20"/>
              </w:rPr>
              <w:t xml:space="preserve"> 756-766</w:t>
            </w:r>
          </w:p>
        </w:tc>
      </w:tr>
    </w:tbl>
    <w:p w14:paraId="51D8173A" w14:textId="6A6DB185" w:rsidR="008E0D3C" w:rsidRDefault="006161F9" w:rsidP="00293F12">
      <w:pPr>
        <w:pStyle w:val="TableFigureFooter"/>
      </w:pPr>
      <w:r>
        <w:t>Source: Table 2.1-1, p29 of the submission.</w:t>
      </w:r>
    </w:p>
    <w:p w14:paraId="52742989" w14:textId="77777777" w:rsidR="00985590" w:rsidRDefault="00985590" w:rsidP="00293F12">
      <w:pPr>
        <w:pStyle w:val="TableFigureFooter"/>
      </w:pPr>
    </w:p>
    <w:p w14:paraId="1DD06D7D" w14:textId="5561AE5C" w:rsidR="007F1017" w:rsidRPr="00EC5836" w:rsidRDefault="008F120A" w:rsidP="00EC5836">
      <w:pPr>
        <w:pStyle w:val="ExecSumBodyText"/>
        <w:rPr>
          <w:color w:val="0066FF"/>
        </w:rPr>
      </w:pPr>
      <w:r w:rsidRPr="00B50DB8">
        <w:t xml:space="preserve">The key features of the </w:t>
      </w:r>
      <w:r w:rsidR="00505405">
        <w:t>FOURIER tr</w:t>
      </w:r>
      <w:r w:rsidR="00994CCE">
        <w:t>ial</w:t>
      </w:r>
      <w:r w:rsidRPr="00B50DB8">
        <w:t xml:space="preserve"> are summarised in</w:t>
      </w:r>
      <w:r w:rsidR="00C52307">
        <w:t xml:space="preserve"> </w:t>
      </w:r>
      <w:r w:rsidR="00C52307">
        <w:fldChar w:fldCharType="begin"/>
      </w:r>
      <w:r w:rsidR="00C52307">
        <w:instrText xml:space="preserve"> REF _Ref102472846 \h </w:instrText>
      </w:r>
      <w:r w:rsidR="00C52307">
        <w:fldChar w:fldCharType="separate"/>
      </w:r>
      <w:r w:rsidR="00EB7F7C" w:rsidRPr="00A13256">
        <w:t>Table</w:t>
      </w:r>
      <w:r w:rsidR="00EB7F7C">
        <w:t xml:space="preserve"> </w:t>
      </w:r>
      <w:r w:rsidR="00EB7F7C">
        <w:rPr>
          <w:noProof/>
        </w:rPr>
        <w:t>6</w:t>
      </w:r>
      <w:r w:rsidR="00C52307">
        <w:fldChar w:fldCharType="end"/>
      </w:r>
      <w:r w:rsidR="00C52307">
        <w:t>.</w:t>
      </w:r>
    </w:p>
    <w:p w14:paraId="6CA211BA" w14:textId="1F6AF390" w:rsidR="00A13256" w:rsidRPr="00A13256" w:rsidRDefault="00A13256" w:rsidP="008B081E">
      <w:pPr>
        <w:pStyle w:val="TableFigureCaption"/>
      </w:pPr>
      <w:bookmarkStart w:id="20" w:name="_Ref102472846"/>
      <w:r w:rsidRPr="00A13256">
        <w:lastRenderedPageBreak/>
        <w:t>Table</w:t>
      </w:r>
      <w:r>
        <w:t xml:space="preserve"> </w:t>
      </w:r>
      <w:fldSimple w:instr=" SEQ Table \* ARABIC ">
        <w:r w:rsidR="00EB7F7C">
          <w:rPr>
            <w:noProof/>
          </w:rPr>
          <w:t>6</w:t>
        </w:r>
      </w:fldSimple>
      <w:bookmarkEnd w:id="20"/>
      <w:r>
        <w:t>:</w:t>
      </w:r>
      <w:r w:rsidRPr="00A13256">
        <w:t xml:space="preserve">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6: Key features of the included evidence"/>
      </w:tblPr>
      <w:tblGrid>
        <w:gridCol w:w="1240"/>
        <w:gridCol w:w="797"/>
        <w:gridCol w:w="1367"/>
        <w:gridCol w:w="1077"/>
        <w:gridCol w:w="1735"/>
        <w:gridCol w:w="1151"/>
        <w:gridCol w:w="1650"/>
      </w:tblGrid>
      <w:tr w:rsidR="00A13256" w:rsidRPr="00B41614" w14:paraId="00A1D468" w14:textId="77777777" w:rsidTr="00523D98">
        <w:tc>
          <w:tcPr>
            <w:tcW w:w="688" w:type="pct"/>
            <w:shd w:val="clear" w:color="auto" w:fill="auto"/>
            <w:vAlign w:val="center"/>
          </w:tcPr>
          <w:p w14:paraId="208EF1E0" w14:textId="77777777" w:rsidR="00A13256" w:rsidRPr="00B41614" w:rsidRDefault="00A13256" w:rsidP="008B081E">
            <w:pPr>
              <w:pStyle w:val="Tabletext0"/>
              <w:keepNext/>
              <w:rPr>
                <w:b/>
                <w:lang w:val="en-US"/>
              </w:rPr>
            </w:pPr>
            <w:r w:rsidRPr="00B41614">
              <w:rPr>
                <w:b/>
                <w:lang w:val="en-US"/>
              </w:rPr>
              <w:t>Trial</w:t>
            </w:r>
          </w:p>
        </w:tc>
        <w:tc>
          <w:tcPr>
            <w:tcW w:w="442" w:type="pct"/>
            <w:shd w:val="clear" w:color="auto" w:fill="auto"/>
            <w:vAlign w:val="center"/>
          </w:tcPr>
          <w:p w14:paraId="26E1E808" w14:textId="77777777" w:rsidR="00A13256" w:rsidRPr="00B41614" w:rsidRDefault="00A13256" w:rsidP="008B081E">
            <w:pPr>
              <w:pStyle w:val="Tabletext0"/>
              <w:keepNext/>
              <w:jc w:val="center"/>
              <w:rPr>
                <w:b/>
                <w:lang w:val="en-US"/>
              </w:rPr>
            </w:pPr>
            <w:r w:rsidRPr="00B41614">
              <w:rPr>
                <w:b/>
                <w:lang w:val="en-US"/>
              </w:rPr>
              <w:t>N</w:t>
            </w:r>
          </w:p>
        </w:tc>
        <w:tc>
          <w:tcPr>
            <w:tcW w:w="758" w:type="pct"/>
            <w:shd w:val="clear" w:color="auto" w:fill="auto"/>
            <w:vAlign w:val="center"/>
          </w:tcPr>
          <w:p w14:paraId="438F4396" w14:textId="77777777" w:rsidR="00A13256" w:rsidRPr="00B41614" w:rsidRDefault="00A13256" w:rsidP="008B081E">
            <w:pPr>
              <w:pStyle w:val="Tabletext0"/>
              <w:keepNext/>
              <w:jc w:val="center"/>
              <w:rPr>
                <w:b/>
                <w:lang w:val="en-US"/>
              </w:rPr>
            </w:pPr>
            <w:r w:rsidRPr="00B41614">
              <w:rPr>
                <w:b/>
                <w:lang w:val="en-US"/>
              </w:rPr>
              <w:t>Design/ duration</w:t>
            </w:r>
          </w:p>
        </w:tc>
        <w:tc>
          <w:tcPr>
            <w:tcW w:w="597" w:type="pct"/>
            <w:shd w:val="clear" w:color="auto" w:fill="auto"/>
            <w:vAlign w:val="center"/>
          </w:tcPr>
          <w:p w14:paraId="6A20B2AC" w14:textId="77777777" w:rsidR="00A13256" w:rsidRPr="00B41614" w:rsidRDefault="00A13256" w:rsidP="008B081E">
            <w:pPr>
              <w:pStyle w:val="Tabletext0"/>
              <w:keepNext/>
              <w:jc w:val="center"/>
              <w:rPr>
                <w:b/>
                <w:lang w:val="en-US"/>
              </w:rPr>
            </w:pPr>
            <w:r w:rsidRPr="00B41614">
              <w:rPr>
                <w:b/>
                <w:lang w:val="en-US"/>
              </w:rPr>
              <w:t>Risk of bias</w:t>
            </w:r>
          </w:p>
        </w:tc>
        <w:tc>
          <w:tcPr>
            <w:tcW w:w="962" w:type="pct"/>
            <w:shd w:val="clear" w:color="auto" w:fill="auto"/>
            <w:vAlign w:val="center"/>
          </w:tcPr>
          <w:p w14:paraId="037360E1" w14:textId="77777777" w:rsidR="00A13256" w:rsidRPr="00B41614" w:rsidRDefault="00A13256" w:rsidP="008B081E">
            <w:pPr>
              <w:pStyle w:val="Tabletext0"/>
              <w:keepNext/>
              <w:jc w:val="center"/>
              <w:rPr>
                <w:b/>
                <w:lang w:val="en-US"/>
              </w:rPr>
            </w:pPr>
            <w:r w:rsidRPr="00B41614">
              <w:rPr>
                <w:b/>
                <w:lang w:val="en-US"/>
              </w:rPr>
              <w:t>Patient population</w:t>
            </w:r>
          </w:p>
        </w:tc>
        <w:tc>
          <w:tcPr>
            <w:tcW w:w="638" w:type="pct"/>
            <w:shd w:val="clear" w:color="auto" w:fill="auto"/>
            <w:vAlign w:val="center"/>
          </w:tcPr>
          <w:p w14:paraId="7C585CE5" w14:textId="77777777" w:rsidR="00A13256" w:rsidRPr="00B41614" w:rsidRDefault="00A13256" w:rsidP="008B081E">
            <w:pPr>
              <w:pStyle w:val="Tabletext0"/>
              <w:keepNext/>
              <w:jc w:val="center"/>
              <w:rPr>
                <w:b/>
                <w:lang w:val="en-US"/>
              </w:rPr>
            </w:pPr>
            <w:r>
              <w:rPr>
                <w:b/>
                <w:lang w:val="en-US"/>
              </w:rPr>
              <w:t>Outcomes</w:t>
            </w:r>
          </w:p>
        </w:tc>
        <w:tc>
          <w:tcPr>
            <w:tcW w:w="917" w:type="pct"/>
            <w:shd w:val="clear" w:color="auto" w:fill="auto"/>
            <w:vAlign w:val="center"/>
          </w:tcPr>
          <w:p w14:paraId="64F0B021" w14:textId="77777777" w:rsidR="00A13256" w:rsidRPr="00B41614" w:rsidRDefault="00A13256" w:rsidP="008B081E">
            <w:pPr>
              <w:pStyle w:val="Tabletext0"/>
              <w:keepNext/>
              <w:jc w:val="center"/>
              <w:rPr>
                <w:b/>
                <w:lang w:val="en-US"/>
              </w:rPr>
            </w:pPr>
            <w:r w:rsidRPr="00B41614">
              <w:rPr>
                <w:b/>
                <w:lang w:val="en-US"/>
              </w:rPr>
              <w:t>Use in modelled evaluation</w:t>
            </w:r>
          </w:p>
        </w:tc>
      </w:tr>
      <w:tr w:rsidR="00A13256" w:rsidRPr="00E2771E" w14:paraId="61443F07" w14:textId="77777777" w:rsidTr="00523D98">
        <w:tc>
          <w:tcPr>
            <w:tcW w:w="688" w:type="pct"/>
            <w:shd w:val="clear" w:color="auto" w:fill="auto"/>
            <w:vAlign w:val="center"/>
          </w:tcPr>
          <w:p w14:paraId="2D9654B7" w14:textId="77777777" w:rsidR="00A13256" w:rsidRPr="00E2771E" w:rsidRDefault="00A13256" w:rsidP="008B081E">
            <w:pPr>
              <w:pStyle w:val="Tabletext0"/>
              <w:keepNext/>
              <w:rPr>
                <w:lang w:val="en-US"/>
              </w:rPr>
            </w:pPr>
            <w:r>
              <w:t>FOURIER</w:t>
            </w:r>
          </w:p>
        </w:tc>
        <w:tc>
          <w:tcPr>
            <w:tcW w:w="442" w:type="pct"/>
            <w:shd w:val="clear" w:color="auto" w:fill="auto"/>
            <w:vAlign w:val="center"/>
          </w:tcPr>
          <w:p w14:paraId="7B3CB004" w14:textId="77777777" w:rsidR="00A13256" w:rsidRPr="00E2771E" w:rsidRDefault="00A13256" w:rsidP="008B081E">
            <w:pPr>
              <w:pStyle w:val="Tabletext0"/>
              <w:keepNext/>
              <w:jc w:val="center"/>
              <w:rPr>
                <w:lang w:val="en-US"/>
              </w:rPr>
            </w:pPr>
            <w:r w:rsidRPr="00726E52">
              <w:t>27,564</w:t>
            </w:r>
          </w:p>
        </w:tc>
        <w:tc>
          <w:tcPr>
            <w:tcW w:w="758" w:type="pct"/>
            <w:shd w:val="clear" w:color="auto" w:fill="auto"/>
            <w:vAlign w:val="center"/>
          </w:tcPr>
          <w:p w14:paraId="62398ADA" w14:textId="77777777" w:rsidR="00A13256" w:rsidRPr="00726E52" w:rsidRDefault="00A13256" w:rsidP="008B081E">
            <w:pPr>
              <w:pStyle w:val="TableText"/>
              <w:jc w:val="center"/>
            </w:pPr>
            <w:r w:rsidRPr="00726E52">
              <w:t>MC, R, DB, PC</w:t>
            </w:r>
          </w:p>
          <w:p w14:paraId="5490C1B5" w14:textId="77777777" w:rsidR="00A13256" w:rsidRPr="00E2771E" w:rsidRDefault="00A13256" w:rsidP="008B081E">
            <w:pPr>
              <w:pStyle w:val="Tabletext0"/>
              <w:keepNext/>
              <w:jc w:val="center"/>
              <w:rPr>
                <w:lang w:val="en-US"/>
              </w:rPr>
            </w:pPr>
            <w:r>
              <w:t>Median</w:t>
            </w:r>
            <w:r w:rsidRPr="00726E52">
              <w:t xml:space="preserve"> 2</w:t>
            </w:r>
            <w:r>
              <w:t>.2</w:t>
            </w:r>
            <w:r w:rsidRPr="00726E52">
              <w:t xml:space="preserve"> year duration</w:t>
            </w:r>
          </w:p>
        </w:tc>
        <w:tc>
          <w:tcPr>
            <w:tcW w:w="597" w:type="pct"/>
            <w:shd w:val="clear" w:color="auto" w:fill="auto"/>
            <w:vAlign w:val="center"/>
          </w:tcPr>
          <w:p w14:paraId="506427E7" w14:textId="77777777" w:rsidR="00A13256" w:rsidRPr="00E2771E" w:rsidRDefault="00A13256" w:rsidP="008B081E">
            <w:pPr>
              <w:pStyle w:val="Tabletext0"/>
              <w:keepNext/>
              <w:jc w:val="center"/>
              <w:rPr>
                <w:lang w:val="en-US"/>
              </w:rPr>
            </w:pPr>
            <w:r w:rsidRPr="00E2771E">
              <w:t>Low</w:t>
            </w:r>
          </w:p>
        </w:tc>
        <w:tc>
          <w:tcPr>
            <w:tcW w:w="962" w:type="pct"/>
            <w:shd w:val="clear" w:color="auto" w:fill="auto"/>
            <w:vAlign w:val="center"/>
          </w:tcPr>
          <w:p w14:paraId="2D5B9905" w14:textId="35A82298" w:rsidR="00A13256" w:rsidRPr="00E2771E" w:rsidRDefault="00A13256" w:rsidP="008B081E">
            <w:pPr>
              <w:pStyle w:val="Tabletext0"/>
              <w:keepNext/>
              <w:jc w:val="center"/>
              <w:rPr>
                <w:lang w:val="en-US"/>
              </w:rPr>
            </w:pPr>
            <w:r>
              <w:t>Hypercholesterolaemia with atherosclerotic disease and additional risk factors</w:t>
            </w:r>
            <w:r w:rsidR="00D57F16">
              <w:t>, despite optimised lipid lowering therapies</w:t>
            </w:r>
          </w:p>
        </w:tc>
        <w:tc>
          <w:tcPr>
            <w:tcW w:w="638" w:type="pct"/>
            <w:shd w:val="clear" w:color="auto" w:fill="auto"/>
            <w:vAlign w:val="center"/>
          </w:tcPr>
          <w:p w14:paraId="2E0A0EF6" w14:textId="77777777" w:rsidR="00A13256" w:rsidRPr="00E2771E" w:rsidRDefault="00A13256" w:rsidP="008B081E">
            <w:pPr>
              <w:pStyle w:val="Tabletext0"/>
              <w:keepNext/>
              <w:jc w:val="center"/>
              <w:rPr>
                <w:lang w:val="en-US"/>
              </w:rPr>
            </w:pPr>
            <w:r>
              <w:t>Cardiovascular events, lipid parameters</w:t>
            </w:r>
          </w:p>
        </w:tc>
        <w:tc>
          <w:tcPr>
            <w:tcW w:w="917" w:type="pct"/>
            <w:shd w:val="clear" w:color="auto" w:fill="auto"/>
            <w:vAlign w:val="center"/>
          </w:tcPr>
          <w:p w14:paraId="52ECCB68" w14:textId="70E69B40" w:rsidR="00A13256" w:rsidRPr="00E2771E" w:rsidRDefault="00A13256" w:rsidP="008B081E">
            <w:pPr>
              <w:pStyle w:val="Tabletext0"/>
              <w:keepNext/>
              <w:jc w:val="center"/>
              <w:rPr>
                <w:lang w:val="en-US"/>
              </w:rPr>
            </w:pPr>
            <w:r>
              <w:t xml:space="preserve">Used to support relationship between </w:t>
            </w:r>
            <w:r w:rsidR="006D7786">
              <w:t xml:space="preserve">LDL-C </w:t>
            </w:r>
            <w:r>
              <w:t>and cardiovascular events</w:t>
            </w:r>
          </w:p>
        </w:tc>
      </w:tr>
    </w:tbl>
    <w:p w14:paraId="224315CA" w14:textId="77777777" w:rsidR="008C3A79" w:rsidRPr="008C3A79" w:rsidRDefault="00A13256" w:rsidP="00E46937">
      <w:pPr>
        <w:pStyle w:val="TableFigureFooter"/>
        <w:keepNext/>
        <w:keepLines/>
      </w:pPr>
      <w:r w:rsidRPr="008C3A79">
        <w:t>Source: Table 2.3-1, p29</w:t>
      </w:r>
      <w:r w:rsidR="007E1BE7" w:rsidRPr="008C3A79">
        <w:t xml:space="preserve"> of the submission;</w:t>
      </w:r>
      <w:r w:rsidRPr="008C3A79">
        <w:t xml:space="preserve"> Table 1.1-1, Appendix 3 of the submission</w:t>
      </w:r>
    </w:p>
    <w:p w14:paraId="4033C5B0" w14:textId="6C07332E" w:rsidR="00620C25" w:rsidRDefault="00A13256" w:rsidP="00E46937">
      <w:pPr>
        <w:pStyle w:val="TableFigureFooter"/>
        <w:keepNext/>
        <w:keepLines/>
      </w:pPr>
      <w:r w:rsidRPr="008C3A79">
        <w:t>Abbreviations: DB, double blind; LDL, low density lipoprotein cholesterol; MC, multi-centre; PC, placebo-controlled; R, randomised.</w:t>
      </w:r>
    </w:p>
    <w:p w14:paraId="6B436E3C" w14:textId="77777777" w:rsidR="00985590" w:rsidRDefault="00985590" w:rsidP="00E46937">
      <w:pPr>
        <w:pStyle w:val="TableFigureFooter"/>
        <w:keepNext/>
        <w:keepLines/>
      </w:pPr>
    </w:p>
    <w:p w14:paraId="1613856D" w14:textId="35E09FFA" w:rsidR="00190E34" w:rsidRPr="00FF4735" w:rsidRDefault="00190E34" w:rsidP="00190E34">
      <w:pPr>
        <w:pStyle w:val="ExecSumBodyText"/>
        <w:rPr>
          <w:iCs/>
        </w:rPr>
      </w:pPr>
      <w:r w:rsidRPr="00190E34">
        <w:rPr>
          <w:snapToGrid/>
          <w:lang w:val="en-US"/>
        </w:rPr>
        <w:t>Baseline LDL-C values in the evolocumab arm ranged from 0.59 mmol/L to 20.32</w:t>
      </w:r>
      <w:r w:rsidR="00A06FAC">
        <w:rPr>
          <w:snapToGrid/>
          <w:lang w:val="en-US"/>
        </w:rPr>
        <w:t> </w:t>
      </w:r>
      <w:r w:rsidRPr="00190E34">
        <w:rPr>
          <w:snapToGrid/>
          <w:lang w:val="en-US"/>
        </w:rPr>
        <w:t>mmol/L (median 2.37 mmol/L), with an average of 2.532 (SD 0.748) mmol/L. In the placebo arm, baseline LDL-C ranged from 0.85 to 15.64 mmol/L (median 2.380</w:t>
      </w:r>
      <w:r w:rsidR="00A06FAC">
        <w:rPr>
          <w:snapToGrid/>
          <w:lang w:val="en-US"/>
        </w:rPr>
        <w:t> </w:t>
      </w:r>
      <w:r w:rsidRPr="00190E34">
        <w:rPr>
          <w:snapToGrid/>
          <w:lang w:val="en-US"/>
        </w:rPr>
        <w:t xml:space="preserve">mmol/L), with an average of 2.529 (SD 0.703) mmol/L. </w:t>
      </w:r>
      <w:r w:rsidRPr="00FF4735">
        <w:rPr>
          <w:iCs/>
          <w:snapToGrid/>
          <w:lang w:val="en-US"/>
        </w:rPr>
        <w:t xml:space="preserve">The majority of patients in the FOURIER trial had baseline </w:t>
      </w:r>
      <w:r w:rsidR="006D7786" w:rsidRPr="00FF4735">
        <w:rPr>
          <w:iCs/>
          <w:snapToGrid/>
          <w:lang w:val="en-US"/>
        </w:rPr>
        <w:t xml:space="preserve">LDL-C </w:t>
      </w:r>
      <w:r w:rsidRPr="00FF4735">
        <w:rPr>
          <w:iCs/>
          <w:snapToGrid/>
          <w:lang w:val="en-US"/>
        </w:rPr>
        <w:t xml:space="preserve">levels between 1.8 and 2.6 mmol/L (approximately 1.1% of patients in each treatment arm had </w:t>
      </w:r>
      <w:r w:rsidR="006D7786" w:rsidRPr="00FF4735">
        <w:rPr>
          <w:iCs/>
          <w:snapToGrid/>
          <w:lang w:val="en-US"/>
        </w:rPr>
        <w:t xml:space="preserve">LDL-C </w:t>
      </w:r>
      <w:r w:rsidRPr="00FF4735">
        <w:rPr>
          <w:iCs/>
          <w:snapToGrid/>
          <w:lang w:val="en-US"/>
        </w:rPr>
        <w:t>lower than 1.8</w:t>
      </w:r>
      <w:r w:rsidR="00A06FAC">
        <w:rPr>
          <w:iCs/>
          <w:snapToGrid/>
          <w:lang w:val="en-US"/>
        </w:rPr>
        <w:t> </w:t>
      </w:r>
      <w:r w:rsidRPr="00FF4735">
        <w:rPr>
          <w:iCs/>
          <w:snapToGrid/>
          <w:lang w:val="en-US"/>
        </w:rPr>
        <w:t>mmol/L at baseline, which were noted as protocol deviations).</w:t>
      </w:r>
    </w:p>
    <w:p w14:paraId="4A4FE085" w14:textId="1C5613CC" w:rsidR="00B60939" w:rsidRPr="00C9624D" w:rsidRDefault="00B60939" w:rsidP="00EC5836">
      <w:pPr>
        <w:pStyle w:val="3-SubsectionHeading"/>
      </w:pPr>
      <w:bookmarkStart w:id="21" w:name="_Toc22897641"/>
      <w:bookmarkStart w:id="22" w:name="_Toc103773797"/>
      <w:r w:rsidRPr="00C9624D">
        <w:t>Comparative effectiveness</w:t>
      </w:r>
      <w:bookmarkEnd w:id="21"/>
      <w:bookmarkEnd w:id="22"/>
    </w:p>
    <w:p w14:paraId="28593FB8" w14:textId="0151900C" w:rsidR="002C2775" w:rsidRPr="001E4BD1" w:rsidRDefault="00226F0C" w:rsidP="00EC5836">
      <w:pPr>
        <w:pStyle w:val="ExecSumBodyText"/>
        <w:rPr>
          <w:color w:val="0066FF"/>
        </w:rPr>
      </w:pPr>
      <w:r w:rsidRPr="004D67A8">
        <w:t xml:space="preserve">Key cardiovascular outcomes reported in the FOURIER trial are summarised in </w:t>
      </w:r>
      <w:r w:rsidR="006F4A9F">
        <w:fldChar w:fldCharType="begin"/>
      </w:r>
      <w:r w:rsidR="006F4A9F">
        <w:instrText xml:space="preserve"> REF _Ref102472891 \h </w:instrText>
      </w:r>
      <w:r w:rsidR="006F4A9F">
        <w:fldChar w:fldCharType="separate"/>
      </w:r>
      <w:r w:rsidR="00EB7F7C">
        <w:t xml:space="preserve">Table </w:t>
      </w:r>
      <w:r w:rsidR="00EB7F7C">
        <w:rPr>
          <w:noProof/>
        </w:rPr>
        <w:t>7</w:t>
      </w:r>
      <w:r w:rsidR="006F4A9F">
        <w:fldChar w:fldCharType="end"/>
      </w:r>
      <w:r w:rsidRPr="004D67A8">
        <w:t>.</w:t>
      </w:r>
    </w:p>
    <w:p w14:paraId="12C86FB0" w14:textId="310FD4DB" w:rsidR="001E4BD1" w:rsidRDefault="001E4BD1" w:rsidP="008B081E">
      <w:pPr>
        <w:pStyle w:val="TableFigureCaption"/>
      </w:pPr>
      <w:bookmarkStart w:id="23" w:name="_Ref102472891"/>
      <w:r>
        <w:lastRenderedPageBreak/>
        <w:t xml:space="preserve">Table </w:t>
      </w:r>
      <w:fldSimple w:instr=" SEQ Table \* ARABIC ">
        <w:r w:rsidR="00EB7F7C">
          <w:rPr>
            <w:noProof/>
          </w:rPr>
          <w:t>7</w:t>
        </w:r>
      </w:fldSimple>
      <w:bookmarkEnd w:id="23"/>
      <w:r>
        <w:t xml:space="preserve">: Key cardiovascular time to event analyses reported in the FOURIER trial </w:t>
      </w:r>
    </w:p>
    <w:tbl>
      <w:tblPr>
        <w:tblW w:w="497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7: Key cardiovascular time to event analyses reported in the FOURIER trial "/>
      </w:tblPr>
      <w:tblGrid>
        <w:gridCol w:w="4513"/>
        <w:gridCol w:w="1358"/>
        <w:gridCol w:w="1359"/>
        <w:gridCol w:w="1733"/>
      </w:tblGrid>
      <w:tr w:rsidR="001E4BD1" w14:paraId="246D36D9" w14:textId="77777777" w:rsidTr="00BF34B1">
        <w:trPr>
          <w:tblHeader/>
        </w:trPr>
        <w:tc>
          <w:tcPr>
            <w:tcW w:w="4512" w:type="dxa"/>
            <w:tcBorders>
              <w:top w:val="single" w:sz="4" w:space="0" w:color="auto"/>
              <w:left w:val="single" w:sz="4" w:space="0" w:color="auto"/>
              <w:bottom w:val="single" w:sz="4" w:space="0" w:color="auto"/>
              <w:right w:val="single" w:sz="4" w:space="0" w:color="auto"/>
            </w:tcBorders>
            <w:vAlign w:val="center"/>
          </w:tcPr>
          <w:p w14:paraId="2E715CC0" w14:textId="77777777" w:rsidR="001E4BD1" w:rsidRPr="001E42DD" w:rsidRDefault="001E4BD1" w:rsidP="008B081E">
            <w:pPr>
              <w:pStyle w:val="TableText"/>
              <w:widowControl w:val="0"/>
              <w:rPr>
                <w:b/>
              </w:rPr>
            </w:pPr>
            <w:r w:rsidRPr="001E42DD">
              <w:rPr>
                <w:b/>
              </w:rPr>
              <w:t>Outcome</w:t>
            </w:r>
            <w:r>
              <w:rPr>
                <w:b/>
              </w:rPr>
              <w:t xml:space="preserve"> </w:t>
            </w:r>
          </w:p>
        </w:tc>
        <w:tc>
          <w:tcPr>
            <w:tcW w:w="1358" w:type="dxa"/>
            <w:tcBorders>
              <w:top w:val="single" w:sz="4" w:space="0" w:color="auto"/>
              <w:left w:val="single" w:sz="4" w:space="0" w:color="auto"/>
              <w:bottom w:val="single" w:sz="4" w:space="0" w:color="auto"/>
              <w:right w:val="single" w:sz="4" w:space="0" w:color="auto"/>
            </w:tcBorders>
            <w:vAlign w:val="center"/>
          </w:tcPr>
          <w:p w14:paraId="4E0009DD" w14:textId="77777777" w:rsidR="001E4BD1" w:rsidRDefault="001E4BD1" w:rsidP="008B081E">
            <w:pPr>
              <w:pStyle w:val="TableText"/>
              <w:widowControl w:val="0"/>
              <w:jc w:val="center"/>
              <w:rPr>
                <w:b/>
              </w:rPr>
            </w:pPr>
            <w:r>
              <w:rPr>
                <w:b/>
              </w:rPr>
              <w:t>Evolocumab</w:t>
            </w:r>
          </w:p>
          <w:p w14:paraId="72875480" w14:textId="77777777" w:rsidR="001E4BD1" w:rsidRPr="001E42DD" w:rsidRDefault="001E4BD1" w:rsidP="008B081E">
            <w:pPr>
              <w:pStyle w:val="TableText"/>
              <w:widowControl w:val="0"/>
              <w:jc w:val="center"/>
              <w:rPr>
                <w:b/>
              </w:rPr>
            </w:pPr>
            <w:r>
              <w:rPr>
                <w:b/>
              </w:rPr>
              <w:t>N = 13,784</w:t>
            </w:r>
          </w:p>
        </w:tc>
        <w:tc>
          <w:tcPr>
            <w:tcW w:w="1359" w:type="dxa"/>
            <w:tcBorders>
              <w:top w:val="single" w:sz="4" w:space="0" w:color="auto"/>
              <w:left w:val="single" w:sz="4" w:space="0" w:color="auto"/>
              <w:bottom w:val="single" w:sz="4" w:space="0" w:color="auto"/>
              <w:right w:val="single" w:sz="4" w:space="0" w:color="auto"/>
            </w:tcBorders>
            <w:vAlign w:val="center"/>
          </w:tcPr>
          <w:p w14:paraId="4CC19DF2" w14:textId="77777777" w:rsidR="001E4BD1" w:rsidRDefault="001E4BD1" w:rsidP="008B081E">
            <w:pPr>
              <w:pStyle w:val="TableText"/>
              <w:widowControl w:val="0"/>
              <w:jc w:val="center"/>
              <w:rPr>
                <w:b/>
              </w:rPr>
            </w:pPr>
            <w:r>
              <w:rPr>
                <w:b/>
              </w:rPr>
              <w:t>Placebo</w:t>
            </w:r>
          </w:p>
          <w:p w14:paraId="3AD53909" w14:textId="77777777" w:rsidR="001E4BD1" w:rsidRPr="001E42DD" w:rsidRDefault="001E4BD1" w:rsidP="008B081E">
            <w:pPr>
              <w:pStyle w:val="TableText"/>
              <w:widowControl w:val="0"/>
              <w:jc w:val="center"/>
              <w:rPr>
                <w:b/>
              </w:rPr>
            </w:pPr>
            <w:r>
              <w:rPr>
                <w:b/>
              </w:rPr>
              <w:t>N = 13,780</w:t>
            </w:r>
          </w:p>
        </w:tc>
        <w:tc>
          <w:tcPr>
            <w:tcW w:w="1733" w:type="dxa"/>
            <w:tcBorders>
              <w:top w:val="single" w:sz="4" w:space="0" w:color="auto"/>
              <w:left w:val="single" w:sz="4" w:space="0" w:color="auto"/>
              <w:bottom w:val="single" w:sz="4" w:space="0" w:color="auto"/>
              <w:right w:val="single" w:sz="4" w:space="0" w:color="auto"/>
            </w:tcBorders>
            <w:vAlign w:val="center"/>
          </w:tcPr>
          <w:p w14:paraId="20F9EC3B" w14:textId="77777777" w:rsidR="001E4BD1" w:rsidRDefault="001E4BD1" w:rsidP="008B081E">
            <w:pPr>
              <w:pStyle w:val="TableText"/>
              <w:widowControl w:val="0"/>
              <w:jc w:val="center"/>
              <w:rPr>
                <w:b/>
              </w:rPr>
            </w:pPr>
            <w:r>
              <w:rPr>
                <w:b/>
              </w:rPr>
              <w:t xml:space="preserve">Hazard ratio </w:t>
            </w:r>
          </w:p>
          <w:p w14:paraId="2EE864BB" w14:textId="77777777" w:rsidR="001E4BD1" w:rsidRPr="001E42DD" w:rsidRDefault="001E4BD1" w:rsidP="008B081E">
            <w:pPr>
              <w:pStyle w:val="TableText"/>
              <w:widowControl w:val="0"/>
              <w:jc w:val="center"/>
              <w:rPr>
                <w:b/>
              </w:rPr>
            </w:pPr>
            <w:r>
              <w:rPr>
                <w:b/>
              </w:rPr>
              <w:t>(95% CI)</w:t>
            </w:r>
          </w:p>
        </w:tc>
      </w:tr>
      <w:tr w:rsidR="001E4BD1" w14:paraId="36CC56DA" w14:textId="77777777" w:rsidTr="00BF34B1">
        <w:trPr>
          <w:trHeight w:val="70"/>
        </w:trPr>
        <w:tc>
          <w:tcPr>
            <w:tcW w:w="8962" w:type="dxa"/>
            <w:gridSpan w:val="4"/>
            <w:tcBorders>
              <w:top w:val="single" w:sz="4" w:space="0" w:color="auto"/>
              <w:left w:val="single" w:sz="4" w:space="0" w:color="auto"/>
              <w:bottom w:val="single" w:sz="4" w:space="0" w:color="auto"/>
              <w:right w:val="single" w:sz="4" w:space="0" w:color="auto"/>
            </w:tcBorders>
            <w:vAlign w:val="center"/>
          </w:tcPr>
          <w:p w14:paraId="0CDDDF4D" w14:textId="77777777" w:rsidR="001E4BD1" w:rsidRPr="00FD14CC" w:rsidRDefault="001E4BD1" w:rsidP="008B081E">
            <w:pPr>
              <w:pStyle w:val="TableText"/>
              <w:widowControl w:val="0"/>
              <w:rPr>
                <w:b/>
              </w:rPr>
            </w:pPr>
            <w:r w:rsidRPr="00FD14CC">
              <w:rPr>
                <w:b/>
              </w:rPr>
              <w:t>Composite outcomes (first event only)</w:t>
            </w:r>
          </w:p>
        </w:tc>
      </w:tr>
      <w:tr w:rsidR="001E4BD1" w14:paraId="2862387F" w14:textId="77777777" w:rsidTr="00BF34B1">
        <w:trPr>
          <w:trHeight w:val="70"/>
        </w:trPr>
        <w:tc>
          <w:tcPr>
            <w:tcW w:w="4512" w:type="dxa"/>
            <w:tcBorders>
              <w:top w:val="single" w:sz="4" w:space="0" w:color="auto"/>
              <w:left w:val="single" w:sz="4" w:space="0" w:color="auto"/>
              <w:bottom w:val="single" w:sz="4" w:space="0" w:color="auto"/>
              <w:right w:val="single" w:sz="4" w:space="0" w:color="auto"/>
            </w:tcBorders>
            <w:vAlign w:val="center"/>
          </w:tcPr>
          <w:p w14:paraId="582CC6C8" w14:textId="77777777" w:rsidR="001E4BD1" w:rsidRPr="00AE1806" w:rsidRDefault="001E4BD1" w:rsidP="008B081E">
            <w:pPr>
              <w:pStyle w:val="TableText"/>
              <w:widowControl w:val="0"/>
            </w:pPr>
            <w:r>
              <w:t>Time to cardiovascular death, myocardial infarction, stroke, hospitalisation for unstable angina, or coronary revascularisation [primary outcome]</w:t>
            </w:r>
          </w:p>
        </w:tc>
        <w:tc>
          <w:tcPr>
            <w:tcW w:w="1358" w:type="dxa"/>
            <w:tcBorders>
              <w:top w:val="single" w:sz="4" w:space="0" w:color="auto"/>
              <w:left w:val="single" w:sz="4" w:space="0" w:color="auto"/>
              <w:bottom w:val="single" w:sz="4" w:space="0" w:color="auto"/>
              <w:right w:val="single" w:sz="4" w:space="0" w:color="auto"/>
            </w:tcBorders>
            <w:vAlign w:val="center"/>
          </w:tcPr>
          <w:p w14:paraId="48D2BB7A" w14:textId="77777777" w:rsidR="001E4BD1" w:rsidRPr="00AE1806" w:rsidRDefault="001E4BD1" w:rsidP="008B081E">
            <w:pPr>
              <w:pStyle w:val="TableText"/>
              <w:widowControl w:val="0"/>
              <w:jc w:val="center"/>
            </w:pPr>
            <w:r>
              <w:t>1,344 (9.75%</w:t>
            </w:r>
            <w:r w:rsidRPr="00AE1806">
              <w:t>)</w:t>
            </w:r>
          </w:p>
        </w:tc>
        <w:tc>
          <w:tcPr>
            <w:tcW w:w="1359" w:type="dxa"/>
            <w:tcBorders>
              <w:top w:val="single" w:sz="4" w:space="0" w:color="auto"/>
              <w:left w:val="single" w:sz="4" w:space="0" w:color="auto"/>
              <w:bottom w:val="single" w:sz="4" w:space="0" w:color="auto"/>
              <w:right w:val="single" w:sz="4" w:space="0" w:color="auto"/>
            </w:tcBorders>
            <w:vAlign w:val="center"/>
          </w:tcPr>
          <w:p w14:paraId="576F0279" w14:textId="77777777" w:rsidR="001E4BD1" w:rsidRPr="00AE1806" w:rsidRDefault="001E4BD1" w:rsidP="008B081E">
            <w:pPr>
              <w:pStyle w:val="TableText"/>
              <w:widowControl w:val="0"/>
              <w:jc w:val="center"/>
            </w:pPr>
            <w:r w:rsidRPr="00AE1806">
              <w:t>1</w:t>
            </w:r>
            <w:r>
              <w:t>,</w:t>
            </w:r>
            <w:r w:rsidRPr="00AE1806">
              <w:t>563 (11.3</w:t>
            </w:r>
            <w:r>
              <w:t>4%</w:t>
            </w:r>
            <w:r w:rsidRPr="00AE1806">
              <w:t>)</w:t>
            </w:r>
          </w:p>
        </w:tc>
        <w:tc>
          <w:tcPr>
            <w:tcW w:w="1733" w:type="dxa"/>
            <w:tcBorders>
              <w:top w:val="single" w:sz="4" w:space="0" w:color="auto"/>
              <w:left w:val="single" w:sz="4" w:space="0" w:color="auto"/>
              <w:bottom w:val="single" w:sz="4" w:space="0" w:color="auto"/>
              <w:right w:val="single" w:sz="4" w:space="0" w:color="auto"/>
            </w:tcBorders>
            <w:vAlign w:val="center"/>
          </w:tcPr>
          <w:p w14:paraId="58BEBCEA" w14:textId="77777777" w:rsidR="001E4BD1" w:rsidRPr="001A509F" w:rsidRDefault="001E4BD1" w:rsidP="008B081E">
            <w:pPr>
              <w:pStyle w:val="TableText"/>
              <w:widowControl w:val="0"/>
              <w:jc w:val="center"/>
              <w:rPr>
                <w:b/>
                <w:bCs w:val="0"/>
              </w:rPr>
            </w:pPr>
            <w:r w:rsidRPr="001A509F">
              <w:rPr>
                <w:b/>
                <w:bCs w:val="0"/>
              </w:rPr>
              <w:t>0.85 (0.79, 0.92)</w:t>
            </w:r>
          </w:p>
        </w:tc>
      </w:tr>
      <w:tr w:rsidR="001E4BD1" w14:paraId="79D7D7D6" w14:textId="77777777" w:rsidTr="00BF34B1">
        <w:trPr>
          <w:trHeight w:val="70"/>
        </w:trPr>
        <w:tc>
          <w:tcPr>
            <w:tcW w:w="4512" w:type="dxa"/>
            <w:tcBorders>
              <w:top w:val="single" w:sz="4" w:space="0" w:color="auto"/>
              <w:left w:val="single" w:sz="4" w:space="0" w:color="auto"/>
              <w:bottom w:val="single" w:sz="4" w:space="0" w:color="auto"/>
              <w:right w:val="single" w:sz="4" w:space="0" w:color="auto"/>
            </w:tcBorders>
            <w:vAlign w:val="center"/>
          </w:tcPr>
          <w:p w14:paraId="5B1E31A8" w14:textId="77777777" w:rsidR="001E4BD1" w:rsidRPr="00AE1806" w:rsidRDefault="001E4BD1" w:rsidP="008B081E">
            <w:pPr>
              <w:pStyle w:val="TableText"/>
              <w:widowControl w:val="0"/>
            </w:pPr>
            <w:r>
              <w:t xml:space="preserve">Time to </w:t>
            </w:r>
            <w:r w:rsidRPr="00BC2FD3">
              <w:t>cardiovascular death, myocardial infarction, or stroke</w:t>
            </w:r>
          </w:p>
        </w:tc>
        <w:tc>
          <w:tcPr>
            <w:tcW w:w="1358" w:type="dxa"/>
            <w:tcBorders>
              <w:top w:val="single" w:sz="4" w:space="0" w:color="auto"/>
              <w:left w:val="single" w:sz="4" w:space="0" w:color="auto"/>
              <w:bottom w:val="single" w:sz="4" w:space="0" w:color="auto"/>
              <w:right w:val="single" w:sz="4" w:space="0" w:color="auto"/>
            </w:tcBorders>
            <w:vAlign w:val="center"/>
          </w:tcPr>
          <w:p w14:paraId="3063EBD9" w14:textId="77777777" w:rsidR="001E4BD1" w:rsidRPr="00CF0A69" w:rsidRDefault="001E4BD1" w:rsidP="008B081E">
            <w:pPr>
              <w:pStyle w:val="TableText"/>
              <w:widowControl w:val="0"/>
              <w:jc w:val="center"/>
            </w:pPr>
            <w:r>
              <w:t>816 (5.92%</w:t>
            </w:r>
            <w:r w:rsidRPr="00CF0A69">
              <w:t>)</w:t>
            </w:r>
          </w:p>
        </w:tc>
        <w:tc>
          <w:tcPr>
            <w:tcW w:w="1359" w:type="dxa"/>
            <w:tcBorders>
              <w:top w:val="single" w:sz="4" w:space="0" w:color="auto"/>
              <w:left w:val="single" w:sz="4" w:space="0" w:color="auto"/>
              <w:bottom w:val="single" w:sz="4" w:space="0" w:color="auto"/>
              <w:right w:val="single" w:sz="4" w:space="0" w:color="auto"/>
            </w:tcBorders>
            <w:vAlign w:val="center"/>
          </w:tcPr>
          <w:p w14:paraId="045BBA4E" w14:textId="77777777" w:rsidR="001E4BD1" w:rsidRPr="00CF0A69" w:rsidRDefault="001E4BD1" w:rsidP="008B081E">
            <w:pPr>
              <w:pStyle w:val="TableText"/>
              <w:widowControl w:val="0"/>
              <w:jc w:val="center"/>
            </w:pPr>
            <w:r>
              <w:t>1,013 (7.35%</w:t>
            </w:r>
            <w:r w:rsidRPr="00CF0A69">
              <w:t>)</w:t>
            </w:r>
          </w:p>
        </w:tc>
        <w:tc>
          <w:tcPr>
            <w:tcW w:w="1733" w:type="dxa"/>
            <w:tcBorders>
              <w:top w:val="single" w:sz="4" w:space="0" w:color="auto"/>
              <w:left w:val="single" w:sz="4" w:space="0" w:color="auto"/>
              <w:bottom w:val="single" w:sz="4" w:space="0" w:color="auto"/>
              <w:right w:val="single" w:sz="4" w:space="0" w:color="auto"/>
            </w:tcBorders>
            <w:vAlign w:val="center"/>
          </w:tcPr>
          <w:p w14:paraId="4E06E6FA" w14:textId="77777777" w:rsidR="001E4BD1" w:rsidRPr="001A509F" w:rsidRDefault="001E4BD1" w:rsidP="008B081E">
            <w:pPr>
              <w:pStyle w:val="TableText"/>
              <w:widowControl w:val="0"/>
              <w:jc w:val="center"/>
              <w:rPr>
                <w:b/>
                <w:bCs w:val="0"/>
              </w:rPr>
            </w:pPr>
            <w:r w:rsidRPr="001A509F">
              <w:rPr>
                <w:b/>
                <w:bCs w:val="0"/>
              </w:rPr>
              <w:t>0.80 (0.73, 0.88)</w:t>
            </w:r>
          </w:p>
        </w:tc>
      </w:tr>
      <w:tr w:rsidR="001E4BD1" w14:paraId="3889BB2E" w14:textId="77777777" w:rsidTr="00BF34B1">
        <w:trPr>
          <w:trHeight w:val="70"/>
        </w:trPr>
        <w:tc>
          <w:tcPr>
            <w:tcW w:w="4512" w:type="dxa"/>
            <w:tcBorders>
              <w:top w:val="single" w:sz="4" w:space="0" w:color="auto"/>
              <w:left w:val="single" w:sz="4" w:space="0" w:color="auto"/>
              <w:bottom w:val="single" w:sz="4" w:space="0" w:color="auto"/>
              <w:right w:val="single" w:sz="4" w:space="0" w:color="auto"/>
            </w:tcBorders>
            <w:vAlign w:val="center"/>
          </w:tcPr>
          <w:p w14:paraId="688036D5" w14:textId="77777777" w:rsidR="001E4BD1" w:rsidRDefault="001E4BD1" w:rsidP="008B081E">
            <w:pPr>
              <w:pStyle w:val="TableText"/>
              <w:widowControl w:val="0"/>
            </w:pPr>
            <w:r>
              <w:t>Time to cardiovascular death or first hospitalisation for worsening heart failure</w:t>
            </w:r>
          </w:p>
        </w:tc>
        <w:tc>
          <w:tcPr>
            <w:tcW w:w="1358" w:type="dxa"/>
            <w:tcBorders>
              <w:top w:val="single" w:sz="4" w:space="0" w:color="auto"/>
              <w:left w:val="single" w:sz="4" w:space="0" w:color="auto"/>
              <w:bottom w:val="single" w:sz="4" w:space="0" w:color="auto"/>
              <w:right w:val="single" w:sz="4" w:space="0" w:color="auto"/>
            </w:tcBorders>
            <w:vAlign w:val="center"/>
          </w:tcPr>
          <w:p w14:paraId="19C48098" w14:textId="77777777" w:rsidR="001E4BD1" w:rsidRDefault="001E4BD1" w:rsidP="008B081E">
            <w:pPr>
              <w:pStyle w:val="TableText"/>
              <w:widowControl w:val="0"/>
              <w:jc w:val="center"/>
            </w:pPr>
            <w:r>
              <w:t>402 (2.92%</w:t>
            </w:r>
            <w:r w:rsidRPr="00E527EF">
              <w:t>)</w:t>
            </w:r>
          </w:p>
        </w:tc>
        <w:tc>
          <w:tcPr>
            <w:tcW w:w="1359" w:type="dxa"/>
            <w:tcBorders>
              <w:top w:val="single" w:sz="4" w:space="0" w:color="auto"/>
              <w:left w:val="single" w:sz="4" w:space="0" w:color="auto"/>
              <w:bottom w:val="single" w:sz="4" w:space="0" w:color="auto"/>
              <w:right w:val="single" w:sz="4" w:space="0" w:color="auto"/>
            </w:tcBorders>
            <w:vAlign w:val="center"/>
          </w:tcPr>
          <w:p w14:paraId="2285FA52" w14:textId="77777777" w:rsidR="001E4BD1" w:rsidRDefault="001E4BD1" w:rsidP="008B081E">
            <w:pPr>
              <w:pStyle w:val="TableText"/>
              <w:widowControl w:val="0"/>
              <w:jc w:val="center"/>
            </w:pPr>
            <w:r>
              <w:t>408 (2.96%</w:t>
            </w:r>
            <w:r w:rsidRPr="00E527EF">
              <w:t>)</w:t>
            </w:r>
          </w:p>
        </w:tc>
        <w:tc>
          <w:tcPr>
            <w:tcW w:w="1733" w:type="dxa"/>
            <w:tcBorders>
              <w:top w:val="single" w:sz="4" w:space="0" w:color="auto"/>
              <w:left w:val="single" w:sz="4" w:space="0" w:color="auto"/>
              <w:bottom w:val="single" w:sz="4" w:space="0" w:color="auto"/>
              <w:right w:val="single" w:sz="4" w:space="0" w:color="auto"/>
            </w:tcBorders>
            <w:vAlign w:val="center"/>
          </w:tcPr>
          <w:p w14:paraId="08E0F0FC" w14:textId="77777777" w:rsidR="001E4BD1" w:rsidRPr="00CF0A69" w:rsidRDefault="001E4BD1" w:rsidP="008B081E">
            <w:pPr>
              <w:pStyle w:val="TableText"/>
              <w:widowControl w:val="0"/>
              <w:jc w:val="center"/>
            </w:pPr>
            <w:r w:rsidRPr="00E527EF">
              <w:t>0.98 (0.86, 1.13)</w:t>
            </w:r>
          </w:p>
        </w:tc>
      </w:tr>
      <w:tr w:rsidR="001E4BD1" w14:paraId="6AFF2B43" w14:textId="77777777" w:rsidTr="00BF34B1">
        <w:trPr>
          <w:trHeight w:val="70"/>
        </w:trPr>
        <w:tc>
          <w:tcPr>
            <w:tcW w:w="4512" w:type="dxa"/>
            <w:tcBorders>
              <w:top w:val="single" w:sz="4" w:space="0" w:color="auto"/>
              <w:left w:val="single" w:sz="4" w:space="0" w:color="auto"/>
              <w:bottom w:val="single" w:sz="4" w:space="0" w:color="auto"/>
              <w:right w:val="single" w:sz="4" w:space="0" w:color="auto"/>
            </w:tcBorders>
            <w:vAlign w:val="center"/>
          </w:tcPr>
          <w:p w14:paraId="16DEA011" w14:textId="77777777" w:rsidR="001E4BD1" w:rsidRDefault="001E4BD1" w:rsidP="008B081E">
            <w:pPr>
              <w:pStyle w:val="TableText"/>
              <w:widowControl w:val="0"/>
            </w:pPr>
            <w:r>
              <w:t>T</w:t>
            </w:r>
            <w:r w:rsidRPr="00BC2FD3">
              <w:t>ime to</w:t>
            </w:r>
            <w:r>
              <w:t xml:space="preserve"> first</w:t>
            </w:r>
            <w:r w:rsidRPr="00BC2FD3">
              <w:t xml:space="preserve"> isch</w:t>
            </w:r>
            <w:r>
              <w:t>a</w:t>
            </w:r>
            <w:r w:rsidRPr="00BC2FD3">
              <w:t xml:space="preserve">emic </w:t>
            </w:r>
            <w:r>
              <w:t>stroke or transient ischaemic attack</w:t>
            </w:r>
          </w:p>
        </w:tc>
        <w:tc>
          <w:tcPr>
            <w:tcW w:w="1358" w:type="dxa"/>
            <w:tcBorders>
              <w:top w:val="single" w:sz="4" w:space="0" w:color="auto"/>
              <w:left w:val="single" w:sz="4" w:space="0" w:color="auto"/>
              <w:bottom w:val="single" w:sz="4" w:space="0" w:color="auto"/>
              <w:right w:val="single" w:sz="4" w:space="0" w:color="auto"/>
            </w:tcBorders>
            <w:vAlign w:val="center"/>
          </w:tcPr>
          <w:p w14:paraId="75AF632C" w14:textId="77777777" w:rsidR="001E4BD1" w:rsidRDefault="001E4BD1" w:rsidP="008B081E">
            <w:pPr>
              <w:pStyle w:val="TableText"/>
              <w:widowControl w:val="0"/>
              <w:jc w:val="center"/>
            </w:pPr>
            <w:r w:rsidRPr="00272BF2">
              <w:t>229 (1.66</w:t>
            </w:r>
            <w:r>
              <w:t>%</w:t>
            </w:r>
            <w:r w:rsidRPr="00272BF2">
              <w:t>)</w:t>
            </w:r>
          </w:p>
        </w:tc>
        <w:tc>
          <w:tcPr>
            <w:tcW w:w="1359" w:type="dxa"/>
            <w:tcBorders>
              <w:top w:val="single" w:sz="4" w:space="0" w:color="auto"/>
              <w:left w:val="single" w:sz="4" w:space="0" w:color="auto"/>
              <w:bottom w:val="single" w:sz="4" w:space="0" w:color="auto"/>
              <w:right w:val="single" w:sz="4" w:space="0" w:color="auto"/>
            </w:tcBorders>
            <w:vAlign w:val="center"/>
          </w:tcPr>
          <w:p w14:paraId="647C7542" w14:textId="77777777" w:rsidR="001E4BD1" w:rsidRDefault="001E4BD1" w:rsidP="008B081E">
            <w:pPr>
              <w:pStyle w:val="TableText"/>
              <w:widowControl w:val="0"/>
              <w:jc w:val="center"/>
            </w:pPr>
            <w:r w:rsidRPr="00272BF2">
              <w:t>295 (2.14</w:t>
            </w:r>
            <w:r>
              <w:t>%</w:t>
            </w:r>
            <w:r w:rsidRPr="00272BF2">
              <w:t>)</w:t>
            </w:r>
          </w:p>
        </w:tc>
        <w:tc>
          <w:tcPr>
            <w:tcW w:w="1733" w:type="dxa"/>
            <w:tcBorders>
              <w:top w:val="single" w:sz="4" w:space="0" w:color="auto"/>
              <w:left w:val="single" w:sz="4" w:space="0" w:color="auto"/>
              <w:bottom w:val="single" w:sz="4" w:space="0" w:color="auto"/>
              <w:right w:val="single" w:sz="4" w:space="0" w:color="auto"/>
            </w:tcBorders>
            <w:vAlign w:val="center"/>
          </w:tcPr>
          <w:p w14:paraId="15AB62EF" w14:textId="77777777" w:rsidR="001E4BD1" w:rsidRPr="001A509F" w:rsidRDefault="001E4BD1" w:rsidP="008B081E">
            <w:pPr>
              <w:pStyle w:val="TableText"/>
              <w:widowControl w:val="0"/>
              <w:jc w:val="center"/>
              <w:rPr>
                <w:b/>
                <w:bCs w:val="0"/>
              </w:rPr>
            </w:pPr>
            <w:r w:rsidRPr="001A509F">
              <w:rPr>
                <w:b/>
                <w:bCs w:val="0"/>
              </w:rPr>
              <w:t>0.77 (0.65, 0.92)</w:t>
            </w:r>
          </w:p>
        </w:tc>
      </w:tr>
      <w:tr w:rsidR="001E4BD1" w14:paraId="5B89154E" w14:textId="77777777" w:rsidTr="00BF34B1">
        <w:trPr>
          <w:trHeight w:val="70"/>
        </w:trPr>
        <w:tc>
          <w:tcPr>
            <w:tcW w:w="4512" w:type="dxa"/>
            <w:tcBorders>
              <w:top w:val="single" w:sz="4" w:space="0" w:color="auto"/>
              <w:left w:val="single" w:sz="4" w:space="0" w:color="auto"/>
              <w:bottom w:val="single" w:sz="4" w:space="0" w:color="auto"/>
              <w:right w:val="single" w:sz="4" w:space="0" w:color="auto"/>
            </w:tcBorders>
            <w:vAlign w:val="center"/>
          </w:tcPr>
          <w:p w14:paraId="5A2B8B45" w14:textId="58E0BABA" w:rsidR="001E4BD1" w:rsidRDefault="001E4BD1" w:rsidP="008B081E">
            <w:pPr>
              <w:pStyle w:val="TableText"/>
              <w:widowControl w:val="0"/>
            </w:pPr>
            <w:r>
              <w:t>CTTC composite (coronary death, myocardial infarction</w:t>
            </w:r>
            <w:r w:rsidRPr="00E974EF">
              <w:t>, stroke or coronary revascularisation</w:t>
            </w:r>
            <w:r>
              <w:t>) [</w:t>
            </w:r>
            <w:r w:rsidRPr="00E46937">
              <w:rPr>
                <w:i/>
                <w:iCs/>
              </w:rPr>
              <w:t>post</w:t>
            </w:r>
            <w:r w:rsidR="00E46937" w:rsidRPr="00E46937">
              <w:rPr>
                <w:i/>
                <w:iCs/>
              </w:rPr>
              <w:t xml:space="preserve"> </w:t>
            </w:r>
            <w:r w:rsidRPr="00E46937">
              <w:rPr>
                <w:i/>
                <w:iCs/>
              </w:rPr>
              <w:t>hoc</w:t>
            </w:r>
            <w:r>
              <w:t xml:space="preserve"> outcome]</w:t>
            </w:r>
          </w:p>
        </w:tc>
        <w:tc>
          <w:tcPr>
            <w:tcW w:w="1358" w:type="dxa"/>
            <w:tcBorders>
              <w:top w:val="single" w:sz="4" w:space="0" w:color="auto"/>
              <w:left w:val="single" w:sz="4" w:space="0" w:color="auto"/>
              <w:bottom w:val="single" w:sz="4" w:space="0" w:color="auto"/>
              <w:right w:val="single" w:sz="4" w:space="0" w:color="auto"/>
            </w:tcBorders>
            <w:vAlign w:val="center"/>
          </w:tcPr>
          <w:p w14:paraId="538ABF7D" w14:textId="77777777" w:rsidR="001E4BD1" w:rsidRPr="00272BF2" w:rsidRDefault="001E4BD1" w:rsidP="008B081E">
            <w:pPr>
              <w:pStyle w:val="TableText"/>
              <w:widowControl w:val="0"/>
              <w:jc w:val="center"/>
            </w:pPr>
            <w:r>
              <w:t>1,271 (9.22%)</w:t>
            </w:r>
          </w:p>
        </w:tc>
        <w:tc>
          <w:tcPr>
            <w:tcW w:w="1359" w:type="dxa"/>
            <w:tcBorders>
              <w:top w:val="single" w:sz="4" w:space="0" w:color="auto"/>
              <w:left w:val="single" w:sz="4" w:space="0" w:color="auto"/>
              <w:bottom w:val="single" w:sz="4" w:space="0" w:color="auto"/>
              <w:right w:val="single" w:sz="4" w:space="0" w:color="auto"/>
            </w:tcBorders>
            <w:vAlign w:val="center"/>
          </w:tcPr>
          <w:p w14:paraId="0CE10E0F" w14:textId="77777777" w:rsidR="001E4BD1" w:rsidRPr="00272BF2" w:rsidRDefault="001E4BD1" w:rsidP="008B081E">
            <w:pPr>
              <w:pStyle w:val="TableText"/>
              <w:widowControl w:val="0"/>
              <w:jc w:val="center"/>
            </w:pPr>
            <w:r>
              <w:t>1,512 (10.97%)</w:t>
            </w:r>
          </w:p>
        </w:tc>
        <w:tc>
          <w:tcPr>
            <w:tcW w:w="1733" w:type="dxa"/>
            <w:tcBorders>
              <w:top w:val="single" w:sz="4" w:space="0" w:color="auto"/>
              <w:left w:val="single" w:sz="4" w:space="0" w:color="auto"/>
              <w:bottom w:val="single" w:sz="4" w:space="0" w:color="auto"/>
              <w:right w:val="single" w:sz="4" w:space="0" w:color="auto"/>
            </w:tcBorders>
            <w:vAlign w:val="center"/>
          </w:tcPr>
          <w:p w14:paraId="30E4FB4A" w14:textId="77777777" w:rsidR="001E4BD1" w:rsidRPr="001A509F" w:rsidRDefault="001E4BD1" w:rsidP="008B081E">
            <w:pPr>
              <w:pStyle w:val="TableText"/>
              <w:widowControl w:val="0"/>
              <w:jc w:val="center"/>
              <w:rPr>
                <w:b/>
                <w:bCs w:val="0"/>
              </w:rPr>
            </w:pPr>
            <w:r w:rsidRPr="001A509F">
              <w:rPr>
                <w:b/>
                <w:bCs w:val="0"/>
              </w:rPr>
              <w:t>0.83 (0.77, 0.90)</w:t>
            </w:r>
          </w:p>
        </w:tc>
      </w:tr>
      <w:tr w:rsidR="001E4BD1" w14:paraId="58B58B53" w14:textId="77777777" w:rsidTr="00BF34B1">
        <w:trPr>
          <w:trHeight w:val="70"/>
        </w:trPr>
        <w:tc>
          <w:tcPr>
            <w:tcW w:w="8962" w:type="dxa"/>
            <w:gridSpan w:val="4"/>
            <w:tcBorders>
              <w:top w:val="single" w:sz="4" w:space="0" w:color="auto"/>
              <w:left w:val="single" w:sz="4" w:space="0" w:color="auto"/>
              <w:bottom w:val="single" w:sz="4" w:space="0" w:color="auto"/>
              <w:right w:val="single" w:sz="4" w:space="0" w:color="auto"/>
            </w:tcBorders>
            <w:vAlign w:val="center"/>
          </w:tcPr>
          <w:p w14:paraId="35033FDB" w14:textId="77777777" w:rsidR="001E4BD1" w:rsidRPr="009E3CA8" w:rsidRDefault="001E4BD1" w:rsidP="008B081E">
            <w:pPr>
              <w:pStyle w:val="TableText"/>
              <w:widowControl w:val="0"/>
              <w:rPr>
                <w:b/>
              </w:rPr>
            </w:pPr>
            <w:r w:rsidRPr="009E3CA8">
              <w:rPr>
                <w:b/>
              </w:rPr>
              <w:t>Individual outcomes</w:t>
            </w:r>
          </w:p>
        </w:tc>
      </w:tr>
      <w:tr w:rsidR="001E4BD1" w14:paraId="68F6FA45" w14:textId="77777777" w:rsidTr="00BF34B1">
        <w:trPr>
          <w:trHeight w:val="70"/>
        </w:trPr>
        <w:tc>
          <w:tcPr>
            <w:tcW w:w="4512" w:type="dxa"/>
            <w:tcBorders>
              <w:top w:val="single" w:sz="4" w:space="0" w:color="auto"/>
              <w:left w:val="single" w:sz="4" w:space="0" w:color="auto"/>
              <w:bottom w:val="single" w:sz="4" w:space="0" w:color="auto"/>
              <w:right w:val="single" w:sz="4" w:space="0" w:color="auto"/>
            </w:tcBorders>
            <w:vAlign w:val="center"/>
          </w:tcPr>
          <w:p w14:paraId="47AED607" w14:textId="77777777" w:rsidR="001E4BD1" w:rsidRPr="00AE1806" w:rsidRDefault="001E4BD1" w:rsidP="008B081E">
            <w:pPr>
              <w:pStyle w:val="TableText"/>
              <w:widowControl w:val="0"/>
            </w:pPr>
            <w:r>
              <w:t>T</w:t>
            </w:r>
            <w:r w:rsidRPr="00BC2FD3">
              <w:t>ime to cardiovascular death</w:t>
            </w:r>
          </w:p>
        </w:tc>
        <w:tc>
          <w:tcPr>
            <w:tcW w:w="1358" w:type="dxa"/>
            <w:tcBorders>
              <w:top w:val="single" w:sz="4" w:space="0" w:color="auto"/>
              <w:left w:val="single" w:sz="4" w:space="0" w:color="auto"/>
              <w:bottom w:val="single" w:sz="4" w:space="0" w:color="auto"/>
              <w:right w:val="single" w:sz="4" w:space="0" w:color="auto"/>
            </w:tcBorders>
            <w:vAlign w:val="center"/>
          </w:tcPr>
          <w:p w14:paraId="1955B372" w14:textId="77777777" w:rsidR="001E4BD1" w:rsidRPr="000A34EA" w:rsidRDefault="001E4BD1" w:rsidP="008B081E">
            <w:pPr>
              <w:pStyle w:val="TableText"/>
              <w:widowControl w:val="0"/>
              <w:jc w:val="center"/>
            </w:pPr>
            <w:r>
              <w:t>251 (1.82%</w:t>
            </w:r>
            <w:r w:rsidRPr="000A34EA">
              <w:t>)</w:t>
            </w:r>
          </w:p>
        </w:tc>
        <w:tc>
          <w:tcPr>
            <w:tcW w:w="1359" w:type="dxa"/>
            <w:tcBorders>
              <w:top w:val="single" w:sz="4" w:space="0" w:color="auto"/>
              <w:left w:val="single" w:sz="4" w:space="0" w:color="auto"/>
              <w:bottom w:val="single" w:sz="4" w:space="0" w:color="auto"/>
              <w:right w:val="single" w:sz="4" w:space="0" w:color="auto"/>
            </w:tcBorders>
            <w:vAlign w:val="center"/>
          </w:tcPr>
          <w:p w14:paraId="07D1DB48" w14:textId="77777777" w:rsidR="001E4BD1" w:rsidRPr="000A34EA" w:rsidRDefault="001E4BD1" w:rsidP="008B081E">
            <w:pPr>
              <w:pStyle w:val="TableText"/>
              <w:widowControl w:val="0"/>
              <w:jc w:val="center"/>
            </w:pPr>
            <w:r>
              <w:t>240 (1.74%</w:t>
            </w:r>
            <w:r w:rsidRPr="000A34EA">
              <w:t>)</w:t>
            </w:r>
          </w:p>
        </w:tc>
        <w:tc>
          <w:tcPr>
            <w:tcW w:w="1733" w:type="dxa"/>
            <w:tcBorders>
              <w:top w:val="single" w:sz="4" w:space="0" w:color="auto"/>
              <w:left w:val="single" w:sz="4" w:space="0" w:color="auto"/>
              <w:bottom w:val="single" w:sz="4" w:space="0" w:color="auto"/>
              <w:right w:val="single" w:sz="4" w:space="0" w:color="auto"/>
            </w:tcBorders>
            <w:vAlign w:val="center"/>
          </w:tcPr>
          <w:p w14:paraId="18D61BD8" w14:textId="77777777" w:rsidR="001E4BD1" w:rsidRPr="000A34EA" w:rsidRDefault="001E4BD1" w:rsidP="008B081E">
            <w:pPr>
              <w:pStyle w:val="TableText"/>
              <w:widowControl w:val="0"/>
              <w:jc w:val="center"/>
            </w:pPr>
            <w:r w:rsidRPr="000A34EA">
              <w:t>1.05 (0.88, 1.25)</w:t>
            </w:r>
          </w:p>
        </w:tc>
      </w:tr>
      <w:tr w:rsidR="001E4BD1" w14:paraId="449C436C" w14:textId="77777777" w:rsidTr="00BF34B1">
        <w:trPr>
          <w:trHeight w:val="70"/>
        </w:trPr>
        <w:tc>
          <w:tcPr>
            <w:tcW w:w="4512" w:type="dxa"/>
            <w:tcBorders>
              <w:top w:val="single" w:sz="4" w:space="0" w:color="auto"/>
              <w:left w:val="single" w:sz="4" w:space="0" w:color="auto"/>
              <w:bottom w:val="single" w:sz="4" w:space="0" w:color="auto"/>
              <w:right w:val="single" w:sz="4" w:space="0" w:color="auto"/>
            </w:tcBorders>
            <w:vAlign w:val="center"/>
          </w:tcPr>
          <w:p w14:paraId="65EC09DF" w14:textId="77777777" w:rsidR="001E4BD1" w:rsidRDefault="001E4BD1" w:rsidP="008B081E">
            <w:pPr>
              <w:pStyle w:val="TableText"/>
              <w:widowControl w:val="0"/>
            </w:pPr>
            <w:r>
              <w:t>- Death due to myocardial infarction</w:t>
            </w:r>
          </w:p>
        </w:tc>
        <w:tc>
          <w:tcPr>
            <w:tcW w:w="1358" w:type="dxa"/>
            <w:tcBorders>
              <w:top w:val="single" w:sz="4" w:space="0" w:color="auto"/>
              <w:left w:val="single" w:sz="4" w:space="0" w:color="auto"/>
              <w:bottom w:val="single" w:sz="4" w:space="0" w:color="auto"/>
              <w:right w:val="single" w:sz="4" w:space="0" w:color="auto"/>
            </w:tcBorders>
            <w:vAlign w:val="center"/>
          </w:tcPr>
          <w:p w14:paraId="2B43A3ED" w14:textId="77777777" w:rsidR="001E4BD1" w:rsidRDefault="001E4BD1" w:rsidP="008B081E">
            <w:pPr>
              <w:pStyle w:val="TableText"/>
              <w:widowControl w:val="0"/>
              <w:jc w:val="center"/>
            </w:pPr>
            <w:r w:rsidRPr="00B27D80">
              <w:t>25 (0.18</w:t>
            </w:r>
            <w:r>
              <w:t>%</w:t>
            </w:r>
            <w:r w:rsidRPr="00B27D80">
              <w:t>)</w:t>
            </w:r>
          </w:p>
        </w:tc>
        <w:tc>
          <w:tcPr>
            <w:tcW w:w="1359" w:type="dxa"/>
            <w:tcBorders>
              <w:top w:val="single" w:sz="4" w:space="0" w:color="auto"/>
              <w:left w:val="single" w:sz="4" w:space="0" w:color="auto"/>
              <w:bottom w:val="single" w:sz="4" w:space="0" w:color="auto"/>
              <w:right w:val="single" w:sz="4" w:space="0" w:color="auto"/>
            </w:tcBorders>
            <w:vAlign w:val="center"/>
          </w:tcPr>
          <w:p w14:paraId="5CF494DC" w14:textId="77777777" w:rsidR="001E4BD1" w:rsidRDefault="001E4BD1" w:rsidP="008B081E">
            <w:pPr>
              <w:pStyle w:val="TableText"/>
              <w:widowControl w:val="0"/>
              <w:jc w:val="center"/>
            </w:pPr>
            <w:r w:rsidRPr="00B27D80">
              <w:t>30 (0.22</w:t>
            </w:r>
            <w:r>
              <w:t>%</w:t>
            </w:r>
            <w:r w:rsidRPr="00B27D80">
              <w:t>)</w:t>
            </w:r>
          </w:p>
        </w:tc>
        <w:tc>
          <w:tcPr>
            <w:tcW w:w="1733" w:type="dxa"/>
            <w:tcBorders>
              <w:top w:val="single" w:sz="4" w:space="0" w:color="auto"/>
              <w:left w:val="single" w:sz="4" w:space="0" w:color="auto"/>
              <w:bottom w:val="single" w:sz="4" w:space="0" w:color="auto"/>
              <w:right w:val="single" w:sz="4" w:space="0" w:color="auto"/>
            </w:tcBorders>
            <w:vAlign w:val="center"/>
          </w:tcPr>
          <w:p w14:paraId="2DFFACFD" w14:textId="77777777" w:rsidR="001E4BD1" w:rsidRPr="000A34EA" w:rsidRDefault="001E4BD1" w:rsidP="008B081E">
            <w:pPr>
              <w:pStyle w:val="TableText"/>
              <w:widowControl w:val="0"/>
              <w:jc w:val="center"/>
            </w:pPr>
            <w:r>
              <w:t xml:space="preserve">0.84 (0.49, </w:t>
            </w:r>
            <w:r w:rsidRPr="00B27D80">
              <w:t>1.42)</w:t>
            </w:r>
          </w:p>
        </w:tc>
      </w:tr>
      <w:tr w:rsidR="001E4BD1" w14:paraId="10E9A81E" w14:textId="77777777" w:rsidTr="00BF34B1">
        <w:trPr>
          <w:trHeight w:val="70"/>
        </w:trPr>
        <w:tc>
          <w:tcPr>
            <w:tcW w:w="4512" w:type="dxa"/>
            <w:tcBorders>
              <w:top w:val="single" w:sz="4" w:space="0" w:color="auto"/>
              <w:left w:val="single" w:sz="4" w:space="0" w:color="auto"/>
              <w:bottom w:val="single" w:sz="4" w:space="0" w:color="auto"/>
              <w:right w:val="single" w:sz="4" w:space="0" w:color="auto"/>
            </w:tcBorders>
            <w:vAlign w:val="center"/>
          </w:tcPr>
          <w:p w14:paraId="39D35416" w14:textId="77777777" w:rsidR="001E4BD1" w:rsidRDefault="001E4BD1" w:rsidP="008B081E">
            <w:pPr>
              <w:pStyle w:val="TableText"/>
              <w:widowControl w:val="0"/>
            </w:pPr>
            <w:r>
              <w:t>- Death due to stroke</w:t>
            </w:r>
          </w:p>
        </w:tc>
        <w:tc>
          <w:tcPr>
            <w:tcW w:w="1358" w:type="dxa"/>
            <w:tcBorders>
              <w:top w:val="single" w:sz="4" w:space="0" w:color="auto"/>
              <w:left w:val="single" w:sz="4" w:space="0" w:color="auto"/>
              <w:bottom w:val="single" w:sz="4" w:space="0" w:color="auto"/>
              <w:right w:val="single" w:sz="4" w:space="0" w:color="auto"/>
            </w:tcBorders>
            <w:vAlign w:val="center"/>
          </w:tcPr>
          <w:p w14:paraId="7B4D9F43" w14:textId="77777777" w:rsidR="001E4BD1" w:rsidRDefault="001E4BD1" w:rsidP="008B081E">
            <w:pPr>
              <w:pStyle w:val="TableText"/>
              <w:widowControl w:val="0"/>
              <w:jc w:val="center"/>
            </w:pPr>
            <w:r w:rsidRPr="00BD1519">
              <w:t>31 (0.22</w:t>
            </w:r>
            <w:r>
              <w:t>%</w:t>
            </w:r>
            <w:r w:rsidRPr="00BD1519">
              <w:t>)</w:t>
            </w:r>
          </w:p>
        </w:tc>
        <w:tc>
          <w:tcPr>
            <w:tcW w:w="1359" w:type="dxa"/>
            <w:tcBorders>
              <w:top w:val="single" w:sz="4" w:space="0" w:color="auto"/>
              <w:left w:val="single" w:sz="4" w:space="0" w:color="auto"/>
              <w:bottom w:val="single" w:sz="4" w:space="0" w:color="auto"/>
              <w:right w:val="single" w:sz="4" w:space="0" w:color="auto"/>
            </w:tcBorders>
            <w:vAlign w:val="center"/>
          </w:tcPr>
          <w:p w14:paraId="6BE3D449" w14:textId="77777777" w:rsidR="001E4BD1" w:rsidRDefault="001E4BD1" w:rsidP="008B081E">
            <w:pPr>
              <w:pStyle w:val="TableText"/>
              <w:widowControl w:val="0"/>
              <w:jc w:val="center"/>
            </w:pPr>
            <w:r w:rsidRPr="00BD1519">
              <w:t>33 (0.24</w:t>
            </w:r>
            <w:r>
              <w:t>%</w:t>
            </w:r>
            <w:r w:rsidRPr="00BD1519">
              <w:t>)</w:t>
            </w:r>
          </w:p>
        </w:tc>
        <w:tc>
          <w:tcPr>
            <w:tcW w:w="1733" w:type="dxa"/>
            <w:tcBorders>
              <w:top w:val="single" w:sz="4" w:space="0" w:color="auto"/>
              <w:left w:val="single" w:sz="4" w:space="0" w:color="auto"/>
              <w:bottom w:val="single" w:sz="4" w:space="0" w:color="auto"/>
              <w:right w:val="single" w:sz="4" w:space="0" w:color="auto"/>
            </w:tcBorders>
            <w:vAlign w:val="center"/>
          </w:tcPr>
          <w:p w14:paraId="1E53D39B" w14:textId="77777777" w:rsidR="001E4BD1" w:rsidRPr="000A34EA" w:rsidRDefault="001E4BD1" w:rsidP="008B081E">
            <w:pPr>
              <w:pStyle w:val="TableText"/>
              <w:widowControl w:val="0"/>
              <w:jc w:val="center"/>
            </w:pPr>
            <w:r>
              <w:t xml:space="preserve">0.94 (0.58, </w:t>
            </w:r>
            <w:r w:rsidRPr="00BD1519">
              <w:t>1.54)</w:t>
            </w:r>
          </w:p>
        </w:tc>
      </w:tr>
      <w:tr w:rsidR="001E4BD1" w14:paraId="1DD226D7" w14:textId="77777777" w:rsidTr="00BF34B1">
        <w:trPr>
          <w:trHeight w:val="70"/>
        </w:trPr>
        <w:tc>
          <w:tcPr>
            <w:tcW w:w="4512" w:type="dxa"/>
            <w:tcBorders>
              <w:top w:val="single" w:sz="4" w:space="0" w:color="auto"/>
              <w:left w:val="single" w:sz="4" w:space="0" w:color="auto"/>
              <w:bottom w:val="single" w:sz="4" w:space="0" w:color="auto"/>
              <w:right w:val="single" w:sz="4" w:space="0" w:color="auto"/>
            </w:tcBorders>
            <w:vAlign w:val="center"/>
          </w:tcPr>
          <w:p w14:paraId="6EE35353" w14:textId="77777777" w:rsidR="001E4BD1" w:rsidRDefault="001E4BD1" w:rsidP="008B081E">
            <w:pPr>
              <w:pStyle w:val="TableText"/>
              <w:widowControl w:val="0"/>
            </w:pPr>
            <w:r>
              <w:t>- Death due to other cardiovascular causes</w:t>
            </w:r>
          </w:p>
        </w:tc>
        <w:tc>
          <w:tcPr>
            <w:tcW w:w="1358" w:type="dxa"/>
            <w:tcBorders>
              <w:top w:val="single" w:sz="4" w:space="0" w:color="auto"/>
              <w:left w:val="single" w:sz="4" w:space="0" w:color="auto"/>
              <w:bottom w:val="single" w:sz="4" w:space="0" w:color="auto"/>
              <w:right w:val="single" w:sz="4" w:space="0" w:color="auto"/>
            </w:tcBorders>
            <w:vAlign w:val="center"/>
          </w:tcPr>
          <w:p w14:paraId="22007B7C" w14:textId="77777777" w:rsidR="001E4BD1" w:rsidRDefault="001E4BD1" w:rsidP="008B081E">
            <w:pPr>
              <w:pStyle w:val="TableText"/>
              <w:widowControl w:val="0"/>
              <w:jc w:val="center"/>
            </w:pPr>
            <w:r w:rsidRPr="009744EF">
              <w:t>195 (1.4</w:t>
            </w:r>
            <w:r>
              <w:t>1%</w:t>
            </w:r>
            <w:r w:rsidRPr="009744EF">
              <w:t>)</w:t>
            </w:r>
          </w:p>
        </w:tc>
        <w:tc>
          <w:tcPr>
            <w:tcW w:w="1359" w:type="dxa"/>
            <w:tcBorders>
              <w:top w:val="single" w:sz="4" w:space="0" w:color="auto"/>
              <w:left w:val="single" w:sz="4" w:space="0" w:color="auto"/>
              <w:bottom w:val="single" w:sz="4" w:space="0" w:color="auto"/>
              <w:right w:val="single" w:sz="4" w:space="0" w:color="auto"/>
            </w:tcBorders>
            <w:vAlign w:val="center"/>
          </w:tcPr>
          <w:p w14:paraId="078DFFEB" w14:textId="77777777" w:rsidR="001E4BD1" w:rsidRDefault="001E4BD1" w:rsidP="008B081E">
            <w:pPr>
              <w:pStyle w:val="TableText"/>
              <w:widowControl w:val="0"/>
              <w:jc w:val="center"/>
            </w:pPr>
            <w:r>
              <w:t>177 (1.28%</w:t>
            </w:r>
            <w:r w:rsidRPr="009744EF">
              <w:t>)</w:t>
            </w:r>
          </w:p>
        </w:tc>
        <w:tc>
          <w:tcPr>
            <w:tcW w:w="1733" w:type="dxa"/>
            <w:tcBorders>
              <w:top w:val="single" w:sz="4" w:space="0" w:color="auto"/>
              <w:left w:val="single" w:sz="4" w:space="0" w:color="auto"/>
              <w:bottom w:val="single" w:sz="4" w:space="0" w:color="auto"/>
              <w:right w:val="single" w:sz="4" w:space="0" w:color="auto"/>
            </w:tcBorders>
            <w:vAlign w:val="center"/>
          </w:tcPr>
          <w:p w14:paraId="6D9F92DD" w14:textId="77777777" w:rsidR="001E4BD1" w:rsidRPr="000A34EA" w:rsidRDefault="001E4BD1" w:rsidP="008B081E">
            <w:pPr>
              <w:pStyle w:val="TableText"/>
              <w:widowControl w:val="0"/>
              <w:jc w:val="center"/>
            </w:pPr>
            <w:r>
              <w:t xml:space="preserve">1.10 (0.90, </w:t>
            </w:r>
            <w:r w:rsidRPr="009744EF">
              <w:t>1.35)</w:t>
            </w:r>
          </w:p>
        </w:tc>
      </w:tr>
      <w:tr w:rsidR="001E4BD1" w14:paraId="5E74544E" w14:textId="77777777" w:rsidTr="00BF34B1">
        <w:trPr>
          <w:trHeight w:val="70"/>
        </w:trPr>
        <w:tc>
          <w:tcPr>
            <w:tcW w:w="4512" w:type="dxa"/>
            <w:tcBorders>
              <w:top w:val="single" w:sz="4" w:space="0" w:color="auto"/>
              <w:left w:val="single" w:sz="4" w:space="0" w:color="auto"/>
              <w:bottom w:val="single" w:sz="4" w:space="0" w:color="auto"/>
              <w:right w:val="single" w:sz="4" w:space="0" w:color="auto"/>
            </w:tcBorders>
            <w:vAlign w:val="center"/>
          </w:tcPr>
          <w:p w14:paraId="2228D801" w14:textId="77777777" w:rsidR="001E4BD1" w:rsidRDefault="001E4BD1" w:rsidP="008B081E">
            <w:pPr>
              <w:pStyle w:val="TableText"/>
              <w:widowControl w:val="0"/>
            </w:pPr>
            <w:r>
              <w:t>Time to coronary death</w:t>
            </w:r>
          </w:p>
        </w:tc>
        <w:tc>
          <w:tcPr>
            <w:tcW w:w="1358" w:type="dxa"/>
            <w:tcBorders>
              <w:top w:val="single" w:sz="4" w:space="0" w:color="auto"/>
              <w:left w:val="single" w:sz="4" w:space="0" w:color="auto"/>
              <w:bottom w:val="single" w:sz="4" w:space="0" w:color="auto"/>
              <w:right w:val="single" w:sz="4" w:space="0" w:color="auto"/>
            </w:tcBorders>
            <w:vAlign w:val="center"/>
          </w:tcPr>
          <w:p w14:paraId="13F3664C" w14:textId="77777777" w:rsidR="001E4BD1" w:rsidRDefault="001E4BD1" w:rsidP="008B081E">
            <w:pPr>
              <w:pStyle w:val="TableText"/>
              <w:widowControl w:val="0"/>
              <w:jc w:val="center"/>
            </w:pPr>
            <w:r w:rsidRPr="0034432B">
              <w:t>176 (1.28</w:t>
            </w:r>
            <w:r>
              <w:t>%</w:t>
            </w:r>
            <w:r w:rsidRPr="0034432B">
              <w:t>)</w:t>
            </w:r>
          </w:p>
        </w:tc>
        <w:tc>
          <w:tcPr>
            <w:tcW w:w="1359" w:type="dxa"/>
            <w:tcBorders>
              <w:top w:val="single" w:sz="4" w:space="0" w:color="auto"/>
              <w:left w:val="single" w:sz="4" w:space="0" w:color="auto"/>
              <w:bottom w:val="single" w:sz="4" w:space="0" w:color="auto"/>
              <w:right w:val="single" w:sz="4" w:space="0" w:color="auto"/>
            </w:tcBorders>
            <w:vAlign w:val="center"/>
          </w:tcPr>
          <w:p w14:paraId="7BA83378" w14:textId="77777777" w:rsidR="001E4BD1" w:rsidRDefault="001E4BD1" w:rsidP="008B081E">
            <w:pPr>
              <w:pStyle w:val="TableText"/>
              <w:widowControl w:val="0"/>
              <w:jc w:val="center"/>
            </w:pPr>
            <w:r w:rsidRPr="0034432B">
              <w:t>173 (1.26</w:t>
            </w:r>
            <w:r>
              <w:t>%</w:t>
            </w:r>
            <w:r w:rsidRPr="0034432B">
              <w:t>)</w:t>
            </w:r>
          </w:p>
        </w:tc>
        <w:tc>
          <w:tcPr>
            <w:tcW w:w="1733" w:type="dxa"/>
            <w:tcBorders>
              <w:top w:val="single" w:sz="4" w:space="0" w:color="auto"/>
              <w:left w:val="single" w:sz="4" w:space="0" w:color="auto"/>
              <w:bottom w:val="single" w:sz="4" w:space="0" w:color="auto"/>
              <w:right w:val="single" w:sz="4" w:space="0" w:color="auto"/>
            </w:tcBorders>
            <w:vAlign w:val="center"/>
          </w:tcPr>
          <w:p w14:paraId="7ECB75D4" w14:textId="77777777" w:rsidR="001E4BD1" w:rsidRPr="004B0DA0" w:rsidRDefault="001E4BD1" w:rsidP="008B081E">
            <w:pPr>
              <w:pStyle w:val="TableText"/>
              <w:widowControl w:val="0"/>
              <w:jc w:val="center"/>
            </w:pPr>
            <w:r w:rsidRPr="0034432B">
              <w:t>1.02 (0.82, 1.25)</w:t>
            </w:r>
          </w:p>
        </w:tc>
      </w:tr>
      <w:tr w:rsidR="001E4BD1" w14:paraId="565C10A1" w14:textId="77777777" w:rsidTr="00BF34B1">
        <w:trPr>
          <w:trHeight w:val="70"/>
        </w:trPr>
        <w:tc>
          <w:tcPr>
            <w:tcW w:w="4512" w:type="dxa"/>
            <w:tcBorders>
              <w:top w:val="single" w:sz="4" w:space="0" w:color="auto"/>
              <w:left w:val="single" w:sz="4" w:space="0" w:color="auto"/>
              <w:bottom w:val="single" w:sz="4" w:space="0" w:color="auto"/>
              <w:right w:val="single" w:sz="4" w:space="0" w:color="auto"/>
            </w:tcBorders>
            <w:vAlign w:val="center"/>
          </w:tcPr>
          <w:p w14:paraId="2FD30BC7" w14:textId="77777777" w:rsidR="001E4BD1" w:rsidRPr="00AE1806" w:rsidRDefault="001E4BD1" w:rsidP="008B081E">
            <w:pPr>
              <w:pStyle w:val="TableText"/>
              <w:widowControl w:val="0"/>
            </w:pPr>
            <w:r>
              <w:t>T</w:t>
            </w:r>
            <w:r w:rsidRPr="00BC2FD3">
              <w:t>ime to death by any cause</w:t>
            </w:r>
          </w:p>
        </w:tc>
        <w:tc>
          <w:tcPr>
            <w:tcW w:w="1358" w:type="dxa"/>
            <w:tcBorders>
              <w:top w:val="single" w:sz="4" w:space="0" w:color="auto"/>
              <w:left w:val="single" w:sz="4" w:space="0" w:color="auto"/>
              <w:bottom w:val="single" w:sz="4" w:space="0" w:color="auto"/>
              <w:right w:val="single" w:sz="4" w:space="0" w:color="auto"/>
            </w:tcBorders>
            <w:vAlign w:val="center"/>
          </w:tcPr>
          <w:p w14:paraId="4E77AA28" w14:textId="77777777" w:rsidR="001E4BD1" w:rsidRPr="004B0DA0" w:rsidRDefault="001E4BD1" w:rsidP="008B081E">
            <w:pPr>
              <w:pStyle w:val="TableText"/>
              <w:widowControl w:val="0"/>
              <w:jc w:val="center"/>
            </w:pPr>
            <w:r>
              <w:t>444 (3.22%</w:t>
            </w:r>
            <w:r w:rsidRPr="004B0DA0">
              <w:t>)</w:t>
            </w:r>
          </w:p>
        </w:tc>
        <w:tc>
          <w:tcPr>
            <w:tcW w:w="1359" w:type="dxa"/>
            <w:tcBorders>
              <w:top w:val="single" w:sz="4" w:space="0" w:color="auto"/>
              <w:left w:val="single" w:sz="4" w:space="0" w:color="auto"/>
              <w:bottom w:val="single" w:sz="4" w:space="0" w:color="auto"/>
              <w:right w:val="single" w:sz="4" w:space="0" w:color="auto"/>
            </w:tcBorders>
            <w:vAlign w:val="center"/>
          </w:tcPr>
          <w:p w14:paraId="5FC7AAB4" w14:textId="77777777" w:rsidR="001E4BD1" w:rsidRPr="004B0DA0" w:rsidRDefault="001E4BD1" w:rsidP="008B081E">
            <w:pPr>
              <w:pStyle w:val="TableText"/>
              <w:widowControl w:val="0"/>
              <w:jc w:val="center"/>
            </w:pPr>
            <w:r>
              <w:t>426 (3.09%</w:t>
            </w:r>
            <w:r w:rsidRPr="004B0DA0">
              <w:t>)</w:t>
            </w:r>
          </w:p>
        </w:tc>
        <w:tc>
          <w:tcPr>
            <w:tcW w:w="1733" w:type="dxa"/>
            <w:tcBorders>
              <w:top w:val="single" w:sz="4" w:space="0" w:color="auto"/>
              <w:left w:val="single" w:sz="4" w:space="0" w:color="auto"/>
              <w:bottom w:val="single" w:sz="4" w:space="0" w:color="auto"/>
              <w:right w:val="single" w:sz="4" w:space="0" w:color="auto"/>
            </w:tcBorders>
            <w:vAlign w:val="center"/>
          </w:tcPr>
          <w:p w14:paraId="09ECA3FF" w14:textId="77777777" w:rsidR="001E4BD1" w:rsidRPr="004B0DA0" w:rsidRDefault="001E4BD1" w:rsidP="008B081E">
            <w:pPr>
              <w:pStyle w:val="TableText"/>
              <w:widowControl w:val="0"/>
              <w:jc w:val="center"/>
            </w:pPr>
            <w:r w:rsidRPr="004B0DA0">
              <w:t>1.04 (0.91, 1.19)</w:t>
            </w:r>
          </w:p>
        </w:tc>
      </w:tr>
      <w:tr w:rsidR="001E4BD1" w14:paraId="1FCC6970" w14:textId="77777777" w:rsidTr="00BF34B1">
        <w:trPr>
          <w:trHeight w:val="70"/>
        </w:trPr>
        <w:tc>
          <w:tcPr>
            <w:tcW w:w="4512" w:type="dxa"/>
            <w:tcBorders>
              <w:top w:val="single" w:sz="4" w:space="0" w:color="auto"/>
              <w:left w:val="single" w:sz="4" w:space="0" w:color="auto"/>
              <w:bottom w:val="single" w:sz="4" w:space="0" w:color="auto"/>
              <w:right w:val="single" w:sz="4" w:space="0" w:color="auto"/>
            </w:tcBorders>
            <w:vAlign w:val="center"/>
          </w:tcPr>
          <w:p w14:paraId="24F6C3A9" w14:textId="77777777" w:rsidR="001E4BD1" w:rsidRPr="00AE1806" w:rsidRDefault="001E4BD1" w:rsidP="008B081E">
            <w:pPr>
              <w:pStyle w:val="TableText"/>
              <w:widowControl w:val="0"/>
            </w:pPr>
            <w:r>
              <w:t>T</w:t>
            </w:r>
            <w:r w:rsidRPr="00BC2FD3">
              <w:t xml:space="preserve">ime </w:t>
            </w:r>
            <w:r>
              <w:t xml:space="preserve">to first myocardial infarction </w:t>
            </w:r>
          </w:p>
        </w:tc>
        <w:tc>
          <w:tcPr>
            <w:tcW w:w="1358" w:type="dxa"/>
            <w:tcBorders>
              <w:top w:val="single" w:sz="4" w:space="0" w:color="auto"/>
              <w:left w:val="single" w:sz="4" w:space="0" w:color="auto"/>
              <w:bottom w:val="single" w:sz="4" w:space="0" w:color="auto"/>
              <w:right w:val="single" w:sz="4" w:space="0" w:color="auto"/>
            </w:tcBorders>
            <w:vAlign w:val="center"/>
          </w:tcPr>
          <w:p w14:paraId="29BCF5B3" w14:textId="77777777" w:rsidR="001E4BD1" w:rsidRPr="009D304B" w:rsidRDefault="001E4BD1" w:rsidP="008B081E">
            <w:pPr>
              <w:pStyle w:val="TableText"/>
              <w:widowControl w:val="0"/>
              <w:jc w:val="center"/>
            </w:pPr>
            <w:r>
              <w:t>468 (3.40%</w:t>
            </w:r>
            <w:r w:rsidRPr="009D304B">
              <w:t>)</w:t>
            </w:r>
          </w:p>
        </w:tc>
        <w:tc>
          <w:tcPr>
            <w:tcW w:w="1359" w:type="dxa"/>
            <w:tcBorders>
              <w:top w:val="single" w:sz="4" w:space="0" w:color="auto"/>
              <w:left w:val="single" w:sz="4" w:space="0" w:color="auto"/>
              <w:bottom w:val="single" w:sz="4" w:space="0" w:color="auto"/>
              <w:right w:val="single" w:sz="4" w:space="0" w:color="auto"/>
            </w:tcBorders>
            <w:vAlign w:val="center"/>
          </w:tcPr>
          <w:p w14:paraId="512A9C8F" w14:textId="77777777" w:rsidR="001E4BD1" w:rsidRPr="009D304B" w:rsidRDefault="001E4BD1" w:rsidP="008B081E">
            <w:pPr>
              <w:pStyle w:val="TableText"/>
              <w:widowControl w:val="0"/>
              <w:jc w:val="center"/>
            </w:pPr>
            <w:r>
              <w:t>639 (4.64%</w:t>
            </w:r>
            <w:r w:rsidRPr="009D304B">
              <w:t>)</w:t>
            </w:r>
          </w:p>
        </w:tc>
        <w:tc>
          <w:tcPr>
            <w:tcW w:w="1733" w:type="dxa"/>
            <w:tcBorders>
              <w:top w:val="single" w:sz="4" w:space="0" w:color="auto"/>
              <w:left w:val="single" w:sz="4" w:space="0" w:color="auto"/>
              <w:bottom w:val="single" w:sz="4" w:space="0" w:color="auto"/>
              <w:right w:val="single" w:sz="4" w:space="0" w:color="auto"/>
            </w:tcBorders>
            <w:vAlign w:val="center"/>
          </w:tcPr>
          <w:p w14:paraId="6AC4ED31" w14:textId="77777777" w:rsidR="001E4BD1" w:rsidRPr="001A509F" w:rsidRDefault="001E4BD1" w:rsidP="008B081E">
            <w:pPr>
              <w:pStyle w:val="TableText"/>
              <w:widowControl w:val="0"/>
              <w:jc w:val="center"/>
              <w:rPr>
                <w:b/>
                <w:bCs w:val="0"/>
              </w:rPr>
            </w:pPr>
            <w:r w:rsidRPr="001A509F">
              <w:rPr>
                <w:b/>
                <w:bCs w:val="0"/>
              </w:rPr>
              <w:t>0.73 (0.65, 0.82)</w:t>
            </w:r>
          </w:p>
        </w:tc>
      </w:tr>
      <w:tr w:rsidR="001E4BD1" w14:paraId="59C16C0C" w14:textId="77777777" w:rsidTr="00BF34B1">
        <w:trPr>
          <w:trHeight w:val="70"/>
        </w:trPr>
        <w:tc>
          <w:tcPr>
            <w:tcW w:w="4512" w:type="dxa"/>
            <w:tcBorders>
              <w:top w:val="single" w:sz="4" w:space="0" w:color="auto"/>
              <w:left w:val="single" w:sz="4" w:space="0" w:color="auto"/>
              <w:bottom w:val="single" w:sz="4" w:space="0" w:color="auto"/>
              <w:right w:val="single" w:sz="4" w:space="0" w:color="auto"/>
            </w:tcBorders>
            <w:vAlign w:val="center"/>
          </w:tcPr>
          <w:p w14:paraId="7FF5B23E" w14:textId="77777777" w:rsidR="001E4BD1" w:rsidRPr="00AE1806" w:rsidRDefault="001E4BD1" w:rsidP="008B081E">
            <w:pPr>
              <w:pStyle w:val="TableText"/>
              <w:widowControl w:val="0"/>
            </w:pPr>
            <w:r>
              <w:t>T</w:t>
            </w:r>
            <w:r w:rsidRPr="00BC2FD3">
              <w:t>ime to first stroke</w:t>
            </w:r>
          </w:p>
        </w:tc>
        <w:tc>
          <w:tcPr>
            <w:tcW w:w="1358" w:type="dxa"/>
            <w:tcBorders>
              <w:top w:val="single" w:sz="4" w:space="0" w:color="auto"/>
              <w:left w:val="single" w:sz="4" w:space="0" w:color="auto"/>
              <w:bottom w:val="single" w:sz="4" w:space="0" w:color="auto"/>
              <w:right w:val="single" w:sz="4" w:space="0" w:color="auto"/>
            </w:tcBorders>
            <w:vAlign w:val="center"/>
          </w:tcPr>
          <w:p w14:paraId="0FC3FC72" w14:textId="77777777" w:rsidR="001E4BD1" w:rsidRPr="00DD1F83" w:rsidRDefault="001E4BD1" w:rsidP="008B081E">
            <w:pPr>
              <w:pStyle w:val="TableText"/>
              <w:widowControl w:val="0"/>
              <w:jc w:val="center"/>
            </w:pPr>
            <w:r>
              <w:t>207 (1.50%</w:t>
            </w:r>
            <w:r w:rsidRPr="00DD1F83">
              <w:t>)</w:t>
            </w:r>
          </w:p>
        </w:tc>
        <w:tc>
          <w:tcPr>
            <w:tcW w:w="1359" w:type="dxa"/>
            <w:tcBorders>
              <w:top w:val="single" w:sz="4" w:space="0" w:color="auto"/>
              <w:left w:val="single" w:sz="4" w:space="0" w:color="auto"/>
              <w:bottom w:val="single" w:sz="4" w:space="0" w:color="auto"/>
              <w:right w:val="single" w:sz="4" w:space="0" w:color="auto"/>
            </w:tcBorders>
            <w:vAlign w:val="center"/>
          </w:tcPr>
          <w:p w14:paraId="6CB86812" w14:textId="77777777" w:rsidR="001E4BD1" w:rsidRPr="00DD1F83" w:rsidRDefault="001E4BD1" w:rsidP="008B081E">
            <w:pPr>
              <w:pStyle w:val="TableText"/>
              <w:widowControl w:val="0"/>
              <w:jc w:val="center"/>
            </w:pPr>
            <w:r>
              <w:t>262 (1.90%</w:t>
            </w:r>
            <w:r w:rsidRPr="00DD1F83">
              <w:t>)</w:t>
            </w:r>
          </w:p>
        </w:tc>
        <w:tc>
          <w:tcPr>
            <w:tcW w:w="1733" w:type="dxa"/>
            <w:tcBorders>
              <w:top w:val="single" w:sz="4" w:space="0" w:color="auto"/>
              <w:left w:val="single" w:sz="4" w:space="0" w:color="auto"/>
              <w:bottom w:val="single" w:sz="4" w:space="0" w:color="auto"/>
              <w:right w:val="single" w:sz="4" w:space="0" w:color="auto"/>
            </w:tcBorders>
            <w:vAlign w:val="center"/>
          </w:tcPr>
          <w:p w14:paraId="797D5F64" w14:textId="77777777" w:rsidR="001E4BD1" w:rsidRPr="001A509F" w:rsidRDefault="001E4BD1" w:rsidP="008B081E">
            <w:pPr>
              <w:pStyle w:val="TableText"/>
              <w:widowControl w:val="0"/>
              <w:jc w:val="center"/>
              <w:rPr>
                <w:b/>
                <w:bCs w:val="0"/>
              </w:rPr>
            </w:pPr>
            <w:r w:rsidRPr="001A509F">
              <w:rPr>
                <w:b/>
                <w:bCs w:val="0"/>
              </w:rPr>
              <w:t>0.79 (0.66, 0.95)</w:t>
            </w:r>
          </w:p>
        </w:tc>
      </w:tr>
      <w:tr w:rsidR="001E4BD1" w14:paraId="20EB7D42" w14:textId="77777777" w:rsidTr="00BF34B1">
        <w:trPr>
          <w:trHeight w:val="70"/>
        </w:trPr>
        <w:tc>
          <w:tcPr>
            <w:tcW w:w="4512" w:type="dxa"/>
            <w:tcBorders>
              <w:top w:val="single" w:sz="4" w:space="0" w:color="auto"/>
              <w:left w:val="single" w:sz="4" w:space="0" w:color="auto"/>
              <w:bottom w:val="single" w:sz="4" w:space="0" w:color="auto"/>
              <w:right w:val="single" w:sz="4" w:space="0" w:color="auto"/>
            </w:tcBorders>
            <w:vAlign w:val="center"/>
          </w:tcPr>
          <w:p w14:paraId="6C5AF7C6" w14:textId="77777777" w:rsidR="001E4BD1" w:rsidRDefault="001E4BD1" w:rsidP="008B081E">
            <w:pPr>
              <w:pStyle w:val="TableText"/>
              <w:widowControl w:val="0"/>
            </w:pPr>
            <w:r>
              <w:t>- Ischaemic stroke</w:t>
            </w:r>
          </w:p>
        </w:tc>
        <w:tc>
          <w:tcPr>
            <w:tcW w:w="1358" w:type="dxa"/>
            <w:tcBorders>
              <w:top w:val="single" w:sz="4" w:space="0" w:color="auto"/>
              <w:left w:val="single" w:sz="4" w:space="0" w:color="auto"/>
              <w:bottom w:val="single" w:sz="4" w:space="0" w:color="auto"/>
              <w:right w:val="single" w:sz="4" w:space="0" w:color="auto"/>
            </w:tcBorders>
            <w:vAlign w:val="center"/>
          </w:tcPr>
          <w:p w14:paraId="78E06AF3" w14:textId="77777777" w:rsidR="001E4BD1" w:rsidRDefault="001E4BD1" w:rsidP="008B081E">
            <w:pPr>
              <w:pStyle w:val="TableText"/>
              <w:widowControl w:val="0"/>
              <w:jc w:val="center"/>
            </w:pPr>
            <w:r w:rsidRPr="00E54115">
              <w:t>171 (1.2</w:t>
            </w:r>
            <w:r>
              <w:t>4%</w:t>
            </w:r>
            <w:r w:rsidRPr="00E54115">
              <w:t>)</w:t>
            </w:r>
          </w:p>
        </w:tc>
        <w:tc>
          <w:tcPr>
            <w:tcW w:w="1359" w:type="dxa"/>
            <w:tcBorders>
              <w:top w:val="single" w:sz="4" w:space="0" w:color="auto"/>
              <w:left w:val="single" w:sz="4" w:space="0" w:color="auto"/>
              <w:bottom w:val="single" w:sz="4" w:space="0" w:color="auto"/>
              <w:right w:val="single" w:sz="4" w:space="0" w:color="auto"/>
            </w:tcBorders>
            <w:vAlign w:val="center"/>
          </w:tcPr>
          <w:p w14:paraId="5473EE94" w14:textId="77777777" w:rsidR="001E4BD1" w:rsidRDefault="001E4BD1" w:rsidP="008B081E">
            <w:pPr>
              <w:pStyle w:val="TableText"/>
              <w:widowControl w:val="0"/>
              <w:jc w:val="center"/>
            </w:pPr>
            <w:r w:rsidRPr="00E54115">
              <w:t>226 (1.6</w:t>
            </w:r>
            <w:r>
              <w:t>4%</w:t>
            </w:r>
            <w:r w:rsidRPr="00E54115">
              <w:t>)</w:t>
            </w:r>
          </w:p>
        </w:tc>
        <w:tc>
          <w:tcPr>
            <w:tcW w:w="1733" w:type="dxa"/>
            <w:tcBorders>
              <w:top w:val="single" w:sz="4" w:space="0" w:color="auto"/>
              <w:left w:val="single" w:sz="4" w:space="0" w:color="auto"/>
              <w:bottom w:val="single" w:sz="4" w:space="0" w:color="auto"/>
              <w:right w:val="single" w:sz="4" w:space="0" w:color="auto"/>
            </w:tcBorders>
            <w:vAlign w:val="center"/>
          </w:tcPr>
          <w:p w14:paraId="7E9478CE" w14:textId="77777777" w:rsidR="001E4BD1" w:rsidRPr="001A509F" w:rsidRDefault="001E4BD1" w:rsidP="008B081E">
            <w:pPr>
              <w:pStyle w:val="TableText"/>
              <w:widowControl w:val="0"/>
              <w:jc w:val="center"/>
              <w:rPr>
                <w:b/>
                <w:bCs w:val="0"/>
              </w:rPr>
            </w:pPr>
            <w:r w:rsidRPr="001A509F">
              <w:rPr>
                <w:b/>
                <w:bCs w:val="0"/>
              </w:rPr>
              <w:t>0.75 (0.62, 0.92)</w:t>
            </w:r>
          </w:p>
        </w:tc>
      </w:tr>
      <w:tr w:rsidR="001E4BD1" w14:paraId="3BF9E13C" w14:textId="77777777" w:rsidTr="00BF34B1">
        <w:trPr>
          <w:trHeight w:val="70"/>
        </w:trPr>
        <w:tc>
          <w:tcPr>
            <w:tcW w:w="4512" w:type="dxa"/>
            <w:tcBorders>
              <w:top w:val="single" w:sz="4" w:space="0" w:color="auto"/>
              <w:left w:val="single" w:sz="4" w:space="0" w:color="auto"/>
              <w:bottom w:val="single" w:sz="4" w:space="0" w:color="auto"/>
              <w:right w:val="single" w:sz="4" w:space="0" w:color="auto"/>
            </w:tcBorders>
            <w:vAlign w:val="center"/>
          </w:tcPr>
          <w:p w14:paraId="053121B9" w14:textId="77777777" w:rsidR="001E4BD1" w:rsidRDefault="001E4BD1" w:rsidP="008B081E">
            <w:pPr>
              <w:pStyle w:val="TableText"/>
              <w:widowControl w:val="0"/>
            </w:pPr>
            <w:r>
              <w:t>- Haemorrhagic stroke</w:t>
            </w:r>
          </w:p>
        </w:tc>
        <w:tc>
          <w:tcPr>
            <w:tcW w:w="1358" w:type="dxa"/>
            <w:tcBorders>
              <w:top w:val="single" w:sz="4" w:space="0" w:color="auto"/>
              <w:left w:val="single" w:sz="4" w:space="0" w:color="auto"/>
              <w:bottom w:val="single" w:sz="4" w:space="0" w:color="auto"/>
              <w:right w:val="single" w:sz="4" w:space="0" w:color="auto"/>
            </w:tcBorders>
            <w:vAlign w:val="center"/>
          </w:tcPr>
          <w:p w14:paraId="48E77A64" w14:textId="77777777" w:rsidR="001E4BD1" w:rsidRDefault="001E4BD1" w:rsidP="008B081E">
            <w:pPr>
              <w:pStyle w:val="TableText"/>
              <w:widowControl w:val="0"/>
              <w:jc w:val="center"/>
            </w:pPr>
            <w:r w:rsidRPr="009C260C">
              <w:t>29 (0.21</w:t>
            </w:r>
            <w:r>
              <w:t>%</w:t>
            </w:r>
            <w:r w:rsidRPr="009C260C">
              <w:t>)</w:t>
            </w:r>
          </w:p>
        </w:tc>
        <w:tc>
          <w:tcPr>
            <w:tcW w:w="1359" w:type="dxa"/>
            <w:tcBorders>
              <w:top w:val="single" w:sz="4" w:space="0" w:color="auto"/>
              <w:left w:val="single" w:sz="4" w:space="0" w:color="auto"/>
              <w:bottom w:val="single" w:sz="4" w:space="0" w:color="auto"/>
              <w:right w:val="single" w:sz="4" w:space="0" w:color="auto"/>
            </w:tcBorders>
            <w:vAlign w:val="center"/>
          </w:tcPr>
          <w:p w14:paraId="734F3367" w14:textId="77777777" w:rsidR="001E4BD1" w:rsidRDefault="001E4BD1" w:rsidP="008B081E">
            <w:pPr>
              <w:pStyle w:val="TableText"/>
              <w:widowControl w:val="0"/>
              <w:jc w:val="center"/>
            </w:pPr>
            <w:r w:rsidRPr="009C260C">
              <w:t>25 (0.18</w:t>
            </w:r>
            <w:r>
              <w:t>%</w:t>
            </w:r>
            <w:r w:rsidRPr="009C260C">
              <w:t>)</w:t>
            </w:r>
          </w:p>
        </w:tc>
        <w:tc>
          <w:tcPr>
            <w:tcW w:w="1733" w:type="dxa"/>
            <w:tcBorders>
              <w:top w:val="single" w:sz="4" w:space="0" w:color="auto"/>
              <w:left w:val="single" w:sz="4" w:space="0" w:color="auto"/>
              <w:bottom w:val="single" w:sz="4" w:space="0" w:color="auto"/>
              <w:right w:val="single" w:sz="4" w:space="0" w:color="auto"/>
            </w:tcBorders>
            <w:vAlign w:val="center"/>
          </w:tcPr>
          <w:p w14:paraId="4073F7E5" w14:textId="77777777" w:rsidR="001E4BD1" w:rsidRPr="00DD1F83" w:rsidRDefault="001E4BD1" w:rsidP="008B081E">
            <w:pPr>
              <w:pStyle w:val="TableText"/>
              <w:widowControl w:val="0"/>
              <w:jc w:val="center"/>
            </w:pPr>
            <w:r>
              <w:t xml:space="preserve">1.16 (0.68, </w:t>
            </w:r>
            <w:r w:rsidRPr="009C260C">
              <w:t>1.98)</w:t>
            </w:r>
          </w:p>
        </w:tc>
      </w:tr>
      <w:tr w:rsidR="001E4BD1" w14:paraId="1EC97A4B" w14:textId="77777777" w:rsidTr="00BF34B1">
        <w:trPr>
          <w:trHeight w:val="70"/>
        </w:trPr>
        <w:tc>
          <w:tcPr>
            <w:tcW w:w="4512" w:type="dxa"/>
            <w:tcBorders>
              <w:top w:val="single" w:sz="4" w:space="0" w:color="auto"/>
              <w:left w:val="single" w:sz="4" w:space="0" w:color="auto"/>
              <w:bottom w:val="single" w:sz="4" w:space="0" w:color="auto"/>
              <w:right w:val="single" w:sz="4" w:space="0" w:color="auto"/>
            </w:tcBorders>
            <w:vAlign w:val="center"/>
          </w:tcPr>
          <w:p w14:paraId="7C429ADA" w14:textId="77777777" w:rsidR="001E4BD1" w:rsidRDefault="001E4BD1" w:rsidP="008B081E">
            <w:pPr>
              <w:pStyle w:val="TableText"/>
              <w:widowControl w:val="0"/>
            </w:pPr>
            <w:r>
              <w:t xml:space="preserve">- Unknown </w:t>
            </w:r>
          </w:p>
        </w:tc>
        <w:tc>
          <w:tcPr>
            <w:tcW w:w="1358" w:type="dxa"/>
            <w:tcBorders>
              <w:top w:val="single" w:sz="4" w:space="0" w:color="auto"/>
              <w:left w:val="single" w:sz="4" w:space="0" w:color="auto"/>
              <w:bottom w:val="single" w:sz="4" w:space="0" w:color="auto"/>
              <w:right w:val="single" w:sz="4" w:space="0" w:color="auto"/>
            </w:tcBorders>
            <w:vAlign w:val="center"/>
          </w:tcPr>
          <w:p w14:paraId="223B9828" w14:textId="77777777" w:rsidR="001E4BD1" w:rsidRDefault="001E4BD1" w:rsidP="008B081E">
            <w:pPr>
              <w:pStyle w:val="TableText"/>
              <w:widowControl w:val="0"/>
              <w:jc w:val="center"/>
            </w:pPr>
            <w:r w:rsidRPr="00B128B9">
              <w:t>13 (0.09</w:t>
            </w:r>
            <w:r>
              <w:t>%</w:t>
            </w:r>
            <w:r w:rsidRPr="00B128B9">
              <w:t>)</w:t>
            </w:r>
          </w:p>
        </w:tc>
        <w:tc>
          <w:tcPr>
            <w:tcW w:w="1359" w:type="dxa"/>
            <w:tcBorders>
              <w:top w:val="single" w:sz="4" w:space="0" w:color="auto"/>
              <w:left w:val="single" w:sz="4" w:space="0" w:color="auto"/>
              <w:bottom w:val="single" w:sz="4" w:space="0" w:color="auto"/>
              <w:right w:val="single" w:sz="4" w:space="0" w:color="auto"/>
            </w:tcBorders>
            <w:vAlign w:val="center"/>
          </w:tcPr>
          <w:p w14:paraId="6348ECDA" w14:textId="77777777" w:rsidR="001E4BD1" w:rsidRDefault="001E4BD1" w:rsidP="008B081E">
            <w:pPr>
              <w:pStyle w:val="TableText"/>
              <w:widowControl w:val="0"/>
              <w:jc w:val="center"/>
            </w:pPr>
            <w:r w:rsidRPr="00B128B9">
              <w:t>14 (0.10</w:t>
            </w:r>
            <w:r>
              <w:t>%</w:t>
            </w:r>
            <w:r w:rsidRPr="00B128B9">
              <w:t>)</w:t>
            </w:r>
          </w:p>
        </w:tc>
        <w:tc>
          <w:tcPr>
            <w:tcW w:w="1733" w:type="dxa"/>
            <w:tcBorders>
              <w:top w:val="single" w:sz="4" w:space="0" w:color="auto"/>
              <w:left w:val="single" w:sz="4" w:space="0" w:color="auto"/>
              <w:bottom w:val="single" w:sz="4" w:space="0" w:color="auto"/>
              <w:right w:val="single" w:sz="4" w:space="0" w:color="auto"/>
            </w:tcBorders>
            <w:vAlign w:val="center"/>
          </w:tcPr>
          <w:p w14:paraId="7FB35B7B" w14:textId="77777777" w:rsidR="001E4BD1" w:rsidRPr="00DD1F83" w:rsidRDefault="001E4BD1" w:rsidP="008B081E">
            <w:pPr>
              <w:pStyle w:val="TableText"/>
              <w:widowControl w:val="0"/>
              <w:jc w:val="center"/>
            </w:pPr>
            <w:r>
              <w:t xml:space="preserve">0.93 (0.44, </w:t>
            </w:r>
            <w:r w:rsidRPr="00B128B9">
              <w:t>1.97)</w:t>
            </w:r>
          </w:p>
        </w:tc>
      </w:tr>
      <w:tr w:rsidR="001E4BD1" w14:paraId="7D195FE2" w14:textId="77777777" w:rsidTr="00BF34B1">
        <w:trPr>
          <w:trHeight w:val="70"/>
        </w:trPr>
        <w:tc>
          <w:tcPr>
            <w:tcW w:w="4512" w:type="dxa"/>
            <w:tcBorders>
              <w:top w:val="single" w:sz="4" w:space="0" w:color="auto"/>
              <w:left w:val="single" w:sz="4" w:space="0" w:color="auto"/>
              <w:bottom w:val="single" w:sz="4" w:space="0" w:color="auto"/>
              <w:right w:val="single" w:sz="4" w:space="0" w:color="auto"/>
            </w:tcBorders>
            <w:vAlign w:val="center"/>
          </w:tcPr>
          <w:p w14:paraId="3265456C" w14:textId="77777777" w:rsidR="001E4BD1" w:rsidRPr="00AE1806" w:rsidRDefault="001E4BD1" w:rsidP="008B081E">
            <w:pPr>
              <w:pStyle w:val="TableText"/>
              <w:widowControl w:val="0"/>
            </w:pPr>
            <w:r>
              <w:t>T</w:t>
            </w:r>
            <w:r w:rsidRPr="00BC2FD3">
              <w:t>im</w:t>
            </w:r>
            <w:r>
              <w:t>e to first coronary revascularis</w:t>
            </w:r>
            <w:r w:rsidRPr="00BC2FD3">
              <w:t>ation</w:t>
            </w:r>
          </w:p>
        </w:tc>
        <w:tc>
          <w:tcPr>
            <w:tcW w:w="1358" w:type="dxa"/>
            <w:tcBorders>
              <w:top w:val="single" w:sz="4" w:space="0" w:color="auto"/>
              <w:left w:val="single" w:sz="4" w:space="0" w:color="auto"/>
              <w:bottom w:val="single" w:sz="4" w:space="0" w:color="auto"/>
              <w:right w:val="single" w:sz="4" w:space="0" w:color="auto"/>
            </w:tcBorders>
            <w:vAlign w:val="center"/>
          </w:tcPr>
          <w:p w14:paraId="72250038" w14:textId="77777777" w:rsidR="001E4BD1" w:rsidRPr="00BC603A" w:rsidRDefault="001E4BD1" w:rsidP="008B081E">
            <w:pPr>
              <w:pStyle w:val="TableText"/>
              <w:widowControl w:val="0"/>
              <w:jc w:val="center"/>
            </w:pPr>
            <w:r>
              <w:t>759 (5.51%</w:t>
            </w:r>
            <w:r w:rsidRPr="00BC603A">
              <w:t>)</w:t>
            </w:r>
          </w:p>
        </w:tc>
        <w:tc>
          <w:tcPr>
            <w:tcW w:w="1359" w:type="dxa"/>
            <w:tcBorders>
              <w:top w:val="single" w:sz="4" w:space="0" w:color="auto"/>
              <w:left w:val="single" w:sz="4" w:space="0" w:color="auto"/>
              <w:bottom w:val="single" w:sz="4" w:space="0" w:color="auto"/>
              <w:right w:val="single" w:sz="4" w:space="0" w:color="auto"/>
            </w:tcBorders>
            <w:vAlign w:val="center"/>
          </w:tcPr>
          <w:p w14:paraId="10866932" w14:textId="77777777" w:rsidR="001E4BD1" w:rsidRPr="00BC603A" w:rsidRDefault="001E4BD1" w:rsidP="008B081E">
            <w:pPr>
              <w:pStyle w:val="TableText"/>
              <w:widowControl w:val="0"/>
              <w:jc w:val="center"/>
            </w:pPr>
            <w:r>
              <w:t>965 (7.00%</w:t>
            </w:r>
            <w:r w:rsidRPr="00BC603A">
              <w:t>)</w:t>
            </w:r>
          </w:p>
        </w:tc>
        <w:tc>
          <w:tcPr>
            <w:tcW w:w="1733" w:type="dxa"/>
            <w:tcBorders>
              <w:top w:val="single" w:sz="4" w:space="0" w:color="auto"/>
              <w:left w:val="single" w:sz="4" w:space="0" w:color="auto"/>
              <w:bottom w:val="single" w:sz="4" w:space="0" w:color="auto"/>
              <w:right w:val="single" w:sz="4" w:space="0" w:color="auto"/>
            </w:tcBorders>
            <w:vAlign w:val="center"/>
          </w:tcPr>
          <w:p w14:paraId="0F7E5897" w14:textId="77777777" w:rsidR="001E4BD1" w:rsidRPr="001A509F" w:rsidRDefault="001E4BD1" w:rsidP="008B081E">
            <w:pPr>
              <w:pStyle w:val="TableText"/>
              <w:widowControl w:val="0"/>
              <w:jc w:val="center"/>
              <w:rPr>
                <w:b/>
                <w:bCs w:val="0"/>
              </w:rPr>
            </w:pPr>
            <w:r w:rsidRPr="001A509F">
              <w:rPr>
                <w:b/>
                <w:bCs w:val="0"/>
              </w:rPr>
              <w:t>0.78 (0.71, 0.86)</w:t>
            </w:r>
          </w:p>
        </w:tc>
      </w:tr>
      <w:tr w:rsidR="001E4BD1" w14:paraId="0C2A927C" w14:textId="77777777" w:rsidTr="00BF34B1">
        <w:trPr>
          <w:trHeight w:val="70"/>
        </w:trPr>
        <w:tc>
          <w:tcPr>
            <w:tcW w:w="4512" w:type="dxa"/>
            <w:tcBorders>
              <w:top w:val="single" w:sz="4" w:space="0" w:color="auto"/>
              <w:left w:val="single" w:sz="4" w:space="0" w:color="auto"/>
              <w:bottom w:val="single" w:sz="4" w:space="0" w:color="auto"/>
              <w:right w:val="single" w:sz="4" w:space="0" w:color="auto"/>
            </w:tcBorders>
            <w:vAlign w:val="center"/>
          </w:tcPr>
          <w:p w14:paraId="518068CC" w14:textId="77777777" w:rsidR="001E4BD1" w:rsidRDefault="001E4BD1" w:rsidP="008B081E">
            <w:pPr>
              <w:pStyle w:val="TableText"/>
              <w:widowControl w:val="0"/>
            </w:pPr>
            <w:r>
              <w:t>- Urgent procedure</w:t>
            </w:r>
          </w:p>
        </w:tc>
        <w:tc>
          <w:tcPr>
            <w:tcW w:w="1358" w:type="dxa"/>
            <w:tcBorders>
              <w:top w:val="single" w:sz="4" w:space="0" w:color="auto"/>
              <w:left w:val="single" w:sz="4" w:space="0" w:color="auto"/>
              <w:bottom w:val="single" w:sz="4" w:space="0" w:color="auto"/>
              <w:right w:val="single" w:sz="4" w:space="0" w:color="auto"/>
            </w:tcBorders>
            <w:vAlign w:val="center"/>
          </w:tcPr>
          <w:p w14:paraId="46413226" w14:textId="77777777" w:rsidR="001E4BD1" w:rsidRDefault="001E4BD1" w:rsidP="008B081E">
            <w:pPr>
              <w:pStyle w:val="TableText"/>
              <w:widowControl w:val="0"/>
              <w:jc w:val="center"/>
            </w:pPr>
            <w:r w:rsidRPr="003F39B7">
              <w:t>403 (2.9</w:t>
            </w:r>
            <w:r>
              <w:t>2%</w:t>
            </w:r>
            <w:r w:rsidRPr="003F39B7">
              <w:t>)</w:t>
            </w:r>
          </w:p>
        </w:tc>
        <w:tc>
          <w:tcPr>
            <w:tcW w:w="1359" w:type="dxa"/>
            <w:tcBorders>
              <w:top w:val="single" w:sz="4" w:space="0" w:color="auto"/>
              <w:left w:val="single" w:sz="4" w:space="0" w:color="auto"/>
              <w:bottom w:val="single" w:sz="4" w:space="0" w:color="auto"/>
              <w:right w:val="single" w:sz="4" w:space="0" w:color="auto"/>
            </w:tcBorders>
            <w:vAlign w:val="center"/>
          </w:tcPr>
          <w:p w14:paraId="4E2DC60D" w14:textId="77777777" w:rsidR="001E4BD1" w:rsidRDefault="001E4BD1" w:rsidP="008B081E">
            <w:pPr>
              <w:pStyle w:val="TableText"/>
              <w:widowControl w:val="0"/>
              <w:jc w:val="center"/>
            </w:pPr>
            <w:r>
              <w:t>547 (3.97%</w:t>
            </w:r>
            <w:r w:rsidRPr="003F39B7">
              <w:t>)</w:t>
            </w:r>
          </w:p>
        </w:tc>
        <w:tc>
          <w:tcPr>
            <w:tcW w:w="1733" w:type="dxa"/>
            <w:tcBorders>
              <w:top w:val="single" w:sz="4" w:space="0" w:color="auto"/>
              <w:left w:val="single" w:sz="4" w:space="0" w:color="auto"/>
              <w:bottom w:val="single" w:sz="4" w:space="0" w:color="auto"/>
              <w:right w:val="single" w:sz="4" w:space="0" w:color="auto"/>
            </w:tcBorders>
            <w:vAlign w:val="center"/>
          </w:tcPr>
          <w:p w14:paraId="4D13D04A" w14:textId="77777777" w:rsidR="001E4BD1" w:rsidRPr="001A509F" w:rsidRDefault="001E4BD1" w:rsidP="008B081E">
            <w:pPr>
              <w:pStyle w:val="TableText"/>
              <w:widowControl w:val="0"/>
              <w:jc w:val="center"/>
              <w:rPr>
                <w:b/>
                <w:bCs w:val="0"/>
              </w:rPr>
            </w:pPr>
            <w:r w:rsidRPr="001A509F">
              <w:rPr>
                <w:b/>
                <w:bCs w:val="0"/>
              </w:rPr>
              <w:t>0.73 (0.64, 0.83)</w:t>
            </w:r>
          </w:p>
        </w:tc>
      </w:tr>
      <w:tr w:rsidR="001E4BD1" w14:paraId="54A7041A" w14:textId="77777777" w:rsidTr="00BF34B1">
        <w:trPr>
          <w:trHeight w:val="70"/>
        </w:trPr>
        <w:tc>
          <w:tcPr>
            <w:tcW w:w="4512" w:type="dxa"/>
            <w:tcBorders>
              <w:top w:val="single" w:sz="4" w:space="0" w:color="auto"/>
              <w:left w:val="single" w:sz="4" w:space="0" w:color="auto"/>
              <w:bottom w:val="single" w:sz="4" w:space="0" w:color="auto"/>
              <w:right w:val="single" w:sz="4" w:space="0" w:color="auto"/>
            </w:tcBorders>
            <w:vAlign w:val="center"/>
          </w:tcPr>
          <w:p w14:paraId="58424C3A" w14:textId="77777777" w:rsidR="001E4BD1" w:rsidRDefault="001E4BD1" w:rsidP="008B081E">
            <w:pPr>
              <w:pStyle w:val="TableText"/>
              <w:widowControl w:val="0"/>
            </w:pPr>
            <w:r>
              <w:t>- Elective procedure</w:t>
            </w:r>
          </w:p>
        </w:tc>
        <w:tc>
          <w:tcPr>
            <w:tcW w:w="1358" w:type="dxa"/>
            <w:tcBorders>
              <w:top w:val="single" w:sz="4" w:space="0" w:color="auto"/>
              <w:left w:val="single" w:sz="4" w:space="0" w:color="auto"/>
              <w:bottom w:val="single" w:sz="4" w:space="0" w:color="auto"/>
              <w:right w:val="single" w:sz="4" w:space="0" w:color="auto"/>
            </w:tcBorders>
            <w:vAlign w:val="center"/>
          </w:tcPr>
          <w:p w14:paraId="02733B38" w14:textId="77777777" w:rsidR="001E4BD1" w:rsidRDefault="001E4BD1" w:rsidP="008B081E">
            <w:pPr>
              <w:pStyle w:val="TableText"/>
              <w:widowControl w:val="0"/>
              <w:jc w:val="center"/>
            </w:pPr>
            <w:r w:rsidRPr="00542793">
              <w:t>420 (3.0</w:t>
            </w:r>
            <w:r>
              <w:t>5%</w:t>
            </w:r>
            <w:r w:rsidRPr="00542793">
              <w:t>)</w:t>
            </w:r>
          </w:p>
        </w:tc>
        <w:tc>
          <w:tcPr>
            <w:tcW w:w="1359" w:type="dxa"/>
            <w:tcBorders>
              <w:top w:val="single" w:sz="4" w:space="0" w:color="auto"/>
              <w:left w:val="single" w:sz="4" w:space="0" w:color="auto"/>
              <w:bottom w:val="single" w:sz="4" w:space="0" w:color="auto"/>
              <w:right w:val="single" w:sz="4" w:space="0" w:color="auto"/>
            </w:tcBorders>
            <w:vAlign w:val="center"/>
          </w:tcPr>
          <w:p w14:paraId="19B38746" w14:textId="77777777" w:rsidR="001E4BD1" w:rsidRDefault="001E4BD1" w:rsidP="008B081E">
            <w:pPr>
              <w:pStyle w:val="TableText"/>
              <w:widowControl w:val="0"/>
              <w:jc w:val="center"/>
            </w:pPr>
            <w:r>
              <w:t>504 (3.66%</w:t>
            </w:r>
            <w:r w:rsidRPr="00542793">
              <w:t>)</w:t>
            </w:r>
          </w:p>
        </w:tc>
        <w:tc>
          <w:tcPr>
            <w:tcW w:w="1733" w:type="dxa"/>
            <w:tcBorders>
              <w:top w:val="single" w:sz="4" w:space="0" w:color="auto"/>
              <w:left w:val="single" w:sz="4" w:space="0" w:color="auto"/>
              <w:bottom w:val="single" w:sz="4" w:space="0" w:color="auto"/>
              <w:right w:val="single" w:sz="4" w:space="0" w:color="auto"/>
            </w:tcBorders>
            <w:vAlign w:val="center"/>
          </w:tcPr>
          <w:p w14:paraId="17593731" w14:textId="77777777" w:rsidR="001E4BD1" w:rsidRPr="001A509F" w:rsidRDefault="001E4BD1" w:rsidP="008B081E">
            <w:pPr>
              <w:pStyle w:val="TableText"/>
              <w:widowControl w:val="0"/>
              <w:jc w:val="center"/>
              <w:rPr>
                <w:b/>
                <w:bCs w:val="0"/>
              </w:rPr>
            </w:pPr>
            <w:r w:rsidRPr="001A509F">
              <w:rPr>
                <w:b/>
                <w:bCs w:val="0"/>
              </w:rPr>
              <w:t>0.83 (0.73, 0.95)</w:t>
            </w:r>
          </w:p>
        </w:tc>
      </w:tr>
      <w:tr w:rsidR="001E4BD1" w14:paraId="7C455472" w14:textId="77777777" w:rsidTr="00BF34B1">
        <w:trPr>
          <w:trHeight w:val="70"/>
        </w:trPr>
        <w:tc>
          <w:tcPr>
            <w:tcW w:w="4512" w:type="dxa"/>
            <w:tcBorders>
              <w:top w:val="single" w:sz="4" w:space="0" w:color="auto"/>
              <w:left w:val="single" w:sz="4" w:space="0" w:color="auto"/>
              <w:bottom w:val="single" w:sz="4" w:space="0" w:color="auto"/>
              <w:right w:val="single" w:sz="4" w:space="0" w:color="auto"/>
            </w:tcBorders>
            <w:vAlign w:val="center"/>
          </w:tcPr>
          <w:p w14:paraId="26554738" w14:textId="77777777" w:rsidR="001E4BD1" w:rsidRDefault="001E4BD1" w:rsidP="008B081E">
            <w:pPr>
              <w:pStyle w:val="TableText"/>
              <w:widowControl w:val="0"/>
            </w:pPr>
            <w:r>
              <w:t>Time to first hospitalis</w:t>
            </w:r>
            <w:r w:rsidRPr="00BC603A">
              <w:t>ation for unstable angina</w:t>
            </w:r>
          </w:p>
        </w:tc>
        <w:tc>
          <w:tcPr>
            <w:tcW w:w="1358" w:type="dxa"/>
            <w:tcBorders>
              <w:top w:val="single" w:sz="4" w:space="0" w:color="auto"/>
              <w:left w:val="single" w:sz="4" w:space="0" w:color="auto"/>
              <w:bottom w:val="single" w:sz="4" w:space="0" w:color="auto"/>
              <w:right w:val="single" w:sz="4" w:space="0" w:color="auto"/>
            </w:tcBorders>
            <w:vAlign w:val="center"/>
          </w:tcPr>
          <w:p w14:paraId="3099E6CB" w14:textId="77777777" w:rsidR="001E4BD1" w:rsidRPr="005E68DB" w:rsidRDefault="001E4BD1" w:rsidP="008B081E">
            <w:pPr>
              <w:pStyle w:val="TableText"/>
              <w:widowControl w:val="0"/>
              <w:jc w:val="center"/>
            </w:pPr>
            <w:r w:rsidRPr="005E68DB">
              <w:t>236 (1.71%)</w:t>
            </w:r>
          </w:p>
        </w:tc>
        <w:tc>
          <w:tcPr>
            <w:tcW w:w="1359" w:type="dxa"/>
            <w:tcBorders>
              <w:top w:val="single" w:sz="4" w:space="0" w:color="auto"/>
              <w:left w:val="single" w:sz="4" w:space="0" w:color="auto"/>
              <w:bottom w:val="single" w:sz="4" w:space="0" w:color="auto"/>
              <w:right w:val="single" w:sz="4" w:space="0" w:color="auto"/>
            </w:tcBorders>
            <w:vAlign w:val="center"/>
          </w:tcPr>
          <w:p w14:paraId="1B37BD1C" w14:textId="77777777" w:rsidR="001E4BD1" w:rsidRPr="005E68DB" w:rsidRDefault="001E4BD1" w:rsidP="008B081E">
            <w:pPr>
              <w:pStyle w:val="TableText"/>
              <w:widowControl w:val="0"/>
              <w:jc w:val="center"/>
            </w:pPr>
            <w:r w:rsidRPr="005E68DB">
              <w:t>239 (1.73%)</w:t>
            </w:r>
          </w:p>
        </w:tc>
        <w:tc>
          <w:tcPr>
            <w:tcW w:w="1733" w:type="dxa"/>
            <w:tcBorders>
              <w:top w:val="single" w:sz="4" w:space="0" w:color="auto"/>
              <w:left w:val="single" w:sz="4" w:space="0" w:color="auto"/>
              <w:bottom w:val="single" w:sz="4" w:space="0" w:color="auto"/>
              <w:right w:val="single" w:sz="4" w:space="0" w:color="auto"/>
            </w:tcBorders>
            <w:vAlign w:val="center"/>
          </w:tcPr>
          <w:p w14:paraId="445E99F6" w14:textId="77777777" w:rsidR="001E4BD1" w:rsidRPr="005E68DB" w:rsidRDefault="001E4BD1" w:rsidP="008B081E">
            <w:pPr>
              <w:pStyle w:val="TableText"/>
              <w:widowControl w:val="0"/>
              <w:jc w:val="center"/>
            </w:pPr>
            <w:r w:rsidRPr="005E68DB">
              <w:t>0.99 (0.82, 1.18)</w:t>
            </w:r>
          </w:p>
        </w:tc>
      </w:tr>
      <w:tr w:rsidR="001E4BD1" w14:paraId="2A712DC8" w14:textId="77777777" w:rsidTr="00BF34B1">
        <w:trPr>
          <w:trHeight w:val="70"/>
        </w:trPr>
        <w:tc>
          <w:tcPr>
            <w:tcW w:w="4512" w:type="dxa"/>
            <w:tcBorders>
              <w:top w:val="single" w:sz="4" w:space="0" w:color="auto"/>
              <w:left w:val="single" w:sz="4" w:space="0" w:color="auto"/>
              <w:bottom w:val="single" w:sz="4" w:space="0" w:color="auto"/>
              <w:right w:val="single" w:sz="4" w:space="0" w:color="auto"/>
            </w:tcBorders>
            <w:vAlign w:val="center"/>
          </w:tcPr>
          <w:p w14:paraId="0AC590B4" w14:textId="77777777" w:rsidR="001E4BD1" w:rsidRPr="00BC603A" w:rsidRDefault="001E4BD1" w:rsidP="008B081E">
            <w:pPr>
              <w:pStyle w:val="TableText"/>
              <w:widowControl w:val="0"/>
            </w:pPr>
            <w:r>
              <w:t>Time to first hospitalisation for worsening heart failure</w:t>
            </w:r>
          </w:p>
        </w:tc>
        <w:tc>
          <w:tcPr>
            <w:tcW w:w="1358" w:type="dxa"/>
            <w:tcBorders>
              <w:top w:val="single" w:sz="4" w:space="0" w:color="auto"/>
              <w:left w:val="single" w:sz="4" w:space="0" w:color="auto"/>
              <w:bottom w:val="single" w:sz="4" w:space="0" w:color="auto"/>
              <w:right w:val="single" w:sz="4" w:space="0" w:color="auto"/>
            </w:tcBorders>
            <w:vAlign w:val="center"/>
          </w:tcPr>
          <w:p w14:paraId="584D0375" w14:textId="77777777" w:rsidR="001E4BD1" w:rsidRPr="005E68DB" w:rsidRDefault="001E4BD1" w:rsidP="008B081E">
            <w:pPr>
              <w:pStyle w:val="TableText"/>
              <w:widowControl w:val="0"/>
              <w:jc w:val="center"/>
            </w:pPr>
            <w:r w:rsidRPr="009B6F34">
              <w:t>194 (1.41</w:t>
            </w:r>
            <w:r>
              <w:t>%</w:t>
            </w:r>
            <w:r w:rsidRPr="009B6F34">
              <w:t>)</w:t>
            </w:r>
          </w:p>
        </w:tc>
        <w:tc>
          <w:tcPr>
            <w:tcW w:w="1359" w:type="dxa"/>
            <w:tcBorders>
              <w:top w:val="single" w:sz="4" w:space="0" w:color="auto"/>
              <w:left w:val="single" w:sz="4" w:space="0" w:color="auto"/>
              <w:bottom w:val="single" w:sz="4" w:space="0" w:color="auto"/>
              <w:right w:val="single" w:sz="4" w:space="0" w:color="auto"/>
            </w:tcBorders>
            <w:vAlign w:val="center"/>
          </w:tcPr>
          <w:p w14:paraId="1D8A96F1" w14:textId="77777777" w:rsidR="001E4BD1" w:rsidRPr="005E68DB" w:rsidRDefault="001E4BD1" w:rsidP="008B081E">
            <w:pPr>
              <w:pStyle w:val="TableText"/>
              <w:widowControl w:val="0"/>
              <w:jc w:val="center"/>
            </w:pPr>
            <w:r w:rsidRPr="009B6F34">
              <w:t>201 (1.46</w:t>
            </w:r>
            <w:r>
              <w:t>%</w:t>
            </w:r>
            <w:r w:rsidRPr="009B6F34">
              <w:t>)</w:t>
            </w:r>
          </w:p>
        </w:tc>
        <w:tc>
          <w:tcPr>
            <w:tcW w:w="1733" w:type="dxa"/>
            <w:tcBorders>
              <w:top w:val="single" w:sz="4" w:space="0" w:color="auto"/>
              <w:left w:val="single" w:sz="4" w:space="0" w:color="auto"/>
              <w:bottom w:val="single" w:sz="4" w:space="0" w:color="auto"/>
              <w:right w:val="single" w:sz="4" w:space="0" w:color="auto"/>
            </w:tcBorders>
            <w:vAlign w:val="center"/>
          </w:tcPr>
          <w:p w14:paraId="68CD638E" w14:textId="77777777" w:rsidR="001E4BD1" w:rsidRPr="005E68DB" w:rsidRDefault="001E4BD1" w:rsidP="008B081E">
            <w:pPr>
              <w:pStyle w:val="TableText"/>
              <w:widowControl w:val="0"/>
              <w:jc w:val="center"/>
            </w:pPr>
            <w:r w:rsidRPr="009B6F34">
              <w:t>0.96 (0.79, 1.17)</w:t>
            </w:r>
          </w:p>
        </w:tc>
      </w:tr>
    </w:tbl>
    <w:p w14:paraId="52F61A69" w14:textId="77777777" w:rsidR="001E4BD1" w:rsidRDefault="001E4BD1" w:rsidP="00293F12">
      <w:pPr>
        <w:pStyle w:val="TableFigureFooter"/>
      </w:pPr>
      <w:r>
        <w:t>Source: Table 1.3-1, Appendix 3 of the submission.</w:t>
      </w:r>
    </w:p>
    <w:p w14:paraId="4660164B" w14:textId="32238B51" w:rsidR="001E4BD1" w:rsidRDefault="001E4BD1" w:rsidP="00293F12">
      <w:pPr>
        <w:pStyle w:val="TableFigureFooter"/>
      </w:pPr>
      <w:r>
        <w:t xml:space="preserve">Abbreviations: CTTC, </w:t>
      </w:r>
      <w:r w:rsidRPr="00E974EF">
        <w:t>Cholesterol Treatment Trialists’ Collaboration</w:t>
      </w:r>
    </w:p>
    <w:p w14:paraId="18A478F8" w14:textId="4602CDAE" w:rsidR="001A509F" w:rsidRDefault="001A509F" w:rsidP="00293F12">
      <w:pPr>
        <w:pStyle w:val="TableFigureFooter"/>
      </w:pPr>
      <w:r>
        <w:rPr>
          <w:b/>
          <w:bCs/>
        </w:rPr>
        <w:t>Bold</w:t>
      </w:r>
      <w:r>
        <w:t xml:space="preserve"> indicates statistically significant results</w:t>
      </w:r>
    </w:p>
    <w:p w14:paraId="74995410" w14:textId="77777777" w:rsidR="00985590" w:rsidRPr="001A509F" w:rsidRDefault="00985590" w:rsidP="00293F12">
      <w:pPr>
        <w:pStyle w:val="TableFigureFooter"/>
      </w:pPr>
    </w:p>
    <w:p w14:paraId="0A7D7C2C" w14:textId="716A879B" w:rsidR="005B2353" w:rsidRPr="005B2353" w:rsidRDefault="005B2353" w:rsidP="00EC5836">
      <w:pPr>
        <w:pStyle w:val="ExecSumBodyText"/>
        <w:rPr>
          <w:color w:val="0066FF"/>
        </w:rPr>
      </w:pPr>
      <w:r w:rsidRPr="004D67A8">
        <w:t xml:space="preserve">Treatment with evolocumab was associated with a statistically significant decreased risk of cardiovascular events compared to placebo. Disaggregated cardiovascular outcomes indicate that treatment with evolocumab was associated with a decreased risk of myocardial infarction, coronary revascularisation and ischaemic stroke compared to placebo. There was no apparent difference in angina, coronary death, cardiovascular </w:t>
      </w:r>
      <w:r w:rsidR="00A30447" w:rsidRPr="004D67A8">
        <w:t>death,</w:t>
      </w:r>
      <w:r w:rsidRPr="004D67A8">
        <w:t xml:space="preserve"> or all-cause mortality between treatment arms.</w:t>
      </w:r>
      <w:r w:rsidRPr="00EC5836">
        <w:rPr>
          <w:snapToGrid/>
          <w:color w:val="0066FF"/>
          <w:lang w:val="en-US"/>
        </w:rPr>
        <w:t xml:space="preserve"> </w:t>
      </w:r>
    </w:p>
    <w:p w14:paraId="01493D47" w14:textId="22C77C13" w:rsidR="005B2353" w:rsidRPr="005B2353" w:rsidRDefault="005B2353" w:rsidP="00EC5836">
      <w:pPr>
        <w:pStyle w:val="ExecSumBodyText"/>
        <w:rPr>
          <w:color w:val="0066FF"/>
        </w:rPr>
      </w:pPr>
      <w:r w:rsidRPr="00374776">
        <w:t xml:space="preserve">The </w:t>
      </w:r>
      <w:r>
        <w:t xml:space="preserve">submission noted that the </w:t>
      </w:r>
      <w:r w:rsidRPr="00374776">
        <w:t xml:space="preserve">benefits of evolocumab were largely consistent across major subgroups, including those based on </w:t>
      </w:r>
      <w:r>
        <w:t>disease severity, baseline risk and comorbidities. Results were also consistent across baseline LDL-C quartiles for the primary and key secondary endpoint</w:t>
      </w:r>
      <w:r w:rsidR="0030049C">
        <w:t>s</w:t>
      </w:r>
      <w:r>
        <w:t xml:space="preserve"> </w:t>
      </w:r>
      <w:bookmarkStart w:id="24" w:name="_Hlk105678239"/>
      <w:r>
        <w:t xml:space="preserve">(see </w:t>
      </w:r>
      <w:r w:rsidR="005A7659">
        <w:fldChar w:fldCharType="begin"/>
      </w:r>
      <w:r w:rsidR="005A7659">
        <w:instrText xml:space="preserve"> REF _Ref100829500 \h </w:instrText>
      </w:r>
      <w:r w:rsidR="005A7659">
        <w:fldChar w:fldCharType="separate"/>
      </w:r>
      <w:r w:rsidR="00EB7F7C">
        <w:t xml:space="preserve">Table </w:t>
      </w:r>
      <w:r w:rsidR="00EB7F7C">
        <w:rPr>
          <w:noProof/>
        </w:rPr>
        <w:t>8</w:t>
      </w:r>
      <w:r w:rsidR="005A7659">
        <w:fldChar w:fldCharType="end"/>
      </w:r>
      <w:bookmarkEnd w:id="24"/>
      <w:r>
        <w:t>)</w:t>
      </w:r>
      <w:r w:rsidRPr="00374776">
        <w:t xml:space="preserve">.  The benefit of evolocumab was also consistent across levels of intensity of statin therapy, </w:t>
      </w:r>
      <w:r>
        <w:t xml:space="preserve">irrespective of </w:t>
      </w:r>
      <w:r w:rsidRPr="00374776">
        <w:t>ezetimibe use</w:t>
      </w:r>
      <w:r>
        <w:t xml:space="preserve"> or evolocumab dose regimen.</w:t>
      </w:r>
    </w:p>
    <w:p w14:paraId="34F599E7" w14:textId="5B65FA78" w:rsidR="007849A5" w:rsidRDefault="007849A5" w:rsidP="007849A5">
      <w:pPr>
        <w:pStyle w:val="TableFigureCaption"/>
      </w:pPr>
      <w:bookmarkStart w:id="25" w:name="_Ref100829500"/>
      <w:r>
        <w:lastRenderedPageBreak/>
        <w:t xml:space="preserve">Table </w:t>
      </w:r>
      <w:fldSimple w:instr=" SEQ Table \* ARABIC ">
        <w:r w:rsidR="00EB7F7C">
          <w:rPr>
            <w:noProof/>
          </w:rPr>
          <w:t>8</w:t>
        </w:r>
      </w:fldSimple>
      <w:bookmarkEnd w:id="25"/>
      <w:r>
        <w:t xml:space="preserve">: Relationship between </w:t>
      </w:r>
      <w:r w:rsidR="006D7786">
        <w:t xml:space="preserve">LDL-C </w:t>
      </w:r>
      <w:r>
        <w:t>levels and cardiovascular outcomes from the FOURIER trial</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8: Relationship between LDL-C levels and cardiovascular outcomes from the FOURIER trial"/>
      </w:tblPr>
      <w:tblGrid>
        <w:gridCol w:w="3992"/>
        <w:gridCol w:w="1284"/>
        <w:gridCol w:w="1284"/>
        <w:gridCol w:w="1237"/>
        <w:gridCol w:w="1220"/>
      </w:tblGrid>
      <w:tr w:rsidR="007849A5" w14:paraId="3ED47EB5" w14:textId="77777777" w:rsidTr="006961DF">
        <w:trPr>
          <w:tblHeader/>
        </w:trPr>
        <w:tc>
          <w:tcPr>
            <w:tcW w:w="3992" w:type="dxa"/>
            <w:tcBorders>
              <w:top w:val="single" w:sz="4" w:space="0" w:color="auto"/>
              <w:left w:val="single" w:sz="4" w:space="0" w:color="auto"/>
              <w:bottom w:val="single" w:sz="4" w:space="0" w:color="auto"/>
              <w:right w:val="single" w:sz="4" w:space="0" w:color="auto"/>
            </w:tcBorders>
            <w:vAlign w:val="center"/>
          </w:tcPr>
          <w:p w14:paraId="4D1E0D5B" w14:textId="4EC7058D" w:rsidR="007849A5" w:rsidRPr="001E42DD" w:rsidRDefault="006D7786" w:rsidP="00BF34B1">
            <w:pPr>
              <w:pStyle w:val="TableText"/>
              <w:keepLines/>
              <w:widowControl w:val="0"/>
              <w:jc w:val="center"/>
              <w:rPr>
                <w:b/>
              </w:rPr>
            </w:pPr>
            <w:r>
              <w:rPr>
                <w:b/>
              </w:rPr>
              <w:t xml:space="preserve">LDL-C </w:t>
            </w:r>
            <w:r w:rsidR="007849A5">
              <w:rPr>
                <w:b/>
              </w:rPr>
              <w:t>measures</w:t>
            </w:r>
          </w:p>
        </w:tc>
        <w:tc>
          <w:tcPr>
            <w:tcW w:w="1284" w:type="dxa"/>
            <w:tcBorders>
              <w:top w:val="single" w:sz="4" w:space="0" w:color="auto"/>
              <w:left w:val="single" w:sz="4" w:space="0" w:color="auto"/>
              <w:bottom w:val="single" w:sz="4" w:space="0" w:color="auto"/>
              <w:right w:val="single" w:sz="4" w:space="0" w:color="auto"/>
            </w:tcBorders>
            <w:vAlign w:val="center"/>
          </w:tcPr>
          <w:p w14:paraId="14F33F1E" w14:textId="77777777" w:rsidR="007849A5" w:rsidRPr="001E42DD" w:rsidRDefault="007849A5" w:rsidP="00BF34B1">
            <w:pPr>
              <w:pStyle w:val="TableText"/>
              <w:keepLines/>
              <w:widowControl w:val="0"/>
              <w:jc w:val="center"/>
              <w:rPr>
                <w:b/>
              </w:rPr>
            </w:pPr>
            <w:r>
              <w:rPr>
                <w:b/>
              </w:rPr>
              <w:t>Evolocumab</w:t>
            </w:r>
          </w:p>
        </w:tc>
        <w:tc>
          <w:tcPr>
            <w:tcW w:w="1284" w:type="dxa"/>
            <w:tcBorders>
              <w:top w:val="single" w:sz="4" w:space="0" w:color="auto"/>
              <w:left w:val="single" w:sz="4" w:space="0" w:color="auto"/>
              <w:bottom w:val="single" w:sz="4" w:space="0" w:color="auto"/>
              <w:right w:val="single" w:sz="4" w:space="0" w:color="auto"/>
            </w:tcBorders>
            <w:vAlign w:val="center"/>
          </w:tcPr>
          <w:p w14:paraId="52C91A52" w14:textId="77777777" w:rsidR="007849A5" w:rsidRPr="001E42DD" w:rsidRDefault="007849A5" w:rsidP="00BF34B1">
            <w:pPr>
              <w:pStyle w:val="TableText"/>
              <w:keepLines/>
              <w:widowControl w:val="0"/>
              <w:jc w:val="center"/>
              <w:rPr>
                <w:b/>
              </w:rPr>
            </w:pPr>
            <w:r>
              <w:rPr>
                <w:b/>
              </w:rPr>
              <w:t>Placebo</w:t>
            </w:r>
          </w:p>
        </w:tc>
        <w:tc>
          <w:tcPr>
            <w:tcW w:w="1237" w:type="dxa"/>
            <w:tcBorders>
              <w:top w:val="single" w:sz="4" w:space="0" w:color="auto"/>
              <w:left w:val="single" w:sz="4" w:space="0" w:color="auto"/>
              <w:bottom w:val="single" w:sz="4" w:space="0" w:color="auto"/>
              <w:right w:val="single" w:sz="4" w:space="0" w:color="auto"/>
            </w:tcBorders>
            <w:vAlign w:val="center"/>
          </w:tcPr>
          <w:p w14:paraId="08038D04" w14:textId="4169B31E" w:rsidR="007849A5" w:rsidRPr="008C2900" w:rsidRDefault="007849A5" w:rsidP="00BF34B1">
            <w:pPr>
              <w:pStyle w:val="TableText"/>
              <w:keepLines/>
              <w:widowControl w:val="0"/>
              <w:jc w:val="center"/>
              <w:rPr>
                <w:b/>
                <w:vertAlign w:val="superscript"/>
              </w:rPr>
            </w:pPr>
            <w:r>
              <w:rPr>
                <w:b/>
              </w:rPr>
              <w:t xml:space="preserve">Primary composite </w:t>
            </w:r>
            <w:r w:rsidR="00E810B6">
              <w:rPr>
                <w:b/>
              </w:rPr>
              <w:t>CV</w:t>
            </w:r>
            <w:r>
              <w:rPr>
                <w:b/>
              </w:rPr>
              <w:t xml:space="preserve"> outcome</w:t>
            </w:r>
            <w:r>
              <w:rPr>
                <w:b/>
                <w:vertAlign w:val="superscript"/>
              </w:rPr>
              <w:t>a</w:t>
            </w:r>
          </w:p>
          <w:p w14:paraId="0B458209" w14:textId="77777777" w:rsidR="007849A5" w:rsidRPr="008C2900" w:rsidRDefault="007849A5" w:rsidP="00BF34B1">
            <w:pPr>
              <w:pStyle w:val="TableText"/>
              <w:keepLines/>
              <w:widowControl w:val="0"/>
              <w:jc w:val="center"/>
              <w:rPr>
                <w:b/>
              </w:rPr>
            </w:pPr>
            <w:r>
              <w:rPr>
                <w:b/>
              </w:rPr>
              <w:t xml:space="preserve">HR (95% CI) </w:t>
            </w:r>
          </w:p>
        </w:tc>
        <w:tc>
          <w:tcPr>
            <w:tcW w:w="1220" w:type="dxa"/>
            <w:tcBorders>
              <w:top w:val="single" w:sz="4" w:space="0" w:color="auto"/>
              <w:left w:val="single" w:sz="4" w:space="0" w:color="auto"/>
              <w:bottom w:val="single" w:sz="4" w:space="0" w:color="auto"/>
              <w:right w:val="single" w:sz="4" w:space="0" w:color="auto"/>
            </w:tcBorders>
            <w:vAlign w:val="center"/>
          </w:tcPr>
          <w:p w14:paraId="049A53DD" w14:textId="057C2EA6" w:rsidR="007849A5" w:rsidRPr="008C2900" w:rsidRDefault="007849A5" w:rsidP="00BF34B1">
            <w:pPr>
              <w:pStyle w:val="TableText"/>
              <w:keepLines/>
              <w:widowControl w:val="0"/>
              <w:jc w:val="center"/>
              <w:rPr>
                <w:b/>
                <w:vertAlign w:val="superscript"/>
              </w:rPr>
            </w:pPr>
            <w:r>
              <w:rPr>
                <w:b/>
              </w:rPr>
              <w:t xml:space="preserve">Secondary composite </w:t>
            </w:r>
            <w:r w:rsidR="00E810B6">
              <w:rPr>
                <w:b/>
              </w:rPr>
              <w:t>CV</w:t>
            </w:r>
            <w:r>
              <w:rPr>
                <w:b/>
              </w:rPr>
              <w:t xml:space="preserve"> outcome</w:t>
            </w:r>
            <w:r>
              <w:rPr>
                <w:b/>
                <w:vertAlign w:val="superscript"/>
              </w:rPr>
              <w:t>b</w:t>
            </w:r>
          </w:p>
          <w:p w14:paraId="2F8FE86E" w14:textId="77777777" w:rsidR="007849A5" w:rsidRPr="001E42DD" w:rsidRDefault="007849A5" w:rsidP="00BF34B1">
            <w:pPr>
              <w:pStyle w:val="TableText"/>
              <w:keepLines/>
              <w:widowControl w:val="0"/>
              <w:jc w:val="center"/>
              <w:rPr>
                <w:b/>
              </w:rPr>
            </w:pPr>
            <w:r>
              <w:rPr>
                <w:b/>
              </w:rPr>
              <w:t>HR (95% CI)</w:t>
            </w:r>
          </w:p>
        </w:tc>
      </w:tr>
      <w:tr w:rsidR="007849A5" w14:paraId="1C122335" w14:textId="77777777" w:rsidTr="006961DF">
        <w:trPr>
          <w:trHeight w:val="70"/>
        </w:trPr>
        <w:tc>
          <w:tcPr>
            <w:tcW w:w="9017" w:type="dxa"/>
            <w:gridSpan w:val="5"/>
            <w:tcBorders>
              <w:top w:val="single" w:sz="4" w:space="0" w:color="auto"/>
              <w:left w:val="single" w:sz="4" w:space="0" w:color="auto"/>
              <w:bottom w:val="single" w:sz="4" w:space="0" w:color="auto"/>
              <w:right w:val="single" w:sz="4" w:space="0" w:color="auto"/>
            </w:tcBorders>
            <w:vAlign w:val="center"/>
          </w:tcPr>
          <w:p w14:paraId="790DA8D0" w14:textId="442CCC10" w:rsidR="007849A5" w:rsidRPr="008C2900" w:rsidRDefault="007849A5" w:rsidP="00BF34B1">
            <w:pPr>
              <w:pStyle w:val="TableText"/>
              <w:keepLines/>
              <w:widowControl w:val="0"/>
              <w:rPr>
                <w:b/>
              </w:rPr>
            </w:pPr>
            <w:r>
              <w:rPr>
                <w:b/>
              </w:rPr>
              <w:t xml:space="preserve">Baseline </w:t>
            </w:r>
            <w:r w:rsidR="006D7786">
              <w:rPr>
                <w:b/>
              </w:rPr>
              <w:t xml:space="preserve">LDL-C </w:t>
            </w:r>
            <w:r>
              <w:rPr>
                <w:b/>
              </w:rPr>
              <w:t>Quartile 1, &lt; 79.5 mg/dL [2.1 mmol/L] (N = 6,961)</w:t>
            </w:r>
          </w:p>
        </w:tc>
      </w:tr>
      <w:tr w:rsidR="007849A5" w14:paraId="1EFE5A37" w14:textId="77777777" w:rsidTr="006961DF">
        <w:trPr>
          <w:trHeight w:val="70"/>
        </w:trPr>
        <w:tc>
          <w:tcPr>
            <w:tcW w:w="3992" w:type="dxa"/>
            <w:tcBorders>
              <w:top w:val="single" w:sz="4" w:space="0" w:color="auto"/>
              <w:left w:val="single" w:sz="4" w:space="0" w:color="auto"/>
              <w:bottom w:val="single" w:sz="4" w:space="0" w:color="auto"/>
              <w:right w:val="single" w:sz="4" w:space="0" w:color="auto"/>
            </w:tcBorders>
            <w:vAlign w:val="center"/>
          </w:tcPr>
          <w:p w14:paraId="7EDD749A" w14:textId="059D537D" w:rsidR="007849A5" w:rsidRDefault="007849A5" w:rsidP="00BF34B1">
            <w:pPr>
              <w:pStyle w:val="TableText"/>
              <w:keepNext w:val="0"/>
              <w:widowControl w:val="0"/>
            </w:pPr>
            <w:r>
              <w:t xml:space="preserve">Baseline </w:t>
            </w:r>
            <w:r w:rsidR="006D7786">
              <w:t xml:space="preserve">LDL-C </w:t>
            </w:r>
            <w:r>
              <w:t>mmol/L, mean (SE)</w:t>
            </w:r>
          </w:p>
        </w:tc>
        <w:tc>
          <w:tcPr>
            <w:tcW w:w="1284" w:type="dxa"/>
            <w:tcBorders>
              <w:top w:val="single" w:sz="4" w:space="0" w:color="auto"/>
              <w:left w:val="single" w:sz="4" w:space="0" w:color="auto"/>
              <w:bottom w:val="single" w:sz="4" w:space="0" w:color="auto"/>
              <w:right w:val="single" w:sz="4" w:space="0" w:color="auto"/>
            </w:tcBorders>
            <w:vAlign w:val="center"/>
          </w:tcPr>
          <w:p w14:paraId="10CF3BAC" w14:textId="77777777" w:rsidR="007849A5" w:rsidRDefault="007849A5" w:rsidP="00BF34B1">
            <w:pPr>
              <w:pStyle w:val="TableText"/>
              <w:keepNext w:val="0"/>
              <w:widowControl w:val="0"/>
              <w:jc w:val="center"/>
            </w:pPr>
            <w:r>
              <w:t>1.86 (0.003)</w:t>
            </w:r>
          </w:p>
        </w:tc>
        <w:tc>
          <w:tcPr>
            <w:tcW w:w="1284" w:type="dxa"/>
            <w:tcBorders>
              <w:top w:val="single" w:sz="4" w:space="0" w:color="auto"/>
              <w:left w:val="single" w:sz="4" w:space="0" w:color="auto"/>
              <w:bottom w:val="single" w:sz="4" w:space="0" w:color="auto"/>
              <w:right w:val="single" w:sz="4" w:space="0" w:color="auto"/>
            </w:tcBorders>
            <w:vAlign w:val="center"/>
          </w:tcPr>
          <w:p w14:paraId="7930F58B" w14:textId="77777777" w:rsidR="007849A5" w:rsidRDefault="007849A5" w:rsidP="00BF34B1">
            <w:pPr>
              <w:pStyle w:val="TableText"/>
              <w:keepNext w:val="0"/>
              <w:widowControl w:val="0"/>
              <w:jc w:val="center"/>
            </w:pPr>
            <w:r>
              <w:t>1.86 (0.003)</w:t>
            </w:r>
          </w:p>
        </w:tc>
        <w:tc>
          <w:tcPr>
            <w:tcW w:w="1237" w:type="dxa"/>
            <w:vMerge w:val="restart"/>
            <w:tcBorders>
              <w:top w:val="single" w:sz="4" w:space="0" w:color="auto"/>
              <w:left w:val="single" w:sz="4" w:space="0" w:color="auto"/>
              <w:right w:val="single" w:sz="4" w:space="0" w:color="auto"/>
            </w:tcBorders>
            <w:vAlign w:val="center"/>
          </w:tcPr>
          <w:p w14:paraId="6648E14F" w14:textId="531AB2B2" w:rsidR="007849A5" w:rsidRPr="0062068E" w:rsidRDefault="007849A5" w:rsidP="00BF34B1">
            <w:pPr>
              <w:pStyle w:val="TableText"/>
              <w:keepNext w:val="0"/>
              <w:widowControl w:val="0"/>
              <w:jc w:val="center"/>
              <w:rPr>
                <w:b/>
                <w:bCs w:val="0"/>
              </w:rPr>
            </w:pPr>
            <w:r w:rsidRPr="0062068E">
              <w:rPr>
                <w:b/>
                <w:bCs w:val="0"/>
              </w:rPr>
              <w:t xml:space="preserve">0.80 </w:t>
            </w:r>
            <w:r w:rsidR="00E810B6">
              <w:br/>
            </w:r>
            <w:r w:rsidRPr="0062068E">
              <w:rPr>
                <w:b/>
                <w:bCs w:val="0"/>
              </w:rPr>
              <w:t>(0.68, 0.93)</w:t>
            </w:r>
          </w:p>
        </w:tc>
        <w:tc>
          <w:tcPr>
            <w:tcW w:w="1220" w:type="dxa"/>
            <w:vMerge w:val="restart"/>
            <w:tcBorders>
              <w:top w:val="single" w:sz="4" w:space="0" w:color="auto"/>
              <w:left w:val="single" w:sz="4" w:space="0" w:color="auto"/>
              <w:right w:val="single" w:sz="4" w:space="0" w:color="auto"/>
            </w:tcBorders>
            <w:vAlign w:val="center"/>
          </w:tcPr>
          <w:p w14:paraId="14F891CE" w14:textId="424636B9" w:rsidR="007849A5" w:rsidRPr="0062068E" w:rsidRDefault="007849A5" w:rsidP="00BF34B1">
            <w:pPr>
              <w:pStyle w:val="TableText"/>
              <w:keepNext w:val="0"/>
              <w:widowControl w:val="0"/>
              <w:jc w:val="center"/>
              <w:rPr>
                <w:b/>
                <w:bCs w:val="0"/>
              </w:rPr>
            </w:pPr>
            <w:r w:rsidRPr="0062068E">
              <w:rPr>
                <w:b/>
                <w:bCs w:val="0"/>
              </w:rPr>
              <w:t xml:space="preserve">0.78 </w:t>
            </w:r>
            <w:r w:rsidR="00E810B6">
              <w:rPr>
                <w:b/>
                <w:bCs w:val="0"/>
              </w:rPr>
              <w:br/>
            </w:r>
            <w:r w:rsidRPr="0062068E">
              <w:rPr>
                <w:b/>
                <w:bCs w:val="0"/>
              </w:rPr>
              <w:t>(0.64, 0.95)</w:t>
            </w:r>
          </w:p>
        </w:tc>
      </w:tr>
      <w:tr w:rsidR="007849A5" w14:paraId="04C1AE83" w14:textId="77777777" w:rsidTr="006961DF">
        <w:trPr>
          <w:trHeight w:val="70"/>
        </w:trPr>
        <w:tc>
          <w:tcPr>
            <w:tcW w:w="3992" w:type="dxa"/>
            <w:tcBorders>
              <w:top w:val="single" w:sz="4" w:space="0" w:color="auto"/>
              <w:left w:val="single" w:sz="4" w:space="0" w:color="auto"/>
              <w:bottom w:val="single" w:sz="4" w:space="0" w:color="auto"/>
              <w:right w:val="single" w:sz="4" w:space="0" w:color="auto"/>
            </w:tcBorders>
            <w:vAlign w:val="center"/>
          </w:tcPr>
          <w:p w14:paraId="1ED7A34F" w14:textId="7F98956F" w:rsidR="007849A5" w:rsidRDefault="007849A5" w:rsidP="00BF34B1">
            <w:pPr>
              <w:pStyle w:val="TableText"/>
              <w:keepNext w:val="0"/>
              <w:widowControl w:val="0"/>
            </w:pPr>
            <w:r>
              <w:t xml:space="preserve">Endpoint </w:t>
            </w:r>
            <w:r w:rsidR="006D7786">
              <w:t xml:space="preserve">LDL-C </w:t>
            </w:r>
            <w:r>
              <w:t>mmol/L, mean (SE), Week 48</w:t>
            </w:r>
          </w:p>
        </w:tc>
        <w:tc>
          <w:tcPr>
            <w:tcW w:w="1284" w:type="dxa"/>
            <w:tcBorders>
              <w:top w:val="single" w:sz="4" w:space="0" w:color="auto"/>
              <w:left w:val="single" w:sz="4" w:space="0" w:color="auto"/>
              <w:bottom w:val="single" w:sz="4" w:space="0" w:color="auto"/>
              <w:right w:val="single" w:sz="4" w:space="0" w:color="auto"/>
            </w:tcBorders>
            <w:vAlign w:val="center"/>
          </w:tcPr>
          <w:p w14:paraId="51A0D16F" w14:textId="77777777" w:rsidR="007849A5" w:rsidRDefault="007849A5" w:rsidP="00BF34B1">
            <w:pPr>
              <w:pStyle w:val="TableText"/>
              <w:keepNext w:val="0"/>
              <w:widowControl w:val="0"/>
              <w:jc w:val="center"/>
            </w:pPr>
            <w:r>
              <w:t>0.74 (0.010)</w:t>
            </w:r>
          </w:p>
        </w:tc>
        <w:tc>
          <w:tcPr>
            <w:tcW w:w="1284" w:type="dxa"/>
            <w:tcBorders>
              <w:top w:val="single" w:sz="4" w:space="0" w:color="auto"/>
              <w:left w:val="single" w:sz="4" w:space="0" w:color="auto"/>
              <w:bottom w:val="single" w:sz="4" w:space="0" w:color="auto"/>
              <w:right w:val="single" w:sz="4" w:space="0" w:color="auto"/>
            </w:tcBorders>
            <w:vAlign w:val="center"/>
          </w:tcPr>
          <w:p w14:paraId="218F70F5" w14:textId="77777777" w:rsidR="007849A5" w:rsidRDefault="007849A5" w:rsidP="00BF34B1">
            <w:pPr>
              <w:pStyle w:val="TableText"/>
              <w:keepNext w:val="0"/>
              <w:widowControl w:val="0"/>
              <w:jc w:val="center"/>
            </w:pPr>
            <w:r>
              <w:t>1.98 (0.010)</w:t>
            </w:r>
          </w:p>
        </w:tc>
        <w:tc>
          <w:tcPr>
            <w:tcW w:w="1237" w:type="dxa"/>
            <w:vMerge/>
            <w:tcBorders>
              <w:left w:val="single" w:sz="4" w:space="0" w:color="auto"/>
              <w:right w:val="single" w:sz="4" w:space="0" w:color="auto"/>
            </w:tcBorders>
            <w:vAlign w:val="center"/>
          </w:tcPr>
          <w:p w14:paraId="16ED347C" w14:textId="77777777" w:rsidR="007849A5" w:rsidRPr="00821B9C" w:rsidRDefault="007849A5" w:rsidP="00BF34B1">
            <w:pPr>
              <w:pStyle w:val="TableText"/>
              <w:keepNext w:val="0"/>
              <w:widowControl w:val="0"/>
              <w:jc w:val="center"/>
            </w:pPr>
          </w:p>
        </w:tc>
        <w:tc>
          <w:tcPr>
            <w:tcW w:w="1220" w:type="dxa"/>
            <w:vMerge/>
            <w:tcBorders>
              <w:left w:val="single" w:sz="4" w:space="0" w:color="auto"/>
              <w:right w:val="single" w:sz="4" w:space="0" w:color="auto"/>
            </w:tcBorders>
            <w:vAlign w:val="center"/>
          </w:tcPr>
          <w:p w14:paraId="2503257B" w14:textId="77777777" w:rsidR="007849A5" w:rsidRPr="00821B9C" w:rsidRDefault="007849A5" w:rsidP="00BF34B1">
            <w:pPr>
              <w:pStyle w:val="TableText"/>
              <w:keepNext w:val="0"/>
              <w:widowControl w:val="0"/>
              <w:jc w:val="center"/>
            </w:pPr>
          </w:p>
        </w:tc>
      </w:tr>
      <w:tr w:rsidR="007849A5" w14:paraId="072EAFA1" w14:textId="77777777" w:rsidTr="006961DF">
        <w:trPr>
          <w:trHeight w:val="70"/>
        </w:trPr>
        <w:tc>
          <w:tcPr>
            <w:tcW w:w="3992" w:type="dxa"/>
            <w:tcBorders>
              <w:top w:val="single" w:sz="4" w:space="0" w:color="auto"/>
              <w:left w:val="single" w:sz="4" w:space="0" w:color="auto"/>
              <w:bottom w:val="single" w:sz="4" w:space="0" w:color="auto"/>
              <w:right w:val="single" w:sz="4" w:space="0" w:color="auto"/>
            </w:tcBorders>
            <w:vAlign w:val="center"/>
          </w:tcPr>
          <w:p w14:paraId="15508E5E" w14:textId="1BA9B7EA" w:rsidR="007849A5" w:rsidRDefault="007849A5" w:rsidP="00BF34B1">
            <w:pPr>
              <w:pStyle w:val="TableText"/>
              <w:keepNext w:val="0"/>
              <w:widowControl w:val="0"/>
            </w:pPr>
            <w:r>
              <w:t xml:space="preserve">Change </w:t>
            </w:r>
            <w:r w:rsidR="006D7786">
              <w:t xml:space="preserve">LDL-C </w:t>
            </w:r>
            <w:r>
              <w:t>mmol/L, mean (SE), Week 48</w:t>
            </w:r>
          </w:p>
        </w:tc>
        <w:tc>
          <w:tcPr>
            <w:tcW w:w="1284" w:type="dxa"/>
            <w:tcBorders>
              <w:top w:val="single" w:sz="4" w:space="0" w:color="auto"/>
              <w:left w:val="single" w:sz="4" w:space="0" w:color="auto"/>
              <w:bottom w:val="single" w:sz="4" w:space="0" w:color="auto"/>
              <w:right w:val="single" w:sz="4" w:space="0" w:color="auto"/>
            </w:tcBorders>
            <w:vAlign w:val="center"/>
          </w:tcPr>
          <w:p w14:paraId="4E725728" w14:textId="77777777" w:rsidR="007849A5" w:rsidRDefault="007849A5" w:rsidP="00BF34B1">
            <w:pPr>
              <w:pStyle w:val="TableText"/>
              <w:keepNext w:val="0"/>
              <w:widowControl w:val="0"/>
              <w:jc w:val="center"/>
            </w:pPr>
            <w:r>
              <w:t>-1.11 (0.010)</w:t>
            </w:r>
          </w:p>
        </w:tc>
        <w:tc>
          <w:tcPr>
            <w:tcW w:w="1284" w:type="dxa"/>
            <w:tcBorders>
              <w:top w:val="single" w:sz="4" w:space="0" w:color="auto"/>
              <w:left w:val="single" w:sz="4" w:space="0" w:color="auto"/>
              <w:bottom w:val="single" w:sz="4" w:space="0" w:color="auto"/>
              <w:right w:val="single" w:sz="4" w:space="0" w:color="auto"/>
            </w:tcBorders>
            <w:vAlign w:val="center"/>
          </w:tcPr>
          <w:p w14:paraId="13867D6A" w14:textId="77777777" w:rsidR="007849A5" w:rsidRDefault="007849A5" w:rsidP="00BF34B1">
            <w:pPr>
              <w:pStyle w:val="TableText"/>
              <w:keepNext w:val="0"/>
              <w:widowControl w:val="0"/>
              <w:jc w:val="center"/>
            </w:pPr>
            <w:r>
              <w:t>0.12 (0.010)</w:t>
            </w:r>
          </w:p>
        </w:tc>
        <w:tc>
          <w:tcPr>
            <w:tcW w:w="1237" w:type="dxa"/>
            <w:vMerge/>
            <w:tcBorders>
              <w:left w:val="single" w:sz="4" w:space="0" w:color="auto"/>
              <w:right w:val="single" w:sz="4" w:space="0" w:color="auto"/>
            </w:tcBorders>
            <w:vAlign w:val="center"/>
          </w:tcPr>
          <w:p w14:paraId="298603DB" w14:textId="77777777" w:rsidR="007849A5" w:rsidRPr="00821B9C" w:rsidRDefault="007849A5" w:rsidP="00BF34B1">
            <w:pPr>
              <w:pStyle w:val="TableText"/>
              <w:keepNext w:val="0"/>
              <w:widowControl w:val="0"/>
              <w:jc w:val="center"/>
            </w:pPr>
          </w:p>
        </w:tc>
        <w:tc>
          <w:tcPr>
            <w:tcW w:w="1220" w:type="dxa"/>
            <w:vMerge/>
            <w:tcBorders>
              <w:left w:val="single" w:sz="4" w:space="0" w:color="auto"/>
              <w:right w:val="single" w:sz="4" w:space="0" w:color="auto"/>
            </w:tcBorders>
            <w:vAlign w:val="center"/>
          </w:tcPr>
          <w:p w14:paraId="154EB2D1" w14:textId="77777777" w:rsidR="007849A5" w:rsidRPr="00821B9C" w:rsidRDefault="007849A5" w:rsidP="00BF34B1">
            <w:pPr>
              <w:pStyle w:val="TableText"/>
              <w:keepNext w:val="0"/>
              <w:widowControl w:val="0"/>
              <w:jc w:val="center"/>
            </w:pPr>
          </w:p>
        </w:tc>
      </w:tr>
      <w:tr w:rsidR="007849A5" w14:paraId="73A719C4" w14:textId="77777777" w:rsidTr="006961DF">
        <w:trPr>
          <w:trHeight w:val="70"/>
        </w:trPr>
        <w:tc>
          <w:tcPr>
            <w:tcW w:w="3992" w:type="dxa"/>
            <w:tcBorders>
              <w:top w:val="single" w:sz="4" w:space="0" w:color="auto"/>
              <w:left w:val="single" w:sz="4" w:space="0" w:color="auto"/>
              <w:bottom w:val="single" w:sz="4" w:space="0" w:color="auto"/>
              <w:right w:val="single" w:sz="4" w:space="0" w:color="auto"/>
            </w:tcBorders>
            <w:vAlign w:val="center"/>
          </w:tcPr>
          <w:p w14:paraId="251473B4" w14:textId="590157C2" w:rsidR="007849A5" w:rsidRPr="00CF0A69" w:rsidRDefault="007849A5" w:rsidP="00BF34B1">
            <w:pPr>
              <w:pStyle w:val="TableText"/>
              <w:keepNext w:val="0"/>
              <w:widowControl w:val="0"/>
            </w:pPr>
            <w:r>
              <w:t xml:space="preserve">Change </w:t>
            </w:r>
            <w:r w:rsidR="006D7786">
              <w:t xml:space="preserve">LDL-C </w:t>
            </w:r>
            <w:r>
              <w:t>% reduction, mean (SE), Week 48</w:t>
            </w:r>
          </w:p>
        </w:tc>
        <w:tc>
          <w:tcPr>
            <w:tcW w:w="1284" w:type="dxa"/>
            <w:tcBorders>
              <w:top w:val="single" w:sz="4" w:space="0" w:color="auto"/>
              <w:left w:val="single" w:sz="4" w:space="0" w:color="auto"/>
              <w:bottom w:val="single" w:sz="4" w:space="0" w:color="auto"/>
              <w:right w:val="single" w:sz="4" w:space="0" w:color="auto"/>
            </w:tcBorders>
            <w:vAlign w:val="center"/>
          </w:tcPr>
          <w:p w14:paraId="1CA78D6B" w14:textId="77777777" w:rsidR="007849A5" w:rsidRPr="00CF0A69" w:rsidRDefault="007849A5" w:rsidP="00BF34B1">
            <w:pPr>
              <w:pStyle w:val="TableText"/>
              <w:keepNext w:val="0"/>
              <w:widowControl w:val="0"/>
              <w:jc w:val="center"/>
            </w:pPr>
            <w:r>
              <w:t>-59.67 (0.61)</w:t>
            </w:r>
          </w:p>
        </w:tc>
        <w:tc>
          <w:tcPr>
            <w:tcW w:w="1284" w:type="dxa"/>
            <w:tcBorders>
              <w:top w:val="single" w:sz="4" w:space="0" w:color="auto"/>
              <w:left w:val="single" w:sz="4" w:space="0" w:color="auto"/>
              <w:bottom w:val="single" w:sz="4" w:space="0" w:color="auto"/>
              <w:right w:val="single" w:sz="4" w:space="0" w:color="auto"/>
            </w:tcBorders>
            <w:vAlign w:val="center"/>
          </w:tcPr>
          <w:p w14:paraId="62E91138" w14:textId="77777777" w:rsidR="007849A5" w:rsidRPr="00CF0A69" w:rsidRDefault="007849A5" w:rsidP="00BF34B1">
            <w:pPr>
              <w:pStyle w:val="TableText"/>
              <w:keepNext w:val="0"/>
              <w:widowControl w:val="0"/>
              <w:jc w:val="center"/>
            </w:pPr>
            <w:r>
              <w:t>6.49 (0.52)</w:t>
            </w:r>
          </w:p>
        </w:tc>
        <w:tc>
          <w:tcPr>
            <w:tcW w:w="1237" w:type="dxa"/>
            <w:vMerge/>
            <w:tcBorders>
              <w:left w:val="single" w:sz="4" w:space="0" w:color="auto"/>
              <w:bottom w:val="single" w:sz="4" w:space="0" w:color="auto"/>
              <w:right w:val="single" w:sz="4" w:space="0" w:color="auto"/>
            </w:tcBorders>
            <w:vAlign w:val="center"/>
          </w:tcPr>
          <w:p w14:paraId="224678E6" w14:textId="77777777" w:rsidR="007849A5" w:rsidRPr="00CF0A69" w:rsidRDefault="007849A5" w:rsidP="00BF34B1">
            <w:pPr>
              <w:pStyle w:val="TableText"/>
              <w:keepNext w:val="0"/>
              <w:widowControl w:val="0"/>
              <w:jc w:val="center"/>
            </w:pPr>
          </w:p>
        </w:tc>
        <w:tc>
          <w:tcPr>
            <w:tcW w:w="1220" w:type="dxa"/>
            <w:vMerge/>
            <w:tcBorders>
              <w:left w:val="single" w:sz="4" w:space="0" w:color="auto"/>
              <w:bottom w:val="single" w:sz="4" w:space="0" w:color="auto"/>
              <w:right w:val="single" w:sz="4" w:space="0" w:color="auto"/>
            </w:tcBorders>
            <w:vAlign w:val="center"/>
          </w:tcPr>
          <w:p w14:paraId="0498C415" w14:textId="77777777" w:rsidR="007849A5" w:rsidRPr="00CF0A69" w:rsidRDefault="007849A5" w:rsidP="00BF34B1">
            <w:pPr>
              <w:pStyle w:val="TableText"/>
              <w:keepNext w:val="0"/>
              <w:widowControl w:val="0"/>
              <w:jc w:val="center"/>
            </w:pPr>
          </w:p>
        </w:tc>
      </w:tr>
      <w:tr w:rsidR="007849A5" w14:paraId="134BADAC" w14:textId="77777777" w:rsidTr="006961DF">
        <w:trPr>
          <w:trHeight w:val="70"/>
        </w:trPr>
        <w:tc>
          <w:tcPr>
            <w:tcW w:w="9017" w:type="dxa"/>
            <w:gridSpan w:val="5"/>
            <w:tcBorders>
              <w:top w:val="single" w:sz="4" w:space="0" w:color="auto"/>
              <w:left w:val="single" w:sz="4" w:space="0" w:color="auto"/>
              <w:bottom w:val="single" w:sz="4" w:space="0" w:color="auto"/>
              <w:right w:val="single" w:sz="4" w:space="0" w:color="auto"/>
            </w:tcBorders>
            <w:vAlign w:val="center"/>
          </w:tcPr>
          <w:p w14:paraId="6C94609F" w14:textId="23909FD2" w:rsidR="007849A5" w:rsidRPr="0086568D" w:rsidRDefault="007849A5" w:rsidP="00BF34B1">
            <w:pPr>
              <w:pStyle w:val="TableText"/>
              <w:keepNext w:val="0"/>
              <w:widowControl w:val="0"/>
              <w:rPr>
                <w:b/>
              </w:rPr>
            </w:pPr>
            <w:r w:rsidRPr="0086568D">
              <w:rPr>
                <w:b/>
              </w:rPr>
              <w:t xml:space="preserve">Baseline </w:t>
            </w:r>
            <w:r w:rsidR="006D7786">
              <w:rPr>
                <w:b/>
              </w:rPr>
              <w:t xml:space="preserve">LDL-C </w:t>
            </w:r>
            <w:r w:rsidRPr="0086568D">
              <w:rPr>
                <w:b/>
              </w:rPr>
              <w:t>Quartile 2, &gt; 79.5 mg/dL [2.1 mmol/L] to &lt; 91.5 mg/dL [2.4 mmol/L] (N = 6,886)</w:t>
            </w:r>
          </w:p>
        </w:tc>
      </w:tr>
      <w:tr w:rsidR="007849A5" w14:paraId="495A814C" w14:textId="77777777" w:rsidTr="006961DF">
        <w:trPr>
          <w:trHeight w:val="70"/>
        </w:trPr>
        <w:tc>
          <w:tcPr>
            <w:tcW w:w="3992" w:type="dxa"/>
            <w:tcBorders>
              <w:top w:val="single" w:sz="4" w:space="0" w:color="auto"/>
              <w:left w:val="single" w:sz="4" w:space="0" w:color="auto"/>
              <w:bottom w:val="single" w:sz="4" w:space="0" w:color="auto"/>
              <w:right w:val="single" w:sz="4" w:space="0" w:color="auto"/>
            </w:tcBorders>
            <w:vAlign w:val="center"/>
          </w:tcPr>
          <w:p w14:paraId="59526757" w14:textId="7E4FF5CE" w:rsidR="007849A5" w:rsidRDefault="007849A5" w:rsidP="00BF34B1">
            <w:pPr>
              <w:pStyle w:val="TableText"/>
              <w:keepNext w:val="0"/>
              <w:widowControl w:val="0"/>
            </w:pPr>
            <w:r>
              <w:t xml:space="preserve">Baseline </w:t>
            </w:r>
            <w:r w:rsidR="006D7786">
              <w:t xml:space="preserve">LDL-C </w:t>
            </w:r>
            <w:r>
              <w:t>mmol/L, mean (SE)</w:t>
            </w:r>
          </w:p>
        </w:tc>
        <w:tc>
          <w:tcPr>
            <w:tcW w:w="1284" w:type="dxa"/>
            <w:tcBorders>
              <w:top w:val="single" w:sz="4" w:space="0" w:color="auto"/>
              <w:left w:val="single" w:sz="4" w:space="0" w:color="auto"/>
              <w:bottom w:val="single" w:sz="4" w:space="0" w:color="auto"/>
              <w:right w:val="single" w:sz="4" w:space="0" w:color="auto"/>
            </w:tcBorders>
            <w:vAlign w:val="center"/>
          </w:tcPr>
          <w:p w14:paraId="495355DD" w14:textId="77777777" w:rsidR="007849A5" w:rsidRDefault="007849A5" w:rsidP="00BF34B1">
            <w:pPr>
              <w:pStyle w:val="TableText"/>
              <w:keepNext w:val="0"/>
              <w:widowControl w:val="0"/>
              <w:jc w:val="center"/>
            </w:pPr>
            <w:r>
              <w:t>2.22 (0.003)</w:t>
            </w:r>
          </w:p>
        </w:tc>
        <w:tc>
          <w:tcPr>
            <w:tcW w:w="1284" w:type="dxa"/>
            <w:tcBorders>
              <w:top w:val="single" w:sz="4" w:space="0" w:color="auto"/>
              <w:left w:val="single" w:sz="4" w:space="0" w:color="auto"/>
              <w:bottom w:val="single" w:sz="4" w:space="0" w:color="auto"/>
              <w:right w:val="single" w:sz="4" w:space="0" w:color="auto"/>
            </w:tcBorders>
            <w:vAlign w:val="center"/>
          </w:tcPr>
          <w:p w14:paraId="1D11D049" w14:textId="77777777" w:rsidR="007849A5" w:rsidRDefault="007849A5" w:rsidP="00BF34B1">
            <w:pPr>
              <w:pStyle w:val="TableText"/>
              <w:keepNext w:val="0"/>
              <w:widowControl w:val="0"/>
              <w:jc w:val="center"/>
            </w:pPr>
            <w:r>
              <w:t>2.22 (0.003)</w:t>
            </w:r>
          </w:p>
        </w:tc>
        <w:tc>
          <w:tcPr>
            <w:tcW w:w="1237" w:type="dxa"/>
            <w:vMerge w:val="restart"/>
            <w:tcBorders>
              <w:top w:val="single" w:sz="4" w:space="0" w:color="auto"/>
              <w:left w:val="single" w:sz="4" w:space="0" w:color="auto"/>
              <w:right w:val="single" w:sz="4" w:space="0" w:color="auto"/>
            </w:tcBorders>
            <w:vAlign w:val="center"/>
          </w:tcPr>
          <w:p w14:paraId="4F70418F" w14:textId="1AAE2BCE" w:rsidR="007849A5" w:rsidRPr="0062068E" w:rsidRDefault="007849A5" w:rsidP="00BF34B1">
            <w:pPr>
              <w:pStyle w:val="TableText"/>
              <w:keepNext w:val="0"/>
              <w:widowControl w:val="0"/>
              <w:jc w:val="center"/>
              <w:rPr>
                <w:b/>
                <w:bCs w:val="0"/>
              </w:rPr>
            </w:pPr>
            <w:r w:rsidRPr="0062068E">
              <w:rPr>
                <w:b/>
                <w:bCs w:val="0"/>
              </w:rPr>
              <w:t xml:space="preserve">0.83 </w:t>
            </w:r>
            <w:r w:rsidR="00E810B6">
              <w:rPr>
                <w:b/>
                <w:bCs w:val="0"/>
              </w:rPr>
              <w:br/>
            </w:r>
            <w:r w:rsidRPr="0062068E">
              <w:rPr>
                <w:b/>
                <w:bCs w:val="0"/>
              </w:rPr>
              <w:t>(0.71, 0.96)</w:t>
            </w:r>
          </w:p>
        </w:tc>
        <w:tc>
          <w:tcPr>
            <w:tcW w:w="1220" w:type="dxa"/>
            <w:vMerge w:val="restart"/>
            <w:tcBorders>
              <w:top w:val="single" w:sz="4" w:space="0" w:color="auto"/>
              <w:left w:val="single" w:sz="4" w:space="0" w:color="auto"/>
              <w:right w:val="single" w:sz="4" w:space="0" w:color="auto"/>
            </w:tcBorders>
            <w:vAlign w:val="center"/>
          </w:tcPr>
          <w:p w14:paraId="208FD7E7" w14:textId="07EBA2A5" w:rsidR="007849A5" w:rsidRPr="0062068E" w:rsidRDefault="007849A5" w:rsidP="00BF34B1">
            <w:pPr>
              <w:pStyle w:val="TableText"/>
              <w:keepNext w:val="0"/>
              <w:widowControl w:val="0"/>
              <w:jc w:val="center"/>
              <w:rPr>
                <w:b/>
                <w:bCs w:val="0"/>
              </w:rPr>
            </w:pPr>
            <w:r w:rsidRPr="0062068E">
              <w:rPr>
                <w:b/>
                <w:bCs w:val="0"/>
              </w:rPr>
              <w:t xml:space="preserve">0.80 </w:t>
            </w:r>
            <w:r w:rsidR="00E810B6">
              <w:rPr>
                <w:b/>
                <w:bCs w:val="0"/>
              </w:rPr>
              <w:br/>
            </w:r>
            <w:r w:rsidRPr="0062068E">
              <w:rPr>
                <w:b/>
                <w:bCs w:val="0"/>
              </w:rPr>
              <w:t>(0.66, 0.97)</w:t>
            </w:r>
          </w:p>
        </w:tc>
      </w:tr>
      <w:tr w:rsidR="007849A5" w:rsidRPr="00CF0A69" w14:paraId="3DD01934" w14:textId="77777777" w:rsidTr="006961DF">
        <w:trPr>
          <w:trHeight w:val="70"/>
        </w:trPr>
        <w:tc>
          <w:tcPr>
            <w:tcW w:w="3992" w:type="dxa"/>
            <w:tcBorders>
              <w:top w:val="single" w:sz="4" w:space="0" w:color="auto"/>
              <w:left w:val="single" w:sz="4" w:space="0" w:color="auto"/>
              <w:bottom w:val="single" w:sz="4" w:space="0" w:color="auto"/>
              <w:right w:val="single" w:sz="4" w:space="0" w:color="auto"/>
            </w:tcBorders>
            <w:vAlign w:val="center"/>
          </w:tcPr>
          <w:p w14:paraId="301F2C48" w14:textId="5C95DAB8" w:rsidR="007849A5" w:rsidRPr="00CF0A69" w:rsidRDefault="007849A5" w:rsidP="00BF34B1">
            <w:pPr>
              <w:pStyle w:val="TableText"/>
              <w:keepNext w:val="0"/>
              <w:widowControl w:val="0"/>
            </w:pPr>
            <w:r>
              <w:t xml:space="preserve">Endpoint </w:t>
            </w:r>
            <w:r w:rsidR="006D7786">
              <w:t xml:space="preserve">LDL-C </w:t>
            </w:r>
            <w:r>
              <w:t>mmol/L, mean (SE), Week 48</w:t>
            </w:r>
          </w:p>
        </w:tc>
        <w:tc>
          <w:tcPr>
            <w:tcW w:w="1284" w:type="dxa"/>
            <w:tcBorders>
              <w:top w:val="single" w:sz="4" w:space="0" w:color="auto"/>
              <w:left w:val="single" w:sz="4" w:space="0" w:color="auto"/>
              <w:bottom w:val="single" w:sz="4" w:space="0" w:color="auto"/>
              <w:right w:val="single" w:sz="4" w:space="0" w:color="auto"/>
            </w:tcBorders>
            <w:vAlign w:val="center"/>
          </w:tcPr>
          <w:p w14:paraId="36F2A0AC" w14:textId="77777777" w:rsidR="007849A5" w:rsidRPr="00CF0A69" w:rsidRDefault="007849A5" w:rsidP="00BF34B1">
            <w:pPr>
              <w:pStyle w:val="TableText"/>
              <w:keepNext w:val="0"/>
              <w:widowControl w:val="0"/>
              <w:jc w:val="center"/>
            </w:pPr>
            <w:r>
              <w:t>0.86 (0.013)</w:t>
            </w:r>
          </w:p>
        </w:tc>
        <w:tc>
          <w:tcPr>
            <w:tcW w:w="1284" w:type="dxa"/>
            <w:tcBorders>
              <w:top w:val="single" w:sz="4" w:space="0" w:color="auto"/>
              <w:left w:val="single" w:sz="4" w:space="0" w:color="auto"/>
              <w:bottom w:val="single" w:sz="4" w:space="0" w:color="auto"/>
              <w:right w:val="single" w:sz="4" w:space="0" w:color="auto"/>
            </w:tcBorders>
            <w:vAlign w:val="center"/>
          </w:tcPr>
          <w:p w14:paraId="150AAA26" w14:textId="77777777" w:rsidR="007849A5" w:rsidRPr="00CF0A69" w:rsidRDefault="007849A5" w:rsidP="00BF34B1">
            <w:pPr>
              <w:pStyle w:val="TableText"/>
              <w:keepNext w:val="0"/>
              <w:widowControl w:val="0"/>
              <w:jc w:val="center"/>
            </w:pPr>
            <w:r>
              <w:t>2.25 (0.010)</w:t>
            </w:r>
          </w:p>
        </w:tc>
        <w:tc>
          <w:tcPr>
            <w:tcW w:w="1237" w:type="dxa"/>
            <w:vMerge/>
            <w:tcBorders>
              <w:left w:val="single" w:sz="4" w:space="0" w:color="auto"/>
              <w:right w:val="single" w:sz="4" w:space="0" w:color="auto"/>
            </w:tcBorders>
            <w:vAlign w:val="center"/>
          </w:tcPr>
          <w:p w14:paraId="552E281B" w14:textId="77777777" w:rsidR="007849A5" w:rsidRPr="00CF0A69" w:rsidRDefault="007849A5" w:rsidP="00BF34B1">
            <w:pPr>
              <w:pStyle w:val="TableText"/>
              <w:keepNext w:val="0"/>
              <w:widowControl w:val="0"/>
              <w:jc w:val="center"/>
            </w:pPr>
          </w:p>
        </w:tc>
        <w:tc>
          <w:tcPr>
            <w:tcW w:w="1220" w:type="dxa"/>
            <w:vMerge/>
            <w:tcBorders>
              <w:left w:val="single" w:sz="4" w:space="0" w:color="auto"/>
              <w:right w:val="single" w:sz="4" w:space="0" w:color="auto"/>
            </w:tcBorders>
            <w:vAlign w:val="center"/>
          </w:tcPr>
          <w:p w14:paraId="66C56567" w14:textId="77777777" w:rsidR="007849A5" w:rsidRPr="00CF0A69" w:rsidRDefault="007849A5" w:rsidP="00BF34B1">
            <w:pPr>
              <w:pStyle w:val="TableText"/>
              <w:keepNext w:val="0"/>
              <w:widowControl w:val="0"/>
              <w:jc w:val="center"/>
            </w:pPr>
          </w:p>
        </w:tc>
      </w:tr>
      <w:tr w:rsidR="007849A5" w:rsidRPr="00CF0A69" w14:paraId="63D4B8E3" w14:textId="77777777" w:rsidTr="006961DF">
        <w:trPr>
          <w:trHeight w:val="70"/>
        </w:trPr>
        <w:tc>
          <w:tcPr>
            <w:tcW w:w="3992" w:type="dxa"/>
            <w:tcBorders>
              <w:top w:val="single" w:sz="4" w:space="0" w:color="auto"/>
              <w:left w:val="single" w:sz="4" w:space="0" w:color="auto"/>
              <w:bottom w:val="single" w:sz="4" w:space="0" w:color="auto"/>
              <w:right w:val="single" w:sz="4" w:space="0" w:color="auto"/>
            </w:tcBorders>
            <w:vAlign w:val="center"/>
          </w:tcPr>
          <w:p w14:paraId="7363B23C" w14:textId="7BF49A7C" w:rsidR="007849A5" w:rsidRPr="00CF0A69" w:rsidRDefault="007849A5" w:rsidP="00BF34B1">
            <w:pPr>
              <w:pStyle w:val="TableText"/>
              <w:keepNext w:val="0"/>
              <w:widowControl w:val="0"/>
            </w:pPr>
            <w:r>
              <w:t xml:space="preserve">Change </w:t>
            </w:r>
            <w:r w:rsidR="006D7786">
              <w:t xml:space="preserve">LDL-C </w:t>
            </w:r>
            <w:r>
              <w:t>mmol/L, mean (SE), Week 48</w:t>
            </w:r>
          </w:p>
        </w:tc>
        <w:tc>
          <w:tcPr>
            <w:tcW w:w="1284" w:type="dxa"/>
            <w:tcBorders>
              <w:top w:val="single" w:sz="4" w:space="0" w:color="auto"/>
              <w:left w:val="single" w:sz="4" w:space="0" w:color="auto"/>
              <w:bottom w:val="single" w:sz="4" w:space="0" w:color="auto"/>
              <w:right w:val="single" w:sz="4" w:space="0" w:color="auto"/>
            </w:tcBorders>
            <w:vAlign w:val="center"/>
          </w:tcPr>
          <w:p w14:paraId="52B9998A" w14:textId="77777777" w:rsidR="007849A5" w:rsidRPr="00CF0A69" w:rsidRDefault="007849A5" w:rsidP="00BF34B1">
            <w:pPr>
              <w:pStyle w:val="TableText"/>
              <w:keepNext w:val="0"/>
              <w:widowControl w:val="0"/>
              <w:jc w:val="center"/>
            </w:pPr>
            <w:r>
              <w:t>-1.34 (0.013)</w:t>
            </w:r>
          </w:p>
        </w:tc>
        <w:tc>
          <w:tcPr>
            <w:tcW w:w="1284" w:type="dxa"/>
            <w:tcBorders>
              <w:top w:val="single" w:sz="4" w:space="0" w:color="auto"/>
              <w:left w:val="single" w:sz="4" w:space="0" w:color="auto"/>
              <w:bottom w:val="single" w:sz="4" w:space="0" w:color="auto"/>
              <w:right w:val="single" w:sz="4" w:space="0" w:color="auto"/>
            </w:tcBorders>
            <w:vAlign w:val="center"/>
          </w:tcPr>
          <w:p w14:paraId="354412C8" w14:textId="77777777" w:rsidR="007849A5" w:rsidRPr="00CF0A69" w:rsidRDefault="007849A5" w:rsidP="00BF34B1">
            <w:pPr>
              <w:pStyle w:val="TableText"/>
              <w:keepNext w:val="0"/>
              <w:widowControl w:val="0"/>
              <w:jc w:val="center"/>
            </w:pPr>
            <w:r>
              <w:t>0.03 (0.010)</w:t>
            </w:r>
          </w:p>
        </w:tc>
        <w:tc>
          <w:tcPr>
            <w:tcW w:w="1237" w:type="dxa"/>
            <w:vMerge/>
            <w:tcBorders>
              <w:left w:val="single" w:sz="4" w:space="0" w:color="auto"/>
              <w:right w:val="single" w:sz="4" w:space="0" w:color="auto"/>
            </w:tcBorders>
            <w:vAlign w:val="center"/>
          </w:tcPr>
          <w:p w14:paraId="0F915FB8" w14:textId="77777777" w:rsidR="007849A5" w:rsidRPr="00CF0A69" w:rsidRDefault="007849A5" w:rsidP="00BF34B1">
            <w:pPr>
              <w:pStyle w:val="TableText"/>
              <w:keepNext w:val="0"/>
              <w:widowControl w:val="0"/>
              <w:jc w:val="center"/>
            </w:pPr>
          </w:p>
        </w:tc>
        <w:tc>
          <w:tcPr>
            <w:tcW w:w="1220" w:type="dxa"/>
            <w:vMerge/>
            <w:tcBorders>
              <w:left w:val="single" w:sz="4" w:space="0" w:color="auto"/>
              <w:right w:val="single" w:sz="4" w:space="0" w:color="auto"/>
            </w:tcBorders>
            <w:vAlign w:val="center"/>
          </w:tcPr>
          <w:p w14:paraId="5711E03F" w14:textId="77777777" w:rsidR="007849A5" w:rsidRPr="00CF0A69" w:rsidRDefault="007849A5" w:rsidP="00BF34B1">
            <w:pPr>
              <w:pStyle w:val="TableText"/>
              <w:keepNext w:val="0"/>
              <w:widowControl w:val="0"/>
              <w:jc w:val="center"/>
            </w:pPr>
          </w:p>
        </w:tc>
      </w:tr>
      <w:tr w:rsidR="007849A5" w:rsidRPr="00CF0A69" w14:paraId="05DB5203" w14:textId="77777777" w:rsidTr="006961DF">
        <w:trPr>
          <w:trHeight w:val="70"/>
        </w:trPr>
        <w:tc>
          <w:tcPr>
            <w:tcW w:w="3992" w:type="dxa"/>
            <w:tcBorders>
              <w:top w:val="single" w:sz="4" w:space="0" w:color="auto"/>
              <w:left w:val="single" w:sz="4" w:space="0" w:color="auto"/>
              <w:bottom w:val="single" w:sz="4" w:space="0" w:color="auto"/>
              <w:right w:val="single" w:sz="4" w:space="0" w:color="auto"/>
            </w:tcBorders>
            <w:vAlign w:val="center"/>
          </w:tcPr>
          <w:p w14:paraId="72C5BACC" w14:textId="71D7787C" w:rsidR="007849A5" w:rsidRPr="00CF0A69" w:rsidRDefault="007849A5" w:rsidP="00BF34B1">
            <w:pPr>
              <w:pStyle w:val="TableText"/>
              <w:keepNext w:val="0"/>
              <w:widowControl w:val="0"/>
            </w:pPr>
            <w:r>
              <w:t xml:space="preserve">Change </w:t>
            </w:r>
            <w:r w:rsidR="006D7786">
              <w:t xml:space="preserve">LDL-C </w:t>
            </w:r>
            <w:r>
              <w:t>% reduction, mean (SE), Week 48</w:t>
            </w:r>
          </w:p>
        </w:tc>
        <w:tc>
          <w:tcPr>
            <w:tcW w:w="1284" w:type="dxa"/>
            <w:tcBorders>
              <w:top w:val="single" w:sz="4" w:space="0" w:color="auto"/>
              <w:left w:val="single" w:sz="4" w:space="0" w:color="auto"/>
              <w:bottom w:val="single" w:sz="4" w:space="0" w:color="auto"/>
              <w:right w:val="single" w:sz="4" w:space="0" w:color="auto"/>
            </w:tcBorders>
            <w:vAlign w:val="center"/>
          </w:tcPr>
          <w:p w14:paraId="269C1840" w14:textId="77777777" w:rsidR="007849A5" w:rsidRPr="00CF0A69" w:rsidRDefault="007849A5" w:rsidP="00BF34B1">
            <w:pPr>
              <w:pStyle w:val="TableText"/>
              <w:keepNext w:val="0"/>
              <w:widowControl w:val="0"/>
              <w:jc w:val="center"/>
            </w:pPr>
            <w:r>
              <w:t>-60.51 (0.56)</w:t>
            </w:r>
          </w:p>
        </w:tc>
        <w:tc>
          <w:tcPr>
            <w:tcW w:w="1284" w:type="dxa"/>
            <w:tcBorders>
              <w:top w:val="single" w:sz="4" w:space="0" w:color="auto"/>
              <w:left w:val="single" w:sz="4" w:space="0" w:color="auto"/>
              <w:bottom w:val="single" w:sz="4" w:space="0" w:color="auto"/>
              <w:right w:val="single" w:sz="4" w:space="0" w:color="auto"/>
            </w:tcBorders>
            <w:vAlign w:val="center"/>
          </w:tcPr>
          <w:p w14:paraId="4D5B17B5" w14:textId="77777777" w:rsidR="007849A5" w:rsidRPr="00CF0A69" w:rsidRDefault="007849A5" w:rsidP="00BF34B1">
            <w:pPr>
              <w:pStyle w:val="TableText"/>
              <w:keepNext w:val="0"/>
              <w:widowControl w:val="0"/>
              <w:jc w:val="center"/>
            </w:pPr>
            <w:r>
              <w:t>1.52 (0.43)</w:t>
            </w:r>
          </w:p>
        </w:tc>
        <w:tc>
          <w:tcPr>
            <w:tcW w:w="1237" w:type="dxa"/>
            <w:vMerge/>
            <w:tcBorders>
              <w:left w:val="single" w:sz="4" w:space="0" w:color="auto"/>
              <w:bottom w:val="single" w:sz="4" w:space="0" w:color="auto"/>
              <w:right w:val="single" w:sz="4" w:space="0" w:color="auto"/>
            </w:tcBorders>
            <w:vAlign w:val="center"/>
          </w:tcPr>
          <w:p w14:paraId="3AA94708" w14:textId="77777777" w:rsidR="007849A5" w:rsidRPr="00CF0A69" w:rsidRDefault="007849A5" w:rsidP="00BF34B1">
            <w:pPr>
              <w:pStyle w:val="TableText"/>
              <w:keepNext w:val="0"/>
              <w:widowControl w:val="0"/>
              <w:jc w:val="center"/>
            </w:pPr>
          </w:p>
        </w:tc>
        <w:tc>
          <w:tcPr>
            <w:tcW w:w="1220" w:type="dxa"/>
            <w:vMerge/>
            <w:tcBorders>
              <w:left w:val="single" w:sz="4" w:space="0" w:color="auto"/>
              <w:bottom w:val="single" w:sz="4" w:space="0" w:color="auto"/>
              <w:right w:val="single" w:sz="4" w:space="0" w:color="auto"/>
            </w:tcBorders>
            <w:vAlign w:val="center"/>
          </w:tcPr>
          <w:p w14:paraId="0B16D44D" w14:textId="77777777" w:rsidR="007849A5" w:rsidRPr="00CF0A69" w:rsidRDefault="007849A5" w:rsidP="00BF34B1">
            <w:pPr>
              <w:pStyle w:val="TableText"/>
              <w:keepNext w:val="0"/>
              <w:widowControl w:val="0"/>
              <w:jc w:val="center"/>
            </w:pPr>
          </w:p>
        </w:tc>
      </w:tr>
      <w:tr w:rsidR="007849A5" w:rsidRPr="00CF0A69" w14:paraId="14E34102" w14:textId="77777777" w:rsidTr="006961DF">
        <w:trPr>
          <w:trHeight w:val="70"/>
        </w:trPr>
        <w:tc>
          <w:tcPr>
            <w:tcW w:w="9017" w:type="dxa"/>
            <w:gridSpan w:val="5"/>
            <w:tcBorders>
              <w:top w:val="single" w:sz="4" w:space="0" w:color="auto"/>
              <w:left w:val="single" w:sz="4" w:space="0" w:color="auto"/>
              <w:bottom w:val="single" w:sz="4" w:space="0" w:color="auto"/>
              <w:right w:val="single" w:sz="4" w:space="0" w:color="auto"/>
            </w:tcBorders>
            <w:vAlign w:val="center"/>
          </w:tcPr>
          <w:p w14:paraId="49E5EDDE" w14:textId="72362D8C" w:rsidR="007849A5" w:rsidRPr="00CF0A69" w:rsidRDefault="007849A5" w:rsidP="00BF34B1">
            <w:pPr>
              <w:pStyle w:val="TableText"/>
              <w:keepNext w:val="0"/>
              <w:widowControl w:val="0"/>
            </w:pPr>
            <w:r>
              <w:rPr>
                <w:b/>
              </w:rPr>
              <w:t xml:space="preserve">Baseline </w:t>
            </w:r>
            <w:r w:rsidR="006D7786">
              <w:rPr>
                <w:b/>
              </w:rPr>
              <w:t xml:space="preserve">LDL-C </w:t>
            </w:r>
            <w:r>
              <w:rPr>
                <w:b/>
              </w:rPr>
              <w:t xml:space="preserve">Quartile 3, </w:t>
            </w:r>
            <w:r w:rsidRPr="0086568D">
              <w:rPr>
                <w:b/>
              </w:rPr>
              <w:t>91.5 mg/dL [2.4 mmol/L] to &lt; 108.5 mg/dL [2.8 mmol/L] (N = 6,887)</w:t>
            </w:r>
          </w:p>
        </w:tc>
      </w:tr>
      <w:tr w:rsidR="007849A5" w:rsidRPr="00CF0A69" w14:paraId="525B16CF" w14:textId="77777777" w:rsidTr="006961DF">
        <w:trPr>
          <w:trHeight w:val="70"/>
        </w:trPr>
        <w:tc>
          <w:tcPr>
            <w:tcW w:w="3992" w:type="dxa"/>
            <w:tcBorders>
              <w:top w:val="single" w:sz="4" w:space="0" w:color="auto"/>
              <w:left w:val="single" w:sz="4" w:space="0" w:color="auto"/>
              <w:bottom w:val="single" w:sz="4" w:space="0" w:color="auto"/>
              <w:right w:val="single" w:sz="4" w:space="0" w:color="auto"/>
            </w:tcBorders>
            <w:vAlign w:val="center"/>
          </w:tcPr>
          <w:p w14:paraId="6D4197A8" w14:textId="237E417B" w:rsidR="007849A5" w:rsidRPr="00CF0A69" w:rsidRDefault="007849A5" w:rsidP="00BF34B1">
            <w:pPr>
              <w:pStyle w:val="TableText"/>
              <w:keepNext w:val="0"/>
              <w:widowControl w:val="0"/>
            </w:pPr>
            <w:r>
              <w:t xml:space="preserve">Baseline </w:t>
            </w:r>
            <w:r w:rsidR="006D7786">
              <w:t xml:space="preserve">LDL-C </w:t>
            </w:r>
            <w:r>
              <w:t>mmol/L, mean (SE)</w:t>
            </w:r>
          </w:p>
        </w:tc>
        <w:tc>
          <w:tcPr>
            <w:tcW w:w="1284" w:type="dxa"/>
            <w:tcBorders>
              <w:top w:val="single" w:sz="4" w:space="0" w:color="auto"/>
              <w:left w:val="single" w:sz="4" w:space="0" w:color="auto"/>
              <w:bottom w:val="single" w:sz="4" w:space="0" w:color="auto"/>
              <w:right w:val="single" w:sz="4" w:space="0" w:color="auto"/>
            </w:tcBorders>
            <w:vAlign w:val="center"/>
          </w:tcPr>
          <w:p w14:paraId="0863EF23" w14:textId="77777777" w:rsidR="007849A5" w:rsidRPr="00CF0A69" w:rsidRDefault="007849A5" w:rsidP="00BF34B1">
            <w:pPr>
              <w:pStyle w:val="TableText"/>
              <w:keepNext w:val="0"/>
              <w:widowControl w:val="0"/>
              <w:jc w:val="center"/>
            </w:pPr>
            <w:r>
              <w:t>2.57 (0.003)</w:t>
            </w:r>
          </w:p>
        </w:tc>
        <w:tc>
          <w:tcPr>
            <w:tcW w:w="1284" w:type="dxa"/>
            <w:tcBorders>
              <w:top w:val="single" w:sz="4" w:space="0" w:color="auto"/>
              <w:left w:val="single" w:sz="4" w:space="0" w:color="auto"/>
              <w:bottom w:val="single" w:sz="4" w:space="0" w:color="auto"/>
              <w:right w:val="single" w:sz="4" w:space="0" w:color="auto"/>
            </w:tcBorders>
            <w:vAlign w:val="center"/>
          </w:tcPr>
          <w:p w14:paraId="7CD9C2CA" w14:textId="77777777" w:rsidR="007849A5" w:rsidRPr="00CF0A69" w:rsidRDefault="007849A5" w:rsidP="00BF34B1">
            <w:pPr>
              <w:pStyle w:val="TableText"/>
              <w:keepNext w:val="0"/>
              <w:widowControl w:val="0"/>
              <w:jc w:val="center"/>
            </w:pPr>
            <w:r>
              <w:t>2.57 (0.003)</w:t>
            </w:r>
          </w:p>
        </w:tc>
        <w:tc>
          <w:tcPr>
            <w:tcW w:w="1237" w:type="dxa"/>
            <w:vMerge w:val="restart"/>
            <w:tcBorders>
              <w:top w:val="single" w:sz="4" w:space="0" w:color="auto"/>
              <w:left w:val="single" w:sz="4" w:space="0" w:color="auto"/>
              <w:right w:val="single" w:sz="4" w:space="0" w:color="auto"/>
            </w:tcBorders>
            <w:vAlign w:val="center"/>
          </w:tcPr>
          <w:p w14:paraId="4912BE9C" w14:textId="75CB49A9" w:rsidR="007849A5" w:rsidRPr="00CF0A69" w:rsidRDefault="007849A5" w:rsidP="00BF34B1">
            <w:pPr>
              <w:pStyle w:val="TableText"/>
              <w:keepNext w:val="0"/>
              <w:widowControl w:val="0"/>
              <w:jc w:val="center"/>
            </w:pPr>
            <w:r>
              <w:t xml:space="preserve">0.89 </w:t>
            </w:r>
            <w:r w:rsidR="00E810B6">
              <w:br/>
            </w:r>
            <w:r>
              <w:t>(0.77, 1.03)</w:t>
            </w:r>
          </w:p>
        </w:tc>
        <w:tc>
          <w:tcPr>
            <w:tcW w:w="1220" w:type="dxa"/>
            <w:vMerge w:val="restart"/>
            <w:tcBorders>
              <w:top w:val="single" w:sz="4" w:space="0" w:color="auto"/>
              <w:left w:val="single" w:sz="4" w:space="0" w:color="auto"/>
              <w:right w:val="single" w:sz="4" w:space="0" w:color="auto"/>
            </w:tcBorders>
            <w:vAlign w:val="center"/>
          </w:tcPr>
          <w:p w14:paraId="6F2750FE" w14:textId="12D5E1AB" w:rsidR="007849A5" w:rsidRPr="0062068E" w:rsidRDefault="007849A5" w:rsidP="00BF34B1">
            <w:pPr>
              <w:pStyle w:val="TableText"/>
              <w:keepNext w:val="0"/>
              <w:widowControl w:val="0"/>
              <w:jc w:val="center"/>
              <w:rPr>
                <w:b/>
                <w:bCs w:val="0"/>
              </w:rPr>
            </w:pPr>
            <w:r w:rsidRPr="0062068E">
              <w:rPr>
                <w:b/>
                <w:bCs w:val="0"/>
              </w:rPr>
              <w:t xml:space="preserve">0.79 </w:t>
            </w:r>
            <w:r w:rsidR="00E810B6">
              <w:rPr>
                <w:b/>
                <w:bCs w:val="0"/>
              </w:rPr>
              <w:br/>
            </w:r>
            <w:r w:rsidRPr="0062068E">
              <w:rPr>
                <w:b/>
                <w:bCs w:val="0"/>
              </w:rPr>
              <w:t>(0.66, 0.94)</w:t>
            </w:r>
          </w:p>
        </w:tc>
      </w:tr>
      <w:tr w:rsidR="007849A5" w:rsidRPr="00CF0A69" w14:paraId="63D6061F" w14:textId="77777777" w:rsidTr="006961DF">
        <w:trPr>
          <w:trHeight w:val="70"/>
        </w:trPr>
        <w:tc>
          <w:tcPr>
            <w:tcW w:w="3992" w:type="dxa"/>
            <w:tcBorders>
              <w:top w:val="single" w:sz="4" w:space="0" w:color="auto"/>
              <w:left w:val="single" w:sz="4" w:space="0" w:color="auto"/>
              <w:bottom w:val="single" w:sz="4" w:space="0" w:color="auto"/>
              <w:right w:val="single" w:sz="4" w:space="0" w:color="auto"/>
            </w:tcBorders>
            <w:vAlign w:val="center"/>
          </w:tcPr>
          <w:p w14:paraId="0B86EAD4" w14:textId="3DA2DBA2" w:rsidR="007849A5" w:rsidRPr="00CF0A69" w:rsidRDefault="007849A5" w:rsidP="00BF34B1">
            <w:pPr>
              <w:pStyle w:val="TableText"/>
              <w:keepNext w:val="0"/>
              <w:widowControl w:val="0"/>
            </w:pPr>
            <w:r>
              <w:t xml:space="preserve">Endpoint </w:t>
            </w:r>
            <w:r w:rsidR="006D7786">
              <w:t xml:space="preserve">LDL-C </w:t>
            </w:r>
            <w:r>
              <w:t>mmol/L, mean (SE), Week 48</w:t>
            </w:r>
          </w:p>
        </w:tc>
        <w:tc>
          <w:tcPr>
            <w:tcW w:w="1284" w:type="dxa"/>
            <w:tcBorders>
              <w:top w:val="single" w:sz="4" w:space="0" w:color="auto"/>
              <w:left w:val="single" w:sz="4" w:space="0" w:color="auto"/>
              <w:bottom w:val="single" w:sz="4" w:space="0" w:color="auto"/>
              <w:right w:val="single" w:sz="4" w:space="0" w:color="auto"/>
            </w:tcBorders>
            <w:vAlign w:val="center"/>
          </w:tcPr>
          <w:p w14:paraId="51EB8282" w14:textId="77777777" w:rsidR="007849A5" w:rsidRPr="00CF0A69" w:rsidRDefault="007849A5" w:rsidP="00BF34B1">
            <w:pPr>
              <w:pStyle w:val="TableText"/>
              <w:keepNext w:val="0"/>
              <w:widowControl w:val="0"/>
              <w:jc w:val="center"/>
            </w:pPr>
            <w:r>
              <w:t>1.01 (0.013)</w:t>
            </w:r>
          </w:p>
        </w:tc>
        <w:tc>
          <w:tcPr>
            <w:tcW w:w="1284" w:type="dxa"/>
            <w:tcBorders>
              <w:top w:val="single" w:sz="4" w:space="0" w:color="auto"/>
              <w:left w:val="single" w:sz="4" w:space="0" w:color="auto"/>
              <w:bottom w:val="single" w:sz="4" w:space="0" w:color="auto"/>
              <w:right w:val="single" w:sz="4" w:space="0" w:color="auto"/>
            </w:tcBorders>
            <w:vAlign w:val="center"/>
          </w:tcPr>
          <w:p w14:paraId="52FA979B" w14:textId="77777777" w:rsidR="007849A5" w:rsidRPr="00CF0A69" w:rsidRDefault="007849A5" w:rsidP="00BF34B1">
            <w:pPr>
              <w:pStyle w:val="TableText"/>
              <w:keepNext w:val="0"/>
              <w:widowControl w:val="0"/>
              <w:jc w:val="center"/>
            </w:pPr>
            <w:r>
              <w:t>2.53 (0.010)</w:t>
            </w:r>
          </w:p>
        </w:tc>
        <w:tc>
          <w:tcPr>
            <w:tcW w:w="1237" w:type="dxa"/>
            <w:vMerge/>
            <w:tcBorders>
              <w:left w:val="single" w:sz="4" w:space="0" w:color="auto"/>
              <w:right w:val="single" w:sz="4" w:space="0" w:color="auto"/>
            </w:tcBorders>
            <w:vAlign w:val="center"/>
          </w:tcPr>
          <w:p w14:paraId="7297021A" w14:textId="77777777" w:rsidR="007849A5" w:rsidRPr="00CF0A69" w:rsidRDefault="007849A5" w:rsidP="00BF34B1">
            <w:pPr>
              <w:pStyle w:val="TableText"/>
              <w:keepNext w:val="0"/>
              <w:widowControl w:val="0"/>
              <w:jc w:val="center"/>
            </w:pPr>
          </w:p>
        </w:tc>
        <w:tc>
          <w:tcPr>
            <w:tcW w:w="1220" w:type="dxa"/>
            <w:vMerge/>
            <w:tcBorders>
              <w:left w:val="single" w:sz="4" w:space="0" w:color="auto"/>
              <w:right w:val="single" w:sz="4" w:space="0" w:color="auto"/>
            </w:tcBorders>
            <w:vAlign w:val="center"/>
          </w:tcPr>
          <w:p w14:paraId="263895C2" w14:textId="77777777" w:rsidR="007849A5" w:rsidRPr="00CF0A69" w:rsidRDefault="007849A5" w:rsidP="00BF34B1">
            <w:pPr>
              <w:pStyle w:val="TableText"/>
              <w:keepNext w:val="0"/>
              <w:widowControl w:val="0"/>
              <w:jc w:val="center"/>
            </w:pPr>
          </w:p>
        </w:tc>
      </w:tr>
      <w:tr w:rsidR="007849A5" w:rsidRPr="00CF0A69" w14:paraId="25D91654" w14:textId="77777777" w:rsidTr="006961DF">
        <w:trPr>
          <w:trHeight w:val="70"/>
        </w:trPr>
        <w:tc>
          <w:tcPr>
            <w:tcW w:w="3992" w:type="dxa"/>
            <w:tcBorders>
              <w:top w:val="single" w:sz="4" w:space="0" w:color="auto"/>
              <w:left w:val="single" w:sz="4" w:space="0" w:color="auto"/>
              <w:bottom w:val="single" w:sz="4" w:space="0" w:color="auto"/>
              <w:right w:val="single" w:sz="4" w:space="0" w:color="auto"/>
            </w:tcBorders>
            <w:vAlign w:val="center"/>
          </w:tcPr>
          <w:p w14:paraId="24B5BA84" w14:textId="2BD0A86D" w:rsidR="007849A5" w:rsidRPr="00CF0A69" w:rsidRDefault="007849A5" w:rsidP="00BF34B1">
            <w:pPr>
              <w:pStyle w:val="TableText"/>
              <w:keepNext w:val="0"/>
              <w:widowControl w:val="0"/>
            </w:pPr>
            <w:r>
              <w:t xml:space="preserve">Change </w:t>
            </w:r>
            <w:r w:rsidR="006D7786">
              <w:t xml:space="preserve">LDL-C </w:t>
            </w:r>
            <w:r>
              <w:t>mmol/L, mean (SE), Week 48</w:t>
            </w:r>
          </w:p>
        </w:tc>
        <w:tc>
          <w:tcPr>
            <w:tcW w:w="1284" w:type="dxa"/>
            <w:tcBorders>
              <w:top w:val="single" w:sz="4" w:space="0" w:color="auto"/>
              <w:left w:val="single" w:sz="4" w:space="0" w:color="auto"/>
              <w:bottom w:val="single" w:sz="4" w:space="0" w:color="auto"/>
              <w:right w:val="single" w:sz="4" w:space="0" w:color="auto"/>
            </w:tcBorders>
            <w:vAlign w:val="center"/>
          </w:tcPr>
          <w:p w14:paraId="6AC118F7" w14:textId="77777777" w:rsidR="007849A5" w:rsidRPr="00CF0A69" w:rsidRDefault="007849A5" w:rsidP="00BF34B1">
            <w:pPr>
              <w:pStyle w:val="TableText"/>
              <w:keepNext w:val="0"/>
              <w:widowControl w:val="0"/>
              <w:jc w:val="center"/>
            </w:pPr>
            <w:r>
              <w:t>-1.56 (0.013)</w:t>
            </w:r>
          </w:p>
        </w:tc>
        <w:tc>
          <w:tcPr>
            <w:tcW w:w="1284" w:type="dxa"/>
            <w:tcBorders>
              <w:top w:val="single" w:sz="4" w:space="0" w:color="auto"/>
              <w:left w:val="single" w:sz="4" w:space="0" w:color="auto"/>
              <w:bottom w:val="single" w:sz="4" w:space="0" w:color="auto"/>
              <w:right w:val="single" w:sz="4" w:space="0" w:color="auto"/>
            </w:tcBorders>
            <w:vAlign w:val="center"/>
          </w:tcPr>
          <w:p w14:paraId="0CE7B2B8" w14:textId="77777777" w:rsidR="007849A5" w:rsidRPr="00CF0A69" w:rsidRDefault="007849A5" w:rsidP="00BF34B1">
            <w:pPr>
              <w:pStyle w:val="TableText"/>
              <w:keepNext w:val="0"/>
              <w:widowControl w:val="0"/>
              <w:jc w:val="center"/>
            </w:pPr>
            <w:r>
              <w:t>-0.05 (0.010)</w:t>
            </w:r>
          </w:p>
        </w:tc>
        <w:tc>
          <w:tcPr>
            <w:tcW w:w="1237" w:type="dxa"/>
            <w:vMerge/>
            <w:tcBorders>
              <w:left w:val="single" w:sz="4" w:space="0" w:color="auto"/>
              <w:right w:val="single" w:sz="4" w:space="0" w:color="auto"/>
            </w:tcBorders>
            <w:vAlign w:val="center"/>
          </w:tcPr>
          <w:p w14:paraId="2FC00168" w14:textId="77777777" w:rsidR="007849A5" w:rsidRPr="00CF0A69" w:rsidRDefault="007849A5" w:rsidP="00BF34B1">
            <w:pPr>
              <w:pStyle w:val="TableText"/>
              <w:keepNext w:val="0"/>
              <w:widowControl w:val="0"/>
              <w:jc w:val="center"/>
            </w:pPr>
          </w:p>
        </w:tc>
        <w:tc>
          <w:tcPr>
            <w:tcW w:w="1220" w:type="dxa"/>
            <w:vMerge/>
            <w:tcBorders>
              <w:left w:val="single" w:sz="4" w:space="0" w:color="auto"/>
              <w:right w:val="single" w:sz="4" w:space="0" w:color="auto"/>
            </w:tcBorders>
            <w:vAlign w:val="center"/>
          </w:tcPr>
          <w:p w14:paraId="7402ADF9" w14:textId="77777777" w:rsidR="007849A5" w:rsidRPr="00CF0A69" w:rsidRDefault="007849A5" w:rsidP="00BF34B1">
            <w:pPr>
              <w:pStyle w:val="TableText"/>
              <w:keepNext w:val="0"/>
              <w:widowControl w:val="0"/>
              <w:jc w:val="center"/>
            </w:pPr>
          </w:p>
        </w:tc>
      </w:tr>
      <w:tr w:rsidR="007849A5" w:rsidRPr="00CF0A69" w14:paraId="5E2B04CE" w14:textId="77777777" w:rsidTr="006961DF">
        <w:trPr>
          <w:trHeight w:val="70"/>
        </w:trPr>
        <w:tc>
          <w:tcPr>
            <w:tcW w:w="3992" w:type="dxa"/>
            <w:tcBorders>
              <w:top w:val="single" w:sz="4" w:space="0" w:color="auto"/>
              <w:left w:val="single" w:sz="4" w:space="0" w:color="auto"/>
              <w:bottom w:val="single" w:sz="4" w:space="0" w:color="auto"/>
              <w:right w:val="single" w:sz="4" w:space="0" w:color="auto"/>
            </w:tcBorders>
            <w:vAlign w:val="center"/>
          </w:tcPr>
          <w:p w14:paraId="143A6B83" w14:textId="7EDA1784" w:rsidR="007849A5" w:rsidRPr="00CF0A69" w:rsidRDefault="007849A5" w:rsidP="00BF34B1">
            <w:pPr>
              <w:pStyle w:val="TableText"/>
              <w:keepNext w:val="0"/>
              <w:widowControl w:val="0"/>
            </w:pPr>
            <w:r>
              <w:t xml:space="preserve">Change </w:t>
            </w:r>
            <w:r w:rsidR="006D7786">
              <w:t xml:space="preserve">LDL-C </w:t>
            </w:r>
            <w:r>
              <w:t>% reduction, mean (SE), Week 48</w:t>
            </w:r>
          </w:p>
        </w:tc>
        <w:tc>
          <w:tcPr>
            <w:tcW w:w="1284" w:type="dxa"/>
            <w:tcBorders>
              <w:top w:val="single" w:sz="4" w:space="0" w:color="auto"/>
              <w:left w:val="single" w:sz="4" w:space="0" w:color="auto"/>
              <w:bottom w:val="single" w:sz="4" w:space="0" w:color="auto"/>
              <w:right w:val="single" w:sz="4" w:space="0" w:color="auto"/>
            </w:tcBorders>
            <w:vAlign w:val="center"/>
          </w:tcPr>
          <w:p w14:paraId="203B2FA6" w14:textId="77777777" w:rsidR="007849A5" w:rsidRPr="00CF0A69" w:rsidRDefault="007849A5" w:rsidP="00BF34B1">
            <w:pPr>
              <w:pStyle w:val="TableText"/>
              <w:keepNext w:val="0"/>
              <w:widowControl w:val="0"/>
              <w:jc w:val="center"/>
            </w:pPr>
            <w:r>
              <w:t>-60.85 (0.54)</w:t>
            </w:r>
          </w:p>
        </w:tc>
        <w:tc>
          <w:tcPr>
            <w:tcW w:w="1284" w:type="dxa"/>
            <w:tcBorders>
              <w:top w:val="single" w:sz="4" w:space="0" w:color="auto"/>
              <w:left w:val="single" w:sz="4" w:space="0" w:color="auto"/>
              <w:bottom w:val="single" w:sz="4" w:space="0" w:color="auto"/>
              <w:right w:val="single" w:sz="4" w:space="0" w:color="auto"/>
            </w:tcBorders>
            <w:vAlign w:val="center"/>
          </w:tcPr>
          <w:p w14:paraId="199FA97B" w14:textId="77777777" w:rsidR="007849A5" w:rsidRPr="00CF0A69" w:rsidRDefault="007849A5" w:rsidP="00BF34B1">
            <w:pPr>
              <w:pStyle w:val="TableText"/>
              <w:keepNext w:val="0"/>
              <w:widowControl w:val="0"/>
              <w:jc w:val="center"/>
            </w:pPr>
            <w:r>
              <w:t>-1.74 (0.43)</w:t>
            </w:r>
          </w:p>
        </w:tc>
        <w:tc>
          <w:tcPr>
            <w:tcW w:w="1237" w:type="dxa"/>
            <w:vMerge/>
            <w:tcBorders>
              <w:left w:val="single" w:sz="4" w:space="0" w:color="auto"/>
              <w:bottom w:val="single" w:sz="4" w:space="0" w:color="auto"/>
              <w:right w:val="single" w:sz="4" w:space="0" w:color="auto"/>
            </w:tcBorders>
            <w:vAlign w:val="center"/>
          </w:tcPr>
          <w:p w14:paraId="1D3593AD" w14:textId="77777777" w:rsidR="007849A5" w:rsidRPr="00CF0A69" w:rsidRDefault="007849A5" w:rsidP="00BF34B1">
            <w:pPr>
              <w:pStyle w:val="TableText"/>
              <w:keepNext w:val="0"/>
              <w:widowControl w:val="0"/>
              <w:jc w:val="center"/>
            </w:pPr>
          </w:p>
        </w:tc>
        <w:tc>
          <w:tcPr>
            <w:tcW w:w="1220" w:type="dxa"/>
            <w:vMerge/>
            <w:tcBorders>
              <w:left w:val="single" w:sz="4" w:space="0" w:color="auto"/>
              <w:bottom w:val="single" w:sz="4" w:space="0" w:color="auto"/>
              <w:right w:val="single" w:sz="4" w:space="0" w:color="auto"/>
            </w:tcBorders>
            <w:vAlign w:val="center"/>
          </w:tcPr>
          <w:p w14:paraId="2B6F0BF8" w14:textId="77777777" w:rsidR="007849A5" w:rsidRPr="00CF0A69" w:rsidRDefault="007849A5" w:rsidP="00BF34B1">
            <w:pPr>
              <w:pStyle w:val="TableText"/>
              <w:keepNext w:val="0"/>
              <w:widowControl w:val="0"/>
              <w:jc w:val="center"/>
            </w:pPr>
          </w:p>
        </w:tc>
      </w:tr>
      <w:tr w:rsidR="007849A5" w:rsidRPr="00CF0A69" w14:paraId="26F5A4CB" w14:textId="77777777" w:rsidTr="006961DF">
        <w:trPr>
          <w:trHeight w:val="70"/>
        </w:trPr>
        <w:tc>
          <w:tcPr>
            <w:tcW w:w="9017" w:type="dxa"/>
            <w:gridSpan w:val="5"/>
            <w:tcBorders>
              <w:top w:val="single" w:sz="4" w:space="0" w:color="auto"/>
              <w:left w:val="single" w:sz="4" w:space="0" w:color="auto"/>
              <w:bottom w:val="single" w:sz="4" w:space="0" w:color="auto"/>
              <w:right w:val="single" w:sz="4" w:space="0" w:color="auto"/>
            </w:tcBorders>
            <w:vAlign w:val="center"/>
          </w:tcPr>
          <w:p w14:paraId="33643944" w14:textId="0FC50C75" w:rsidR="007849A5" w:rsidRPr="00CF0A69" w:rsidRDefault="007849A5" w:rsidP="00BF34B1">
            <w:pPr>
              <w:pStyle w:val="TableText"/>
              <w:keepNext w:val="0"/>
              <w:widowControl w:val="0"/>
            </w:pPr>
            <w:r>
              <w:rPr>
                <w:b/>
              </w:rPr>
              <w:t xml:space="preserve">Baseline </w:t>
            </w:r>
            <w:r w:rsidR="006D7786">
              <w:rPr>
                <w:b/>
              </w:rPr>
              <w:t xml:space="preserve">LDL-C </w:t>
            </w:r>
            <w:r>
              <w:rPr>
                <w:b/>
              </w:rPr>
              <w:t xml:space="preserve">Quartile 4, </w:t>
            </w:r>
            <w:r w:rsidRPr="0086568D">
              <w:rPr>
                <w:b/>
              </w:rPr>
              <w:t>&gt; 108.5 mg/dl [2.8 mmol/L] (N = 6,829)</w:t>
            </w:r>
          </w:p>
        </w:tc>
      </w:tr>
      <w:tr w:rsidR="007849A5" w:rsidRPr="00CF0A69" w14:paraId="48BAB5AE" w14:textId="77777777" w:rsidTr="006961DF">
        <w:trPr>
          <w:trHeight w:val="70"/>
        </w:trPr>
        <w:tc>
          <w:tcPr>
            <w:tcW w:w="3992" w:type="dxa"/>
            <w:tcBorders>
              <w:top w:val="single" w:sz="4" w:space="0" w:color="auto"/>
              <w:left w:val="single" w:sz="4" w:space="0" w:color="auto"/>
              <w:bottom w:val="single" w:sz="4" w:space="0" w:color="auto"/>
              <w:right w:val="single" w:sz="4" w:space="0" w:color="auto"/>
            </w:tcBorders>
            <w:vAlign w:val="center"/>
          </w:tcPr>
          <w:p w14:paraId="38BFD757" w14:textId="157B8E64" w:rsidR="007849A5" w:rsidRPr="00CF0A69" w:rsidRDefault="007849A5" w:rsidP="00BF34B1">
            <w:pPr>
              <w:pStyle w:val="TableText"/>
              <w:keepNext w:val="0"/>
              <w:widowControl w:val="0"/>
            </w:pPr>
            <w:r>
              <w:t xml:space="preserve">Baseline </w:t>
            </w:r>
            <w:r w:rsidR="006D7786">
              <w:t xml:space="preserve">LDL-C </w:t>
            </w:r>
            <w:r>
              <w:t>mmol/L, mean (SE)</w:t>
            </w:r>
          </w:p>
        </w:tc>
        <w:tc>
          <w:tcPr>
            <w:tcW w:w="1284" w:type="dxa"/>
            <w:tcBorders>
              <w:top w:val="single" w:sz="4" w:space="0" w:color="auto"/>
              <w:left w:val="single" w:sz="4" w:space="0" w:color="auto"/>
              <w:bottom w:val="single" w:sz="4" w:space="0" w:color="auto"/>
              <w:right w:val="single" w:sz="4" w:space="0" w:color="auto"/>
            </w:tcBorders>
            <w:vAlign w:val="center"/>
          </w:tcPr>
          <w:p w14:paraId="32B4E50C" w14:textId="77777777" w:rsidR="007849A5" w:rsidRPr="00CF0A69" w:rsidRDefault="007849A5" w:rsidP="00BF34B1">
            <w:pPr>
              <w:pStyle w:val="TableText"/>
              <w:keepNext w:val="0"/>
              <w:widowControl w:val="0"/>
              <w:jc w:val="center"/>
            </w:pPr>
            <w:r>
              <w:t>3.50 (0.016)</w:t>
            </w:r>
          </w:p>
        </w:tc>
        <w:tc>
          <w:tcPr>
            <w:tcW w:w="1284" w:type="dxa"/>
            <w:tcBorders>
              <w:top w:val="single" w:sz="4" w:space="0" w:color="auto"/>
              <w:left w:val="single" w:sz="4" w:space="0" w:color="auto"/>
              <w:bottom w:val="single" w:sz="4" w:space="0" w:color="auto"/>
              <w:right w:val="single" w:sz="4" w:space="0" w:color="auto"/>
            </w:tcBorders>
            <w:vAlign w:val="center"/>
          </w:tcPr>
          <w:p w14:paraId="60C3B8ED" w14:textId="77777777" w:rsidR="007849A5" w:rsidRPr="00CF0A69" w:rsidRDefault="007849A5" w:rsidP="00BF34B1">
            <w:pPr>
              <w:pStyle w:val="TableText"/>
              <w:keepNext w:val="0"/>
              <w:widowControl w:val="0"/>
              <w:jc w:val="center"/>
            </w:pPr>
            <w:r>
              <w:t>3.46 (0.013)</w:t>
            </w:r>
          </w:p>
        </w:tc>
        <w:tc>
          <w:tcPr>
            <w:tcW w:w="1237" w:type="dxa"/>
            <w:vMerge w:val="restart"/>
            <w:tcBorders>
              <w:top w:val="single" w:sz="4" w:space="0" w:color="auto"/>
              <w:left w:val="single" w:sz="4" w:space="0" w:color="auto"/>
              <w:right w:val="single" w:sz="4" w:space="0" w:color="auto"/>
            </w:tcBorders>
            <w:vAlign w:val="center"/>
          </w:tcPr>
          <w:p w14:paraId="4F9A4572" w14:textId="323F079B" w:rsidR="007849A5" w:rsidRPr="00CF0A69" w:rsidRDefault="007849A5" w:rsidP="00BF34B1">
            <w:pPr>
              <w:pStyle w:val="TableText"/>
              <w:keepNext w:val="0"/>
              <w:widowControl w:val="0"/>
              <w:jc w:val="center"/>
            </w:pPr>
            <w:r>
              <w:t xml:space="preserve">0.89 </w:t>
            </w:r>
            <w:r w:rsidR="00E810B6">
              <w:br/>
            </w:r>
            <w:r>
              <w:t>(0.77, 1.02)</w:t>
            </w:r>
          </w:p>
        </w:tc>
        <w:tc>
          <w:tcPr>
            <w:tcW w:w="1220" w:type="dxa"/>
            <w:vMerge w:val="restart"/>
            <w:tcBorders>
              <w:top w:val="single" w:sz="4" w:space="0" w:color="auto"/>
              <w:left w:val="single" w:sz="4" w:space="0" w:color="auto"/>
              <w:right w:val="single" w:sz="4" w:space="0" w:color="auto"/>
            </w:tcBorders>
            <w:vAlign w:val="center"/>
          </w:tcPr>
          <w:p w14:paraId="6C670F16" w14:textId="37139EC6" w:rsidR="007849A5" w:rsidRPr="0062068E" w:rsidRDefault="007849A5" w:rsidP="00BF34B1">
            <w:pPr>
              <w:pStyle w:val="TableText"/>
              <w:keepNext w:val="0"/>
              <w:widowControl w:val="0"/>
              <w:jc w:val="center"/>
              <w:rPr>
                <w:b/>
                <w:bCs w:val="0"/>
              </w:rPr>
            </w:pPr>
            <w:r w:rsidRPr="0062068E">
              <w:rPr>
                <w:b/>
                <w:bCs w:val="0"/>
              </w:rPr>
              <w:t xml:space="preserve">0.84 </w:t>
            </w:r>
            <w:r w:rsidR="00E810B6">
              <w:rPr>
                <w:b/>
                <w:bCs w:val="0"/>
              </w:rPr>
              <w:br/>
            </w:r>
            <w:r w:rsidRPr="0062068E">
              <w:rPr>
                <w:b/>
                <w:bCs w:val="0"/>
              </w:rPr>
              <w:t>(0.70, 0.99)</w:t>
            </w:r>
          </w:p>
        </w:tc>
      </w:tr>
      <w:tr w:rsidR="007849A5" w:rsidRPr="00CF0A69" w14:paraId="1F170084" w14:textId="77777777" w:rsidTr="006961DF">
        <w:trPr>
          <w:trHeight w:val="70"/>
        </w:trPr>
        <w:tc>
          <w:tcPr>
            <w:tcW w:w="3992" w:type="dxa"/>
            <w:tcBorders>
              <w:top w:val="single" w:sz="4" w:space="0" w:color="auto"/>
              <w:left w:val="single" w:sz="4" w:space="0" w:color="auto"/>
              <w:bottom w:val="single" w:sz="4" w:space="0" w:color="auto"/>
              <w:right w:val="single" w:sz="4" w:space="0" w:color="auto"/>
            </w:tcBorders>
            <w:vAlign w:val="center"/>
          </w:tcPr>
          <w:p w14:paraId="3DD8A343" w14:textId="40125A69" w:rsidR="007849A5" w:rsidRPr="00CF0A69" w:rsidRDefault="007849A5" w:rsidP="00BF34B1">
            <w:pPr>
              <w:pStyle w:val="TableText"/>
              <w:keepNext w:val="0"/>
              <w:widowControl w:val="0"/>
            </w:pPr>
            <w:r>
              <w:t xml:space="preserve">Endpoint </w:t>
            </w:r>
            <w:r w:rsidR="006D7786">
              <w:t xml:space="preserve">LDL-C </w:t>
            </w:r>
            <w:r>
              <w:t>mmol/L, mean (SE), Week 48</w:t>
            </w:r>
          </w:p>
        </w:tc>
        <w:tc>
          <w:tcPr>
            <w:tcW w:w="1284" w:type="dxa"/>
            <w:tcBorders>
              <w:top w:val="single" w:sz="4" w:space="0" w:color="auto"/>
              <w:left w:val="single" w:sz="4" w:space="0" w:color="auto"/>
              <w:bottom w:val="single" w:sz="4" w:space="0" w:color="auto"/>
              <w:right w:val="single" w:sz="4" w:space="0" w:color="auto"/>
            </w:tcBorders>
            <w:vAlign w:val="center"/>
          </w:tcPr>
          <w:p w14:paraId="3AFC0D05" w14:textId="77777777" w:rsidR="007849A5" w:rsidRPr="00CF0A69" w:rsidRDefault="007849A5" w:rsidP="00BF34B1">
            <w:pPr>
              <w:pStyle w:val="TableText"/>
              <w:keepNext w:val="0"/>
              <w:widowControl w:val="0"/>
              <w:jc w:val="center"/>
            </w:pPr>
            <w:r>
              <w:t>1.47 (0.021)</w:t>
            </w:r>
          </w:p>
        </w:tc>
        <w:tc>
          <w:tcPr>
            <w:tcW w:w="1284" w:type="dxa"/>
            <w:tcBorders>
              <w:top w:val="single" w:sz="4" w:space="0" w:color="auto"/>
              <w:left w:val="single" w:sz="4" w:space="0" w:color="auto"/>
              <w:bottom w:val="single" w:sz="4" w:space="0" w:color="auto"/>
              <w:right w:val="single" w:sz="4" w:space="0" w:color="auto"/>
            </w:tcBorders>
            <w:vAlign w:val="center"/>
          </w:tcPr>
          <w:p w14:paraId="728C3DD3" w14:textId="77777777" w:rsidR="007849A5" w:rsidRPr="00CF0A69" w:rsidRDefault="007849A5" w:rsidP="00BF34B1">
            <w:pPr>
              <w:pStyle w:val="TableText"/>
              <w:keepNext w:val="0"/>
              <w:widowControl w:val="0"/>
              <w:jc w:val="center"/>
            </w:pPr>
            <w:r>
              <w:t>3.18 (0.018)</w:t>
            </w:r>
          </w:p>
        </w:tc>
        <w:tc>
          <w:tcPr>
            <w:tcW w:w="1237" w:type="dxa"/>
            <w:vMerge/>
            <w:tcBorders>
              <w:left w:val="single" w:sz="4" w:space="0" w:color="auto"/>
              <w:right w:val="single" w:sz="4" w:space="0" w:color="auto"/>
            </w:tcBorders>
            <w:vAlign w:val="center"/>
          </w:tcPr>
          <w:p w14:paraId="092CACA9" w14:textId="77777777" w:rsidR="007849A5" w:rsidRPr="00CF0A69" w:rsidRDefault="007849A5" w:rsidP="00BF34B1">
            <w:pPr>
              <w:pStyle w:val="TableText"/>
              <w:keepNext w:val="0"/>
              <w:widowControl w:val="0"/>
              <w:jc w:val="center"/>
            </w:pPr>
          </w:p>
        </w:tc>
        <w:tc>
          <w:tcPr>
            <w:tcW w:w="1220" w:type="dxa"/>
            <w:vMerge/>
            <w:tcBorders>
              <w:left w:val="single" w:sz="4" w:space="0" w:color="auto"/>
              <w:right w:val="single" w:sz="4" w:space="0" w:color="auto"/>
            </w:tcBorders>
            <w:vAlign w:val="center"/>
          </w:tcPr>
          <w:p w14:paraId="11E87D2E" w14:textId="77777777" w:rsidR="007849A5" w:rsidRPr="00CF0A69" w:rsidRDefault="007849A5" w:rsidP="00BF34B1">
            <w:pPr>
              <w:pStyle w:val="TableText"/>
              <w:keepNext w:val="0"/>
              <w:widowControl w:val="0"/>
              <w:jc w:val="center"/>
            </w:pPr>
          </w:p>
        </w:tc>
      </w:tr>
      <w:tr w:rsidR="007849A5" w:rsidRPr="00CF0A69" w14:paraId="703E648A" w14:textId="77777777" w:rsidTr="006961DF">
        <w:trPr>
          <w:trHeight w:val="70"/>
        </w:trPr>
        <w:tc>
          <w:tcPr>
            <w:tcW w:w="3992" w:type="dxa"/>
            <w:tcBorders>
              <w:top w:val="single" w:sz="4" w:space="0" w:color="auto"/>
              <w:left w:val="single" w:sz="4" w:space="0" w:color="auto"/>
              <w:bottom w:val="single" w:sz="4" w:space="0" w:color="auto"/>
              <w:right w:val="single" w:sz="4" w:space="0" w:color="auto"/>
            </w:tcBorders>
            <w:vAlign w:val="center"/>
          </w:tcPr>
          <w:p w14:paraId="507B8146" w14:textId="1B233DF2" w:rsidR="007849A5" w:rsidRPr="00CF0A69" w:rsidRDefault="007849A5" w:rsidP="00BF34B1">
            <w:pPr>
              <w:pStyle w:val="TableText"/>
              <w:keepNext w:val="0"/>
              <w:widowControl w:val="0"/>
            </w:pPr>
            <w:r>
              <w:t xml:space="preserve">Change </w:t>
            </w:r>
            <w:r w:rsidR="006D7786">
              <w:t xml:space="preserve">LDL-C </w:t>
            </w:r>
            <w:r>
              <w:t>mmol/L, mean (SE), Week 48</w:t>
            </w:r>
          </w:p>
        </w:tc>
        <w:tc>
          <w:tcPr>
            <w:tcW w:w="1284" w:type="dxa"/>
            <w:tcBorders>
              <w:top w:val="single" w:sz="4" w:space="0" w:color="auto"/>
              <w:left w:val="single" w:sz="4" w:space="0" w:color="auto"/>
              <w:bottom w:val="single" w:sz="4" w:space="0" w:color="auto"/>
              <w:right w:val="single" w:sz="4" w:space="0" w:color="auto"/>
            </w:tcBorders>
            <w:vAlign w:val="center"/>
          </w:tcPr>
          <w:p w14:paraId="2D1B328C" w14:textId="77777777" w:rsidR="007849A5" w:rsidRPr="00CF0A69" w:rsidRDefault="007849A5" w:rsidP="00BF34B1">
            <w:pPr>
              <w:pStyle w:val="TableText"/>
              <w:keepNext w:val="0"/>
              <w:widowControl w:val="0"/>
              <w:jc w:val="center"/>
            </w:pPr>
            <w:r>
              <w:t>-2.03 (0.021)</w:t>
            </w:r>
          </w:p>
        </w:tc>
        <w:tc>
          <w:tcPr>
            <w:tcW w:w="1284" w:type="dxa"/>
            <w:tcBorders>
              <w:top w:val="single" w:sz="4" w:space="0" w:color="auto"/>
              <w:left w:val="single" w:sz="4" w:space="0" w:color="auto"/>
              <w:bottom w:val="single" w:sz="4" w:space="0" w:color="auto"/>
              <w:right w:val="single" w:sz="4" w:space="0" w:color="auto"/>
            </w:tcBorders>
            <w:vAlign w:val="center"/>
          </w:tcPr>
          <w:p w14:paraId="076EEFB7" w14:textId="77777777" w:rsidR="007849A5" w:rsidRPr="00CF0A69" w:rsidRDefault="007849A5" w:rsidP="00BF34B1">
            <w:pPr>
              <w:pStyle w:val="TableText"/>
              <w:keepNext w:val="0"/>
              <w:widowControl w:val="0"/>
              <w:jc w:val="center"/>
            </w:pPr>
            <w:r>
              <w:t>-0.28 (0.016)</w:t>
            </w:r>
          </w:p>
        </w:tc>
        <w:tc>
          <w:tcPr>
            <w:tcW w:w="1237" w:type="dxa"/>
            <w:vMerge/>
            <w:tcBorders>
              <w:left w:val="single" w:sz="4" w:space="0" w:color="auto"/>
              <w:right w:val="single" w:sz="4" w:space="0" w:color="auto"/>
            </w:tcBorders>
            <w:vAlign w:val="center"/>
          </w:tcPr>
          <w:p w14:paraId="45EF0490" w14:textId="77777777" w:rsidR="007849A5" w:rsidRPr="00CF0A69" w:rsidRDefault="007849A5" w:rsidP="00BF34B1">
            <w:pPr>
              <w:pStyle w:val="TableText"/>
              <w:keepNext w:val="0"/>
              <w:widowControl w:val="0"/>
              <w:jc w:val="center"/>
            </w:pPr>
          </w:p>
        </w:tc>
        <w:tc>
          <w:tcPr>
            <w:tcW w:w="1220" w:type="dxa"/>
            <w:vMerge/>
            <w:tcBorders>
              <w:left w:val="single" w:sz="4" w:space="0" w:color="auto"/>
              <w:right w:val="single" w:sz="4" w:space="0" w:color="auto"/>
            </w:tcBorders>
            <w:vAlign w:val="center"/>
          </w:tcPr>
          <w:p w14:paraId="7D8EF448" w14:textId="77777777" w:rsidR="007849A5" w:rsidRPr="00CF0A69" w:rsidRDefault="007849A5" w:rsidP="00BF34B1">
            <w:pPr>
              <w:pStyle w:val="TableText"/>
              <w:keepNext w:val="0"/>
              <w:widowControl w:val="0"/>
              <w:jc w:val="center"/>
            </w:pPr>
          </w:p>
        </w:tc>
      </w:tr>
      <w:tr w:rsidR="007849A5" w:rsidRPr="00CF0A69" w14:paraId="0C65125E" w14:textId="77777777" w:rsidTr="006961DF">
        <w:trPr>
          <w:trHeight w:val="70"/>
        </w:trPr>
        <w:tc>
          <w:tcPr>
            <w:tcW w:w="3992" w:type="dxa"/>
            <w:tcBorders>
              <w:top w:val="single" w:sz="4" w:space="0" w:color="auto"/>
              <w:left w:val="single" w:sz="4" w:space="0" w:color="auto"/>
              <w:bottom w:val="single" w:sz="4" w:space="0" w:color="auto"/>
              <w:right w:val="single" w:sz="4" w:space="0" w:color="auto"/>
            </w:tcBorders>
            <w:vAlign w:val="center"/>
          </w:tcPr>
          <w:p w14:paraId="24A4020A" w14:textId="320C318D" w:rsidR="007849A5" w:rsidRPr="00CF0A69" w:rsidRDefault="007849A5" w:rsidP="00BF34B1">
            <w:pPr>
              <w:pStyle w:val="TableText"/>
              <w:keepNext w:val="0"/>
              <w:widowControl w:val="0"/>
            </w:pPr>
            <w:r>
              <w:t xml:space="preserve">Change </w:t>
            </w:r>
            <w:r w:rsidR="006D7786">
              <w:t xml:space="preserve">LDL-C </w:t>
            </w:r>
            <w:r>
              <w:t>% reduction, mean (SE), Week 48</w:t>
            </w:r>
          </w:p>
        </w:tc>
        <w:tc>
          <w:tcPr>
            <w:tcW w:w="1284" w:type="dxa"/>
            <w:tcBorders>
              <w:top w:val="single" w:sz="4" w:space="0" w:color="auto"/>
              <w:left w:val="single" w:sz="4" w:space="0" w:color="auto"/>
              <w:bottom w:val="single" w:sz="4" w:space="0" w:color="auto"/>
              <w:right w:val="single" w:sz="4" w:space="0" w:color="auto"/>
            </w:tcBorders>
            <w:vAlign w:val="center"/>
          </w:tcPr>
          <w:p w14:paraId="42EEEF82" w14:textId="77777777" w:rsidR="007849A5" w:rsidRPr="00CF0A69" w:rsidRDefault="007849A5" w:rsidP="00BF34B1">
            <w:pPr>
              <w:pStyle w:val="TableText"/>
              <w:keepNext w:val="0"/>
              <w:widowControl w:val="0"/>
              <w:jc w:val="center"/>
            </w:pPr>
            <w:r>
              <w:t>-58.45 (0.54)</w:t>
            </w:r>
          </w:p>
        </w:tc>
        <w:tc>
          <w:tcPr>
            <w:tcW w:w="1284" w:type="dxa"/>
            <w:tcBorders>
              <w:top w:val="single" w:sz="4" w:space="0" w:color="auto"/>
              <w:left w:val="single" w:sz="4" w:space="0" w:color="auto"/>
              <w:bottom w:val="single" w:sz="4" w:space="0" w:color="auto"/>
              <w:right w:val="single" w:sz="4" w:space="0" w:color="auto"/>
            </w:tcBorders>
            <w:vAlign w:val="center"/>
          </w:tcPr>
          <w:p w14:paraId="636718B4" w14:textId="77777777" w:rsidR="007849A5" w:rsidRPr="00CF0A69" w:rsidRDefault="007849A5" w:rsidP="00BF34B1">
            <w:pPr>
              <w:pStyle w:val="TableText"/>
              <w:keepNext w:val="0"/>
              <w:widowControl w:val="0"/>
              <w:jc w:val="center"/>
            </w:pPr>
            <w:r>
              <w:t>-7.52 (0.47)</w:t>
            </w:r>
          </w:p>
        </w:tc>
        <w:tc>
          <w:tcPr>
            <w:tcW w:w="1237" w:type="dxa"/>
            <w:vMerge/>
            <w:tcBorders>
              <w:left w:val="single" w:sz="4" w:space="0" w:color="auto"/>
              <w:bottom w:val="single" w:sz="4" w:space="0" w:color="auto"/>
              <w:right w:val="single" w:sz="4" w:space="0" w:color="auto"/>
            </w:tcBorders>
            <w:vAlign w:val="center"/>
          </w:tcPr>
          <w:p w14:paraId="052BA05D" w14:textId="77777777" w:rsidR="007849A5" w:rsidRPr="00CF0A69" w:rsidRDefault="007849A5" w:rsidP="00BF34B1">
            <w:pPr>
              <w:pStyle w:val="TableText"/>
              <w:keepNext w:val="0"/>
              <w:widowControl w:val="0"/>
              <w:jc w:val="center"/>
            </w:pPr>
          </w:p>
        </w:tc>
        <w:tc>
          <w:tcPr>
            <w:tcW w:w="1220" w:type="dxa"/>
            <w:vMerge/>
            <w:tcBorders>
              <w:left w:val="single" w:sz="4" w:space="0" w:color="auto"/>
              <w:bottom w:val="single" w:sz="4" w:space="0" w:color="auto"/>
              <w:right w:val="single" w:sz="4" w:space="0" w:color="auto"/>
            </w:tcBorders>
            <w:vAlign w:val="center"/>
          </w:tcPr>
          <w:p w14:paraId="75B3C3A2" w14:textId="77777777" w:rsidR="007849A5" w:rsidRPr="00CF0A69" w:rsidRDefault="007849A5" w:rsidP="00BF34B1">
            <w:pPr>
              <w:pStyle w:val="TableText"/>
              <w:keepNext w:val="0"/>
              <w:widowControl w:val="0"/>
              <w:jc w:val="center"/>
            </w:pPr>
          </w:p>
        </w:tc>
      </w:tr>
    </w:tbl>
    <w:p w14:paraId="1C7E6503" w14:textId="58DC885A" w:rsidR="007849A5" w:rsidRDefault="007849A5" w:rsidP="00293F12">
      <w:pPr>
        <w:pStyle w:val="TableFigureFooter"/>
      </w:pPr>
      <w:r>
        <w:t xml:space="preserve">Source: </w:t>
      </w:r>
      <w:r w:rsidR="00E6673E">
        <w:t>Figures 1.3-4 and 1.3-5</w:t>
      </w:r>
      <w:r w:rsidR="00E6673E" w:rsidRPr="00EF4D2E">
        <w:t>, Appendix 3 of the submission</w:t>
      </w:r>
      <w:r>
        <w:t>, Table 14-4.18.15 (p</w:t>
      </w:r>
      <w:r w:rsidR="0030049C">
        <w:t>p</w:t>
      </w:r>
      <w:r>
        <w:t>1045-1075) of the FOURIER trial report</w:t>
      </w:r>
    </w:p>
    <w:p w14:paraId="37F5D4CB" w14:textId="12F3719B" w:rsidR="007849A5" w:rsidRDefault="007849A5" w:rsidP="00293F12">
      <w:pPr>
        <w:pStyle w:val="TableFigureFooter"/>
      </w:pPr>
      <w:r>
        <w:t xml:space="preserve">Abbreviations: CI, confidence interval; </w:t>
      </w:r>
      <w:r w:rsidR="00E810B6">
        <w:t xml:space="preserve">CV, cardiovascular; </w:t>
      </w:r>
      <w:r>
        <w:t>HR, hazard ratio; LDL, low density lipoprotein cholesterol; SE, standard error</w:t>
      </w:r>
    </w:p>
    <w:p w14:paraId="0CC9E288" w14:textId="752B670D" w:rsidR="0062068E" w:rsidRPr="0062068E" w:rsidRDefault="0062068E" w:rsidP="00293F12">
      <w:pPr>
        <w:pStyle w:val="TableFigureFooter"/>
      </w:pPr>
      <w:r>
        <w:rPr>
          <w:b/>
          <w:bCs/>
        </w:rPr>
        <w:t>Bold</w:t>
      </w:r>
      <w:r>
        <w:t xml:space="preserve"> indicates statistically significant results</w:t>
      </w:r>
    </w:p>
    <w:p w14:paraId="6CF14C21" w14:textId="77777777" w:rsidR="007849A5" w:rsidRDefault="007849A5" w:rsidP="00293F12">
      <w:pPr>
        <w:pStyle w:val="TableFigureFooter"/>
      </w:pPr>
      <w:r w:rsidRPr="00976FEF">
        <w:rPr>
          <w:vertAlign w:val="superscript"/>
        </w:rPr>
        <w:t>a</w:t>
      </w:r>
      <w:r>
        <w:t xml:space="preserve"> The primary outcome was the </w:t>
      </w:r>
      <w:r w:rsidRPr="008C2900">
        <w:t>time to cardiovascular death, myocardial infarction, stroke, hospitalisation for unstable angina, or coronary revascularisation</w:t>
      </w:r>
    </w:p>
    <w:p w14:paraId="00028CC5" w14:textId="393AF16F" w:rsidR="007849A5" w:rsidRDefault="00976FEF" w:rsidP="00293F12">
      <w:pPr>
        <w:pStyle w:val="TableFigureFooter"/>
      </w:pPr>
      <w:r>
        <w:rPr>
          <w:vertAlign w:val="superscript"/>
        </w:rPr>
        <w:t xml:space="preserve">b </w:t>
      </w:r>
      <w:r w:rsidR="007849A5">
        <w:t>The secondary outcome was the t</w:t>
      </w:r>
      <w:r w:rsidR="007849A5" w:rsidRPr="00511274">
        <w:t>ime to cardiovascular death, myocardial infarction, or stroke</w:t>
      </w:r>
    </w:p>
    <w:p w14:paraId="254D0079" w14:textId="77777777" w:rsidR="00985590" w:rsidRPr="008C2900" w:rsidRDefault="00985590" w:rsidP="00293F12">
      <w:pPr>
        <w:pStyle w:val="TableFigureFooter"/>
      </w:pPr>
    </w:p>
    <w:p w14:paraId="1452C351" w14:textId="0D19F1B0" w:rsidR="00B60939" w:rsidRPr="00C9624D" w:rsidRDefault="00B60939" w:rsidP="00D86231">
      <w:pPr>
        <w:pStyle w:val="3-SubsectionHeading"/>
      </w:pPr>
      <w:bookmarkStart w:id="26" w:name="_Toc22897642"/>
      <w:bookmarkStart w:id="27" w:name="_Toc103773798"/>
      <w:r w:rsidRPr="00C9624D">
        <w:t>Comparative harms</w:t>
      </w:r>
      <w:bookmarkEnd w:id="26"/>
      <w:bookmarkEnd w:id="27"/>
    </w:p>
    <w:p w14:paraId="422C2097" w14:textId="51422C07" w:rsidR="00D6572E" w:rsidRDefault="00D6572E" w:rsidP="00D6572E">
      <w:pPr>
        <w:pStyle w:val="ExecSumBodyText"/>
      </w:pPr>
      <w:r>
        <w:t xml:space="preserve">The overall incidence of adverse events in the FOURIER trial was similar in both the evolocumab and placebo treatment arms. The most frequently reported adverse events (&gt; 2% of patients) in both treatment arms were diabetes mellitus, nasopharyngitis, upper respiratory tract infection, back pain, arthralgia, urinary tract infection, bronchitis, myalgia, dizziness, influenza, diarrhoea, pneumonia, atrial </w:t>
      </w:r>
      <w:r w:rsidR="00A30447">
        <w:t>fibrillation,</w:t>
      </w:r>
      <w:r>
        <w:t xml:space="preserve"> and muscle spasms.</w:t>
      </w:r>
    </w:p>
    <w:p w14:paraId="31EB19B9" w14:textId="1D290F5E" w:rsidR="00D6572E" w:rsidRDefault="006961DF" w:rsidP="00D6572E">
      <w:pPr>
        <w:pStyle w:val="ExecSumBodyText"/>
      </w:pPr>
      <w:r>
        <w:t>Regarding</w:t>
      </w:r>
      <w:r w:rsidR="00D6572E">
        <w:t xml:space="preserve"> adverse events of special interest, treatment with evolocumab was associated with a higher incidence of mild to moderate hypersensitivity reactions and injection site reactions. </w:t>
      </w:r>
    </w:p>
    <w:p w14:paraId="23469205" w14:textId="77777777" w:rsidR="00D6572E" w:rsidRPr="00EA6620" w:rsidRDefault="00D6572E" w:rsidP="00D6572E">
      <w:pPr>
        <w:pStyle w:val="ExecSumBodyText"/>
      </w:pPr>
      <w:r>
        <w:t>The development of anti-evolocumab antibodies was detected in a small number of patients. The presence of anti-evolocumab antibodies was not associated with a reduction in treatment efficacy or an increase in the incidence of adverse events.</w:t>
      </w:r>
    </w:p>
    <w:p w14:paraId="2DAF16D1" w14:textId="0AA6A68E" w:rsidR="007F480B" w:rsidRDefault="00D6572E" w:rsidP="007F480B">
      <w:pPr>
        <w:pStyle w:val="ExecSumBodyText"/>
      </w:pPr>
      <w:r w:rsidRPr="00EA6620">
        <w:t>No new safety concerns were identified</w:t>
      </w:r>
      <w:r>
        <w:t xml:space="preserve"> in the most recent </w:t>
      </w:r>
      <w:r w:rsidRPr="00EA6620">
        <w:t xml:space="preserve">Periodic Safety Update Report for evolocumab covering the period from </w:t>
      </w:r>
      <w:r>
        <w:t>July 2020 to July 2021.</w:t>
      </w:r>
      <w:r w:rsidRPr="00D86231">
        <w:rPr>
          <w:color w:val="0066FF"/>
        </w:rPr>
        <w:t xml:space="preserve"> </w:t>
      </w:r>
    </w:p>
    <w:p w14:paraId="04908C7F" w14:textId="55DE6B80" w:rsidR="007F1017" w:rsidRPr="00C9624D" w:rsidRDefault="007F1017" w:rsidP="00D86231">
      <w:pPr>
        <w:pStyle w:val="3-SubsectionHeading"/>
      </w:pPr>
      <w:bookmarkStart w:id="28" w:name="_Toc22897643"/>
      <w:bookmarkStart w:id="29" w:name="_Toc103773799"/>
      <w:r w:rsidRPr="00C9624D">
        <w:lastRenderedPageBreak/>
        <w:t>Benefits/harms</w:t>
      </w:r>
      <w:bookmarkEnd w:id="28"/>
      <w:bookmarkEnd w:id="29"/>
    </w:p>
    <w:p w14:paraId="0DEE168E" w14:textId="02A1F6F6" w:rsidR="00606D47" w:rsidRDefault="00606D47" w:rsidP="00214178">
      <w:pPr>
        <w:pStyle w:val="ListParagraph"/>
        <w:widowControl/>
        <w:numPr>
          <w:ilvl w:val="1"/>
          <w:numId w:val="1"/>
        </w:numPr>
        <w:spacing w:after="0"/>
      </w:pPr>
      <w:r>
        <w:t>On the basis of direct evidence presented in the submission, for every 1</w:t>
      </w:r>
      <w:r w:rsidR="0030049C">
        <w:t>,</w:t>
      </w:r>
      <w:r>
        <w:t>000 hypercholesterolemia patients with atherosclerotic disease and additional risk factors</w:t>
      </w:r>
      <w:r w:rsidR="00214178">
        <w:t xml:space="preserve"> with LDL-C </w:t>
      </w:r>
      <w:r w:rsidR="00214178">
        <w:rPr>
          <w:rFonts w:cs="Calibri"/>
        </w:rPr>
        <w:t>≥</w:t>
      </w:r>
      <w:r w:rsidR="00214178">
        <w:t xml:space="preserve"> 1.8 mmol/L</w:t>
      </w:r>
      <w:r>
        <w:t xml:space="preserve"> who are treated with evolocumab </w:t>
      </w:r>
      <w:r w:rsidR="008947E8">
        <w:t>plus</w:t>
      </w:r>
      <w:r w:rsidR="008947E8" w:rsidRPr="00A22E06">
        <w:t xml:space="preserve"> </w:t>
      </w:r>
      <w:bookmarkStart w:id="30" w:name="_Hlk105678223"/>
      <w:r w:rsidR="008947E8">
        <w:t xml:space="preserve">optimal care with </w:t>
      </w:r>
      <w:bookmarkEnd w:id="30"/>
      <w:r w:rsidR="00D57F16">
        <w:t xml:space="preserve">statins </w:t>
      </w:r>
      <w:r w:rsidR="00A94E90">
        <w:t>and</w:t>
      </w:r>
      <w:r w:rsidR="00D57F16">
        <w:t xml:space="preserve"> ezetimibe </w:t>
      </w:r>
      <w:r>
        <w:t xml:space="preserve">in comparison to </w:t>
      </w:r>
      <w:r w:rsidR="00D57F16">
        <w:t>‘</w:t>
      </w:r>
      <w:r>
        <w:t>placebo</w:t>
      </w:r>
      <w:r w:rsidR="00D57F16">
        <w:t>’</w:t>
      </w:r>
      <w:r>
        <w:t xml:space="preserve"> </w:t>
      </w:r>
      <w:r w:rsidR="008947E8">
        <w:t xml:space="preserve">plus optimal care with </w:t>
      </w:r>
      <w:r w:rsidR="00D57F16">
        <w:t xml:space="preserve">statins </w:t>
      </w:r>
      <w:r w:rsidR="00A94E90">
        <w:t xml:space="preserve">and </w:t>
      </w:r>
      <w:r w:rsidR="00D57F16">
        <w:t xml:space="preserve">ezetimibe </w:t>
      </w:r>
      <w:r>
        <w:t>would result in:</w:t>
      </w:r>
    </w:p>
    <w:p w14:paraId="01E3F9AA" w14:textId="45D13B28" w:rsidR="00606D47" w:rsidRDefault="00606D47" w:rsidP="000E27D0">
      <w:pPr>
        <w:pStyle w:val="ListParagraph"/>
        <w:widowControl/>
        <w:numPr>
          <w:ilvl w:val="0"/>
          <w:numId w:val="18"/>
        </w:numPr>
        <w:spacing w:after="0"/>
        <w:ind w:left="1077" w:hanging="357"/>
      </w:pPr>
      <w:r w:rsidRPr="003957D0">
        <w:t xml:space="preserve">Approximately </w:t>
      </w:r>
      <w:r w:rsidR="00F721B1">
        <w:t xml:space="preserve">60% lower LDL-C levels over a mean duration </w:t>
      </w:r>
      <w:r w:rsidR="00BD2661">
        <w:t>of 2 years</w:t>
      </w:r>
      <w:r w:rsidRPr="003957D0">
        <w:t>.</w:t>
      </w:r>
    </w:p>
    <w:p w14:paraId="21EDAB74" w14:textId="77777777" w:rsidR="00606D47" w:rsidRDefault="00606D47" w:rsidP="000E27D0">
      <w:pPr>
        <w:pStyle w:val="ListParagraph"/>
        <w:widowControl/>
        <w:numPr>
          <w:ilvl w:val="0"/>
          <w:numId w:val="17"/>
        </w:numPr>
        <w:spacing w:after="0"/>
        <w:ind w:left="1077" w:hanging="357"/>
      </w:pPr>
      <w:r>
        <w:t>Approximately 12 fewer patients with myocardial infarction over a mean duration of 2 years.</w:t>
      </w:r>
    </w:p>
    <w:p w14:paraId="35D73991" w14:textId="2B59F3FD" w:rsidR="00606D47" w:rsidRDefault="00606D47" w:rsidP="000E27D0">
      <w:pPr>
        <w:pStyle w:val="ListParagraph"/>
        <w:widowControl/>
        <w:numPr>
          <w:ilvl w:val="0"/>
          <w:numId w:val="17"/>
        </w:numPr>
        <w:spacing w:after="0"/>
        <w:ind w:left="1077" w:hanging="357"/>
      </w:pPr>
      <w:r>
        <w:t>Approximately 4 fewer patients with ischaemic stroke over a mean duration of 2</w:t>
      </w:r>
      <w:r w:rsidR="00443406">
        <w:t> </w:t>
      </w:r>
      <w:r>
        <w:t>years.</w:t>
      </w:r>
    </w:p>
    <w:p w14:paraId="1CC8318A" w14:textId="77777777" w:rsidR="00606D47" w:rsidRDefault="00606D47" w:rsidP="000E27D0">
      <w:pPr>
        <w:pStyle w:val="ListParagraph"/>
        <w:widowControl/>
        <w:numPr>
          <w:ilvl w:val="0"/>
          <w:numId w:val="17"/>
        </w:numPr>
        <w:spacing w:after="0"/>
        <w:ind w:left="1077" w:hanging="357"/>
      </w:pPr>
      <w:r>
        <w:t>Approximately 15 fewer patients with coronary revascularisation over a mean duration of 2 years.</w:t>
      </w:r>
    </w:p>
    <w:p w14:paraId="47214802" w14:textId="77777777" w:rsidR="00606D47" w:rsidRDefault="00606D47" w:rsidP="000E27D0">
      <w:pPr>
        <w:pStyle w:val="ListParagraph"/>
        <w:widowControl/>
        <w:numPr>
          <w:ilvl w:val="0"/>
          <w:numId w:val="17"/>
        </w:numPr>
        <w:spacing w:after="0"/>
        <w:ind w:left="1077" w:hanging="357"/>
      </w:pPr>
      <w:r>
        <w:t>No apparent difference in cardiovascular death over a mean duration of 2 years.</w:t>
      </w:r>
    </w:p>
    <w:p w14:paraId="7B03A4BB" w14:textId="77777777" w:rsidR="00214178" w:rsidRDefault="00606D47" w:rsidP="000E27D0">
      <w:pPr>
        <w:pStyle w:val="ListParagraph"/>
        <w:widowControl/>
        <w:numPr>
          <w:ilvl w:val="0"/>
          <w:numId w:val="17"/>
        </w:numPr>
        <w:spacing w:after="120"/>
        <w:ind w:left="1077" w:hanging="357"/>
      </w:pPr>
      <w:r>
        <w:t>No apparent difference in adverse events over a mean duration of 2 years.</w:t>
      </w:r>
    </w:p>
    <w:p w14:paraId="3B653B96" w14:textId="4C86971B" w:rsidR="00FC1884" w:rsidRPr="00FF4735" w:rsidRDefault="00214178" w:rsidP="00214178">
      <w:pPr>
        <w:pStyle w:val="ListParagraph"/>
        <w:widowControl/>
        <w:numPr>
          <w:ilvl w:val="1"/>
          <w:numId w:val="1"/>
        </w:numPr>
        <w:spacing w:after="0"/>
        <w:rPr>
          <w:iCs/>
        </w:rPr>
      </w:pPr>
      <w:r w:rsidRPr="00FF4735">
        <w:rPr>
          <w:iCs/>
        </w:rPr>
        <w:t xml:space="preserve">No data were presented </w:t>
      </w:r>
      <w:r w:rsidR="00927A7E" w:rsidRPr="00FF4735">
        <w:rPr>
          <w:iCs/>
        </w:rPr>
        <w:t xml:space="preserve">specifically </w:t>
      </w:r>
      <w:r w:rsidRPr="00FF4735">
        <w:rPr>
          <w:iCs/>
        </w:rPr>
        <w:t>for the subgroup of patients with LDL-C between 1.8 and 2.6 mmol/L</w:t>
      </w:r>
      <w:r w:rsidR="00927A7E" w:rsidRPr="00FF4735">
        <w:rPr>
          <w:iCs/>
        </w:rPr>
        <w:t>.</w:t>
      </w:r>
    </w:p>
    <w:p w14:paraId="7A1772B6" w14:textId="23BB3145" w:rsidR="00B60939" w:rsidRPr="00C9624D" w:rsidRDefault="00B60939" w:rsidP="00E9094A">
      <w:pPr>
        <w:pStyle w:val="3-SubsectionHeading"/>
      </w:pPr>
      <w:bookmarkStart w:id="31" w:name="_Toc22897644"/>
      <w:bookmarkStart w:id="32" w:name="_Toc103773800"/>
      <w:r w:rsidRPr="00C9624D">
        <w:t>Clinical claim</w:t>
      </w:r>
      <w:bookmarkEnd w:id="31"/>
      <w:bookmarkEnd w:id="32"/>
    </w:p>
    <w:p w14:paraId="7F613CD1" w14:textId="7F41A85E" w:rsidR="005F7588" w:rsidRPr="000F4B43" w:rsidRDefault="000D704E" w:rsidP="00BF34B1">
      <w:pPr>
        <w:pStyle w:val="ExecSumBodyText"/>
        <w:rPr>
          <w:rFonts w:eastAsia="Calibri"/>
        </w:rPr>
      </w:pPr>
      <w:r w:rsidRPr="00A8543C">
        <w:t xml:space="preserve">The submission claimed that evolocumab </w:t>
      </w:r>
      <w:r w:rsidR="00CB7518" w:rsidRPr="001F281D">
        <w:rPr>
          <w:iCs/>
        </w:rPr>
        <w:t>(plus optimised background treatment)</w:t>
      </w:r>
      <w:r w:rsidR="00CB7518">
        <w:t xml:space="preserve"> </w:t>
      </w:r>
      <w:r w:rsidRPr="00A8543C">
        <w:t xml:space="preserve">is superior to </w:t>
      </w:r>
      <w:r w:rsidR="00D57F16">
        <w:t>‘</w:t>
      </w:r>
      <w:r w:rsidRPr="00A8543C">
        <w:t>placebo</w:t>
      </w:r>
      <w:r w:rsidR="00D57F16">
        <w:t>’</w:t>
      </w:r>
      <w:r w:rsidR="00A94E90">
        <w:t xml:space="preserve"> </w:t>
      </w:r>
      <w:r w:rsidR="00A94E90" w:rsidRPr="001F281D">
        <w:rPr>
          <w:iCs/>
        </w:rPr>
        <w:t>(optimised background treatment)</w:t>
      </w:r>
      <w:r w:rsidR="00A94E90">
        <w:t xml:space="preserve"> </w:t>
      </w:r>
      <w:r w:rsidRPr="00A8543C">
        <w:t xml:space="preserve">in terms of comparative efficacy and similar in terms of comparative safety in patients with familial hypercholesterolaemia or non-familial hypercholesterolaemia with ASCVD and risk factors, who have LDL-C levels between 1.8 and 2.6 mmol/L. </w:t>
      </w:r>
      <w:r w:rsidRPr="00FF4735">
        <w:rPr>
          <w:iCs/>
        </w:rPr>
        <w:t xml:space="preserve">This claim was previously accepted as reasonable by the PBAC for the patient population with LDL-C levels above 2.6 mmol/L, based on the same clinical data. </w:t>
      </w:r>
      <w:r w:rsidR="00A94E90" w:rsidRPr="001F281D">
        <w:t xml:space="preserve">The ESC noted that the same proportional benefit was expected to be achieved across different LDL-C percentile ranges </w:t>
      </w:r>
      <w:r w:rsidR="00A94E90" w:rsidRPr="001F281D">
        <w:rPr>
          <w:iCs/>
        </w:rPr>
        <w:t xml:space="preserve">(see </w:t>
      </w:r>
      <w:r w:rsidR="00A94E90" w:rsidRPr="001F281D">
        <w:rPr>
          <w:iCs/>
        </w:rPr>
        <w:fldChar w:fldCharType="begin"/>
      </w:r>
      <w:r w:rsidR="00A94E90" w:rsidRPr="001F281D">
        <w:rPr>
          <w:iCs/>
        </w:rPr>
        <w:instrText xml:space="preserve"> REF _Ref100829500 \h  \* MERGEFORMAT </w:instrText>
      </w:r>
      <w:r w:rsidR="00A94E90" w:rsidRPr="001F281D">
        <w:rPr>
          <w:iCs/>
        </w:rPr>
      </w:r>
      <w:r w:rsidR="00A94E90" w:rsidRPr="001F281D">
        <w:rPr>
          <w:iCs/>
        </w:rPr>
        <w:fldChar w:fldCharType="separate"/>
      </w:r>
      <w:r w:rsidR="00EB7F7C" w:rsidRPr="00EB7F7C">
        <w:rPr>
          <w:iCs/>
        </w:rPr>
        <w:t xml:space="preserve">Table </w:t>
      </w:r>
      <w:r w:rsidR="00EB7F7C" w:rsidRPr="00EB7F7C">
        <w:rPr>
          <w:iCs/>
          <w:noProof/>
        </w:rPr>
        <w:t>8</w:t>
      </w:r>
      <w:r w:rsidR="00A94E90" w:rsidRPr="001F281D">
        <w:rPr>
          <w:iCs/>
        </w:rPr>
        <w:fldChar w:fldCharType="end"/>
      </w:r>
      <w:r w:rsidR="00A94E90" w:rsidRPr="001F281D">
        <w:rPr>
          <w:iCs/>
        </w:rPr>
        <w:t xml:space="preserve"> above), </w:t>
      </w:r>
      <w:r w:rsidR="00936598" w:rsidRPr="001F281D">
        <w:rPr>
          <w:iCs/>
        </w:rPr>
        <w:t xml:space="preserve">with lower </w:t>
      </w:r>
      <w:r w:rsidR="00A94E90" w:rsidRPr="001F281D">
        <w:rPr>
          <w:iCs/>
        </w:rPr>
        <w:t xml:space="preserve">absolute treatment benefit expected </w:t>
      </w:r>
      <w:r w:rsidR="00936598" w:rsidRPr="001F281D">
        <w:rPr>
          <w:iCs/>
        </w:rPr>
        <w:t xml:space="preserve">due to lower baseline risk in </w:t>
      </w:r>
      <w:r w:rsidR="00A94E90" w:rsidRPr="001F281D">
        <w:rPr>
          <w:iCs/>
        </w:rPr>
        <w:t>the proposed additional</w:t>
      </w:r>
      <w:r w:rsidR="00A94E90" w:rsidRPr="001F281D">
        <w:t xml:space="preserve"> patient group.   </w:t>
      </w:r>
    </w:p>
    <w:p w14:paraId="33843017" w14:textId="77777777" w:rsidR="00D95911" w:rsidRPr="00D95911" w:rsidRDefault="00D95911" w:rsidP="00D95911">
      <w:pPr>
        <w:pStyle w:val="ExecSumBodyText"/>
      </w:pPr>
      <w:bookmarkStart w:id="33" w:name="_Hlk76376200"/>
      <w:bookmarkStart w:id="34" w:name="_Toc22897645"/>
      <w:bookmarkStart w:id="35" w:name="_Toc103773801"/>
      <w:r w:rsidRPr="00D95911">
        <w:rPr>
          <w:iCs/>
        </w:rPr>
        <w:t>The</w:t>
      </w:r>
      <w:r w:rsidRPr="00D95911">
        <w:t xml:space="preserve"> PBAC considered that the claim of superior comparative effectiveness was reasonable.</w:t>
      </w:r>
    </w:p>
    <w:p w14:paraId="7135A7A9" w14:textId="77777777" w:rsidR="00D95911" w:rsidRPr="00D95911" w:rsidRDefault="00D95911" w:rsidP="00D95911">
      <w:pPr>
        <w:pStyle w:val="ExecSumBodyText"/>
      </w:pPr>
      <w:r w:rsidRPr="00D95911">
        <w:t>The PBAC considered that the claim of similar comparative safety was reasonable.</w:t>
      </w:r>
    </w:p>
    <w:bookmarkEnd w:id="33"/>
    <w:p w14:paraId="74A1172E" w14:textId="3F74B0EC" w:rsidR="00B60939" w:rsidRPr="00C9624D" w:rsidRDefault="00B60939" w:rsidP="00E9094A">
      <w:pPr>
        <w:pStyle w:val="3-SubsectionHeading"/>
      </w:pPr>
      <w:r w:rsidRPr="00C9624D">
        <w:t>Economic analysis</w:t>
      </w:r>
      <w:bookmarkEnd w:id="34"/>
      <w:bookmarkEnd w:id="35"/>
      <w:r w:rsidR="00491B3A" w:rsidRPr="00C9624D">
        <w:t xml:space="preserve"> </w:t>
      </w:r>
    </w:p>
    <w:p w14:paraId="641C4A90" w14:textId="28D64FB9" w:rsidR="00927A7E" w:rsidRDefault="00F23049" w:rsidP="00F23049">
      <w:pPr>
        <w:pStyle w:val="ExecSumBodyText"/>
      </w:pPr>
      <w:r w:rsidRPr="00B573C3">
        <w:t xml:space="preserve">The submission presented </w:t>
      </w:r>
      <w:bookmarkStart w:id="36" w:name="_Hlk109301243"/>
      <w:r w:rsidRPr="00B573C3">
        <w:t>a stepped economic evaluation of evolocumab for the treatment of non-familial hypercholesterolaemia</w:t>
      </w:r>
      <w:r>
        <w:t xml:space="preserve"> patients</w:t>
      </w:r>
      <w:r w:rsidRPr="00B573C3">
        <w:t xml:space="preserve"> with atherosclerotic disease</w:t>
      </w:r>
      <w:r>
        <w:t xml:space="preserve"> and additional risk factors</w:t>
      </w:r>
      <w:r w:rsidR="00CC3535">
        <w:t xml:space="preserve">, who have an </w:t>
      </w:r>
      <w:r w:rsidR="006D7786">
        <w:t xml:space="preserve">LDL-C </w:t>
      </w:r>
      <w:r w:rsidR="00CC3535">
        <w:t>level between 1.8 and 2.6</w:t>
      </w:r>
      <w:r w:rsidR="001C3505">
        <w:t> </w:t>
      </w:r>
      <w:r w:rsidR="00CC3535">
        <w:t>mmol/L despite optimised treatment with statins and ezetimibe</w:t>
      </w:r>
      <w:r w:rsidRPr="00B573C3">
        <w:t xml:space="preserve">. </w:t>
      </w:r>
      <w:bookmarkEnd w:id="36"/>
      <w:r w:rsidRPr="00B573C3">
        <w:t>The economic evaluation was based on relative LDL reductions from the FOURIER trial and other modelled variables. The economic evaluation was presented as a cost-effectiveness/cost-utility analysis.</w:t>
      </w:r>
      <w:r w:rsidR="00F157AD">
        <w:t xml:space="preserve"> </w:t>
      </w:r>
    </w:p>
    <w:p w14:paraId="0D925F88" w14:textId="7D4EF2D2" w:rsidR="00F23049" w:rsidRDefault="00517AAF" w:rsidP="00F23049">
      <w:pPr>
        <w:pStyle w:val="ExecSumBodyText"/>
      </w:pPr>
      <w:r w:rsidRPr="00FF4735">
        <w:rPr>
          <w:iCs/>
        </w:rPr>
        <w:lastRenderedPageBreak/>
        <w:t xml:space="preserve">An economic evaluation of the expanded population in familial hypercholesterolaemia </w:t>
      </w:r>
      <w:r w:rsidR="005A7659" w:rsidRPr="00FF4735">
        <w:rPr>
          <w:iCs/>
        </w:rPr>
        <w:t>was not</w:t>
      </w:r>
      <w:r w:rsidRPr="00FF4735">
        <w:rPr>
          <w:iCs/>
        </w:rPr>
        <w:t xml:space="preserve"> presented, but the PBAC previously considered that, should evolocumab be considered cost-effective in the non-FH population, then the cost-effectiveness of evolocumab could be inferred for an expanded FH listing, at the same price as accepted for non-FH (</w:t>
      </w:r>
      <w:r w:rsidR="00D403DC" w:rsidRPr="00FF4735">
        <w:rPr>
          <w:iCs/>
        </w:rPr>
        <w:t>p</w:t>
      </w:r>
      <w:r w:rsidRPr="00FF4735">
        <w:rPr>
          <w:iCs/>
        </w:rPr>
        <w:t>ara 3.4, evolocumab PSD, November 2019 PBAC meeting).</w:t>
      </w:r>
    </w:p>
    <w:p w14:paraId="20881F7A" w14:textId="6DB95D96" w:rsidR="00BF0C0D" w:rsidRPr="00BF0C0D" w:rsidRDefault="00DE30C6" w:rsidP="00F23049">
      <w:pPr>
        <w:pStyle w:val="ExecSumBodyText"/>
        <w:rPr>
          <w:b/>
          <w:bCs/>
          <w:color w:val="0066FF"/>
          <w:lang w:val="en-US"/>
        </w:rPr>
      </w:pPr>
      <w:bookmarkStart w:id="37" w:name="_Ref109302785"/>
      <w:r>
        <w:t xml:space="preserve">The submission stated that the economic model was essentially unchanged from that presented with the July 2019 evolocumab submission for non-familial hypercholesterolaemia patients with atherosclerotic disease and additional risk factors as an add-on to existing therapies; </w:t>
      </w:r>
      <w:r w:rsidR="00D403DC">
        <w:t xml:space="preserve">this </w:t>
      </w:r>
      <w:r>
        <w:t>was later refined in the November 2019 evolocumab submission.</w:t>
      </w:r>
      <w:r w:rsidR="007F24B2">
        <w:t xml:space="preserve"> Between July 2019 and November 2019, the model was revised with</w:t>
      </w:r>
      <w:r w:rsidR="00D403DC">
        <w:t>:</w:t>
      </w:r>
      <w:r w:rsidR="007F24B2">
        <w:t xml:space="preserve"> a lower price</w:t>
      </w:r>
      <w:r w:rsidR="00D403DC">
        <w:t>;</w:t>
      </w:r>
      <w:r w:rsidR="007F24B2">
        <w:t xml:space="preserve"> a shorter time horizon (25 years versus 35</w:t>
      </w:r>
      <w:r w:rsidR="00D403DC">
        <w:t> </w:t>
      </w:r>
      <w:r w:rsidR="007F24B2">
        <w:t>years)</w:t>
      </w:r>
      <w:r w:rsidR="00D403DC">
        <w:t>;</w:t>
      </w:r>
      <w:r w:rsidR="007F24B2">
        <w:t xml:space="preserve"> a </w:t>
      </w:r>
      <w:r w:rsidR="00B45888">
        <w:t xml:space="preserve">modified </w:t>
      </w:r>
      <w:r w:rsidR="007F24B2">
        <w:t>cardiovascular mortality lag</w:t>
      </w:r>
      <w:r w:rsidR="00B45888">
        <w:t xml:space="preserve"> (</w:t>
      </w:r>
      <w:r w:rsidR="007F24B2">
        <w:t xml:space="preserve">3.6 years versus a lag of 2 years with linear adjustment for </w:t>
      </w:r>
      <w:r w:rsidR="00B45888">
        <w:t>2 years)</w:t>
      </w:r>
      <w:r w:rsidR="00D403DC">
        <w:t>;</w:t>
      </w:r>
      <w:r w:rsidR="00B45888">
        <w:t xml:space="preserve"> cardiovascular event rates and distribution of cardiovascular events based on FOURIER trial data rather than Swedish registry data; </w:t>
      </w:r>
      <w:r w:rsidR="008C32A9">
        <w:t>the</w:t>
      </w:r>
      <w:r w:rsidR="00B45888">
        <w:t xml:space="preserve"> introduction of a treatment discontinuation rate of 1% per cycle for the first </w:t>
      </w:r>
      <w:r w:rsidR="00D403DC">
        <w:t>4 </w:t>
      </w:r>
      <w:r w:rsidR="00B45888">
        <w:t>years</w:t>
      </w:r>
      <w:r w:rsidR="00C92827">
        <w:t>; and a correction to the magnitude of difference in baseline LDL-C between FOURIER and the proposed PBS population from 0.93 to 0.8 mmol/L</w:t>
      </w:r>
      <w:r w:rsidR="00B45888">
        <w:t xml:space="preserve"> (</w:t>
      </w:r>
      <w:r w:rsidR="00D403DC">
        <w:t>p</w:t>
      </w:r>
      <w:r w:rsidR="00B45888">
        <w:t xml:space="preserve">ara 6.48, evolocumab PSD, July 2019 PBAC meeting; </w:t>
      </w:r>
      <w:r w:rsidR="00D403DC">
        <w:t>p</w:t>
      </w:r>
      <w:r w:rsidR="00B45888">
        <w:t xml:space="preserve">ara 4.3, evolocumab </w:t>
      </w:r>
      <w:r w:rsidR="008E2532">
        <w:t>PSD</w:t>
      </w:r>
      <w:r w:rsidR="00B45888">
        <w:t>, November 2019 PBAC meeting).</w:t>
      </w:r>
      <w:bookmarkEnd w:id="37"/>
    </w:p>
    <w:p w14:paraId="3902E6AD" w14:textId="6805BFA6" w:rsidR="00D23EEF" w:rsidRDefault="00D23EEF" w:rsidP="00D23EEF">
      <w:pPr>
        <w:pStyle w:val="ExecSumBodyText"/>
      </w:pPr>
      <w:bookmarkStart w:id="38" w:name="_Ref109302787"/>
      <w:r>
        <w:t xml:space="preserve">The only changes between </w:t>
      </w:r>
      <w:r w:rsidR="004F4B87">
        <w:t xml:space="preserve">models </w:t>
      </w:r>
      <w:r>
        <w:t xml:space="preserve">presented in November 2019 and the current submission were: </w:t>
      </w:r>
      <w:bookmarkStart w:id="39" w:name="_Hlk109303712"/>
      <w:r>
        <w:t xml:space="preserve">a lower price for evolocumab, changed average baseline LDL-C level and the associated annual cardiovascular event rate of the additional population with lower LDL-C levels. </w:t>
      </w:r>
      <w:bookmarkEnd w:id="39"/>
      <w:r w:rsidRPr="005A29A6">
        <w:t>The steps applied in the model to move from the previously accepted population</w:t>
      </w:r>
      <w:r>
        <w:t xml:space="preserve"> in November 2019</w:t>
      </w:r>
      <w:r w:rsidRPr="005A29A6">
        <w:t xml:space="preserve"> to the proposed new population are outlined in </w:t>
      </w:r>
      <w:r w:rsidR="006F4A9F">
        <w:fldChar w:fldCharType="begin"/>
      </w:r>
      <w:r w:rsidR="006F4A9F">
        <w:instrText xml:space="preserve"> REF _Ref102472908 \h </w:instrText>
      </w:r>
      <w:r w:rsidR="006F4A9F">
        <w:fldChar w:fldCharType="separate"/>
      </w:r>
      <w:r w:rsidR="00EB7F7C" w:rsidRPr="000D32D4">
        <w:t>Table</w:t>
      </w:r>
      <w:r w:rsidR="00EB7F7C">
        <w:t xml:space="preserve"> </w:t>
      </w:r>
      <w:r w:rsidR="00EB7F7C">
        <w:rPr>
          <w:noProof/>
        </w:rPr>
        <w:t>9</w:t>
      </w:r>
      <w:r w:rsidR="006F4A9F">
        <w:fldChar w:fldCharType="end"/>
      </w:r>
      <w:r w:rsidR="006F4A9F">
        <w:t xml:space="preserve"> </w:t>
      </w:r>
      <w:r>
        <w:t>below</w:t>
      </w:r>
      <w:r w:rsidRPr="005A29A6">
        <w:t>.</w:t>
      </w:r>
      <w:bookmarkEnd w:id="38"/>
      <w:r w:rsidRPr="005A29A6">
        <w:t xml:space="preserve"> </w:t>
      </w:r>
    </w:p>
    <w:p w14:paraId="3BE38808" w14:textId="3F963C04" w:rsidR="00D23EEF" w:rsidRPr="000D32D4" w:rsidRDefault="00D23EEF" w:rsidP="00D403DC">
      <w:pPr>
        <w:pStyle w:val="TableFigureCaption"/>
        <w:keepLines/>
      </w:pPr>
      <w:bookmarkStart w:id="40" w:name="_Ref102472908"/>
      <w:r w:rsidRPr="000D32D4">
        <w:lastRenderedPageBreak/>
        <w:t>Table</w:t>
      </w:r>
      <w:r>
        <w:t xml:space="preserve"> </w:t>
      </w:r>
      <w:fldSimple w:instr=" SEQ Table \* ARABIC ">
        <w:r w:rsidR="00EB7F7C">
          <w:rPr>
            <w:noProof/>
          </w:rPr>
          <w:t>9</w:t>
        </w:r>
      </w:fldSimple>
      <w:bookmarkEnd w:id="40"/>
      <w:r w:rsidRPr="000D32D4">
        <w:t>: Key differences in economic analysis between November 2019 and July 2022 submissions</w:t>
      </w:r>
    </w:p>
    <w:tbl>
      <w:tblPr>
        <w:tblW w:w="497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9: Key differences in economic analysis between November 2019 and July 2022 submissions"/>
      </w:tblPr>
      <w:tblGrid>
        <w:gridCol w:w="2694"/>
        <w:gridCol w:w="3119"/>
        <w:gridCol w:w="3150"/>
      </w:tblGrid>
      <w:tr w:rsidR="00D23EEF" w:rsidRPr="00AA796C" w14:paraId="51E50D1E" w14:textId="77777777" w:rsidTr="00BF34B1">
        <w:trPr>
          <w:tblHeader/>
        </w:trPr>
        <w:tc>
          <w:tcPr>
            <w:tcW w:w="2694" w:type="dxa"/>
            <w:tcBorders>
              <w:top w:val="single" w:sz="4" w:space="0" w:color="auto"/>
              <w:left w:val="single" w:sz="4" w:space="0" w:color="auto"/>
              <w:bottom w:val="single" w:sz="4" w:space="0" w:color="auto"/>
              <w:right w:val="single" w:sz="4" w:space="0" w:color="auto"/>
            </w:tcBorders>
            <w:vAlign w:val="center"/>
          </w:tcPr>
          <w:p w14:paraId="22E66995" w14:textId="77777777" w:rsidR="00D23EEF" w:rsidRPr="00F63185" w:rsidRDefault="00D23EEF" w:rsidP="00D403DC">
            <w:pPr>
              <w:pStyle w:val="TableText"/>
              <w:keepLines/>
              <w:widowControl w:val="0"/>
              <w:rPr>
                <w:b/>
              </w:rPr>
            </w:pPr>
            <w:r w:rsidRPr="00F63185">
              <w:rPr>
                <w:b/>
              </w:rPr>
              <w:t>Variable</w:t>
            </w:r>
          </w:p>
        </w:tc>
        <w:tc>
          <w:tcPr>
            <w:tcW w:w="3119" w:type="dxa"/>
            <w:tcBorders>
              <w:top w:val="single" w:sz="4" w:space="0" w:color="auto"/>
              <w:left w:val="single" w:sz="4" w:space="0" w:color="auto"/>
              <w:bottom w:val="single" w:sz="4" w:space="0" w:color="auto"/>
              <w:right w:val="single" w:sz="4" w:space="0" w:color="auto"/>
            </w:tcBorders>
            <w:vAlign w:val="center"/>
          </w:tcPr>
          <w:p w14:paraId="7C6D4853" w14:textId="77777777" w:rsidR="00D23EEF" w:rsidRPr="00F63185" w:rsidRDefault="00D23EEF" w:rsidP="00D403DC">
            <w:pPr>
              <w:pStyle w:val="TableText"/>
              <w:keepLines/>
              <w:widowControl w:val="0"/>
              <w:jc w:val="center"/>
              <w:rPr>
                <w:b/>
              </w:rPr>
            </w:pPr>
            <w:r w:rsidRPr="00F63185">
              <w:rPr>
                <w:b/>
              </w:rPr>
              <w:t xml:space="preserve"> November 2019 submission</w:t>
            </w:r>
          </w:p>
        </w:tc>
        <w:tc>
          <w:tcPr>
            <w:tcW w:w="3150" w:type="dxa"/>
            <w:tcBorders>
              <w:top w:val="single" w:sz="4" w:space="0" w:color="auto"/>
              <w:left w:val="single" w:sz="4" w:space="0" w:color="auto"/>
              <w:bottom w:val="single" w:sz="4" w:space="0" w:color="auto"/>
              <w:right w:val="single" w:sz="4" w:space="0" w:color="auto"/>
            </w:tcBorders>
            <w:vAlign w:val="center"/>
          </w:tcPr>
          <w:p w14:paraId="077C9822" w14:textId="617AF7D7" w:rsidR="00D23EEF" w:rsidRPr="00F63185" w:rsidRDefault="00D23EEF" w:rsidP="00D403DC">
            <w:pPr>
              <w:pStyle w:val="TableText"/>
              <w:keepLines/>
              <w:widowControl w:val="0"/>
              <w:jc w:val="center"/>
              <w:rPr>
                <w:b/>
              </w:rPr>
            </w:pPr>
            <w:r w:rsidRPr="00F63185">
              <w:rPr>
                <w:b/>
              </w:rPr>
              <w:t>July 2022 submission</w:t>
            </w:r>
          </w:p>
        </w:tc>
      </w:tr>
      <w:tr w:rsidR="00D23EEF" w:rsidRPr="00AA796C" w14:paraId="497DBB1A" w14:textId="77777777" w:rsidTr="00BF34B1">
        <w:trPr>
          <w:trHeight w:val="70"/>
        </w:trPr>
        <w:tc>
          <w:tcPr>
            <w:tcW w:w="2694" w:type="dxa"/>
            <w:tcBorders>
              <w:top w:val="single" w:sz="4" w:space="0" w:color="auto"/>
              <w:left w:val="single" w:sz="4" w:space="0" w:color="auto"/>
              <w:bottom w:val="single" w:sz="4" w:space="0" w:color="auto"/>
              <w:right w:val="single" w:sz="4" w:space="0" w:color="auto"/>
            </w:tcBorders>
            <w:vAlign w:val="center"/>
          </w:tcPr>
          <w:p w14:paraId="5B351DA6" w14:textId="77777777" w:rsidR="00D23EEF" w:rsidRPr="00F63185" w:rsidRDefault="00D23EEF" w:rsidP="00D403DC">
            <w:pPr>
              <w:pStyle w:val="TableText"/>
              <w:keepLines/>
              <w:widowControl w:val="0"/>
            </w:pPr>
            <w:r w:rsidRPr="00F63185">
              <w:t>Mean baseline LDL-C (mmol/L)</w:t>
            </w:r>
          </w:p>
        </w:tc>
        <w:tc>
          <w:tcPr>
            <w:tcW w:w="3119" w:type="dxa"/>
            <w:tcBorders>
              <w:top w:val="single" w:sz="4" w:space="0" w:color="auto"/>
              <w:left w:val="single" w:sz="4" w:space="0" w:color="auto"/>
              <w:bottom w:val="single" w:sz="4" w:space="0" w:color="auto"/>
              <w:right w:val="single" w:sz="4" w:space="0" w:color="auto"/>
            </w:tcBorders>
            <w:vAlign w:val="center"/>
          </w:tcPr>
          <w:p w14:paraId="1FBF5CC5" w14:textId="77777777" w:rsidR="00D23EEF" w:rsidRPr="00F63185" w:rsidRDefault="00D23EEF" w:rsidP="00D403DC">
            <w:pPr>
              <w:pStyle w:val="TableText"/>
              <w:keepLines/>
              <w:widowControl w:val="0"/>
              <w:jc w:val="center"/>
            </w:pPr>
            <w:r w:rsidRPr="00F63185">
              <w:t>3.3 mmol/L</w:t>
            </w:r>
          </w:p>
          <w:p w14:paraId="0B56C7E3" w14:textId="14E5CF5B" w:rsidR="00D23EEF" w:rsidRPr="00F63185" w:rsidRDefault="00D23EEF" w:rsidP="00D403DC">
            <w:pPr>
              <w:pStyle w:val="TableText"/>
              <w:keepLines/>
              <w:widowControl w:val="0"/>
              <w:jc w:val="center"/>
            </w:pPr>
            <w:r w:rsidRPr="00F63185">
              <w:t xml:space="preserve">(based on </w:t>
            </w:r>
            <w:r>
              <w:t xml:space="preserve">FOURIER </w:t>
            </w:r>
            <w:r w:rsidR="004F4B87">
              <w:t>individual patient data with</w:t>
            </w:r>
            <w:r>
              <w:t xml:space="preserve"> LDL-C &gt; </w:t>
            </w:r>
            <w:r w:rsidRPr="00F63185">
              <w:t>2.6 mmol/L threshold)</w:t>
            </w:r>
          </w:p>
        </w:tc>
        <w:tc>
          <w:tcPr>
            <w:tcW w:w="3150" w:type="dxa"/>
            <w:tcBorders>
              <w:top w:val="single" w:sz="4" w:space="0" w:color="auto"/>
              <w:left w:val="single" w:sz="4" w:space="0" w:color="auto"/>
              <w:bottom w:val="single" w:sz="4" w:space="0" w:color="auto"/>
              <w:right w:val="single" w:sz="4" w:space="0" w:color="auto"/>
            </w:tcBorders>
            <w:vAlign w:val="center"/>
          </w:tcPr>
          <w:p w14:paraId="1B3F0C89" w14:textId="77777777" w:rsidR="00D23EEF" w:rsidRPr="00F63185" w:rsidRDefault="00D23EEF" w:rsidP="00D403DC">
            <w:pPr>
              <w:pStyle w:val="TableText"/>
              <w:keepLines/>
              <w:widowControl w:val="0"/>
              <w:jc w:val="center"/>
            </w:pPr>
            <w:r w:rsidRPr="00F63185">
              <w:t>2.325 mmol/L</w:t>
            </w:r>
          </w:p>
          <w:p w14:paraId="5CD098AB" w14:textId="41DFE555" w:rsidR="00D23EEF" w:rsidRPr="00F63185" w:rsidRDefault="00D23EEF" w:rsidP="00D403DC">
            <w:pPr>
              <w:pStyle w:val="TableText"/>
              <w:keepLines/>
              <w:widowControl w:val="0"/>
              <w:jc w:val="center"/>
            </w:pPr>
            <w:r w:rsidRPr="00F63185">
              <w:t>(based on sponsor-commissioned study of GP records</w:t>
            </w:r>
            <w:r>
              <w:t xml:space="preserve"> and assumed uptake in the population with LDL</w:t>
            </w:r>
            <w:r w:rsidR="00C5262A">
              <w:t>-C</w:t>
            </w:r>
            <w:r>
              <w:t xml:space="preserve"> &gt; 1.8 and ≤</w:t>
            </w:r>
            <w:r w:rsidR="00D403DC">
              <w:t> </w:t>
            </w:r>
            <w:r>
              <w:t>2.6</w:t>
            </w:r>
            <w:r w:rsidR="00D403DC">
              <w:t> </w:t>
            </w:r>
            <w:r>
              <w:t>mmol/L</w:t>
            </w:r>
            <w:r w:rsidRPr="00F63185">
              <w:t>)</w:t>
            </w:r>
          </w:p>
        </w:tc>
      </w:tr>
      <w:tr w:rsidR="00D23EEF" w:rsidRPr="00AA796C" w14:paraId="24F61580" w14:textId="77777777" w:rsidTr="00BF34B1">
        <w:trPr>
          <w:trHeight w:val="70"/>
        </w:trPr>
        <w:tc>
          <w:tcPr>
            <w:tcW w:w="2694" w:type="dxa"/>
            <w:tcBorders>
              <w:top w:val="single" w:sz="4" w:space="0" w:color="auto"/>
              <w:left w:val="single" w:sz="4" w:space="0" w:color="auto"/>
              <w:bottom w:val="single" w:sz="4" w:space="0" w:color="auto"/>
              <w:right w:val="single" w:sz="4" w:space="0" w:color="auto"/>
            </w:tcBorders>
            <w:vAlign w:val="center"/>
          </w:tcPr>
          <w:p w14:paraId="777FAC42" w14:textId="4D97949D" w:rsidR="00D23EEF" w:rsidRPr="00F63185" w:rsidRDefault="00D23EEF" w:rsidP="00D403DC">
            <w:pPr>
              <w:pStyle w:val="TableText"/>
              <w:keepLines/>
              <w:widowControl w:val="0"/>
            </w:pPr>
            <w:r w:rsidRPr="00F63185">
              <w:t>Difference</w:t>
            </w:r>
            <w:r>
              <w:t xml:space="preserve"> in LDL</w:t>
            </w:r>
            <w:r w:rsidR="00C5262A">
              <w:t>-C</w:t>
            </w:r>
            <w:r w:rsidRPr="00F63185">
              <w:t xml:space="preserve"> between PBS and FOURIER populations (mean 2.5 mmol/L)</w:t>
            </w:r>
          </w:p>
        </w:tc>
        <w:tc>
          <w:tcPr>
            <w:tcW w:w="3119" w:type="dxa"/>
            <w:tcBorders>
              <w:top w:val="single" w:sz="4" w:space="0" w:color="auto"/>
              <w:left w:val="single" w:sz="4" w:space="0" w:color="auto"/>
              <w:bottom w:val="single" w:sz="4" w:space="0" w:color="auto"/>
              <w:right w:val="single" w:sz="4" w:space="0" w:color="auto"/>
            </w:tcBorders>
            <w:vAlign w:val="center"/>
          </w:tcPr>
          <w:p w14:paraId="78005BAE" w14:textId="77777777" w:rsidR="00D23EEF" w:rsidRPr="00F63185" w:rsidRDefault="00D23EEF" w:rsidP="00D403DC">
            <w:pPr>
              <w:pStyle w:val="TableText"/>
              <w:keepLines/>
              <w:widowControl w:val="0"/>
              <w:jc w:val="center"/>
            </w:pPr>
            <w:r w:rsidRPr="00F63185">
              <w:t>+0.8 mmol/L</w:t>
            </w:r>
          </w:p>
        </w:tc>
        <w:tc>
          <w:tcPr>
            <w:tcW w:w="3150" w:type="dxa"/>
            <w:tcBorders>
              <w:top w:val="single" w:sz="4" w:space="0" w:color="auto"/>
              <w:left w:val="single" w:sz="4" w:space="0" w:color="auto"/>
              <w:bottom w:val="single" w:sz="4" w:space="0" w:color="auto"/>
              <w:right w:val="single" w:sz="4" w:space="0" w:color="auto"/>
            </w:tcBorders>
            <w:vAlign w:val="center"/>
          </w:tcPr>
          <w:p w14:paraId="40CA1E38" w14:textId="77777777" w:rsidR="00D23EEF" w:rsidRPr="00F63185" w:rsidRDefault="00D23EEF" w:rsidP="00D403DC">
            <w:pPr>
              <w:pStyle w:val="TableText"/>
              <w:keepLines/>
              <w:widowControl w:val="0"/>
              <w:jc w:val="center"/>
            </w:pPr>
            <w:r w:rsidRPr="00F63185">
              <w:t>-0.175 mmol/L</w:t>
            </w:r>
          </w:p>
        </w:tc>
      </w:tr>
      <w:tr w:rsidR="00D23EEF" w:rsidRPr="00AA796C" w14:paraId="4811DDBF" w14:textId="77777777" w:rsidTr="00BF34B1">
        <w:trPr>
          <w:trHeight w:val="70"/>
        </w:trPr>
        <w:tc>
          <w:tcPr>
            <w:tcW w:w="2694" w:type="dxa"/>
            <w:tcBorders>
              <w:top w:val="single" w:sz="4" w:space="0" w:color="auto"/>
              <w:left w:val="single" w:sz="4" w:space="0" w:color="auto"/>
              <w:bottom w:val="single" w:sz="4" w:space="0" w:color="auto"/>
              <w:right w:val="single" w:sz="4" w:space="0" w:color="auto"/>
            </w:tcBorders>
            <w:vAlign w:val="center"/>
          </w:tcPr>
          <w:p w14:paraId="0FA38A19" w14:textId="77777777" w:rsidR="00D23EEF" w:rsidRPr="00475F11" w:rsidRDefault="00D23EEF" w:rsidP="00D403DC">
            <w:pPr>
              <w:pStyle w:val="TableText"/>
              <w:keepLines/>
              <w:widowControl w:val="0"/>
              <w:rPr>
                <w:vertAlign w:val="superscript"/>
              </w:rPr>
            </w:pPr>
            <w:r w:rsidRPr="00F63185">
              <w:t>CHD event rate/year for untreated patients</w:t>
            </w:r>
            <w:r>
              <w:t xml:space="preserve"> </w:t>
            </w:r>
            <w:r>
              <w:rPr>
                <w:vertAlign w:val="superscript"/>
              </w:rPr>
              <w:t>a</w:t>
            </w:r>
          </w:p>
        </w:tc>
        <w:tc>
          <w:tcPr>
            <w:tcW w:w="3119" w:type="dxa"/>
            <w:tcBorders>
              <w:top w:val="single" w:sz="4" w:space="0" w:color="auto"/>
              <w:left w:val="single" w:sz="4" w:space="0" w:color="auto"/>
              <w:bottom w:val="single" w:sz="4" w:space="0" w:color="auto"/>
              <w:right w:val="single" w:sz="4" w:space="0" w:color="auto"/>
            </w:tcBorders>
            <w:vAlign w:val="center"/>
          </w:tcPr>
          <w:p w14:paraId="0FF59636" w14:textId="77777777" w:rsidR="00D23EEF" w:rsidRPr="00F63185" w:rsidRDefault="00D23EEF" w:rsidP="00D403DC">
            <w:pPr>
              <w:pStyle w:val="TableText"/>
              <w:keepLines/>
              <w:widowControl w:val="0"/>
              <w:jc w:val="center"/>
            </w:pPr>
            <w:r>
              <w:t>(0.042 x 1.35 / 0.78</w:t>
            </w:r>
            <w:r>
              <w:rPr>
                <w:vertAlign w:val="superscript"/>
              </w:rPr>
              <w:t>0.8</w:t>
            </w:r>
            <w:r>
              <w:t xml:space="preserve">) = </w:t>
            </w:r>
            <w:r w:rsidRPr="00F63185">
              <w:t>0.069</w:t>
            </w:r>
          </w:p>
        </w:tc>
        <w:tc>
          <w:tcPr>
            <w:tcW w:w="3150" w:type="dxa"/>
            <w:tcBorders>
              <w:top w:val="single" w:sz="4" w:space="0" w:color="auto"/>
              <w:left w:val="single" w:sz="4" w:space="0" w:color="auto"/>
              <w:bottom w:val="single" w:sz="4" w:space="0" w:color="auto"/>
              <w:right w:val="single" w:sz="4" w:space="0" w:color="auto"/>
            </w:tcBorders>
            <w:vAlign w:val="center"/>
          </w:tcPr>
          <w:p w14:paraId="5B9040C6" w14:textId="77777777" w:rsidR="00D23EEF" w:rsidRPr="00F63185" w:rsidRDefault="00D23EEF" w:rsidP="00D403DC">
            <w:pPr>
              <w:pStyle w:val="TableText"/>
              <w:keepLines/>
              <w:widowControl w:val="0"/>
              <w:jc w:val="center"/>
            </w:pPr>
            <w:r>
              <w:t>(0.042 x 1.35 / 0.78</w:t>
            </w:r>
            <w:r>
              <w:rPr>
                <w:vertAlign w:val="superscript"/>
              </w:rPr>
              <w:t>-0.175</w:t>
            </w:r>
            <w:r>
              <w:t xml:space="preserve">) = </w:t>
            </w:r>
            <w:r w:rsidRPr="00F63185">
              <w:t>0.054</w:t>
            </w:r>
          </w:p>
        </w:tc>
      </w:tr>
      <w:tr w:rsidR="00D23EEF" w:rsidRPr="00AA796C" w14:paraId="79991D7A" w14:textId="77777777" w:rsidTr="00BF34B1">
        <w:trPr>
          <w:trHeight w:val="70"/>
        </w:trPr>
        <w:tc>
          <w:tcPr>
            <w:tcW w:w="2694" w:type="dxa"/>
            <w:tcBorders>
              <w:top w:val="single" w:sz="4" w:space="0" w:color="auto"/>
              <w:left w:val="single" w:sz="4" w:space="0" w:color="auto"/>
              <w:bottom w:val="single" w:sz="4" w:space="0" w:color="auto"/>
              <w:right w:val="single" w:sz="4" w:space="0" w:color="auto"/>
            </w:tcBorders>
            <w:vAlign w:val="center"/>
          </w:tcPr>
          <w:p w14:paraId="7074BEDA" w14:textId="0AEBAF4F" w:rsidR="00D23EEF" w:rsidRPr="0006235F" w:rsidRDefault="00D23EEF" w:rsidP="00D403DC">
            <w:pPr>
              <w:pStyle w:val="TableText"/>
              <w:keepLines/>
              <w:widowControl w:val="0"/>
            </w:pPr>
            <w:r w:rsidRPr="0006235F">
              <w:t>Evolocumab cost/month</w:t>
            </w:r>
            <w:r>
              <w:t xml:space="preserve"> required to achieve ICER of $</w:t>
            </w:r>
            <w:r w:rsidR="003872B5">
              <w:t>25,000</w:t>
            </w:r>
            <w:r w:rsidR="00DF54A9">
              <w:t xml:space="preserve"> to </w:t>
            </w:r>
            <w:r w:rsidR="001776EA">
              <w:br/>
              <w:t>&lt; $</w:t>
            </w:r>
            <w:r>
              <w:t>3</w:t>
            </w:r>
            <w:r w:rsidR="003872B5">
              <w:t>5</w:t>
            </w:r>
            <w:r>
              <w:t>,000/year</w:t>
            </w:r>
          </w:p>
        </w:tc>
        <w:tc>
          <w:tcPr>
            <w:tcW w:w="3119" w:type="dxa"/>
            <w:tcBorders>
              <w:top w:val="single" w:sz="4" w:space="0" w:color="auto"/>
              <w:left w:val="single" w:sz="4" w:space="0" w:color="auto"/>
              <w:bottom w:val="single" w:sz="4" w:space="0" w:color="auto"/>
              <w:right w:val="single" w:sz="4" w:space="0" w:color="auto"/>
            </w:tcBorders>
            <w:vAlign w:val="center"/>
          </w:tcPr>
          <w:p w14:paraId="49CAA290" w14:textId="2DED062E" w:rsidR="00D23EEF" w:rsidRPr="0006235F" w:rsidRDefault="00D23EEF" w:rsidP="00D403DC">
            <w:pPr>
              <w:pStyle w:val="TableText"/>
              <w:keepLines/>
              <w:widowControl w:val="0"/>
              <w:jc w:val="center"/>
            </w:pPr>
            <w:r w:rsidRPr="0006235F">
              <w:t>$</w:t>
            </w:r>
            <w:r w:rsidR="00650CB8" w:rsidRPr="00650CB8">
              <w:rPr>
                <w:color w:val="000000"/>
                <w:shd w:val="solid" w:color="000000" w:fill="000000"/>
                <w14:textFill>
                  <w14:solidFill>
                    <w14:srgbClr w14:val="000000">
                      <w14:alpha w14:val="100000"/>
                    </w14:srgbClr>
                  </w14:solidFill>
                </w14:textFill>
              </w:rPr>
              <w:t>|</w:t>
            </w:r>
          </w:p>
        </w:tc>
        <w:tc>
          <w:tcPr>
            <w:tcW w:w="3150" w:type="dxa"/>
            <w:tcBorders>
              <w:top w:val="single" w:sz="4" w:space="0" w:color="auto"/>
              <w:left w:val="single" w:sz="4" w:space="0" w:color="auto"/>
              <w:bottom w:val="single" w:sz="4" w:space="0" w:color="auto"/>
              <w:right w:val="single" w:sz="4" w:space="0" w:color="auto"/>
            </w:tcBorders>
            <w:vAlign w:val="center"/>
          </w:tcPr>
          <w:p w14:paraId="7DCB4168" w14:textId="536E1452" w:rsidR="00D23EEF" w:rsidRPr="0006235F" w:rsidRDefault="00D23EEF" w:rsidP="00D403DC">
            <w:pPr>
              <w:pStyle w:val="TableText"/>
              <w:keepLines/>
              <w:widowControl w:val="0"/>
              <w:jc w:val="center"/>
            </w:pPr>
            <w:r w:rsidRPr="0006235F">
              <w:t>$</w:t>
            </w:r>
            <w:r w:rsidR="00650CB8" w:rsidRPr="00650CB8">
              <w:rPr>
                <w:color w:val="000000"/>
                <w:shd w:val="solid" w:color="000000" w:fill="000000"/>
                <w14:textFill>
                  <w14:solidFill>
                    <w14:srgbClr w14:val="000000">
                      <w14:alpha w14:val="100000"/>
                    </w14:srgbClr>
                  </w14:solidFill>
                </w14:textFill>
              </w:rPr>
              <w:t>|</w:t>
            </w:r>
          </w:p>
        </w:tc>
      </w:tr>
    </w:tbl>
    <w:p w14:paraId="020CC457" w14:textId="77777777" w:rsidR="00D23EEF" w:rsidRDefault="00D23EEF" w:rsidP="00D403DC">
      <w:pPr>
        <w:pStyle w:val="TableFigureFooter"/>
        <w:keepNext/>
        <w:keepLines/>
      </w:pPr>
      <w:r w:rsidRPr="0006235F">
        <w:t>Source: Constructed during the evaluation</w:t>
      </w:r>
    </w:p>
    <w:p w14:paraId="3ED4EA30" w14:textId="77777777" w:rsidR="00D23EEF" w:rsidRDefault="00D23EEF" w:rsidP="00D403DC">
      <w:pPr>
        <w:pStyle w:val="TableFigureFooter"/>
        <w:keepNext/>
        <w:keepLines/>
      </w:pPr>
      <w:r>
        <w:t>Abbreviations: CHD, coronary heart disease; CTTC, Cholesterol Treatment Trialists’ Collaboration; GP, general practitioner; LDL-C, low density lipoprotein cholesterol</w:t>
      </w:r>
    </w:p>
    <w:p w14:paraId="09291034" w14:textId="1617F0EF" w:rsidR="00D23EEF" w:rsidRDefault="00D23EEF" w:rsidP="00D403DC">
      <w:pPr>
        <w:pStyle w:val="TableFigureFooter"/>
        <w:keepNext/>
        <w:keepLines/>
      </w:pPr>
      <w:r>
        <w:rPr>
          <w:vertAlign w:val="superscript"/>
        </w:rPr>
        <w:t>a</w:t>
      </w:r>
      <w:r>
        <w:t xml:space="preserve"> 0.042 is the observed CHD event rate in FOURIER; 1.35 is the hazard ratio for events in the requested high risk patient population compared with patients in FOURIER, based on a comparison of baseline risk in the placebo arm from each subgroup to the placebo arm of the overall study population; 0.78 is the relative risk of major vascular events associated with lowering the LDL-C in a patient population by 1 mmol/L, based on a CTTC meta-analysis; and 0.8 (Nov 2019) and -0.175 (July 2022) are the differences in mean LDL-C for the requested patient population compared with FOURIER.</w:t>
      </w:r>
    </w:p>
    <w:p w14:paraId="2F82C589" w14:textId="77777777" w:rsidR="00985590" w:rsidRPr="00475F11" w:rsidRDefault="00985590" w:rsidP="00D403DC">
      <w:pPr>
        <w:pStyle w:val="TableFigureFooter"/>
        <w:keepNext/>
        <w:keepLines/>
      </w:pPr>
    </w:p>
    <w:p w14:paraId="032E5E6F" w14:textId="6B30C8DD" w:rsidR="007C20CD" w:rsidRPr="00517AAF" w:rsidRDefault="007C20CD" w:rsidP="00F23049">
      <w:pPr>
        <w:pStyle w:val="ExecSumBodyText"/>
        <w:rPr>
          <w:b/>
          <w:bCs/>
          <w:lang w:val="en-US"/>
        </w:rPr>
      </w:pPr>
      <w:r w:rsidRPr="00517AAF">
        <w:t xml:space="preserve">Key components of the economic evaluation are presented in </w:t>
      </w:r>
      <w:r w:rsidR="00EA7B1E">
        <w:fldChar w:fldCharType="begin"/>
      </w:r>
      <w:r w:rsidR="00EA7B1E">
        <w:instrText xml:space="preserve"> REF _Ref102468157 \h </w:instrText>
      </w:r>
      <w:r w:rsidR="00EA7B1E">
        <w:fldChar w:fldCharType="separate"/>
      </w:r>
      <w:r w:rsidR="00EB7F7C" w:rsidRPr="00DE2304">
        <w:t>Table</w:t>
      </w:r>
      <w:r w:rsidR="00EB7F7C">
        <w:t xml:space="preserve"> </w:t>
      </w:r>
      <w:r w:rsidR="00EB7F7C">
        <w:rPr>
          <w:noProof/>
        </w:rPr>
        <w:t>10</w:t>
      </w:r>
      <w:r w:rsidR="00EA7B1E">
        <w:fldChar w:fldCharType="end"/>
      </w:r>
      <w:r w:rsidRPr="00517AAF">
        <w:t xml:space="preserve"> below.</w:t>
      </w:r>
    </w:p>
    <w:p w14:paraId="2106E103" w14:textId="24CCC0D9" w:rsidR="002E46DD" w:rsidRDefault="002E46DD" w:rsidP="006A7DE3">
      <w:pPr>
        <w:pStyle w:val="TableFigureCaption"/>
      </w:pPr>
      <w:bookmarkStart w:id="41" w:name="_Ref102468157"/>
      <w:r w:rsidRPr="00DE2304">
        <w:t>Table</w:t>
      </w:r>
      <w:r w:rsidR="006A7DE3">
        <w:t xml:space="preserve"> </w:t>
      </w:r>
      <w:fldSimple w:instr=" SEQ Table \* ARABIC ">
        <w:r w:rsidR="00EB7F7C">
          <w:rPr>
            <w:noProof/>
          </w:rPr>
          <w:t>10</w:t>
        </w:r>
      </w:fldSimple>
      <w:bookmarkEnd w:id="41"/>
      <w:r w:rsidRPr="00DE2304">
        <w:t>: Key components of the economic evaluation</w:t>
      </w:r>
    </w:p>
    <w:tbl>
      <w:tblPr>
        <w:tblW w:w="49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10: Key components of the economic evaluation"/>
      </w:tblPr>
      <w:tblGrid>
        <w:gridCol w:w="1849"/>
        <w:gridCol w:w="7099"/>
      </w:tblGrid>
      <w:tr w:rsidR="002E46DD" w:rsidRPr="000937B8" w14:paraId="0C7DAF64" w14:textId="77777777" w:rsidTr="00BF34B1">
        <w:tc>
          <w:tcPr>
            <w:tcW w:w="1033" w:type="pct"/>
            <w:shd w:val="clear" w:color="auto" w:fill="auto"/>
          </w:tcPr>
          <w:p w14:paraId="1FF2F64D" w14:textId="77777777" w:rsidR="002E46DD" w:rsidRPr="00EF3278" w:rsidRDefault="002E46DD" w:rsidP="00BF34B1">
            <w:pPr>
              <w:pStyle w:val="TableText"/>
              <w:rPr>
                <w:b/>
              </w:rPr>
            </w:pPr>
            <w:r w:rsidRPr="00EF3278">
              <w:rPr>
                <w:b/>
              </w:rPr>
              <w:t xml:space="preserve">Component </w:t>
            </w:r>
          </w:p>
        </w:tc>
        <w:tc>
          <w:tcPr>
            <w:tcW w:w="3967" w:type="pct"/>
            <w:shd w:val="clear" w:color="auto" w:fill="auto"/>
          </w:tcPr>
          <w:p w14:paraId="46DFA304" w14:textId="77777777" w:rsidR="002E46DD" w:rsidRPr="00EF3278" w:rsidRDefault="002E46DD" w:rsidP="00BF34B1">
            <w:pPr>
              <w:pStyle w:val="TableText"/>
              <w:rPr>
                <w:b/>
              </w:rPr>
            </w:pPr>
            <w:r w:rsidRPr="00EF3278">
              <w:rPr>
                <w:b/>
              </w:rPr>
              <w:t>Description</w:t>
            </w:r>
          </w:p>
        </w:tc>
      </w:tr>
      <w:tr w:rsidR="002E46DD" w:rsidRPr="000937B8" w14:paraId="01C274DB" w14:textId="77777777" w:rsidTr="00BF34B1">
        <w:tc>
          <w:tcPr>
            <w:tcW w:w="1033" w:type="pct"/>
            <w:shd w:val="clear" w:color="auto" w:fill="auto"/>
            <w:vAlign w:val="center"/>
          </w:tcPr>
          <w:p w14:paraId="4CBE4820" w14:textId="77777777" w:rsidR="002E46DD" w:rsidRPr="000937B8" w:rsidRDefault="002E46DD" w:rsidP="00BF34B1">
            <w:pPr>
              <w:pStyle w:val="TableText"/>
            </w:pPr>
            <w:r w:rsidRPr="000937B8">
              <w:t xml:space="preserve">Type of analysis </w:t>
            </w:r>
          </w:p>
        </w:tc>
        <w:tc>
          <w:tcPr>
            <w:tcW w:w="3967" w:type="pct"/>
            <w:shd w:val="clear" w:color="auto" w:fill="auto"/>
            <w:vAlign w:val="center"/>
          </w:tcPr>
          <w:p w14:paraId="3AE1C154" w14:textId="77777777" w:rsidR="002E46DD" w:rsidRPr="000937B8" w:rsidRDefault="002E46DD" w:rsidP="00BF34B1">
            <w:pPr>
              <w:pStyle w:val="TableText"/>
              <w:rPr>
                <w:rFonts w:ascii="Times" w:eastAsia="Times New Roman" w:hAnsi="Times" w:cs="Times New Roman"/>
                <w:szCs w:val="20"/>
                <w:lang w:val="en-US"/>
              </w:rPr>
            </w:pPr>
            <w:r>
              <w:t>C</w:t>
            </w:r>
            <w:r w:rsidRPr="000C0AFA">
              <w:t xml:space="preserve">ost-effectiveness </w:t>
            </w:r>
            <w:r>
              <w:t>analysis/cost-utility analysis</w:t>
            </w:r>
          </w:p>
        </w:tc>
      </w:tr>
      <w:tr w:rsidR="00132119" w:rsidRPr="000937B8" w14:paraId="5B974F7B" w14:textId="77777777" w:rsidTr="00BF34B1">
        <w:tc>
          <w:tcPr>
            <w:tcW w:w="1033" w:type="pct"/>
            <w:shd w:val="clear" w:color="auto" w:fill="auto"/>
            <w:vAlign w:val="center"/>
          </w:tcPr>
          <w:p w14:paraId="15A30ED2" w14:textId="77777777" w:rsidR="00132119" w:rsidRPr="000937B8" w:rsidRDefault="00132119" w:rsidP="00BF34B1">
            <w:pPr>
              <w:pStyle w:val="TableText"/>
            </w:pPr>
            <w:r>
              <w:t>Treatments</w:t>
            </w:r>
          </w:p>
        </w:tc>
        <w:tc>
          <w:tcPr>
            <w:tcW w:w="3967" w:type="pct"/>
            <w:shd w:val="clear" w:color="auto" w:fill="auto"/>
            <w:vAlign w:val="center"/>
          </w:tcPr>
          <w:p w14:paraId="2B7C5360" w14:textId="77777777" w:rsidR="00132119" w:rsidRDefault="00132119" w:rsidP="00BF34B1">
            <w:pPr>
              <w:pStyle w:val="TableText"/>
            </w:pPr>
            <w:r>
              <w:t>Evolocumab</w:t>
            </w:r>
            <w:r w:rsidRPr="002343DB">
              <w:t>, placebo</w:t>
            </w:r>
          </w:p>
        </w:tc>
      </w:tr>
      <w:tr w:rsidR="002E46DD" w:rsidRPr="000937B8" w14:paraId="6CEFBB13" w14:textId="77777777" w:rsidTr="00BF34B1">
        <w:tc>
          <w:tcPr>
            <w:tcW w:w="1033" w:type="pct"/>
            <w:shd w:val="clear" w:color="auto" w:fill="auto"/>
            <w:vAlign w:val="center"/>
          </w:tcPr>
          <w:p w14:paraId="1C09B806" w14:textId="77777777" w:rsidR="002E46DD" w:rsidRPr="000937B8" w:rsidRDefault="002E46DD" w:rsidP="00BF34B1">
            <w:pPr>
              <w:pStyle w:val="TableText"/>
              <w:rPr>
                <w:rFonts w:ascii="Times" w:eastAsia="Times New Roman" w:hAnsi="Times" w:cs="Times New Roman"/>
                <w:szCs w:val="20"/>
                <w:lang w:val="en-US"/>
              </w:rPr>
            </w:pPr>
            <w:r w:rsidRPr="000937B8">
              <w:t>Outcomes</w:t>
            </w:r>
          </w:p>
        </w:tc>
        <w:tc>
          <w:tcPr>
            <w:tcW w:w="3967" w:type="pct"/>
            <w:shd w:val="clear" w:color="auto" w:fill="auto"/>
            <w:vAlign w:val="center"/>
          </w:tcPr>
          <w:p w14:paraId="3BE57614" w14:textId="20AF973C" w:rsidR="002E46DD" w:rsidRPr="002343DB" w:rsidRDefault="002E46DD" w:rsidP="00BF34B1">
            <w:pPr>
              <w:pStyle w:val="TableText"/>
            </w:pPr>
            <w:r w:rsidRPr="002343DB">
              <w:t>% reduction in LDL</w:t>
            </w:r>
            <w:r w:rsidR="00C5262A">
              <w:t>-C</w:t>
            </w:r>
            <w:r w:rsidRPr="002343DB">
              <w:t>; life years; quality-adjusted life years</w:t>
            </w:r>
            <w:r>
              <w:t>, number of MI and IS events</w:t>
            </w:r>
          </w:p>
        </w:tc>
      </w:tr>
      <w:tr w:rsidR="002E46DD" w:rsidRPr="000937B8" w14:paraId="1BF961BF" w14:textId="77777777" w:rsidTr="00BF34B1">
        <w:tc>
          <w:tcPr>
            <w:tcW w:w="1033" w:type="pct"/>
            <w:shd w:val="clear" w:color="auto" w:fill="auto"/>
            <w:vAlign w:val="center"/>
          </w:tcPr>
          <w:p w14:paraId="43E8B1A0" w14:textId="77777777" w:rsidR="002E46DD" w:rsidRPr="000937B8" w:rsidRDefault="002E46DD" w:rsidP="00BF34B1">
            <w:pPr>
              <w:pStyle w:val="TableText"/>
              <w:rPr>
                <w:rFonts w:ascii="Times" w:eastAsia="Times New Roman" w:hAnsi="Times" w:cs="Times New Roman"/>
                <w:szCs w:val="20"/>
                <w:lang w:val="en-US"/>
              </w:rPr>
            </w:pPr>
            <w:r w:rsidRPr="000937B8">
              <w:t>Time horizon</w:t>
            </w:r>
          </w:p>
        </w:tc>
        <w:tc>
          <w:tcPr>
            <w:tcW w:w="3967" w:type="pct"/>
            <w:shd w:val="clear" w:color="auto" w:fill="auto"/>
            <w:vAlign w:val="center"/>
          </w:tcPr>
          <w:p w14:paraId="50F32C5A" w14:textId="77777777" w:rsidR="002E46DD" w:rsidRPr="000937B8" w:rsidRDefault="002E46DD" w:rsidP="00BF34B1">
            <w:pPr>
              <w:pStyle w:val="TableText"/>
              <w:rPr>
                <w:rFonts w:ascii="Times" w:eastAsia="Times New Roman" w:hAnsi="Times" w:cs="Times New Roman"/>
                <w:szCs w:val="20"/>
                <w:lang w:val="en-US"/>
              </w:rPr>
            </w:pPr>
            <w:r>
              <w:t>25 years</w:t>
            </w:r>
          </w:p>
        </w:tc>
      </w:tr>
      <w:tr w:rsidR="002E46DD" w:rsidRPr="000937B8" w14:paraId="3AF57970" w14:textId="77777777" w:rsidTr="00BF34B1">
        <w:tc>
          <w:tcPr>
            <w:tcW w:w="1033" w:type="pct"/>
            <w:shd w:val="clear" w:color="auto" w:fill="auto"/>
            <w:vAlign w:val="center"/>
          </w:tcPr>
          <w:p w14:paraId="4927A930" w14:textId="77777777" w:rsidR="002E46DD" w:rsidRPr="000937B8" w:rsidRDefault="002E46DD" w:rsidP="00BF34B1">
            <w:pPr>
              <w:pStyle w:val="TableText"/>
              <w:rPr>
                <w:rFonts w:ascii="Times" w:eastAsia="Times New Roman" w:hAnsi="Times" w:cs="Times New Roman"/>
                <w:szCs w:val="20"/>
                <w:lang w:val="en-US"/>
              </w:rPr>
            </w:pPr>
            <w:r w:rsidRPr="000937B8">
              <w:t>Methods used to generate results</w:t>
            </w:r>
          </w:p>
        </w:tc>
        <w:tc>
          <w:tcPr>
            <w:tcW w:w="3967" w:type="pct"/>
            <w:shd w:val="clear" w:color="auto" w:fill="auto"/>
            <w:vAlign w:val="center"/>
          </w:tcPr>
          <w:p w14:paraId="1192773F" w14:textId="77777777" w:rsidR="002E46DD" w:rsidRPr="000937B8" w:rsidRDefault="002E46DD" w:rsidP="00BF34B1">
            <w:pPr>
              <w:pStyle w:val="TableText"/>
              <w:rPr>
                <w:rFonts w:ascii="Times" w:eastAsia="Times New Roman" w:hAnsi="Times" w:cs="Times New Roman"/>
                <w:szCs w:val="20"/>
                <w:lang w:val="en-US"/>
              </w:rPr>
            </w:pPr>
            <w:r w:rsidRPr="002343DB">
              <w:t>Markov cohort expected value analysis</w:t>
            </w:r>
            <w:r>
              <w:t xml:space="preserve"> (with half-cycle correction)</w:t>
            </w:r>
          </w:p>
        </w:tc>
      </w:tr>
      <w:tr w:rsidR="002E46DD" w:rsidRPr="000937B8" w14:paraId="46176E48" w14:textId="77777777" w:rsidTr="00BF34B1">
        <w:tc>
          <w:tcPr>
            <w:tcW w:w="1033" w:type="pct"/>
            <w:shd w:val="clear" w:color="auto" w:fill="auto"/>
            <w:vAlign w:val="center"/>
          </w:tcPr>
          <w:p w14:paraId="50CD38E7" w14:textId="77777777" w:rsidR="002E46DD" w:rsidRPr="000937B8" w:rsidRDefault="002E46DD" w:rsidP="00BF34B1">
            <w:pPr>
              <w:pStyle w:val="TableText"/>
              <w:rPr>
                <w:rFonts w:ascii="Times" w:eastAsia="Times New Roman" w:hAnsi="Times" w:cs="Times New Roman"/>
                <w:szCs w:val="20"/>
                <w:lang w:val="en-US"/>
              </w:rPr>
            </w:pPr>
            <w:r w:rsidRPr="000937B8">
              <w:t>Health states</w:t>
            </w:r>
          </w:p>
        </w:tc>
        <w:tc>
          <w:tcPr>
            <w:tcW w:w="3967" w:type="pct"/>
            <w:shd w:val="clear" w:color="auto" w:fill="auto"/>
            <w:vAlign w:val="center"/>
          </w:tcPr>
          <w:p w14:paraId="6C0CE76F" w14:textId="77777777" w:rsidR="002E46DD" w:rsidRPr="00BF30D9" w:rsidRDefault="002E46DD" w:rsidP="00BF34B1">
            <w:pPr>
              <w:pStyle w:val="TableText"/>
            </w:pPr>
            <w:r>
              <w:t>Five health states:</w:t>
            </w:r>
            <w:r w:rsidRPr="002343DB">
              <w:t xml:space="preserve"> baseline health state</w:t>
            </w:r>
            <w:r>
              <w:t xml:space="preserve"> (atherosclerotic disease)</w:t>
            </w:r>
            <w:r w:rsidRPr="002343DB">
              <w:t>, myocardial infarction (</w:t>
            </w:r>
            <w:r>
              <w:t xml:space="preserve">only) ischaemic </w:t>
            </w:r>
            <w:r w:rsidRPr="002343DB">
              <w:t>stroke (</w:t>
            </w:r>
            <w:r>
              <w:t>ever</w:t>
            </w:r>
            <w:r w:rsidRPr="002343DB">
              <w:t>), cardiovascular death and non-cardiovascular death</w:t>
            </w:r>
            <w:r>
              <w:t xml:space="preserve"> </w:t>
            </w:r>
          </w:p>
        </w:tc>
      </w:tr>
      <w:tr w:rsidR="002E46DD" w:rsidRPr="000937B8" w14:paraId="12B7A678" w14:textId="77777777" w:rsidTr="00BF34B1">
        <w:tc>
          <w:tcPr>
            <w:tcW w:w="1033" w:type="pct"/>
            <w:shd w:val="clear" w:color="auto" w:fill="auto"/>
            <w:vAlign w:val="center"/>
          </w:tcPr>
          <w:p w14:paraId="0BEE9BCC" w14:textId="77777777" w:rsidR="002E46DD" w:rsidRPr="000937B8" w:rsidRDefault="002E46DD" w:rsidP="00BF34B1">
            <w:pPr>
              <w:pStyle w:val="TableText"/>
              <w:rPr>
                <w:rFonts w:ascii="Times" w:eastAsia="Times New Roman" w:hAnsi="Times" w:cs="Times New Roman"/>
                <w:szCs w:val="20"/>
                <w:lang w:val="en-US"/>
              </w:rPr>
            </w:pPr>
            <w:r w:rsidRPr="000937B8">
              <w:t>Cycle length</w:t>
            </w:r>
          </w:p>
        </w:tc>
        <w:tc>
          <w:tcPr>
            <w:tcW w:w="3967" w:type="pct"/>
            <w:shd w:val="clear" w:color="auto" w:fill="auto"/>
            <w:vAlign w:val="center"/>
          </w:tcPr>
          <w:p w14:paraId="5BDB9A34" w14:textId="77777777" w:rsidR="002E46DD" w:rsidRPr="002343DB" w:rsidRDefault="002E46DD" w:rsidP="00BF34B1">
            <w:pPr>
              <w:pStyle w:val="TableText"/>
            </w:pPr>
            <w:r w:rsidRPr="002343DB">
              <w:t>Monthly</w:t>
            </w:r>
          </w:p>
        </w:tc>
      </w:tr>
      <w:tr w:rsidR="002E46DD" w:rsidRPr="000937B8" w14:paraId="6DDF1998" w14:textId="77777777" w:rsidTr="00BF34B1">
        <w:tc>
          <w:tcPr>
            <w:tcW w:w="1033" w:type="pct"/>
            <w:shd w:val="clear" w:color="auto" w:fill="auto"/>
            <w:vAlign w:val="center"/>
          </w:tcPr>
          <w:p w14:paraId="2A79FA73" w14:textId="498FC469" w:rsidR="002E46DD" w:rsidRPr="000937B8" w:rsidRDefault="002E46DD" w:rsidP="00BF34B1">
            <w:pPr>
              <w:pStyle w:val="TableText"/>
            </w:pPr>
            <w:r w:rsidRPr="000937B8">
              <w:t>Transition probabilit</w:t>
            </w:r>
            <w:r w:rsidR="00132119">
              <w:t>ies</w:t>
            </w:r>
            <w:r w:rsidRPr="000937B8">
              <w:t xml:space="preserve"> </w:t>
            </w:r>
          </w:p>
        </w:tc>
        <w:tc>
          <w:tcPr>
            <w:tcW w:w="3967" w:type="pct"/>
            <w:shd w:val="clear" w:color="auto" w:fill="auto"/>
            <w:vAlign w:val="center"/>
          </w:tcPr>
          <w:p w14:paraId="2489D1BD" w14:textId="77777777" w:rsidR="002E46DD" w:rsidRPr="00731273" w:rsidRDefault="002E46DD" w:rsidP="00BF34B1">
            <w:pPr>
              <w:pStyle w:val="TableText"/>
              <w:jc w:val="both"/>
              <w:rPr>
                <w:szCs w:val="20"/>
              </w:rPr>
            </w:pPr>
            <w:r w:rsidRPr="00731273">
              <w:rPr>
                <w:szCs w:val="20"/>
              </w:rPr>
              <w:t>Treatment reduces LDL</w:t>
            </w:r>
            <w:r w:rsidRPr="00731273">
              <w:rPr>
                <w:szCs w:val="20"/>
              </w:rPr>
              <w:noBreakHyphen/>
              <w:t>C, with a consequent change in the CHD event rate estimated using the relationship reported by CTTC.</w:t>
            </w:r>
          </w:p>
          <w:p w14:paraId="56400FD5" w14:textId="77777777" w:rsidR="002E46DD" w:rsidRPr="00731273" w:rsidRDefault="002E46DD" w:rsidP="00BF34B1">
            <w:pPr>
              <w:pStyle w:val="TableText"/>
              <w:jc w:val="both"/>
              <w:rPr>
                <w:szCs w:val="20"/>
              </w:rPr>
            </w:pPr>
            <w:r w:rsidRPr="00731273">
              <w:rPr>
                <w:szCs w:val="20"/>
              </w:rPr>
              <w:t>CHD event rate increases with age.</w:t>
            </w:r>
          </w:p>
          <w:p w14:paraId="72AC45DA" w14:textId="77777777" w:rsidR="002E46DD" w:rsidRPr="00731273" w:rsidRDefault="002E46DD" w:rsidP="00BF34B1">
            <w:pPr>
              <w:pStyle w:val="TableText"/>
              <w:jc w:val="both"/>
              <w:rPr>
                <w:szCs w:val="20"/>
              </w:rPr>
            </w:pPr>
            <w:r w:rsidRPr="00731273">
              <w:rPr>
                <w:szCs w:val="20"/>
              </w:rPr>
              <w:t>Distribution of the type of CHD events based on outcomes in FOURIER, with the odds of death for a CHD event increasing with age.</w:t>
            </w:r>
          </w:p>
          <w:p w14:paraId="5600B67A" w14:textId="77777777" w:rsidR="002E46DD" w:rsidRPr="00731273" w:rsidRDefault="002E46DD" w:rsidP="00BF34B1">
            <w:pPr>
              <w:pStyle w:val="TableText"/>
              <w:jc w:val="both"/>
              <w:rPr>
                <w:szCs w:val="20"/>
              </w:rPr>
            </w:pPr>
            <w:r w:rsidRPr="00731273">
              <w:rPr>
                <w:szCs w:val="20"/>
              </w:rPr>
              <w:t>Non-CHD death event rate estimated from Australian cause-specific death rates.</w:t>
            </w:r>
          </w:p>
          <w:p w14:paraId="746550F1" w14:textId="77777777" w:rsidR="002E46DD" w:rsidRPr="00B50409" w:rsidRDefault="002E46DD" w:rsidP="00BF34B1">
            <w:pPr>
              <w:rPr>
                <w:rFonts w:ascii="Arial Narrow" w:hAnsi="Arial Narrow"/>
                <w:sz w:val="20"/>
                <w:szCs w:val="20"/>
                <w:highlight w:val="yellow"/>
              </w:rPr>
            </w:pPr>
            <w:r w:rsidRPr="00731273">
              <w:rPr>
                <w:rFonts w:ascii="Arial Narrow" w:hAnsi="Arial Narrow"/>
                <w:sz w:val="20"/>
                <w:szCs w:val="20"/>
              </w:rPr>
              <w:t>Event rates in each monthly cycle are transformed to transition probabilities.</w:t>
            </w:r>
          </w:p>
        </w:tc>
      </w:tr>
      <w:tr w:rsidR="008D14E6" w:rsidRPr="000937B8" w14:paraId="57347453" w14:textId="77777777" w:rsidTr="00BF34B1">
        <w:tc>
          <w:tcPr>
            <w:tcW w:w="1033" w:type="pct"/>
            <w:shd w:val="clear" w:color="auto" w:fill="auto"/>
            <w:vAlign w:val="center"/>
          </w:tcPr>
          <w:p w14:paraId="2DE02BC4" w14:textId="1800FDA2" w:rsidR="008D14E6" w:rsidRPr="000937B8" w:rsidRDefault="008D14E6" w:rsidP="008D14E6">
            <w:pPr>
              <w:pStyle w:val="TableText"/>
            </w:pPr>
            <w:r>
              <w:t>Drug costs</w:t>
            </w:r>
          </w:p>
        </w:tc>
        <w:tc>
          <w:tcPr>
            <w:tcW w:w="3967" w:type="pct"/>
            <w:shd w:val="clear" w:color="auto" w:fill="auto"/>
            <w:vAlign w:val="center"/>
          </w:tcPr>
          <w:p w14:paraId="0BFBD559" w14:textId="4CE72A40" w:rsidR="008D14E6" w:rsidRPr="00731273" w:rsidRDefault="008D14E6" w:rsidP="008D14E6">
            <w:pPr>
              <w:pStyle w:val="TableText"/>
              <w:jc w:val="both"/>
              <w:rPr>
                <w:szCs w:val="20"/>
              </w:rPr>
            </w:pPr>
            <w:r w:rsidRPr="008C5EA9">
              <w:t>Based on proposed effective PBS price for evolocumab</w:t>
            </w:r>
          </w:p>
        </w:tc>
      </w:tr>
      <w:tr w:rsidR="00351F87" w:rsidRPr="000937B8" w14:paraId="224376D1" w14:textId="77777777" w:rsidTr="00BF34B1">
        <w:tc>
          <w:tcPr>
            <w:tcW w:w="1033" w:type="pct"/>
            <w:shd w:val="clear" w:color="auto" w:fill="auto"/>
            <w:vAlign w:val="center"/>
          </w:tcPr>
          <w:p w14:paraId="683B0E55" w14:textId="3ECCC81A" w:rsidR="00351F87" w:rsidRDefault="00351F87" w:rsidP="008D14E6">
            <w:pPr>
              <w:pStyle w:val="TableText"/>
            </w:pPr>
            <w:r>
              <w:t>Acute event costs and health state costs</w:t>
            </w:r>
          </w:p>
        </w:tc>
        <w:tc>
          <w:tcPr>
            <w:tcW w:w="3967" w:type="pct"/>
            <w:shd w:val="clear" w:color="auto" w:fill="auto"/>
            <w:vAlign w:val="center"/>
          </w:tcPr>
          <w:p w14:paraId="3CA1B257" w14:textId="7844599A" w:rsidR="00351F87" w:rsidRPr="008C5EA9" w:rsidRDefault="00351F87" w:rsidP="008D14E6">
            <w:pPr>
              <w:pStyle w:val="TableText"/>
              <w:jc w:val="both"/>
            </w:pPr>
            <w:r>
              <w:t xml:space="preserve">Based on </w:t>
            </w:r>
            <w:r w:rsidR="00ED538D">
              <w:t>PBS Statin Review (2012)</w:t>
            </w:r>
          </w:p>
        </w:tc>
      </w:tr>
      <w:tr w:rsidR="008D14E6" w:rsidRPr="000937B8" w14:paraId="6F0E0F1F" w14:textId="77777777" w:rsidTr="00BF34B1">
        <w:tc>
          <w:tcPr>
            <w:tcW w:w="1033" w:type="pct"/>
            <w:shd w:val="clear" w:color="auto" w:fill="auto"/>
            <w:vAlign w:val="center"/>
          </w:tcPr>
          <w:p w14:paraId="6488B8DC" w14:textId="33E056C5" w:rsidR="008D14E6" w:rsidRPr="000937B8" w:rsidRDefault="008D14E6" w:rsidP="008D14E6">
            <w:pPr>
              <w:pStyle w:val="TableText"/>
            </w:pPr>
            <w:r>
              <w:t>Utilities</w:t>
            </w:r>
          </w:p>
        </w:tc>
        <w:tc>
          <w:tcPr>
            <w:tcW w:w="3967" w:type="pct"/>
            <w:shd w:val="clear" w:color="auto" w:fill="auto"/>
            <w:vAlign w:val="center"/>
          </w:tcPr>
          <w:p w14:paraId="6C28A9FC" w14:textId="0A95CD53" w:rsidR="008D14E6" w:rsidRPr="00731273" w:rsidRDefault="008D14E6" w:rsidP="008D14E6">
            <w:pPr>
              <w:pStyle w:val="TableText"/>
              <w:jc w:val="both"/>
              <w:rPr>
                <w:szCs w:val="20"/>
              </w:rPr>
            </w:pPr>
            <w:r>
              <w:rPr>
                <w:szCs w:val="20"/>
              </w:rPr>
              <w:t>Based on PBS Statin Review (2012)</w:t>
            </w:r>
          </w:p>
        </w:tc>
      </w:tr>
      <w:tr w:rsidR="008D14E6" w:rsidRPr="000937B8" w14:paraId="7EBA5579" w14:textId="77777777" w:rsidTr="00BF34B1">
        <w:tc>
          <w:tcPr>
            <w:tcW w:w="1033" w:type="pct"/>
            <w:shd w:val="clear" w:color="auto" w:fill="auto"/>
            <w:vAlign w:val="center"/>
          </w:tcPr>
          <w:p w14:paraId="22E5D9BA" w14:textId="77777777" w:rsidR="008D14E6" w:rsidRPr="000937B8" w:rsidRDefault="008D14E6" w:rsidP="008D14E6">
            <w:pPr>
              <w:pStyle w:val="TableText"/>
            </w:pPr>
            <w:r>
              <w:t>Discount rate</w:t>
            </w:r>
          </w:p>
        </w:tc>
        <w:tc>
          <w:tcPr>
            <w:tcW w:w="3967" w:type="pct"/>
            <w:shd w:val="clear" w:color="auto" w:fill="auto"/>
            <w:vAlign w:val="center"/>
          </w:tcPr>
          <w:p w14:paraId="66DE71A3" w14:textId="77777777" w:rsidR="008D14E6" w:rsidRPr="00FC7A10" w:rsidRDefault="008D14E6" w:rsidP="008D14E6">
            <w:pPr>
              <w:pStyle w:val="TableText"/>
            </w:pPr>
            <w:r w:rsidRPr="00FC7A10">
              <w:t>5% for costs and outcomes</w:t>
            </w:r>
          </w:p>
        </w:tc>
      </w:tr>
      <w:tr w:rsidR="008D14E6" w:rsidRPr="000937B8" w14:paraId="0FB2A39A" w14:textId="77777777" w:rsidTr="00BF34B1">
        <w:tc>
          <w:tcPr>
            <w:tcW w:w="1033" w:type="pct"/>
            <w:shd w:val="clear" w:color="auto" w:fill="auto"/>
            <w:vAlign w:val="center"/>
          </w:tcPr>
          <w:p w14:paraId="4D6E0C4D" w14:textId="77777777" w:rsidR="008D14E6" w:rsidRPr="000937B8" w:rsidRDefault="008D14E6" w:rsidP="008D14E6">
            <w:pPr>
              <w:pStyle w:val="TableText"/>
              <w:rPr>
                <w:rFonts w:ascii="Times" w:eastAsia="Times New Roman" w:hAnsi="Times" w:cs="Times New Roman"/>
                <w:szCs w:val="20"/>
                <w:lang w:val="en-US"/>
              </w:rPr>
            </w:pPr>
            <w:r w:rsidRPr="000937B8">
              <w:t>Software package</w:t>
            </w:r>
          </w:p>
        </w:tc>
        <w:tc>
          <w:tcPr>
            <w:tcW w:w="3967" w:type="pct"/>
            <w:shd w:val="clear" w:color="auto" w:fill="auto"/>
            <w:vAlign w:val="center"/>
          </w:tcPr>
          <w:p w14:paraId="11DABDDE" w14:textId="77777777" w:rsidR="008D14E6" w:rsidRPr="00FC7A10" w:rsidRDefault="008D14E6" w:rsidP="008D14E6">
            <w:pPr>
              <w:pStyle w:val="TableText"/>
            </w:pPr>
            <w:r w:rsidRPr="00FC7A10">
              <w:t>Excel 2010</w:t>
            </w:r>
          </w:p>
        </w:tc>
      </w:tr>
    </w:tbl>
    <w:p w14:paraId="533AF607" w14:textId="77777777" w:rsidR="002E46DD" w:rsidRDefault="002E46DD" w:rsidP="00293F12">
      <w:pPr>
        <w:pStyle w:val="TableFigureFooter"/>
      </w:pPr>
      <w:r w:rsidRPr="000C0AFA">
        <w:t xml:space="preserve">Source: </w:t>
      </w:r>
      <w:r>
        <w:t>Table 3.1-1, p32 of the submission</w:t>
      </w:r>
    </w:p>
    <w:p w14:paraId="14C1E8F9" w14:textId="17FD5565" w:rsidR="00275C5A" w:rsidRPr="002E46DD" w:rsidRDefault="002E46DD" w:rsidP="00293F12">
      <w:pPr>
        <w:pStyle w:val="TableFigureFooter"/>
      </w:pPr>
      <w:r>
        <w:t xml:space="preserve">Abbreviations: CTTC, </w:t>
      </w:r>
      <w:r w:rsidRPr="003A6304">
        <w:t>Cholesterol Treatment Trialists’ Collaborators</w:t>
      </w:r>
      <w:r>
        <w:t>; IS, ischaemic stroke; LDL, low density lipoprotein cholesterol; MI, myocardial infarction</w:t>
      </w:r>
    </w:p>
    <w:p w14:paraId="622C6D0B" w14:textId="0EB11E01" w:rsidR="00F157AD" w:rsidRPr="00FF4735" w:rsidRDefault="00F157AD" w:rsidP="00450D89">
      <w:pPr>
        <w:pStyle w:val="ExecSumBodyText"/>
        <w:rPr>
          <w:iCs/>
        </w:rPr>
      </w:pPr>
      <w:bookmarkStart w:id="42" w:name="_Ref109302971"/>
      <w:r w:rsidRPr="00FF4735">
        <w:rPr>
          <w:iCs/>
        </w:rPr>
        <w:t xml:space="preserve">The submission did not assess the cost-effectiveness of early treatment with evolocumab under the proposed listing versus delayed treatment with evolocumab </w:t>
      </w:r>
      <w:r w:rsidRPr="00FF4735">
        <w:rPr>
          <w:iCs/>
        </w:rPr>
        <w:lastRenderedPageBreak/>
        <w:t xml:space="preserve">under the existing listing. </w:t>
      </w:r>
      <w:r w:rsidR="000D0995" w:rsidRPr="001F281D">
        <w:rPr>
          <w:iCs/>
        </w:rPr>
        <w:t xml:space="preserve">The ESC considered a marginal </w:t>
      </w:r>
      <w:r w:rsidR="000101A5" w:rsidRPr="001F281D">
        <w:rPr>
          <w:iCs/>
        </w:rPr>
        <w:t xml:space="preserve">cost-effectiveness </w:t>
      </w:r>
      <w:r w:rsidR="000D0995" w:rsidRPr="001F281D">
        <w:rPr>
          <w:iCs/>
        </w:rPr>
        <w:t>analysis may have been informative</w:t>
      </w:r>
      <w:r w:rsidR="000101A5" w:rsidRPr="001F281D">
        <w:rPr>
          <w:iCs/>
        </w:rPr>
        <w:t>, as the current submission represents a threshold expansion</w:t>
      </w:r>
      <w:r w:rsidR="008070DB">
        <w:rPr>
          <w:iCs/>
        </w:rPr>
        <w:t>.  P</w:t>
      </w:r>
      <w:r w:rsidR="000D0995" w:rsidRPr="001F281D">
        <w:rPr>
          <w:iCs/>
        </w:rPr>
        <w:t>atients in the comparator arm close to qualifying under the current LDL</w:t>
      </w:r>
      <w:r w:rsidR="000101A5" w:rsidRPr="001F281D">
        <w:rPr>
          <w:iCs/>
        </w:rPr>
        <w:noBreakHyphen/>
      </w:r>
      <w:r w:rsidR="000D0995" w:rsidRPr="001F281D">
        <w:rPr>
          <w:iCs/>
        </w:rPr>
        <w:t>C criteria</w:t>
      </w:r>
      <w:r w:rsidR="008070DB">
        <w:rPr>
          <w:iCs/>
        </w:rPr>
        <w:t>,</w:t>
      </w:r>
      <w:r w:rsidR="000D0995" w:rsidRPr="001F281D">
        <w:rPr>
          <w:iCs/>
        </w:rPr>
        <w:t xml:space="preserve"> but not adequately responding to optimised background treatment might present with higher LDL-C with repeated testing, and thus become eligible for evolocumab over time at the current 2.6 mmol/L LDL-C criteria. </w:t>
      </w:r>
      <w:r w:rsidRPr="00FF4735">
        <w:rPr>
          <w:iCs/>
        </w:rPr>
        <w:t xml:space="preserve">The model </w:t>
      </w:r>
      <w:r w:rsidR="00C86303">
        <w:rPr>
          <w:iCs/>
        </w:rPr>
        <w:t>did</w:t>
      </w:r>
      <w:r w:rsidR="00C86303" w:rsidRPr="00FF4735">
        <w:rPr>
          <w:iCs/>
        </w:rPr>
        <w:t xml:space="preserve"> </w:t>
      </w:r>
      <w:r w:rsidRPr="00FF4735">
        <w:rPr>
          <w:iCs/>
        </w:rPr>
        <w:t xml:space="preserve">not explicitly track </w:t>
      </w:r>
      <w:r w:rsidR="00C5262A" w:rsidRPr="00FF4735">
        <w:rPr>
          <w:iCs/>
        </w:rPr>
        <w:t xml:space="preserve">LDL-C </w:t>
      </w:r>
      <w:r w:rsidRPr="00FF4735">
        <w:rPr>
          <w:iCs/>
        </w:rPr>
        <w:t>levels.</w:t>
      </w:r>
      <w:r w:rsidR="00975D68">
        <w:rPr>
          <w:iCs/>
        </w:rPr>
        <w:t xml:space="preserve"> </w:t>
      </w:r>
      <w:r w:rsidR="00206772" w:rsidRPr="001F281D">
        <w:rPr>
          <w:iCs/>
        </w:rPr>
        <w:t>The PSCR commented LDL-C would be very stable over time in an individual patient on maximum tolerated doses of statins and ezetimibe.</w:t>
      </w:r>
      <w:r w:rsidR="00D929EA" w:rsidRPr="001F281D">
        <w:rPr>
          <w:iCs/>
        </w:rPr>
        <w:t xml:space="preserve">  However, the ESC noted that there were variations in LDL-C over time that would potentially affect eligibility for evolocumab.</w:t>
      </w:r>
      <w:bookmarkEnd w:id="42"/>
    </w:p>
    <w:p w14:paraId="01C86EEE" w14:textId="06E72ECE" w:rsidR="00450D89" w:rsidRDefault="000101A5" w:rsidP="009C1FBD">
      <w:pPr>
        <w:pStyle w:val="ExecSumBodyText"/>
      </w:pPr>
      <w:r>
        <w:t>Mean b</w:t>
      </w:r>
      <w:r w:rsidR="00367788" w:rsidRPr="00367788">
        <w:t>aseline LDL-C</w:t>
      </w:r>
      <w:r>
        <w:t xml:space="preserve"> level (and corresponding </w:t>
      </w:r>
      <w:r w:rsidR="00367788" w:rsidRPr="00367788">
        <w:t>cardiovascular risk</w:t>
      </w:r>
      <w:r>
        <w:t>)</w:t>
      </w:r>
      <w:r w:rsidR="0084612A">
        <w:t xml:space="preserve"> </w:t>
      </w:r>
      <w:r w:rsidR="00367788">
        <w:t>was the k</w:t>
      </w:r>
      <w:r w:rsidR="00450D89" w:rsidRPr="00EF4C55">
        <w:t xml:space="preserve">ey driver of </w:t>
      </w:r>
      <w:r w:rsidR="0084612A">
        <w:t>interest, as</w:t>
      </w:r>
      <w:r w:rsidR="0084612A" w:rsidRPr="00EF4C55">
        <w:t xml:space="preserve"> summarised in </w:t>
      </w:r>
      <w:r w:rsidR="0084612A">
        <w:fldChar w:fldCharType="begin"/>
      </w:r>
      <w:r w:rsidR="0084612A">
        <w:instrText xml:space="preserve"> REF _Ref102472932 \h </w:instrText>
      </w:r>
      <w:r w:rsidR="0084612A">
        <w:fldChar w:fldCharType="separate"/>
      </w:r>
      <w:r w:rsidR="00EB7F7C" w:rsidRPr="00BB00B3">
        <w:t xml:space="preserve">Table </w:t>
      </w:r>
      <w:r w:rsidR="00EB7F7C">
        <w:rPr>
          <w:noProof/>
        </w:rPr>
        <w:t>11</w:t>
      </w:r>
      <w:r w:rsidR="0084612A">
        <w:fldChar w:fldCharType="end"/>
      </w:r>
      <w:r w:rsidR="0084612A" w:rsidRPr="00EF4C55">
        <w:t xml:space="preserve"> below</w:t>
      </w:r>
      <w:r w:rsidR="0084612A">
        <w:t>,</w:t>
      </w:r>
      <w:r w:rsidR="0084612A" w:rsidRPr="00367788">
        <w:t xml:space="preserve"> </w:t>
      </w:r>
      <w:r w:rsidR="0084612A">
        <w:t xml:space="preserve">given </w:t>
      </w:r>
      <w:r w:rsidR="00450D89" w:rsidRPr="00EF4C55">
        <w:t>the economic model</w:t>
      </w:r>
      <w:r w:rsidR="0084612A">
        <w:t xml:space="preserve"> was </w:t>
      </w:r>
      <w:r w:rsidR="00494577">
        <w:t xml:space="preserve">otherwise </w:t>
      </w:r>
      <w:r w:rsidR="0084612A">
        <w:t xml:space="preserve">essentially unchanged from that </w:t>
      </w:r>
      <w:r w:rsidR="00494577">
        <w:t>accepted in the November 2019 recommendation</w:t>
      </w:r>
      <w:r w:rsidR="0084612A">
        <w:t>.</w:t>
      </w:r>
    </w:p>
    <w:p w14:paraId="774D46B7" w14:textId="6DFB4670" w:rsidR="00D110BD" w:rsidRPr="00BB00B3" w:rsidRDefault="00D110BD" w:rsidP="0084612A">
      <w:pPr>
        <w:pStyle w:val="TableFigureCaption"/>
      </w:pPr>
      <w:bookmarkStart w:id="43" w:name="_Ref102472932"/>
      <w:r w:rsidRPr="00BB00B3">
        <w:t xml:space="preserve">Table </w:t>
      </w:r>
      <w:fldSimple w:instr=" SEQ Table \* ARABIC ">
        <w:r w:rsidR="00EB7F7C">
          <w:rPr>
            <w:noProof/>
          </w:rPr>
          <w:t>11</w:t>
        </w:r>
      </w:fldSimple>
      <w:bookmarkEnd w:id="43"/>
      <w:r w:rsidRPr="00BB00B3">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1: Key drivers of the model"/>
      </w:tblPr>
      <w:tblGrid>
        <w:gridCol w:w="1295"/>
        <w:gridCol w:w="6472"/>
        <w:gridCol w:w="1250"/>
      </w:tblGrid>
      <w:tr w:rsidR="00887571" w:rsidRPr="003D1DE4" w14:paraId="397272E9" w14:textId="77777777" w:rsidTr="00BF34B1">
        <w:trPr>
          <w:tblHeader/>
        </w:trPr>
        <w:tc>
          <w:tcPr>
            <w:tcW w:w="718" w:type="pct"/>
            <w:shd w:val="clear" w:color="auto" w:fill="auto"/>
            <w:vAlign w:val="center"/>
          </w:tcPr>
          <w:p w14:paraId="04AB3BA7" w14:textId="77777777" w:rsidR="00887571" w:rsidRPr="003D1DE4" w:rsidRDefault="00887571" w:rsidP="008B081E">
            <w:pPr>
              <w:pStyle w:val="Tabletext0"/>
              <w:keepNext/>
              <w:rPr>
                <w:b/>
                <w:lang w:val="en-US"/>
              </w:rPr>
            </w:pPr>
            <w:r w:rsidRPr="003D1DE4">
              <w:rPr>
                <w:b/>
                <w:lang w:val="en-US"/>
              </w:rPr>
              <w:t>Description</w:t>
            </w:r>
          </w:p>
        </w:tc>
        <w:tc>
          <w:tcPr>
            <w:tcW w:w="3589" w:type="pct"/>
            <w:shd w:val="clear" w:color="auto" w:fill="auto"/>
            <w:vAlign w:val="center"/>
          </w:tcPr>
          <w:p w14:paraId="381C2878" w14:textId="77777777" w:rsidR="00887571" w:rsidRPr="003D1DE4" w:rsidRDefault="00887571" w:rsidP="008B081E">
            <w:pPr>
              <w:pStyle w:val="Tabletext0"/>
              <w:keepNext/>
              <w:jc w:val="center"/>
              <w:rPr>
                <w:b/>
                <w:lang w:val="en-US"/>
              </w:rPr>
            </w:pPr>
            <w:r w:rsidRPr="003D1DE4">
              <w:rPr>
                <w:b/>
                <w:lang w:val="en-US"/>
              </w:rPr>
              <w:t>Method/Value</w:t>
            </w:r>
          </w:p>
        </w:tc>
        <w:tc>
          <w:tcPr>
            <w:tcW w:w="693" w:type="pct"/>
            <w:shd w:val="clear" w:color="auto" w:fill="auto"/>
            <w:vAlign w:val="center"/>
          </w:tcPr>
          <w:p w14:paraId="2B496347" w14:textId="77777777" w:rsidR="00887571" w:rsidRPr="003D1DE4" w:rsidRDefault="00887571" w:rsidP="008B081E">
            <w:pPr>
              <w:pStyle w:val="Tabletext0"/>
              <w:keepNext/>
              <w:jc w:val="center"/>
              <w:rPr>
                <w:b/>
                <w:lang w:val="en-US"/>
              </w:rPr>
            </w:pPr>
            <w:r w:rsidRPr="003D1DE4">
              <w:rPr>
                <w:b/>
                <w:lang w:val="en-US"/>
              </w:rPr>
              <w:t>Impact</w:t>
            </w:r>
          </w:p>
        </w:tc>
      </w:tr>
      <w:tr w:rsidR="00887571" w14:paraId="6EA968EB" w14:textId="77777777" w:rsidTr="00BF34B1">
        <w:tc>
          <w:tcPr>
            <w:tcW w:w="718" w:type="pct"/>
            <w:shd w:val="clear" w:color="auto" w:fill="auto"/>
            <w:vAlign w:val="center"/>
          </w:tcPr>
          <w:p w14:paraId="76AF1F7F" w14:textId="255689E5" w:rsidR="00887571" w:rsidRDefault="00887571" w:rsidP="008B081E">
            <w:pPr>
              <w:pStyle w:val="Tabletext0"/>
              <w:keepNext/>
              <w:rPr>
                <w:lang w:val="en-US"/>
              </w:rPr>
            </w:pPr>
            <w:bookmarkStart w:id="44" w:name="_Hlk105596642"/>
            <w:r w:rsidRPr="004040F1">
              <w:rPr>
                <w:szCs w:val="20"/>
              </w:rPr>
              <w:t>Baseline LDL</w:t>
            </w:r>
            <w:r w:rsidR="00C5262A">
              <w:rPr>
                <w:szCs w:val="20"/>
              </w:rPr>
              <w:t>-C</w:t>
            </w:r>
            <w:r w:rsidRPr="004040F1">
              <w:rPr>
                <w:szCs w:val="20"/>
              </w:rPr>
              <w:t>/</w:t>
            </w:r>
            <w:r>
              <w:rPr>
                <w:szCs w:val="20"/>
              </w:rPr>
              <w:t xml:space="preserve"> </w:t>
            </w:r>
            <w:r w:rsidRPr="004040F1">
              <w:rPr>
                <w:szCs w:val="20"/>
              </w:rPr>
              <w:t>cardiovascular risk</w:t>
            </w:r>
            <w:bookmarkEnd w:id="44"/>
          </w:p>
        </w:tc>
        <w:tc>
          <w:tcPr>
            <w:tcW w:w="3589" w:type="pct"/>
            <w:shd w:val="clear" w:color="auto" w:fill="auto"/>
            <w:vAlign w:val="center"/>
          </w:tcPr>
          <w:p w14:paraId="37583696" w14:textId="2832FA6F" w:rsidR="00887571" w:rsidRPr="00036104" w:rsidRDefault="00887571" w:rsidP="008B081E">
            <w:pPr>
              <w:keepNext/>
              <w:rPr>
                <w:rFonts w:ascii="Arial Narrow" w:hAnsi="Arial Narrow"/>
                <w:sz w:val="20"/>
                <w:szCs w:val="20"/>
              </w:rPr>
            </w:pPr>
            <w:r w:rsidRPr="00036104">
              <w:rPr>
                <w:rFonts w:ascii="Arial Narrow" w:hAnsi="Arial Narrow"/>
                <w:sz w:val="20"/>
                <w:szCs w:val="20"/>
              </w:rPr>
              <w:t xml:space="preserve">The mean baseline </w:t>
            </w:r>
            <w:r w:rsidR="00C5262A">
              <w:rPr>
                <w:rFonts w:ascii="Arial Narrow" w:hAnsi="Arial Narrow"/>
                <w:sz w:val="20"/>
                <w:szCs w:val="20"/>
              </w:rPr>
              <w:t xml:space="preserve">LDL-C </w:t>
            </w:r>
            <w:r w:rsidRPr="00036104">
              <w:rPr>
                <w:rFonts w:ascii="Arial Narrow" w:hAnsi="Arial Narrow"/>
                <w:sz w:val="20"/>
                <w:szCs w:val="20"/>
              </w:rPr>
              <w:t xml:space="preserve">in the expanded population with baseline </w:t>
            </w:r>
            <w:r w:rsidR="00C5262A">
              <w:rPr>
                <w:rFonts w:ascii="Arial Narrow" w:hAnsi="Arial Narrow"/>
                <w:sz w:val="20"/>
                <w:szCs w:val="20"/>
              </w:rPr>
              <w:t xml:space="preserve">LDL-C </w:t>
            </w:r>
            <w:r w:rsidRPr="00036104">
              <w:rPr>
                <w:rFonts w:ascii="Arial Narrow" w:hAnsi="Arial Narrow"/>
                <w:sz w:val="20"/>
                <w:szCs w:val="20"/>
              </w:rPr>
              <w:t>between 1.8 and 2.6 mmol/L was estimated from a new, sponsor-commissioned study of Australian GP consultations collected via the IQVIA database. The analysis</w:t>
            </w:r>
            <w:r w:rsidR="005D1E88">
              <w:rPr>
                <w:rFonts w:ascii="Arial Narrow" w:hAnsi="Arial Narrow"/>
                <w:sz w:val="20"/>
                <w:szCs w:val="20"/>
              </w:rPr>
              <w:t xml:space="preserve"> of </w:t>
            </w:r>
            <w:r w:rsidR="00621C8E">
              <w:rPr>
                <w:rFonts w:ascii="Arial Narrow" w:hAnsi="Arial Narrow"/>
                <w:sz w:val="20"/>
                <w:szCs w:val="20"/>
              </w:rPr>
              <w:t xml:space="preserve">778,107 </w:t>
            </w:r>
            <w:r w:rsidR="00994E6E">
              <w:rPr>
                <w:rFonts w:ascii="Arial Narrow" w:hAnsi="Arial Narrow"/>
                <w:sz w:val="20"/>
                <w:szCs w:val="20"/>
              </w:rPr>
              <w:t>total patients</w:t>
            </w:r>
            <w:r w:rsidRPr="00036104">
              <w:rPr>
                <w:rFonts w:ascii="Arial Narrow" w:hAnsi="Arial Narrow"/>
                <w:sz w:val="20"/>
                <w:szCs w:val="20"/>
              </w:rPr>
              <w:t xml:space="preserve"> identified</w:t>
            </w:r>
            <w:r w:rsidR="00E94BE1">
              <w:rPr>
                <w:rFonts w:ascii="Arial Narrow" w:hAnsi="Arial Narrow"/>
                <w:sz w:val="20"/>
                <w:szCs w:val="20"/>
              </w:rPr>
              <w:t xml:space="preserve"> a subset of 331 patients</w:t>
            </w:r>
            <w:r w:rsidRPr="00036104">
              <w:rPr>
                <w:rFonts w:ascii="Arial Narrow" w:hAnsi="Arial Narrow"/>
                <w:sz w:val="20"/>
                <w:szCs w:val="20"/>
              </w:rPr>
              <w:t xml:space="preserve"> with recorded diagnoses of MI, stroke, PAD, or ‘other CHD’, treated with ezetimibe with or without a concomitant statin, who had an </w:t>
            </w:r>
            <w:r w:rsidR="00C5262A">
              <w:rPr>
                <w:rFonts w:ascii="Arial Narrow" w:hAnsi="Arial Narrow"/>
                <w:sz w:val="20"/>
                <w:szCs w:val="20"/>
              </w:rPr>
              <w:t xml:space="preserve">LDL-C </w:t>
            </w:r>
            <w:r w:rsidRPr="00036104">
              <w:rPr>
                <w:rFonts w:ascii="Arial Narrow" w:hAnsi="Arial Narrow"/>
                <w:sz w:val="20"/>
                <w:szCs w:val="20"/>
              </w:rPr>
              <w:t xml:space="preserve">measurement between 1.8 and 2.6 mmol/L, recorded </w:t>
            </w:r>
            <w:r w:rsidR="00975D68">
              <w:rPr>
                <w:rFonts w:ascii="Arial Narrow" w:hAnsi="Arial Narrow"/>
                <w:sz w:val="20"/>
                <w:szCs w:val="20"/>
              </w:rPr>
              <w:t>one</w:t>
            </w:r>
            <w:r w:rsidR="00322DF0" w:rsidRPr="00036104">
              <w:rPr>
                <w:rFonts w:ascii="Arial Narrow" w:hAnsi="Arial Narrow"/>
                <w:sz w:val="20"/>
                <w:szCs w:val="20"/>
              </w:rPr>
              <w:t xml:space="preserve"> </w:t>
            </w:r>
            <w:r w:rsidRPr="00036104">
              <w:rPr>
                <w:rFonts w:ascii="Arial Narrow" w:hAnsi="Arial Narrow"/>
                <w:sz w:val="20"/>
                <w:szCs w:val="20"/>
              </w:rPr>
              <w:t xml:space="preserve">to </w:t>
            </w:r>
            <w:r w:rsidR="00322DF0">
              <w:rPr>
                <w:rFonts w:ascii="Arial Narrow" w:hAnsi="Arial Narrow"/>
                <w:sz w:val="20"/>
                <w:szCs w:val="20"/>
              </w:rPr>
              <w:t>6</w:t>
            </w:r>
            <w:r w:rsidR="00322DF0" w:rsidRPr="00036104">
              <w:rPr>
                <w:rFonts w:ascii="Arial Narrow" w:hAnsi="Arial Narrow"/>
                <w:sz w:val="20"/>
                <w:szCs w:val="20"/>
              </w:rPr>
              <w:t xml:space="preserve"> </w:t>
            </w:r>
            <w:r w:rsidRPr="00036104">
              <w:rPr>
                <w:rFonts w:ascii="Arial Narrow" w:hAnsi="Arial Narrow"/>
                <w:sz w:val="20"/>
                <w:szCs w:val="20"/>
              </w:rPr>
              <w:t xml:space="preserve">months after receiving a script for lipid lowering therapy. The distribution of </w:t>
            </w:r>
            <w:r w:rsidR="00C5262A">
              <w:rPr>
                <w:rFonts w:ascii="Arial Narrow" w:hAnsi="Arial Narrow"/>
                <w:sz w:val="20"/>
                <w:szCs w:val="20"/>
              </w:rPr>
              <w:t xml:space="preserve">LDL-C </w:t>
            </w:r>
            <w:r w:rsidRPr="00036104">
              <w:rPr>
                <w:rFonts w:ascii="Arial Narrow" w:hAnsi="Arial Narrow"/>
                <w:sz w:val="20"/>
                <w:szCs w:val="20"/>
              </w:rPr>
              <w:t>levels among these patients was combined with assumed uptake rates (</w:t>
            </w:r>
            <w:r>
              <w:rPr>
                <w:rFonts w:ascii="Arial Narrow" w:hAnsi="Arial Narrow"/>
                <w:sz w:val="20"/>
                <w:szCs w:val="20"/>
              </w:rPr>
              <w:t xml:space="preserve">ranging </w:t>
            </w:r>
            <w:r w:rsidRPr="00036104">
              <w:rPr>
                <w:rFonts w:ascii="Arial Narrow" w:hAnsi="Arial Narrow"/>
                <w:sz w:val="20"/>
                <w:szCs w:val="20"/>
              </w:rPr>
              <w:t xml:space="preserve">from 5% for those with </w:t>
            </w:r>
            <w:r w:rsidR="00C5262A">
              <w:rPr>
                <w:rFonts w:ascii="Arial Narrow" w:hAnsi="Arial Narrow"/>
                <w:sz w:val="20"/>
                <w:szCs w:val="20"/>
              </w:rPr>
              <w:t xml:space="preserve">LDL-C </w:t>
            </w:r>
            <w:r w:rsidRPr="00036104">
              <w:rPr>
                <w:rFonts w:ascii="Arial Narrow" w:hAnsi="Arial Narrow"/>
                <w:sz w:val="20"/>
                <w:szCs w:val="20"/>
              </w:rPr>
              <w:t>1.8</w:t>
            </w:r>
            <w:r w:rsidR="00975D68">
              <w:rPr>
                <w:rFonts w:ascii="Arial Narrow" w:hAnsi="Arial Narrow"/>
                <w:sz w:val="20"/>
                <w:szCs w:val="20"/>
              </w:rPr>
              <w:t> </w:t>
            </w:r>
            <w:r w:rsidRPr="00036104">
              <w:rPr>
                <w:rFonts w:ascii="Arial Narrow" w:hAnsi="Arial Narrow"/>
                <w:sz w:val="20"/>
                <w:szCs w:val="20"/>
              </w:rPr>
              <w:t xml:space="preserve">mmol/L to 60% for those with </w:t>
            </w:r>
            <w:r w:rsidR="00C5262A">
              <w:rPr>
                <w:rFonts w:ascii="Arial Narrow" w:hAnsi="Arial Narrow"/>
                <w:sz w:val="20"/>
                <w:szCs w:val="20"/>
              </w:rPr>
              <w:t xml:space="preserve">LDL-C </w:t>
            </w:r>
            <w:r w:rsidRPr="00036104">
              <w:rPr>
                <w:rFonts w:ascii="Arial Narrow" w:hAnsi="Arial Narrow"/>
                <w:sz w:val="20"/>
                <w:szCs w:val="20"/>
              </w:rPr>
              <w:t xml:space="preserve">2.6 mmol/L) to generate a weighted average </w:t>
            </w:r>
            <w:r w:rsidR="00C5262A">
              <w:rPr>
                <w:rFonts w:ascii="Arial Narrow" w:hAnsi="Arial Narrow"/>
                <w:sz w:val="20"/>
                <w:szCs w:val="20"/>
              </w:rPr>
              <w:t xml:space="preserve">LDL-C </w:t>
            </w:r>
            <w:r w:rsidRPr="00036104">
              <w:rPr>
                <w:rFonts w:ascii="Arial Narrow" w:hAnsi="Arial Narrow"/>
                <w:sz w:val="20"/>
                <w:szCs w:val="20"/>
              </w:rPr>
              <w:t>o</w:t>
            </w:r>
            <w:r>
              <w:rPr>
                <w:rFonts w:ascii="Arial Narrow" w:hAnsi="Arial Narrow"/>
                <w:sz w:val="20"/>
                <w:szCs w:val="20"/>
              </w:rPr>
              <w:t>f</w:t>
            </w:r>
            <w:r w:rsidRPr="00036104">
              <w:rPr>
                <w:rFonts w:ascii="Arial Narrow" w:hAnsi="Arial Narrow"/>
                <w:sz w:val="20"/>
                <w:szCs w:val="20"/>
              </w:rPr>
              <w:t xml:space="preserve"> 2.325 mmol/L.</w:t>
            </w:r>
          </w:p>
          <w:p w14:paraId="4E32DE40" w14:textId="77777777" w:rsidR="00887571" w:rsidRPr="00FF4735" w:rsidRDefault="00887571" w:rsidP="008B081E">
            <w:pPr>
              <w:pStyle w:val="CommentText"/>
              <w:keepNext/>
              <w:rPr>
                <w:rFonts w:ascii="Arial Narrow" w:hAnsi="Arial Narrow"/>
                <w:iCs/>
              </w:rPr>
            </w:pPr>
          </w:p>
          <w:p w14:paraId="10851B37" w14:textId="67482BB7" w:rsidR="00887571" w:rsidRPr="00036104" w:rsidRDefault="00887571" w:rsidP="008B081E">
            <w:pPr>
              <w:pStyle w:val="CommentText"/>
              <w:keepNext/>
              <w:rPr>
                <w:rFonts w:ascii="Arial Narrow" w:hAnsi="Arial Narrow"/>
                <w:i/>
                <w:iCs/>
              </w:rPr>
            </w:pPr>
            <w:r w:rsidRPr="00FF4735">
              <w:rPr>
                <w:rFonts w:ascii="Arial Narrow" w:hAnsi="Arial Narrow"/>
                <w:iCs/>
              </w:rPr>
              <w:t>The analysis</w:t>
            </w:r>
            <w:r w:rsidR="00C93A7C" w:rsidRPr="00FF4735">
              <w:rPr>
                <w:rFonts w:ascii="Arial Narrow" w:hAnsi="Arial Narrow"/>
                <w:iCs/>
              </w:rPr>
              <w:t xml:space="preserve"> was poorly documented and</w:t>
            </w:r>
            <w:r w:rsidR="00825DA0" w:rsidRPr="00FF4735">
              <w:rPr>
                <w:rFonts w:ascii="Arial Narrow" w:hAnsi="Arial Narrow"/>
                <w:iCs/>
              </w:rPr>
              <w:t xml:space="preserve"> </w:t>
            </w:r>
            <w:r w:rsidR="00C86303">
              <w:rPr>
                <w:rFonts w:ascii="Arial Narrow" w:hAnsi="Arial Narrow"/>
                <w:iCs/>
              </w:rPr>
              <w:t>was</w:t>
            </w:r>
            <w:r w:rsidR="00C86303" w:rsidRPr="00FF4735">
              <w:rPr>
                <w:rFonts w:ascii="Arial Narrow" w:hAnsi="Arial Narrow"/>
                <w:iCs/>
              </w:rPr>
              <w:t xml:space="preserve"> </w:t>
            </w:r>
            <w:r w:rsidR="00825DA0" w:rsidRPr="00FF4735">
              <w:rPr>
                <w:rFonts w:ascii="Arial Narrow" w:hAnsi="Arial Narrow"/>
                <w:iCs/>
              </w:rPr>
              <w:t xml:space="preserve">of </w:t>
            </w:r>
            <w:r w:rsidRPr="00FF4735">
              <w:rPr>
                <w:rFonts w:ascii="Arial Narrow" w:hAnsi="Arial Narrow"/>
                <w:iCs/>
              </w:rPr>
              <w:t>uncertain applicability to the Australian population, due to small numbers of patients</w:t>
            </w:r>
            <w:r w:rsidR="001D5111" w:rsidRPr="00FF4735">
              <w:rPr>
                <w:rFonts w:ascii="Arial Narrow" w:hAnsi="Arial Narrow"/>
                <w:iCs/>
              </w:rPr>
              <w:t>, unspecified demographic details</w:t>
            </w:r>
            <w:r w:rsidR="00922EFE" w:rsidRPr="00FF4735">
              <w:rPr>
                <w:rFonts w:ascii="Arial Narrow" w:hAnsi="Arial Narrow"/>
                <w:iCs/>
              </w:rPr>
              <w:t xml:space="preserve">, and the unexplained exclusion of patients with diagnoses that would </w:t>
            </w:r>
            <w:r w:rsidR="00973360" w:rsidRPr="00FF4735">
              <w:rPr>
                <w:rFonts w:ascii="Arial Narrow" w:hAnsi="Arial Narrow"/>
                <w:iCs/>
              </w:rPr>
              <w:t>be</w:t>
            </w:r>
            <w:r w:rsidR="00C93A7C" w:rsidRPr="00FF4735">
              <w:rPr>
                <w:rFonts w:ascii="Arial Narrow" w:hAnsi="Arial Narrow"/>
                <w:iCs/>
              </w:rPr>
              <w:t xml:space="preserve"> </w:t>
            </w:r>
            <w:r w:rsidRPr="00FF4735">
              <w:rPr>
                <w:rFonts w:ascii="Arial Narrow" w:hAnsi="Arial Narrow"/>
                <w:iCs/>
              </w:rPr>
              <w:t>eligible for</w:t>
            </w:r>
            <w:r w:rsidR="00973360" w:rsidRPr="00FF4735">
              <w:rPr>
                <w:rFonts w:ascii="Arial Narrow" w:hAnsi="Arial Narrow"/>
                <w:iCs/>
              </w:rPr>
              <w:t xml:space="preserve"> treatment with</w:t>
            </w:r>
            <w:r w:rsidRPr="00FF4735">
              <w:rPr>
                <w:rFonts w:ascii="Arial Narrow" w:hAnsi="Arial Narrow"/>
                <w:iCs/>
              </w:rPr>
              <w:t xml:space="preserve"> evolocumab. </w:t>
            </w:r>
            <w:r w:rsidRPr="001F281D">
              <w:rPr>
                <w:rFonts w:ascii="Arial Narrow" w:hAnsi="Arial Narrow"/>
              </w:rPr>
              <w:t>Further</w:t>
            </w:r>
            <w:r w:rsidRPr="00FF4735">
              <w:rPr>
                <w:rFonts w:ascii="Arial Narrow" w:hAnsi="Arial Narrow"/>
                <w:iCs/>
              </w:rPr>
              <w:t xml:space="preserve">, incorporation of </w:t>
            </w:r>
            <w:r w:rsidR="0019037B" w:rsidRPr="001F281D">
              <w:rPr>
                <w:rFonts w:ascii="Arial Narrow" w:hAnsi="Arial Narrow"/>
              </w:rPr>
              <w:t>poorly justified</w:t>
            </w:r>
            <w:r w:rsidR="0019037B" w:rsidRPr="00FF4735">
              <w:rPr>
                <w:rFonts w:ascii="Arial Narrow" w:hAnsi="Arial Narrow"/>
                <w:iCs/>
              </w:rPr>
              <w:t xml:space="preserve"> </w:t>
            </w:r>
            <w:r w:rsidRPr="00FF4735">
              <w:rPr>
                <w:rFonts w:ascii="Arial Narrow" w:hAnsi="Arial Narrow"/>
                <w:iCs/>
              </w:rPr>
              <w:t xml:space="preserve">uptake assumptions </w:t>
            </w:r>
            <w:r w:rsidR="009443F7" w:rsidRPr="00FF4735">
              <w:rPr>
                <w:rFonts w:ascii="Arial Narrow" w:hAnsi="Arial Narrow"/>
                <w:iCs/>
              </w:rPr>
              <w:t>to estimate</w:t>
            </w:r>
            <w:r w:rsidR="005C79EB" w:rsidRPr="00FF4735">
              <w:rPr>
                <w:rFonts w:ascii="Arial Narrow" w:hAnsi="Arial Narrow"/>
                <w:iCs/>
              </w:rPr>
              <w:t xml:space="preserve"> a weighted</w:t>
            </w:r>
            <w:r w:rsidR="009443F7" w:rsidRPr="00FF4735">
              <w:rPr>
                <w:rFonts w:ascii="Arial Narrow" w:hAnsi="Arial Narrow"/>
                <w:iCs/>
              </w:rPr>
              <w:t xml:space="preserve"> </w:t>
            </w:r>
            <w:r w:rsidR="006C2F6E" w:rsidRPr="00FF4735">
              <w:rPr>
                <w:rFonts w:ascii="Arial Narrow" w:hAnsi="Arial Narrow"/>
                <w:iCs/>
              </w:rPr>
              <w:t xml:space="preserve">mean </w:t>
            </w:r>
            <w:r w:rsidR="00C5262A" w:rsidRPr="00FF4735">
              <w:rPr>
                <w:rFonts w:ascii="Arial Narrow" w:hAnsi="Arial Narrow"/>
                <w:iCs/>
              </w:rPr>
              <w:t xml:space="preserve">LDL-C </w:t>
            </w:r>
            <w:r w:rsidRPr="00FF4735">
              <w:rPr>
                <w:rFonts w:ascii="Arial Narrow" w:hAnsi="Arial Narrow"/>
                <w:iCs/>
              </w:rPr>
              <w:t xml:space="preserve">was inappropriate and resulted in a higher mean </w:t>
            </w:r>
            <w:r w:rsidR="00C5262A" w:rsidRPr="00FF4735">
              <w:rPr>
                <w:rFonts w:ascii="Arial Narrow" w:hAnsi="Arial Narrow"/>
                <w:iCs/>
              </w:rPr>
              <w:t xml:space="preserve">LDL-C </w:t>
            </w:r>
            <w:r w:rsidRPr="00FF4735">
              <w:rPr>
                <w:rFonts w:ascii="Arial Narrow" w:hAnsi="Arial Narrow"/>
                <w:iCs/>
              </w:rPr>
              <w:t>(2.325</w:t>
            </w:r>
            <w:r w:rsidR="00975D68">
              <w:rPr>
                <w:rFonts w:ascii="Arial Narrow" w:hAnsi="Arial Narrow"/>
                <w:iCs/>
              </w:rPr>
              <w:t> </w:t>
            </w:r>
            <w:r w:rsidRPr="00FF4735">
              <w:rPr>
                <w:rFonts w:ascii="Arial Narrow" w:hAnsi="Arial Narrow"/>
                <w:iCs/>
              </w:rPr>
              <w:t xml:space="preserve">mmol/L) than </w:t>
            </w:r>
            <w:r w:rsidR="005C79EB" w:rsidRPr="00FF4735">
              <w:rPr>
                <w:rFonts w:ascii="Arial Narrow" w:hAnsi="Arial Narrow"/>
                <w:iCs/>
              </w:rPr>
              <w:t xml:space="preserve">for the </w:t>
            </w:r>
            <w:r w:rsidRPr="00FF4735">
              <w:rPr>
                <w:rFonts w:ascii="Arial Narrow" w:hAnsi="Arial Narrow"/>
                <w:iCs/>
              </w:rPr>
              <w:t>unadjusted</w:t>
            </w:r>
            <w:r w:rsidR="005C79EB" w:rsidRPr="00FF4735">
              <w:rPr>
                <w:rFonts w:ascii="Arial Narrow" w:hAnsi="Arial Narrow"/>
                <w:iCs/>
              </w:rPr>
              <w:t xml:space="preserve"> mean </w:t>
            </w:r>
            <w:r w:rsidR="00C5262A" w:rsidRPr="00FF4735">
              <w:rPr>
                <w:rFonts w:ascii="Arial Narrow" w:hAnsi="Arial Narrow"/>
                <w:iCs/>
              </w:rPr>
              <w:t xml:space="preserve">LDL-C </w:t>
            </w:r>
            <w:r w:rsidR="005C79EB" w:rsidRPr="00FF4735">
              <w:rPr>
                <w:rFonts w:ascii="Arial Narrow" w:hAnsi="Arial Narrow"/>
                <w:iCs/>
              </w:rPr>
              <w:t>in the sample</w:t>
            </w:r>
            <w:r w:rsidRPr="00FF4735">
              <w:rPr>
                <w:rFonts w:ascii="Arial Narrow" w:hAnsi="Arial Narrow"/>
                <w:iCs/>
              </w:rPr>
              <w:t xml:space="preserve"> (2.160 mmol/L). This result</w:t>
            </w:r>
            <w:r w:rsidR="00C86303">
              <w:rPr>
                <w:rFonts w:ascii="Arial Narrow" w:hAnsi="Arial Narrow"/>
                <w:iCs/>
              </w:rPr>
              <w:t>ed</w:t>
            </w:r>
            <w:r w:rsidRPr="00FF4735">
              <w:rPr>
                <w:rFonts w:ascii="Arial Narrow" w:hAnsi="Arial Narrow"/>
                <w:iCs/>
              </w:rPr>
              <w:t xml:space="preserve"> in a higher modelled baseline cardiovascular risk, a greater reduction in risk</w:t>
            </w:r>
            <w:r w:rsidR="0040635D" w:rsidRPr="00FF4735">
              <w:rPr>
                <w:rFonts w:ascii="Arial Narrow" w:hAnsi="Arial Narrow"/>
                <w:iCs/>
              </w:rPr>
              <w:t xml:space="preserve"> and therefore a greater treatment benefit</w:t>
            </w:r>
            <w:r w:rsidRPr="00FF4735">
              <w:rPr>
                <w:rFonts w:ascii="Arial Narrow" w:hAnsi="Arial Narrow"/>
                <w:iCs/>
              </w:rPr>
              <w:t xml:space="preserve"> for evolocumab </w:t>
            </w:r>
            <w:r w:rsidR="0040635D" w:rsidRPr="00FF4735">
              <w:rPr>
                <w:rFonts w:ascii="Arial Narrow" w:hAnsi="Arial Narrow"/>
                <w:iCs/>
              </w:rPr>
              <w:t>compared to</w:t>
            </w:r>
            <w:r w:rsidRPr="00FF4735">
              <w:rPr>
                <w:rFonts w:ascii="Arial Narrow" w:hAnsi="Arial Narrow"/>
                <w:iCs/>
              </w:rPr>
              <w:t xml:space="preserve"> </w:t>
            </w:r>
            <w:r w:rsidR="00975D68">
              <w:rPr>
                <w:rFonts w:ascii="Arial Narrow" w:hAnsi="Arial Narrow"/>
                <w:iCs/>
              </w:rPr>
              <w:t>‘</w:t>
            </w:r>
            <w:r w:rsidRPr="00FF4735">
              <w:rPr>
                <w:rFonts w:ascii="Arial Narrow" w:hAnsi="Arial Narrow"/>
                <w:iCs/>
              </w:rPr>
              <w:t>placebo</w:t>
            </w:r>
            <w:r w:rsidR="00975D68">
              <w:rPr>
                <w:rFonts w:ascii="Arial Narrow" w:hAnsi="Arial Narrow"/>
                <w:iCs/>
              </w:rPr>
              <w:t>’</w:t>
            </w:r>
            <w:r w:rsidRPr="00FF4735">
              <w:rPr>
                <w:rFonts w:ascii="Arial Narrow" w:hAnsi="Arial Narrow"/>
                <w:iCs/>
              </w:rPr>
              <w:t>.</w:t>
            </w:r>
          </w:p>
        </w:tc>
        <w:tc>
          <w:tcPr>
            <w:tcW w:w="693" w:type="pct"/>
            <w:shd w:val="clear" w:color="auto" w:fill="auto"/>
            <w:vAlign w:val="center"/>
          </w:tcPr>
          <w:p w14:paraId="5D71B7EA" w14:textId="77777777" w:rsidR="00887571" w:rsidRDefault="00887571" w:rsidP="008B081E">
            <w:pPr>
              <w:pStyle w:val="Tabletext0"/>
              <w:keepNext/>
              <w:jc w:val="center"/>
              <w:rPr>
                <w:lang w:val="en-US"/>
              </w:rPr>
            </w:pPr>
            <w:r>
              <w:rPr>
                <w:lang w:val="en-US"/>
              </w:rPr>
              <w:t>Moderate, favours evolocumab</w:t>
            </w:r>
          </w:p>
        </w:tc>
      </w:tr>
    </w:tbl>
    <w:p w14:paraId="593521B0" w14:textId="664DC2CA" w:rsidR="008B081E" w:rsidRDefault="008B081E" w:rsidP="00293F12">
      <w:pPr>
        <w:pStyle w:val="TableFigureFooter"/>
      </w:pPr>
      <w:r>
        <w:t xml:space="preserve">Source: </w:t>
      </w:r>
      <w:r w:rsidR="00E42DBA">
        <w:t>Appendix 4 of the submission.</w:t>
      </w:r>
    </w:p>
    <w:p w14:paraId="08EE97CD" w14:textId="0E9DF7BE" w:rsidR="00887571" w:rsidRDefault="008B081E" w:rsidP="00293F12">
      <w:pPr>
        <w:pStyle w:val="TableFigureFooter"/>
      </w:pPr>
      <w:r>
        <w:t>Abbreviations: CHD, coronary heart disease; GP, general practitioner; LDL, low density lipoprotein; MI, myocardial infarction; PAD, peripheral arterial disease</w:t>
      </w:r>
    </w:p>
    <w:p w14:paraId="5D35FB6E" w14:textId="77777777" w:rsidR="00985590" w:rsidRDefault="00985590" w:rsidP="00293F12">
      <w:pPr>
        <w:pStyle w:val="TableFigureFooter"/>
      </w:pPr>
    </w:p>
    <w:p w14:paraId="56152175" w14:textId="19959A61" w:rsidR="008C32A9" w:rsidRPr="00FF4735" w:rsidRDefault="008C32A9" w:rsidP="008C32A9">
      <w:pPr>
        <w:pStyle w:val="ExecSumBodyText"/>
        <w:rPr>
          <w:b/>
          <w:bCs/>
          <w:iCs/>
          <w:lang w:val="en-US"/>
        </w:rPr>
      </w:pPr>
      <w:r w:rsidRPr="00FF4735">
        <w:rPr>
          <w:iCs/>
        </w:rPr>
        <w:t xml:space="preserve">The average </w:t>
      </w:r>
      <w:r w:rsidR="00C5262A" w:rsidRPr="00FF4735">
        <w:rPr>
          <w:iCs/>
        </w:rPr>
        <w:t xml:space="preserve">LDL-C </w:t>
      </w:r>
      <w:r w:rsidRPr="00FF4735">
        <w:rPr>
          <w:iCs/>
        </w:rPr>
        <w:t>for patients with an LDL</w:t>
      </w:r>
      <w:r w:rsidR="00C5262A" w:rsidRPr="00FF4735">
        <w:rPr>
          <w:iCs/>
        </w:rPr>
        <w:t>-C</w:t>
      </w:r>
      <w:r w:rsidRPr="00FF4735">
        <w:rPr>
          <w:iCs/>
        </w:rPr>
        <w:t xml:space="preserve"> &gt;</w:t>
      </w:r>
      <w:r w:rsidR="00322DF0" w:rsidRPr="00FF4735">
        <w:rPr>
          <w:iCs/>
        </w:rPr>
        <w:t> </w:t>
      </w:r>
      <w:r w:rsidRPr="00FF4735">
        <w:rPr>
          <w:iCs/>
        </w:rPr>
        <w:t>2.6 mmol/L in the July 2019 submission was derived from individual patient data from the FOURIER trial</w:t>
      </w:r>
      <w:r w:rsidR="00B339C0" w:rsidRPr="00FF4735">
        <w:rPr>
          <w:iCs/>
        </w:rPr>
        <w:t>.</w:t>
      </w:r>
      <w:r w:rsidR="009E4BB5" w:rsidRPr="00FF4735">
        <w:rPr>
          <w:iCs/>
        </w:rPr>
        <w:t xml:space="preserve"> This trial had an LDL</w:t>
      </w:r>
      <w:r w:rsidR="00975D68">
        <w:rPr>
          <w:iCs/>
        </w:rPr>
        <w:noBreakHyphen/>
      </w:r>
      <w:r w:rsidR="00C5262A" w:rsidRPr="00FF4735">
        <w:rPr>
          <w:iCs/>
        </w:rPr>
        <w:t>C</w:t>
      </w:r>
      <w:r w:rsidR="009E4BB5" w:rsidRPr="00FF4735">
        <w:rPr>
          <w:iCs/>
        </w:rPr>
        <w:t xml:space="preserve"> eligibility requirement of</w:t>
      </w:r>
      <w:r w:rsidR="00B339C0" w:rsidRPr="00FF4735">
        <w:rPr>
          <w:iCs/>
        </w:rPr>
        <w:t xml:space="preserve"> ≥</w:t>
      </w:r>
      <w:r w:rsidR="00322DF0" w:rsidRPr="00FF4735">
        <w:rPr>
          <w:iCs/>
        </w:rPr>
        <w:t> </w:t>
      </w:r>
      <w:r w:rsidR="00B339C0" w:rsidRPr="00FF4735">
        <w:rPr>
          <w:iCs/>
        </w:rPr>
        <w:t>1.8 mmol/L</w:t>
      </w:r>
      <w:r w:rsidR="009E4BB5" w:rsidRPr="00FF4735">
        <w:rPr>
          <w:iCs/>
        </w:rPr>
        <w:t>. No justification was provided in the current submission for</w:t>
      </w:r>
      <w:r w:rsidR="00EA7E9D" w:rsidRPr="00FF4735">
        <w:rPr>
          <w:iCs/>
        </w:rPr>
        <w:t xml:space="preserve"> the alternate approach taken to estimating average LDL</w:t>
      </w:r>
      <w:r w:rsidR="00C5262A" w:rsidRPr="00FF4735">
        <w:rPr>
          <w:iCs/>
        </w:rPr>
        <w:t>-C</w:t>
      </w:r>
      <w:r w:rsidR="00EA7E9D" w:rsidRPr="00FF4735">
        <w:rPr>
          <w:iCs/>
        </w:rPr>
        <w:t xml:space="preserve"> in patients with LDL</w:t>
      </w:r>
      <w:r w:rsidR="00C5262A" w:rsidRPr="00FF4735">
        <w:rPr>
          <w:iCs/>
        </w:rPr>
        <w:t>-C</w:t>
      </w:r>
      <w:r w:rsidR="00EA7E9D" w:rsidRPr="00FF4735">
        <w:rPr>
          <w:iCs/>
        </w:rPr>
        <w:t xml:space="preserve"> between 1.8 and 2.6 mmol/L (who would be the complement of the FOURIER subpopulation used to estimate mean LDL</w:t>
      </w:r>
      <w:r w:rsidR="00C5262A" w:rsidRPr="00FF4735">
        <w:rPr>
          <w:iCs/>
        </w:rPr>
        <w:t>-C</w:t>
      </w:r>
      <w:r w:rsidR="00EA7E9D" w:rsidRPr="00FF4735">
        <w:rPr>
          <w:iCs/>
        </w:rPr>
        <w:t xml:space="preserve"> in the July </w:t>
      </w:r>
      <w:r w:rsidR="008314EC" w:rsidRPr="00FF4735">
        <w:rPr>
          <w:iCs/>
        </w:rPr>
        <w:t xml:space="preserve">and November </w:t>
      </w:r>
      <w:r w:rsidR="00EA7E9D" w:rsidRPr="00FF4735">
        <w:rPr>
          <w:iCs/>
        </w:rPr>
        <w:t>2019 submission</w:t>
      </w:r>
      <w:r w:rsidR="008314EC" w:rsidRPr="00FF4735">
        <w:rPr>
          <w:iCs/>
        </w:rPr>
        <w:t>s</w:t>
      </w:r>
      <w:r w:rsidR="00EA7E9D" w:rsidRPr="00FF4735">
        <w:rPr>
          <w:iCs/>
        </w:rPr>
        <w:t>).</w:t>
      </w:r>
    </w:p>
    <w:p w14:paraId="3821294D" w14:textId="6875E1BA" w:rsidR="006279EC" w:rsidRDefault="006279EC" w:rsidP="006279EC">
      <w:pPr>
        <w:pStyle w:val="ExecSumBodyText"/>
      </w:pPr>
      <w:r>
        <w:t>Results of</w:t>
      </w:r>
      <w:r w:rsidRPr="00EF4C55">
        <w:t xml:space="preserve"> the economic model are summarised in </w:t>
      </w:r>
      <w:r w:rsidR="006F4A9F">
        <w:fldChar w:fldCharType="begin"/>
      </w:r>
      <w:r w:rsidR="006F4A9F">
        <w:instrText xml:space="preserve"> REF _Ref102472945 \h </w:instrText>
      </w:r>
      <w:r w:rsidR="006F4A9F">
        <w:fldChar w:fldCharType="separate"/>
      </w:r>
      <w:r w:rsidR="00EB7F7C" w:rsidRPr="00BB732D">
        <w:t xml:space="preserve">Table </w:t>
      </w:r>
      <w:r w:rsidR="00EB7F7C">
        <w:rPr>
          <w:noProof/>
        </w:rPr>
        <w:t>12</w:t>
      </w:r>
      <w:r w:rsidR="006F4A9F">
        <w:fldChar w:fldCharType="end"/>
      </w:r>
      <w:r w:rsidRPr="00EF4C55">
        <w:t xml:space="preserve"> below</w:t>
      </w:r>
      <w:r>
        <w:t>.</w:t>
      </w:r>
    </w:p>
    <w:p w14:paraId="2C1B62F3" w14:textId="0D61792F" w:rsidR="001F4081" w:rsidRPr="00BB732D" w:rsidRDefault="001F4081" w:rsidP="00230DB1">
      <w:pPr>
        <w:pStyle w:val="TableFigureCaption"/>
      </w:pPr>
      <w:bookmarkStart w:id="45" w:name="_Ref102472945"/>
      <w:r w:rsidRPr="00BB732D">
        <w:lastRenderedPageBreak/>
        <w:t xml:space="preserve">Table </w:t>
      </w:r>
      <w:fldSimple w:instr=" SEQ Table \* ARABIC ">
        <w:r w:rsidR="00EB7F7C">
          <w:rPr>
            <w:noProof/>
          </w:rPr>
          <w:t>12</w:t>
        </w:r>
      </w:fldSimple>
      <w:bookmarkEnd w:id="45"/>
      <w:r w:rsidRPr="00BB732D">
        <w:t>: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2: Results of the economic evaluation"/>
      </w:tblPr>
      <w:tblGrid>
        <w:gridCol w:w="2757"/>
        <w:gridCol w:w="2200"/>
        <w:gridCol w:w="1984"/>
        <w:gridCol w:w="2076"/>
      </w:tblGrid>
      <w:tr w:rsidR="00ED5765" w:rsidRPr="005E6CBC" w14:paraId="7AA1C5CA" w14:textId="77777777" w:rsidTr="007B74E1">
        <w:trPr>
          <w:tblHeader/>
        </w:trPr>
        <w:tc>
          <w:tcPr>
            <w:tcW w:w="1529" w:type="pct"/>
            <w:vAlign w:val="center"/>
          </w:tcPr>
          <w:p w14:paraId="0CFC29C2" w14:textId="77777777" w:rsidR="00ED5765" w:rsidRPr="005E6CBC" w:rsidRDefault="00ED5765" w:rsidP="00ED5765">
            <w:pPr>
              <w:pStyle w:val="Tableheadingrow"/>
            </w:pPr>
            <w:r>
              <w:t>Component</w:t>
            </w:r>
          </w:p>
        </w:tc>
        <w:tc>
          <w:tcPr>
            <w:tcW w:w="1220" w:type="pct"/>
            <w:vAlign w:val="center"/>
          </w:tcPr>
          <w:p w14:paraId="40DAA64F" w14:textId="77777777" w:rsidR="00ED5765" w:rsidRPr="005E6CBC" w:rsidRDefault="00ED5765" w:rsidP="00BF34B1">
            <w:pPr>
              <w:pStyle w:val="Tableheadingrow"/>
              <w:jc w:val="center"/>
            </w:pPr>
            <w:r w:rsidRPr="005E6CBC">
              <w:t>Proposed medicine</w:t>
            </w:r>
          </w:p>
        </w:tc>
        <w:tc>
          <w:tcPr>
            <w:tcW w:w="1100" w:type="pct"/>
            <w:vAlign w:val="center"/>
          </w:tcPr>
          <w:p w14:paraId="1F2AEC55" w14:textId="77777777" w:rsidR="00ED5765" w:rsidRPr="005E6CBC" w:rsidRDefault="00ED5765" w:rsidP="00BF34B1">
            <w:pPr>
              <w:pStyle w:val="Tableheadingrow"/>
              <w:jc w:val="center"/>
            </w:pPr>
            <w:r w:rsidRPr="005E6CBC">
              <w:t>Comparator</w:t>
            </w:r>
          </w:p>
        </w:tc>
        <w:tc>
          <w:tcPr>
            <w:tcW w:w="1151" w:type="pct"/>
            <w:vAlign w:val="center"/>
          </w:tcPr>
          <w:p w14:paraId="4CB9453B" w14:textId="77777777" w:rsidR="00ED5765" w:rsidRPr="005E6CBC" w:rsidRDefault="00ED5765" w:rsidP="00BF34B1">
            <w:pPr>
              <w:pStyle w:val="Tableheadingrow"/>
              <w:jc w:val="center"/>
            </w:pPr>
            <w:r w:rsidRPr="005E6CBC">
              <w:t>Increment</w:t>
            </w:r>
          </w:p>
        </w:tc>
      </w:tr>
      <w:tr w:rsidR="00ED5765" w:rsidRPr="00E2771E" w14:paraId="4F6ED09D" w14:textId="77777777" w:rsidTr="007B74E1">
        <w:tc>
          <w:tcPr>
            <w:tcW w:w="1529" w:type="pct"/>
            <w:vAlign w:val="center"/>
          </w:tcPr>
          <w:p w14:paraId="2B2DE306" w14:textId="77777777" w:rsidR="00ED5765" w:rsidRPr="00E2771E" w:rsidRDefault="00ED5765" w:rsidP="00BF34B1">
            <w:pPr>
              <w:pStyle w:val="TableText"/>
              <w:rPr>
                <w:rFonts w:ascii="Times" w:hAnsi="Times"/>
              </w:rPr>
            </w:pPr>
            <w:r w:rsidRPr="00E2771E">
              <w:t>Costs</w:t>
            </w:r>
          </w:p>
        </w:tc>
        <w:tc>
          <w:tcPr>
            <w:tcW w:w="1220" w:type="pct"/>
            <w:vAlign w:val="center"/>
          </w:tcPr>
          <w:p w14:paraId="1A6B34C6" w14:textId="3447FE6A" w:rsidR="00ED5765" w:rsidRPr="005E6CBC" w:rsidRDefault="00ED5765" w:rsidP="00BF34B1">
            <w:pPr>
              <w:pStyle w:val="TableText"/>
              <w:jc w:val="center"/>
              <w:rPr>
                <w:rFonts w:ascii="Times" w:hAnsi="Times"/>
              </w:rPr>
            </w:pPr>
            <w:r w:rsidRPr="005E6CBC">
              <w:t>$</w:t>
            </w:r>
            <w:r w:rsidR="00650CB8" w:rsidRPr="00650CB8">
              <w:rPr>
                <w:color w:val="000000"/>
                <w:shd w:val="solid" w:color="000000" w:fill="000000"/>
                <w14:textFill>
                  <w14:solidFill>
                    <w14:srgbClr w14:val="000000">
                      <w14:alpha w14:val="100000"/>
                    </w14:srgbClr>
                  </w14:solidFill>
                </w14:textFill>
              </w:rPr>
              <w:t>|</w:t>
            </w:r>
          </w:p>
        </w:tc>
        <w:tc>
          <w:tcPr>
            <w:tcW w:w="1100" w:type="pct"/>
            <w:vAlign w:val="center"/>
          </w:tcPr>
          <w:p w14:paraId="1DD4505F" w14:textId="7F2BF863" w:rsidR="00ED5765" w:rsidRPr="005E6CBC" w:rsidRDefault="00ED5765" w:rsidP="00BF34B1">
            <w:pPr>
              <w:pStyle w:val="TableText"/>
              <w:jc w:val="center"/>
              <w:rPr>
                <w:rFonts w:ascii="Times" w:hAnsi="Times"/>
              </w:rPr>
            </w:pPr>
            <w:r w:rsidRPr="005E6CBC">
              <w:t>$</w:t>
            </w:r>
            <w:r w:rsidR="00650CB8" w:rsidRPr="00650CB8">
              <w:rPr>
                <w:color w:val="000000"/>
                <w:shd w:val="solid" w:color="000000" w:fill="000000"/>
                <w14:textFill>
                  <w14:solidFill>
                    <w14:srgbClr w14:val="000000">
                      <w14:alpha w14:val="100000"/>
                    </w14:srgbClr>
                  </w14:solidFill>
                </w14:textFill>
              </w:rPr>
              <w:t>|</w:t>
            </w:r>
          </w:p>
        </w:tc>
        <w:tc>
          <w:tcPr>
            <w:tcW w:w="1151" w:type="pct"/>
            <w:vAlign w:val="center"/>
          </w:tcPr>
          <w:p w14:paraId="751C0814" w14:textId="5F9CAA71" w:rsidR="00ED5765" w:rsidRPr="005E6CBC" w:rsidRDefault="00ED5765" w:rsidP="00BF34B1">
            <w:pPr>
              <w:pStyle w:val="TableText"/>
              <w:jc w:val="center"/>
              <w:rPr>
                <w:rFonts w:ascii="Times" w:hAnsi="Times"/>
              </w:rPr>
            </w:pPr>
            <w:r w:rsidRPr="005E6CBC">
              <w:t>$</w:t>
            </w:r>
            <w:r w:rsidR="00650CB8" w:rsidRPr="00650CB8">
              <w:rPr>
                <w:color w:val="000000"/>
                <w:shd w:val="solid" w:color="000000" w:fill="000000"/>
                <w14:textFill>
                  <w14:solidFill>
                    <w14:srgbClr w14:val="000000">
                      <w14:alpha w14:val="100000"/>
                    </w14:srgbClr>
                  </w14:solidFill>
                </w14:textFill>
              </w:rPr>
              <w:t>|</w:t>
            </w:r>
          </w:p>
        </w:tc>
      </w:tr>
      <w:tr w:rsidR="00ED5765" w:rsidRPr="00E2771E" w14:paraId="7000575F" w14:textId="77777777" w:rsidTr="007B74E1">
        <w:tc>
          <w:tcPr>
            <w:tcW w:w="1529" w:type="pct"/>
            <w:vAlign w:val="center"/>
          </w:tcPr>
          <w:p w14:paraId="6945FFDC" w14:textId="77777777" w:rsidR="00ED5765" w:rsidRPr="00E2771E" w:rsidRDefault="00ED5765" w:rsidP="00BF34B1">
            <w:pPr>
              <w:pStyle w:val="TableText"/>
              <w:rPr>
                <w:rFonts w:ascii="Times" w:hAnsi="Times"/>
              </w:rPr>
            </w:pPr>
            <w:r>
              <w:t>QALYs</w:t>
            </w:r>
          </w:p>
        </w:tc>
        <w:tc>
          <w:tcPr>
            <w:tcW w:w="1220" w:type="pct"/>
            <w:vAlign w:val="center"/>
          </w:tcPr>
          <w:p w14:paraId="3D75792F" w14:textId="77777777" w:rsidR="00ED5765" w:rsidRPr="005E6CBC" w:rsidRDefault="00ED5765" w:rsidP="00BF34B1">
            <w:pPr>
              <w:pStyle w:val="TableText"/>
              <w:jc w:val="center"/>
              <w:rPr>
                <w:rFonts w:ascii="Times" w:hAnsi="Times"/>
              </w:rPr>
            </w:pPr>
            <w:r>
              <w:t>8.279</w:t>
            </w:r>
          </w:p>
        </w:tc>
        <w:tc>
          <w:tcPr>
            <w:tcW w:w="1100" w:type="pct"/>
            <w:vAlign w:val="center"/>
          </w:tcPr>
          <w:p w14:paraId="5EB6C6E1" w14:textId="77777777" w:rsidR="00ED5765" w:rsidRPr="005E6CBC" w:rsidRDefault="00ED5765" w:rsidP="00BF34B1">
            <w:pPr>
              <w:pStyle w:val="TableText"/>
              <w:jc w:val="center"/>
              <w:rPr>
                <w:rFonts w:ascii="Times" w:hAnsi="Times"/>
              </w:rPr>
            </w:pPr>
            <w:r>
              <w:t>7.983</w:t>
            </w:r>
          </w:p>
        </w:tc>
        <w:tc>
          <w:tcPr>
            <w:tcW w:w="1151" w:type="pct"/>
            <w:vAlign w:val="center"/>
          </w:tcPr>
          <w:p w14:paraId="24F89888" w14:textId="77777777" w:rsidR="00ED5765" w:rsidRPr="005E6CBC" w:rsidRDefault="00ED5765" w:rsidP="00BF34B1">
            <w:pPr>
              <w:pStyle w:val="TableText"/>
              <w:jc w:val="center"/>
            </w:pPr>
            <w:r>
              <w:t>0.296</w:t>
            </w:r>
          </w:p>
        </w:tc>
      </w:tr>
      <w:tr w:rsidR="00ED5765" w:rsidRPr="00E2771E" w14:paraId="0646E826" w14:textId="77777777" w:rsidTr="007B74E1">
        <w:tc>
          <w:tcPr>
            <w:tcW w:w="3849" w:type="pct"/>
            <w:gridSpan w:val="3"/>
            <w:vAlign w:val="center"/>
          </w:tcPr>
          <w:p w14:paraId="5824B9AB" w14:textId="77777777" w:rsidR="00ED5765" w:rsidRPr="00D06139" w:rsidRDefault="00ED5765" w:rsidP="00BF34B1">
            <w:pPr>
              <w:pStyle w:val="TableText"/>
              <w:rPr>
                <w:rFonts w:ascii="Times" w:hAnsi="Times"/>
                <w:b/>
              </w:rPr>
            </w:pPr>
            <w:r w:rsidRPr="00D06139">
              <w:rPr>
                <w:b/>
              </w:rPr>
              <w:t xml:space="preserve">Incremental cost/extra </w:t>
            </w:r>
            <w:r>
              <w:rPr>
                <w:b/>
              </w:rPr>
              <w:t>QALY</w:t>
            </w:r>
            <w:r w:rsidRPr="00D06139">
              <w:rPr>
                <w:b/>
              </w:rPr>
              <w:t xml:space="preserve"> gained</w:t>
            </w:r>
          </w:p>
        </w:tc>
        <w:tc>
          <w:tcPr>
            <w:tcW w:w="1151" w:type="pct"/>
            <w:vAlign w:val="center"/>
          </w:tcPr>
          <w:p w14:paraId="13F3AD2A" w14:textId="1C8CAEBA" w:rsidR="00ED5765" w:rsidRPr="00094A83" w:rsidRDefault="00ED5765" w:rsidP="00BF34B1">
            <w:pPr>
              <w:pStyle w:val="TableText"/>
              <w:jc w:val="center"/>
              <w:rPr>
                <w:rFonts w:ascii="Times" w:hAnsi="Times"/>
                <w:b/>
                <w:vertAlign w:val="superscript"/>
              </w:rPr>
            </w:pPr>
            <w:r w:rsidRPr="00D06139">
              <w:rPr>
                <w:b/>
              </w:rPr>
              <w:t>$</w:t>
            </w:r>
            <w:r w:rsidR="00650CB8" w:rsidRPr="00650CB8">
              <w:rPr>
                <w:b/>
                <w:color w:val="000000"/>
                <w:shd w:val="solid" w:color="000000" w:fill="000000"/>
                <w14:textFill>
                  <w14:solidFill>
                    <w14:srgbClr w14:val="000000">
                      <w14:alpha w14:val="100000"/>
                    </w14:srgbClr>
                  </w14:solidFill>
                </w14:textFill>
              </w:rPr>
              <w:t>|</w:t>
            </w:r>
            <w:r w:rsidR="00094A83" w:rsidRPr="00094A83">
              <w:rPr>
                <w:bCs w:val="0"/>
                <w:vertAlign w:val="superscript"/>
              </w:rPr>
              <w:t>1</w:t>
            </w:r>
          </w:p>
        </w:tc>
      </w:tr>
    </w:tbl>
    <w:p w14:paraId="69449CA5" w14:textId="77777777" w:rsidR="00ED5765" w:rsidRDefault="00ED5765" w:rsidP="00293F12">
      <w:pPr>
        <w:pStyle w:val="TableFigureFooter"/>
      </w:pPr>
      <w:r>
        <w:t>Source: Economic model_Mar22.xlsx spreadsheet</w:t>
      </w:r>
    </w:p>
    <w:p w14:paraId="083A518B" w14:textId="0D1A33D0" w:rsidR="00ED5765" w:rsidRDefault="00ED5765" w:rsidP="00293F12">
      <w:pPr>
        <w:pStyle w:val="TableFigureFooter"/>
      </w:pPr>
      <w:r>
        <w:t>Abbreviations: QALYs, quality-adjusted life years</w:t>
      </w:r>
    </w:p>
    <w:p w14:paraId="2C2EB559" w14:textId="77777777" w:rsidR="00094A83" w:rsidRPr="0026352C" w:rsidRDefault="00094A83" w:rsidP="00094A83">
      <w:pPr>
        <w:pStyle w:val="TableFigureFooter"/>
        <w:keepNext/>
        <w:spacing w:after="0"/>
        <w:contextualSpacing w:val="0"/>
        <w:rPr>
          <w:i/>
        </w:rPr>
      </w:pPr>
      <w:r w:rsidRPr="0026352C">
        <w:rPr>
          <w:i/>
        </w:rPr>
        <w:t>The redacted values correspond to the following ranges:</w:t>
      </w:r>
    </w:p>
    <w:p w14:paraId="41426BCF" w14:textId="5A63E53C" w:rsidR="00094A83" w:rsidRDefault="00094A83" w:rsidP="00094A83">
      <w:pPr>
        <w:pStyle w:val="TableFigureFooter"/>
        <w:keepNext/>
        <w:spacing w:after="0"/>
        <w:contextualSpacing w:val="0"/>
      </w:pPr>
      <w:r w:rsidRPr="0026352C">
        <w:rPr>
          <w:i/>
          <w:szCs w:val="18"/>
          <w:vertAlign w:val="superscript"/>
        </w:rPr>
        <w:t>1</w:t>
      </w:r>
      <w:r w:rsidRPr="0026352C">
        <w:rPr>
          <w:i/>
          <w:szCs w:val="18"/>
        </w:rPr>
        <w:t xml:space="preserve"> </w:t>
      </w:r>
      <w:r w:rsidRPr="00094A83">
        <w:rPr>
          <w:i/>
          <w:szCs w:val="18"/>
        </w:rPr>
        <w:t>$25,000 to &lt; $35,000</w:t>
      </w:r>
    </w:p>
    <w:p w14:paraId="1EBAD74B" w14:textId="77777777" w:rsidR="00985590" w:rsidRDefault="00985590" w:rsidP="00293F12">
      <w:pPr>
        <w:pStyle w:val="TableFigureFooter"/>
      </w:pPr>
    </w:p>
    <w:p w14:paraId="5917226A" w14:textId="403D52FA" w:rsidR="00944DCF" w:rsidRDefault="00944DCF" w:rsidP="00BB732D">
      <w:pPr>
        <w:pStyle w:val="ExecSumBodyText"/>
      </w:pPr>
      <w:r>
        <w:t xml:space="preserve">Based on the economic model, treatment with evolocumab was associated with an incremental cost per QALY gained of </w:t>
      </w:r>
      <w:r w:rsidR="00094A83" w:rsidRPr="00094A83">
        <w:t>$25,000 to &lt; $35,000</w:t>
      </w:r>
      <w:r>
        <w:t xml:space="preserve"> compared to placebo (add-on to existing therapies) in non-familial hypercholesterolaemia patients with atherosclerotic disease and additional cardiovascular risk factors, and LDL-C levels between 1.8 and 2.6</w:t>
      </w:r>
      <w:r w:rsidR="00322DF0">
        <w:t> </w:t>
      </w:r>
      <w:r>
        <w:t xml:space="preserve">mmol/L. This was the threshold ICER used to generate the </w:t>
      </w:r>
      <w:r w:rsidR="00322DF0">
        <w:t xml:space="preserve">proposed </w:t>
      </w:r>
      <w:r>
        <w:t>price of $</w:t>
      </w:r>
      <w:r w:rsidR="00650CB8" w:rsidRPr="00F35BF1">
        <w:rPr>
          <w:color w:val="000000"/>
          <w:w w:val="15"/>
          <w:shd w:val="solid" w:color="000000" w:fill="000000"/>
          <w:fitText w:val="-20" w:id="-1435748608"/>
          <w14:textFill>
            <w14:solidFill>
              <w14:srgbClr w14:val="000000">
                <w14:alpha w14:val="100000"/>
              </w14:srgbClr>
            </w14:solidFill>
          </w14:textFill>
        </w:rPr>
        <w:t xml:space="preserve">|  </w:t>
      </w:r>
      <w:r w:rsidR="00650CB8" w:rsidRPr="00F35BF1">
        <w:rPr>
          <w:color w:val="000000"/>
          <w:spacing w:val="-69"/>
          <w:w w:val="15"/>
          <w:shd w:val="solid" w:color="000000" w:fill="000000"/>
          <w:fitText w:val="-20" w:id="-1435748608"/>
          <w14:textFill>
            <w14:solidFill>
              <w14:srgbClr w14:val="000000">
                <w14:alpha w14:val="100000"/>
              </w14:srgbClr>
            </w14:solidFill>
          </w14:textFill>
        </w:rPr>
        <w:t>|</w:t>
      </w:r>
      <w:r w:rsidR="00943889">
        <w:t xml:space="preserve"> per </w:t>
      </w:r>
      <w:r>
        <w:t>month.</w:t>
      </w:r>
    </w:p>
    <w:p w14:paraId="5B93F82A" w14:textId="3BA4E341" w:rsidR="00943889" w:rsidRPr="00944DCF" w:rsidRDefault="00943889" w:rsidP="00BB732D">
      <w:pPr>
        <w:pStyle w:val="ExecSumBodyText"/>
      </w:pPr>
      <w:bookmarkStart w:id="46" w:name="_Ref106358977"/>
      <w:r w:rsidRPr="001F281D">
        <w:rPr>
          <w:iCs/>
        </w:rPr>
        <w:t xml:space="preserve">The PSCR provided the mean LDL-C level at baseline in the FOURIER subgroup using the methodology from the previous submissions. For both reflexive and calculated LDL-C levels, </w:t>
      </w:r>
      <w:r w:rsidR="005F7437" w:rsidRPr="001F281D">
        <w:rPr>
          <w:iCs/>
        </w:rPr>
        <w:t>the mean</w:t>
      </w:r>
      <w:r w:rsidRPr="001F281D">
        <w:rPr>
          <w:iCs/>
        </w:rPr>
        <w:t xml:space="preserve"> </w:t>
      </w:r>
      <w:r w:rsidR="005F7437" w:rsidRPr="001F281D">
        <w:rPr>
          <w:iCs/>
        </w:rPr>
        <w:t>is</w:t>
      </w:r>
      <w:r w:rsidRPr="001F281D">
        <w:rPr>
          <w:iCs/>
        </w:rPr>
        <w:t xml:space="preserve"> 2.2 mmol/L. The PSCR maintained that it was appropriate to apply a higher </w:t>
      </w:r>
      <w:r w:rsidR="005F7437" w:rsidRPr="001F281D">
        <w:rPr>
          <w:iCs/>
        </w:rPr>
        <w:t xml:space="preserve">baseline </w:t>
      </w:r>
      <w:r w:rsidRPr="001F281D">
        <w:rPr>
          <w:iCs/>
        </w:rPr>
        <w:t xml:space="preserve">mean in the model to account for </w:t>
      </w:r>
      <w:r w:rsidR="00B61C48" w:rsidRPr="001F281D">
        <w:rPr>
          <w:iCs/>
        </w:rPr>
        <w:t xml:space="preserve">differential </w:t>
      </w:r>
      <w:r w:rsidRPr="001F281D">
        <w:rPr>
          <w:iCs/>
        </w:rPr>
        <w:t xml:space="preserve">uptake. Using the mean from FOURIER increased the ICER to </w:t>
      </w:r>
      <w:r w:rsidR="00094A83" w:rsidRPr="00094A83">
        <w:rPr>
          <w:iCs/>
        </w:rPr>
        <w:t>$25,000 to &lt; $35,000</w:t>
      </w:r>
      <w:r w:rsidRPr="001F281D">
        <w:rPr>
          <w:iCs/>
        </w:rPr>
        <w:t xml:space="preserve"> per QALY gained</w:t>
      </w:r>
      <w:r w:rsidR="00367788" w:rsidRPr="001F281D">
        <w:rPr>
          <w:iCs/>
        </w:rPr>
        <w:t xml:space="preserve"> (shown </w:t>
      </w:r>
      <w:r w:rsidR="00367788" w:rsidRPr="001F281D">
        <w:rPr>
          <w:rFonts w:cstheme="minorHAnsi"/>
          <w:iCs/>
        </w:rPr>
        <w:t xml:space="preserve">in </w:t>
      </w:r>
      <w:r w:rsidR="0075276C" w:rsidRPr="001F281D">
        <w:rPr>
          <w:rFonts w:cstheme="minorHAnsi"/>
          <w:iCs/>
        </w:rPr>
        <w:fldChar w:fldCharType="begin"/>
      </w:r>
      <w:r w:rsidR="0075276C" w:rsidRPr="001F281D">
        <w:rPr>
          <w:rFonts w:cstheme="minorHAnsi"/>
          <w:iCs/>
        </w:rPr>
        <w:instrText xml:space="preserve"> REF _Ref105597273 \h  \* MERGEFORMAT </w:instrText>
      </w:r>
      <w:r w:rsidR="0075276C" w:rsidRPr="001F281D">
        <w:rPr>
          <w:rFonts w:cstheme="minorHAnsi"/>
          <w:iCs/>
        </w:rPr>
      </w:r>
      <w:r w:rsidR="0075276C" w:rsidRPr="001F281D">
        <w:rPr>
          <w:rFonts w:cstheme="minorHAnsi"/>
          <w:iCs/>
        </w:rPr>
        <w:fldChar w:fldCharType="separate"/>
      </w:r>
      <w:r w:rsidR="00EB7F7C" w:rsidRPr="00EB7F7C">
        <w:rPr>
          <w:rFonts w:cstheme="minorHAnsi"/>
          <w:iCs/>
        </w:rPr>
        <w:t xml:space="preserve">Table </w:t>
      </w:r>
      <w:r w:rsidR="00EB7F7C" w:rsidRPr="00EB7F7C">
        <w:rPr>
          <w:rFonts w:cstheme="minorHAnsi"/>
          <w:iCs/>
          <w:noProof/>
        </w:rPr>
        <w:t>15</w:t>
      </w:r>
      <w:r w:rsidR="0075276C" w:rsidRPr="001F281D">
        <w:rPr>
          <w:rFonts w:cstheme="minorHAnsi"/>
          <w:iCs/>
        </w:rPr>
        <w:fldChar w:fldCharType="end"/>
      </w:r>
      <w:r w:rsidR="0075276C" w:rsidRPr="001F281D">
        <w:rPr>
          <w:rFonts w:cstheme="minorHAnsi"/>
          <w:iCs/>
        </w:rPr>
        <w:t xml:space="preserve"> </w:t>
      </w:r>
      <w:r w:rsidR="00367788" w:rsidRPr="001F281D">
        <w:rPr>
          <w:rFonts w:cstheme="minorHAnsi"/>
          <w:iCs/>
        </w:rPr>
        <w:t>below)</w:t>
      </w:r>
      <w:r w:rsidRPr="001F281D">
        <w:rPr>
          <w:rFonts w:cstheme="minorHAnsi"/>
          <w:iCs/>
        </w:rPr>
        <w:t xml:space="preserve">. </w:t>
      </w:r>
      <w:r w:rsidR="001C3457" w:rsidRPr="001F281D">
        <w:rPr>
          <w:rFonts w:cstheme="minorHAnsi"/>
          <w:iCs/>
        </w:rPr>
        <w:t xml:space="preserve">The ESC considered there was </w:t>
      </w:r>
      <w:r w:rsidR="00B61C48" w:rsidRPr="001F281D">
        <w:rPr>
          <w:rFonts w:cstheme="minorHAnsi"/>
          <w:iCs/>
        </w:rPr>
        <w:t xml:space="preserve">potential </w:t>
      </w:r>
      <w:r w:rsidR="001C3457" w:rsidRPr="001F281D">
        <w:rPr>
          <w:rFonts w:cstheme="minorHAnsi"/>
          <w:iCs/>
        </w:rPr>
        <w:t>face validity to an assumption that the</w:t>
      </w:r>
      <w:r w:rsidR="001C3457" w:rsidRPr="001F281D">
        <w:rPr>
          <w:iCs/>
        </w:rPr>
        <w:t xml:space="preserve"> mean LDL-C would be above the midpoint of 1.8 and 2.6 mmol/L (</w:t>
      </w:r>
      <w:r w:rsidR="00C61F38" w:rsidRPr="001F281D">
        <w:rPr>
          <w:iCs/>
        </w:rPr>
        <w:t>i.e.,</w:t>
      </w:r>
      <w:r w:rsidR="001C3457" w:rsidRPr="001F281D">
        <w:rPr>
          <w:iCs/>
        </w:rPr>
        <w:t xml:space="preserve"> above 2.2 mmol/L), as there was potential for greater uptake in patients with higher LDL-C levels</w:t>
      </w:r>
      <w:r w:rsidR="00B61C48" w:rsidRPr="001F281D">
        <w:rPr>
          <w:iCs/>
        </w:rPr>
        <w:t>.  H</w:t>
      </w:r>
      <w:r w:rsidR="001C3457" w:rsidRPr="001F281D">
        <w:rPr>
          <w:iCs/>
        </w:rPr>
        <w:t>owever</w:t>
      </w:r>
      <w:r w:rsidR="00144F71" w:rsidRPr="001F281D">
        <w:rPr>
          <w:iCs/>
        </w:rPr>
        <w:t>,</w:t>
      </w:r>
      <w:r w:rsidR="001C3457" w:rsidRPr="001F281D">
        <w:rPr>
          <w:iCs/>
        </w:rPr>
        <w:t xml:space="preserve"> the magnitude of the baseline level in the extended PBS population was highly uncertain</w:t>
      </w:r>
      <w:r w:rsidR="004613D3" w:rsidRPr="001F281D">
        <w:rPr>
          <w:iCs/>
        </w:rPr>
        <w:t xml:space="preserve">, and therefore the ICER </w:t>
      </w:r>
      <w:r w:rsidR="00144F71" w:rsidRPr="001F281D">
        <w:rPr>
          <w:iCs/>
        </w:rPr>
        <w:t xml:space="preserve">was </w:t>
      </w:r>
      <w:r w:rsidR="004613D3" w:rsidRPr="001F281D">
        <w:rPr>
          <w:iCs/>
        </w:rPr>
        <w:t>also uncertain</w:t>
      </w:r>
      <w:r w:rsidR="001C3457" w:rsidRPr="001F281D">
        <w:rPr>
          <w:iCs/>
        </w:rPr>
        <w:t>.</w:t>
      </w:r>
      <w:bookmarkEnd w:id="46"/>
    </w:p>
    <w:p w14:paraId="07931A75" w14:textId="3C292B4E" w:rsidR="00F614CC" w:rsidRPr="00FF4735" w:rsidRDefault="00A84E6F" w:rsidP="00F614CC">
      <w:pPr>
        <w:pStyle w:val="ExecSumBodyText"/>
        <w:rPr>
          <w:iCs/>
        </w:rPr>
      </w:pPr>
      <w:r w:rsidRPr="00FF4735">
        <w:rPr>
          <w:iCs/>
        </w:rPr>
        <w:t>A comparison of</w:t>
      </w:r>
      <w:r w:rsidR="00F614CC" w:rsidRPr="00FF4735">
        <w:rPr>
          <w:iCs/>
        </w:rPr>
        <w:t xml:space="preserve"> the number of cardiovascular deaths, MIs, strokes and other major cardiovascular event avoided in the</w:t>
      </w:r>
      <w:r w:rsidR="00CB7813" w:rsidRPr="00FF4735">
        <w:rPr>
          <w:iCs/>
        </w:rPr>
        <w:t xml:space="preserve"> FOURIER trial compared to the </w:t>
      </w:r>
      <w:r w:rsidR="00F614CC" w:rsidRPr="00FF4735">
        <w:rPr>
          <w:iCs/>
        </w:rPr>
        <w:t xml:space="preserve">economic model over </w:t>
      </w:r>
      <w:r w:rsidR="00CB7813" w:rsidRPr="00FF4735">
        <w:rPr>
          <w:iCs/>
        </w:rPr>
        <w:t xml:space="preserve">a comparable </w:t>
      </w:r>
      <w:proofErr w:type="gramStart"/>
      <w:r w:rsidR="00CB7813" w:rsidRPr="00FF4735">
        <w:rPr>
          <w:iCs/>
        </w:rPr>
        <w:t>time period</w:t>
      </w:r>
      <w:proofErr w:type="gramEnd"/>
      <w:r w:rsidR="00CB7813" w:rsidRPr="00FF4735">
        <w:rPr>
          <w:iCs/>
        </w:rPr>
        <w:t xml:space="preserve">, and at </w:t>
      </w:r>
      <w:r w:rsidR="00F614CC" w:rsidRPr="00FF4735">
        <w:rPr>
          <w:iCs/>
        </w:rPr>
        <w:t>the 25</w:t>
      </w:r>
      <w:r w:rsidR="00322DF0" w:rsidRPr="00FF4735">
        <w:rPr>
          <w:iCs/>
        </w:rPr>
        <w:t>-</w:t>
      </w:r>
      <w:r w:rsidR="00F614CC" w:rsidRPr="00FF4735">
        <w:rPr>
          <w:iCs/>
        </w:rPr>
        <w:t>year time horizon</w:t>
      </w:r>
      <w:r w:rsidR="00F31B42" w:rsidRPr="00FF4735">
        <w:rPr>
          <w:iCs/>
        </w:rPr>
        <w:t xml:space="preserve"> was conducted during the evaluation (</w:t>
      </w:r>
      <w:r w:rsidR="00943889">
        <w:rPr>
          <w:iCs/>
        </w:rPr>
        <w:t>shown in</w:t>
      </w:r>
      <w:r w:rsidR="00943889" w:rsidRPr="00FF4735">
        <w:rPr>
          <w:iCs/>
        </w:rPr>
        <w:t xml:space="preserve"> </w:t>
      </w:r>
      <w:r w:rsidR="00A65DA3" w:rsidRPr="00FF4735">
        <w:rPr>
          <w:iCs/>
        </w:rPr>
        <w:fldChar w:fldCharType="begin"/>
      </w:r>
      <w:r w:rsidR="00A65DA3" w:rsidRPr="00FF4735">
        <w:rPr>
          <w:iCs/>
        </w:rPr>
        <w:instrText xml:space="preserve"> REF _Ref101183286 \h  \* MERGEFORMAT </w:instrText>
      </w:r>
      <w:r w:rsidR="00A65DA3" w:rsidRPr="00FF4735">
        <w:rPr>
          <w:iCs/>
        </w:rPr>
      </w:r>
      <w:r w:rsidR="00A65DA3" w:rsidRPr="00FF4735">
        <w:rPr>
          <w:iCs/>
        </w:rPr>
        <w:fldChar w:fldCharType="separate"/>
      </w:r>
      <w:r w:rsidR="00EB7F7C" w:rsidRPr="00EB7F7C">
        <w:rPr>
          <w:iCs/>
        </w:rPr>
        <w:t>Table 13</w:t>
      </w:r>
      <w:r w:rsidR="00A65DA3" w:rsidRPr="00FF4735">
        <w:rPr>
          <w:iCs/>
        </w:rPr>
        <w:fldChar w:fldCharType="end"/>
      </w:r>
      <w:r w:rsidR="00F31B42" w:rsidRPr="00FF4735">
        <w:rPr>
          <w:iCs/>
        </w:rPr>
        <w:t>)</w:t>
      </w:r>
      <w:r w:rsidR="00F614CC" w:rsidRPr="00FF4735">
        <w:rPr>
          <w:iCs/>
        </w:rPr>
        <w:t>.</w:t>
      </w:r>
    </w:p>
    <w:p w14:paraId="0D898412" w14:textId="0BF990CC" w:rsidR="000C70BF" w:rsidRPr="006858C4" w:rsidRDefault="000C70BF" w:rsidP="000C70BF">
      <w:pPr>
        <w:pStyle w:val="Caption"/>
        <w:keepNext/>
        <w:rPr>
          <w:rFonts w:ascii="Arial Narrow" w:hAnsi="Arial Narrow"/>
          <w:color w:val="auto"/>
          <w:sz w:val="20"/>
        </w:rPr>
      </w:pPr>
      <w:bookmarkStart w:id="47" w:name="_Ref101183286"/>
      <w:r w:rsidRPr="006858C4">
        <w:rPr>
          <w:rFonts w:ascii="Arial Narrow" w:hAnsi="Arial Narrow"/>
          <w:color w:val="auto"/>
          <w:sz w:val="20"/>
        </w:rPr>
        <w:t xml:space="preserve">Table </w:t>
      </w:r>
      <w:r w:rsidRPr="006858C4">
        <w:rPr>
          <w:rFonts w:ascii="Arial Narrow" w:hAnsi="Arial Narrow"/>
          <w:color w:val="auto"/>
          <w:sz w:val="20"/>
        </w:rPr>
        <w:fldChar w:fldCharType="begin"/>
      </w:r>
      <w:r w:rsidRPr="006858C4">
        <w:rPr>
          <w:rFonts w:ascii="Arial Narrow" w:hAnsi="Arial Narrow"/>
          <w:color w:val="auto"/>
          <w:sz w:val="20"/>
        </w:rPr>
        <w:instrText xml:space="preserve"> SEQ Table \* ARABIC </w:instrText>
      </w:r>
      <w:r w:rsidRPr="006858C4">
        <w:rPr>
          <w:rFonts w:ascii="Arial Narrow" w:hAnsi="Arial Narrow"/>
          <w:color w:val="auto"/>
          <w:sz w:val="20"/>
        </w:rPr>
        <w:fldChar w:fldCharType="separate"/>
      </w:r>
      <w:r w:rsidR="00EB7F7C">
        <w:rPr>
          <w:rFonts w:ascii="Arial Narrow" w:hAnsi="Arial Narrow"/>
          <w:noProof/>
          <w:color w:val="auto"/>
          <w:sz w:val="20"/>
        </w:rPr>
        <w:t>13</w:t>
      </w:r>
      <w:r w:rsidRPr="006858C4">
        <w:rPr>
          <w:rFonts w:ascii="Arial Narrow" w:hAnsi="Arial Narrow"/>
          <w:color w:val="auto"/>
          <w:sz w:val="20"/>
        </w:rPr>
        <w:fldChar w:fldCharType="end"/>
      </w:r>
      <w:bookmarkEnd w:id="47"/>
      <w:r w:rsidRPr="006858C4">
        <w:rPr>
          <w:rFonts w:ascii="Arial Narrow" w:hAnsi="Arial Narrow"/>
          <w:color w:val="auto"/>
          <w:sz w:val="20"/>
        </w:rPr>
        <w:t xml:space="preserve">: </w:t>
      </w:r>
      <w:r w:rsidR="00C809B5">
        <w:rPr>
          <w:rFonts w:ascii="Arial Narrow" w:hAnsi="Arial Narrow"/>
          <w:color w:val="auto"/>
          <w:sz w:val="20"/>
        </w:rPr>
        <w:t>E</w:t>
      </w:r>
      <w:r w:rsidRPr="006858C4">
        <w:rPr>
          <w:rFonts w:ascii="Arial Narrow" w:hAnsi="Arial Narrow"/>
          <w:color w:val="auto"/>
          <w:sz w:val="20"/>
        </w:rPr>
        <w:t>vents per patient in the trial versus the economic model</w:t>
      </w:r>
    </w:p>
    <w:tbl>
      <w:tblPr>
        <w:tblStyle w:val="TableGrid"/>
        <w:tblW w:w="5000" w:type="pct"/>
        <w:tblLayout w:type="fixed"/>
        <w:tblLook w:val="04A0" w:firstRow="1" w:lastRow="0" w:firstColumn="1" w:lastColumn="0" w:noHBand="0" w:noVBand="1"/>
      </w:tblPr>
      <w:tblGrid>
        <w:gridCol w:w="1554"/>
        <w:gridCol w:w="760"/>
        <w:gridCol w:w="836"/>
        <w:gridCol w:w="839"/>
        <w:gridCol w:w="837"/>
        <w:gridCol w:w="839"/>
        <w:gridCol w:w="837"/>
        <w:gridCol w:w="839"/>
        <w:gridCol w:w="837"/>
        <w:gridCol w:w="839"/>
      </w:tblGrid>
      <w:tr w:rsidR="000C70BF" w:rsidRPr="00FF4735" w14:paraId="12584E80" w14:textId="77777777" w:rsidTr="00BF34B1">
        <w:trPr>
          <w:trHeight w:val="290"/>
          <w:tblHeader/>
        </w:trPr>
        <w:tc>
          <w:tcPr>
            <w:tcW w:w="862" w:type="pct"/>
            <w:vMerge w:val="restart"/>
            <w:shd w:val="clear" w:color="auto" w:fill="auto"/>
            <w:noWrap/>
          </w:tcPr>
          <w:p w14:paraId="6F9C67A6" w14:textId="77777777" w:rsidR="000C70BF" w:rsidRPr="00FF4735" w:rsidRDefault="000C70BF" w:rsidP="00BF34B1">
            <w:pPr>
              <w:keepNext/>
              <w:keepLines/>
              <w:rPr>
                <w:rFonts w:ascii="Arial Narrow" w:hAnsi="Arial Narrow"/>
                <w:b/>
                <w:iCs/>
                <w:sz w:val="20"/>
                <w:szCs w:val="20"/>
              </w:rPr>
            </w:pPr>
          </w:p>
        </w:tc>
        <w:tc>
          <w:tcPr>
            <w:tcW w:w="1351" w:type="pct"/>
            <w:gridSpan w:val="3"/>
            <w:tcBorders>
              <w:bottom w:val="single" w:sz="4" w:space="0" w:color="auto"/>
            </w:tcBorders>
          </w:tcPr>
          <w:p w14:paraId="5E414596" w14:textId="77777777" w:rsidR="000C70BF" w:rsidRPr="00FF4735" w:rsidRDefault="000C70BF" w:rsidP="00BF34B1">
            <w:pPr>
              <w:keepNext/>
              <w:keepLines/>
              <w:jc w:val="center"/>
              <w:rPr>
                <w:rFonts w:ascii="Arial Narrow" w:hAnsi="Arial Narrow"/>
                <w:b/>
                <w:iCs/>
                <w:sz w:val="20"/>
                <w:szCs w:val="20"/>
              </w:rPr>
            </w:pPr>
            <w:r w:rsidRPr="00FF4735">
              <w:rPr>
                <w:rFonts w:ascii="Arial Narrow" w:hAnsi="Arial Narrow"/>
                <w:b/>
                <w:iCs/>
                <w:sz w:val="20"/>
                <w:szCs w:val="20"/>
              </w:rPr>
              <w:t>FOURIER trial</w:t>
            </w:r>
          </w:p>
          <w:p w14:paraId="0917761E" w14:textId="4D8F6842" w:rsidR="000C70BF" w:rsidRPr="00FF4735" w:rsidRDefault="000C70BF" w:rsidP="00BF34B1">
            <w:pPr>
              <w:keepNext/>
              <w:keepLines/>
              <w:jc w:val="center"/>
              <w:rPr>
                <w:rFonts w:ascii="Arial Narrow" w:hAnsi="Arial Narrow"/>
                <w:b/>
                <w:iCs/>
                <w:sz w:val="20"/>
                <w:szCs w:val="20"/>
              </w:rPr>
            </w:pPr>
            <w:r w:rsidRPr="00FF4735">
              <w:rPr>
                <w:rFonts w:ascii="Arial Narrow" w:hAnsi="Arial Narrow"/>
                <w:b/>
                <w:iCs/>
                <w:sz w:val="20"/>
                <w:szCs w:val="20"/>
              </w:rPr>
              <w:t>LDL-C &gt;</w:t>
            </w:r>
            <w:r w:rsidR="00943889">
              <w:rPr>
                <w:rFonts w:ascii="Arial Narrow" w:hAnsi="Arial Narrow"/>
                <w:b/>
                <w:iCs/>
                <w:sz w:val="20"/>
                <w:szCs w:val="20"/>
              </w:rPr>
              <w:t> </w:t>
            </w:r>
            <w:r w:rsidRPr="00FF4735">
              <w:rPr>
                <w:rFonts w:ascii="Arial Narrow" w:hAnsi="Arial Narrow"/>
                <w:b/>
                <w:iCs/>
                <w:sz w:val="20"/>
                <w:szCs w:val="20"/>
              </w:rPr>
              <w:t>1.8 mmol/L</w:t>
            </w:r>
          </w:p>
          <w:p w14:paraId="641B2294" w14:textId="77777777" w:rsidR="000C70BF" w:rsidRPr="00FF4735" w:rsidRDefault="000C70BF" w:rsidP="00BF34B1">
            <w:pPr>
              <w:keepNext/>
              <w:keepLines/>
              <w:jc w:val="center"/>
              <w:rPr>
                <w:rFonts w:ascii="Arial Narrow" w:hAnsi="Arial Narrow"/>
                <w:b/>
                <w:iCs/>
                <w:sz w:val="20"/>
                <w:szCs w:val="20"/>
              </w:rPr>
            </w:pPr>
            <w:r w:rsidRPr="00FF4735">
              <w:rPr>
                <w:rFonts w:ascii="Arial Narrow" w:hAnsi="Arial Narrow"/>
                <w:b/>
                <w:iCs/>
                <w:sz w:val="20"/>
                <w:szCs w:val="20"/>
              </w:rPr>
              <w:t>(median follow-up 2.2 years)</w:t>
            </w:r>
          </w:p>
        </w:tc>
        <w:tc>
          <w:tcPr>
            <w:tcW w:w="1393" w:type="pct"/>
            <w:gridSpan w:val="3"/>
            <w:tcBorders>
              <w:bottom w:val="single" w:sz="4" w:space="0" w:color="auto"/>
            </w:tcBorders>
          </w:tcPr>
          <w:p w14:paraId="000A8520" w14:textId="77777777" w:rsidR="000C70BF" w:rsidRPr="00FF4735" w:rsidRDefault="000C70BF" w:rsidP="00BF34B1">
            <w:pPr>
              <w:keepNext/>
              <w:keepLines/>
              <w:jc w:val="center"/>
              <w:rPr>
                <w:rFonts w:ascii="Arial Narrow" w:hAnsi="Arial Narrow"/>
                <w:b/>
                <w:iCs/>
                <w:sz w:val="20"/>
                <w:szCs w:val="20"/>
              </w:rPr>
            </w:pPr>
            <w:r w:rsidRPr="00FF4735">
              <w:rPr>
                <w:rFonts w:ascii="Arial Narrow" w:hAnsi="Arial Narrow"/>
                <w:b/>
                <w:iCs/>
                <w:sz w:val="20"/>
                <w:szCs w:val="20"/>
              </w:rPr>
              <w:t>Economic model</w:t>
            </w:r>
          </w:p>
          <w:p w14:paraId="2EA1CBAE" w14:textId="119F82AC" w:rsidR="000C70BF" w:rsidRPr="00FF4735" w:rsidRDefault="000C70BF" w:rsidP="00BF34B1">
            <w:pPr>
              <w:keepNext/>
              <w:keepLines/>
              <w:jc w:val="center"/>
              <w:rPr>
                <w:rFonts w:ascii="Arial Narrow" w:hAnsi="Arial Narrow"/>
                <w:b/>
                <w:iCs/>
                <w:sz w:val="20"/>
                <w:szCs w:val="20"/>
              </w:rPr>
            </w:pPr>
            <w:r w:rsidRPr="00FF4735">
              <w:rPr>
                <w:rFonts w:ascii="Arial Narrow" w:hAnsi="Arial Narrow"/>
                <w:b/>
                <w:iCs/>
                <w:sz w:val="20"/>
                <w:szCs w:val="20"/>
              </w:rPr>
              <w:t>LDL-C &gt;</w:t>
            </w:r>
            <w:r w:rsidR="00943889">
              <w:rPr>
                <w:rFonts w:ascii="Arial Narrow" w:hAnsi="Arial Narrow"/>
                <w:b/>
                <w:iCs/>
                <w:sz w:val="20"/>
                <w:szCs w:val="20"/>
              </w:rPr>
              <w:t> </w:t>
            </w:r>
            <w:r w:rsidRPr="00FF4735">
              <w:rPr>
                <w:rFonts w:ascii="Arial Narrow" w:hAnsi="Arial Narrow"/>
                <w:b/>
                <w:iCs/>
                <w:sz w:val="20"/>
                <w:szCs w:val="20"/>
              </w:rPr>
              <w:t>1.8 ≤ 2.6 mmol/L</w:t>
            </w:r>
          </w:p>
          <w:p w14:paraId="100FAEC1" w14:textId="77777777" w:rsidR="000C70BF" w:rsidRPr="00FF4735" w:rsidRDefault="000C70BF" w:rsidP="00BF34B1">
            <w:pPr>
              <w:keepNext/>
              <w:keepLines/>
              <w:jc w:val="center"/>
              <w:rPr>
                <w:rFonts w:ascii="Arial Narrow" w:hAnsi="Arial Narrow"/>
                <w:b/>
                <w:iCs/>
                <w:sz w:val="20"/>
                <w:szCs w:val="20"/>
              </w:rPr>
            </w:pPr>
            <w:r w:rsidRPr="00FF4735">
              <w:rPr>
                <w:rFonts w:ascii="Arial Narrow" w:hAnsi="Arial Narrow"/>
                <w:b/>
                <w:iCs/>
                <w:sz w:val="20"/>
                <w:szCs w:val="20"/>
              </w:rPr>
              <w:t>(26 months, undiscounted)</w:t>
            </w:r>
          </w:p>
        </w:tc>
        <w:tc>
          <w:tcPr>
            <w:tcW w:w="1393" w:type="pct"/>
            <w:gridSpan w:val="3"/>
            <w:tcBorders>
              <w:bottom w:val="single" w:sz="4" w:space="0" w:color="auto"/>
            </w:tcBorders>
            <w:shd w:val="clear" w:color="auto" w:fill="auto"/>
            <w:noWrap/>
          </w:tcPr>
          <w:p w14:paraId="44AFC960" w14:textId="77777777" w:rsidR="000C70BF" w:rsidRPr="00FF4735" w:rsidRDefault="000C70BF" w:rsidP="00BF34B1">
            <w:pPr>
              <w:keepNext/>
              <w:keepLines/>
              <w:jc w:val="center"/>
              <w:rPr>
                <w:rFonts w:ascii="Arial Narrow" w:hAnsi="Arial Narrow"/>
                <w:b/>
                <w:iCs/>
                <w:sz w:val="20"/>
                <w:szCs w:val="20"/>
              </w:rPr>
            </w:pPr>
            <w:r w:rsidRPr="00FF4735">
              <w:rPr>
                <w:rFonts w:ascii="Arial Narrow" w:hAnsi="Arial Narrow"/>
                <w:b/>
                <w:iCs/>
                <w:sz w:val="20"/>
                <w:szCs w:val="20"/>
              </w:rPr>
              <w:t>Economic model</w:t>
            </w:r>
          </w:p>
          <w:p w14:paraId="26CD489C" w14:textId="2F64BA08" w:rsidR="000C70BF" w:rsidRPr="00FF4735" w:rsidRDefault="000C70BF" w:rsidP="00BF34B1">
            <w:pPr>
              <w:keepNext/>
              <w:keepLines/>
              <w:jc w:val="center"/>
              <w:rPr>
                <w:rFonts w:ascii="Arial Narrow" w:hAnsi="Arial Narrow"/>
                <w:b/>
                <w:iCs/>
                <w:sz w:val="20"/>
                <w:szCs w:val="20"/>
              </w:rPr>
            </w:pPr>
            <w:r w:rsidRPr="00FF4735">
              <w:rPr>
                <w:rFonts w:ascii="Arial Narrow" w:hAnsi="Arial Narrow"/>
                <w:b/>
                <w:iCs/>
                <w:sz w:val="20"/>
                <w:szCs w:val="20"/>
              </w:rPr>
              <w:t>LDL-C &gt;</w:t>
            </w:r>
            <w:r w:rsidR="00943889">
              <w:rPr>
                <w:rFonts w:ascii="Arial Narrow" w:hAnsi="Arial Narrow"/>
                <w:b/>
                <w:iCs/>
                <w:sz w:val="20"/>
                <w:szCs w:val="20"/>
              </w:rPr>
              <w:t> </w:t>
            </w:r>
            <w:r w:rsidRPr="00FF4735">
              <w:rPr>
                <w:rFonts w:ascii="Arial Narrow" w:hAnsi="Arial Narrow"/>
                <w:b/>
                <w:iCs/>
                <w:sz w:val="20"/>
                <w:szCs w:val="20"/>
              </w:rPr>
              <w:t>1.8 ≤ 2.6 mmol/L</w:t>
            </w:r>
          </w:p>
          <w:p w14:paraId="2C674F41" w14:textId="77777777" w:rsidR="000C70BF" w:rsidRPr="00FF4735" w:rsidRDefault="000C70BF" w:rsidP="00BF34B1">
            <w:pPr>
              <w:keepNext/>
              <w:keepLines/>
              <w:jc w:val="center"/>
              <w:rPr>
                <w:rFonts w:ascii="Arial Narrow" w:hAnsi="Arial Narrow"/>
                <w:b/>
                <w:iCs/>
                <w:sz w:val="20"/>
                <w:szCs w:val="20"/>
              </w:rPr>
            </w:pPr>
            <w:r w:rsidRPr="00FF4735">
              <w:rPr>
                <w:rFonts w:ascii="Arial Narrow" w:hAnsi="Arial Narrow"/>
                <w:b/>
                <w:iCs/>
                <w:sz w:val="20"/>
                <w:szCs w:val="20"/>
              </w:rPr>
              <w:t>(25 years, undiscounted)</w:t>
            </w:r>
          </w:p>
        </w:tc>
      </w:tr>
      <w:tr w:rsidR="000C70BF" w:rsidRPr="00FF4735" w14:paraId="696D78E8" w14:textId="77777777" w:rsidTr="00BF34B1">
        <w:trPr>
          <w:trHeight w:val="290"/>
        </w:trPr>
        <w:tc>
          <w:tcPr>
            <w:tcW w:w="862" w:type="pct"/>
            <w:vMerge/>
            <w:noWrap/>
          </w:tcPr>
          <w:p w14:paraId="60C84ED4" w14:textId="77777777" w:rsidR="000C70BF" w:rsidRPr="00FF4735" w:rsidRDefault="000C70BF" w:rsidP="00BF34B1">
            <w:pPr>
              <w:keepNext/>
              <w:keepLines/>
              <w:rPr>
                <w:rFonts w:ascii="Arial Narrow" w:hAnsi="Arial Narrow"/>
                <w:iCs/>
                <w:sz w:val="20"/>
                <w:szCs w:val="20"/>
                <w:highlight w:val="yellow"/>
              </w:rPr>
            </w:pPr>
          </w:p>
        </w:tc>
        <w:tc>
          <w:tcPr>
            <w:tcW w:w="422" w:type="pct"/>
            <w:vAlign w:val="center"/>
          </w:tcPr>
          <w:p w14:paraId="7F84FC0B" w14:textId="77777777" w:rsidR="000C70BF" w:rsidRPr="00FF4735" w:rsidRDefault="000C70BF" w:rsidP="00BF34B1">
            <w:pPr>
              <w:keepNext/>
              <w:keepLines/>
              <w:jc w:val="center"/>
              <w:rPr>
                <w:rFonts w:ascii="Arial Narrow" w:hAnsi="Arial Narrow"/>
                <w:iCs/>
                <w:sz w:val="20"/>
                <w:szCs w:val="20"/>
              </w:rPr>
            </w:pPr>
            <w:r w:rsidRPr="00FF4735">
              <w:rPr>
                <w:rFonts w:ascii="Arial Narrow" w:hAnsi="Arial Narrow"/>
                <w:iCs/>
                <w:sz w:val="20"/>
                <w:szCs w:val="20"/>
              </w:rPr>
              <w:t>EVO</w:t>
            </w:r>
          </w:p>
        </w:tc>
        <w:tc>
          <w:tcPr>
            <w:tcW w:w="464" w:type="pct"/>
            <w:noWrap/>
            <w:vAlign w:val="center"/>
          </w:tcPr>
          <w:p w14:paraId="2BC63AD1" w14:textId="77777777" w:rsidR="000C70BF" w:rsidRPr="00FF4735" w:rsidRDefault="000C70BF" w:rsidP="00BF34B1">
            <w:pPr>
              <w:keepNext/>
              <w:keepLines/>
              <w:jc w:val="center"/>
              <w:rPr>
                <w:rFonts w:ascii="Arial Narrow" w:hAnsi="Arial Narrow"/>
                <w:iCs/>
                <w:sz w:val="20"/>
                <w:szCs w:val="20"/>
              </w:rPr>
            </w:pPr>
            <w:r w:rsidRPr="00FF4735">
              <w:rPr>
                <w:rFonts w:ascii="Arial Narrow" w:hAnsi="Arial Narrow"/>
                <w:iCs/>
                <w:sz w:val="20"/>
                <w:szCs w:val="20"/>
              </w:rPr>
              <w:t>PBO</w:t>
            </w:r>
          </w:p>
        </w:tc>
        <w:tc>
          <w:tcPr>
            <w:tcW w:w="465" w:type="pct"/>
            <w:vAlign w:val="center"/>
          </w:tcPr>
          <w:p w14:paraId="6ECB3179" w14:textId="77777777" w:rsidR="000C70BF" w:rsidRPr="00FF4735" w:rsidRDefault="000C70BF" w:rsidP="00BF34B1">
            <w:pPr>
              <w:keepNext/>
              <w:keepLines/>
              <w:jc w:val="center"/>
              <w:rPr>
                <w:rFonts w:ascii="Arial Narrow" w:hAnsi="Arial Narrow"/>
                <w:iCs/>
                <w:sz w:val="20"/>
                <w:szCs w:val="20"/>
              </w:rPr>
            </w:pPr>
            <w:r w:rsidRPr="00FF4735">
              <w:rPr>
                <w:rFonts w:ascii="Arial Narrow" w:hAnsi="Arial Narrow"/>
                <w:iCs/>
                <w:sz w:val="20"/>
                <w:szCs w:val="20"/>
              </w:rPr>
              <w:t>Incr.</w:t>
            </w:r>
          </w:p>
        </w:tc>
        <w:tc>
          <w:tcPr>
            <w:tcW w:w="464" w:type="pct"/>
            <w:vAlign w:val="center"/>
          </w:tcPr>
          <w:p w14:paraId="0435EF17" w14:textId="77777777" w:rsidR="000C70BF" w:rsidRPr="00FF4735" w:rsidRDefault="000C70BF" w:rsidP="00BF34B1">
            <w:pPr>
              <w:keepNext/>
              <w:keepLines/>
              <w:jc w:val="center"/>
              <w:rPr>
                <w:rFonts w:ascii="Arial Narrow" w:hAnsi="Arial Narrow"/>
                <w:iCs/>
                <w:sz w:val="20"/>
                <w:szCs w:val="20"/>
              </w:rPr>
            </w:pPr>
            <w:r w:rsidRPr="00FF4735">
              <w:rPr>
                <w:rFonts w:ascii="Arial Narrow" w:hAnsi="Arial Narrow"/>
                <w:iCs/>
                <w:sz w:val="20"/>
                <w:szCs w:val="20"/>
              </w:rPr>
              <w:t>EVO</w:t>
            </w:r>
          </w:p>
        </w:tc>
        <w:tc>
          <w:tcPr>
            <w:tcW w:w="465" w:type="pct"/>
            <w:vAlign w:val="center"/>
          </w:tcPr>
          <w:p w14:paraId="2421E9D9" w14:textId="77777777" w:rsidR="000C70BF" w:rsidRPr="00FF4735" w:rsidRDefault="000C70BF" w:rsidP="00BF34B1">
            <w:pPr>
              <w:keepNext/>
              <w:keepLines/>
              <w:jc w:val="center"/>
              <w:rPr>
                <w:rFonts w:ascii="Arial Narrow" w:hAnsi="Arial Narrow"/>
                <w:iCs/>
                <w:sz w:val="20"/>
                <w:szCs w:val="20"/>
              </w:rPr>
            </w:pPr>
            <w:r w:rsidRPr="00FF4735">
              <w:rPr>
                <w:rFonts w:ascii="Arial Narrow" w:hAnsi="Arial Narrow"/>
                <w:iCs/>
                <w:sz w:val="20"/>
                <w:szCs w:val="20"/>
              </w:rPr>
              <w:t>PBO</w:t>
            </w:r>
          </w:p>
        </w:tc>
        <w:tc>
          <w:tcPr>
            <w:tcW w:w="464" w:type="pct"/>
            <w:vAlign w:val="center"/>
          </w:tcPr>
          <w:p w14:paraId="4414EEEA" w14:textId="77777777" w:rsidR="000C70BF" w:rsidRPr="00FF4735" w:rsidRDefault="000C70BF" w:rsidP="00BF34B1">
            <w:pPr>
              <w:keepNext/>
              <w:keepLines/>
              <w:jc w:val="center"/>
              <w:rPr>
                <w:rFonts w:ascii="Arial Narrow" w:hAnsi="Arial Narrow"/>
                <w:iCs/>
                <w:sz w:val="20"/>
                <w:szCs w:val="20"/>
              </w:rPr>
            </w:pPr>
            <w:r w:rsidRPr="00FF4735">
              <w:rPr>
                <w:rFonts w:ascii="Arial Narrow" w:hAnsi="Arial Narrow"/>
                <w:iCs/>
                <w:sz w:val="20"/>
                <w:szCs w:val="20"/>
              </w:rPr>
              <w:t>Incr.</w:t>
            </w:r>
          </w:p>
        </w:tc>
        <w:tc>
          <w:tcPr>
            <w:tcW w:w="465" w:type="pct"/>
            <w:noWrap/>
            <w:vAlign w:val="center"/>
          </w:tcPr>
          <w:p w14:paraId="721E72FA" w14:textId="77777777" w:rsidR="000C70BF" w:rsidRPr="00FF4735" w:rsidRDefault="000C70BF" w:rsidP="00BF34B1">
            <w:pPr>
              <w:keepNext/>
              <w:keepLines/>
              <w:jc w:val="center"/>
              <w:rPr>
                <w:rFonts w:ascii="Arial Narrow" w:hAnsi="Arial Narrow" w:cstheme="minorHAnsi"/>
                <w:iCs/>
                <w:sz w:val="20"/>
                <w:szCs w:val="20"/>
              </w:rPr>
            </w:pPr>
            <w:r w:rsidRPr="00FF4735">
              <w:rPr>
                <w:rFonts w:ascii="Arial Narrow" w:hAnsi="Arial Narrow" w:cstheme="minorHAnsi"/>
                <w:iCs/>
                <w:sz w:val="20"/>
                <w:szCs w:val="20"/>
              </w:rPr>
              <w:t>EVO</w:t>
            </w:r>
          </w:p>
        </w:tc>
        <w:tc>
          <w:tcPr>
            <w:tcW w:w="464" w:type="pct"/>
            <w:noWrap/>
            <w:vAlign w:val="center"/>
          </w:tcPr>
          <w:p w14:paraId="152DD736" w14:textId="77777777" w:rsidR="000C70BF" w:rsidRPr="00FF4735" w:rsidRDefault="000C70BF" w:rsidP="00BF34B1">
            <w:pPr>
              <w:keepNext/>
              <w:keepLines/>
              <w:jc w:val="center"/>
              <w:rPr>
                <w:rFonts w:ascii="Arial Narrow" w:hAnsi="Arial Narrow" w:cstheme="minorHAnsi"/>
                <w:iCs/>
                <w:sz w:val="20"/>
                <w:szCs w:val="20"/>
              </w:rPr>
            </w:pPr>
            <w:r w:rsidRPr="00FF4735">
              <w:rPr>
                <w:rFonts w:ascii="Arial Narrow" w:hAnsi="Arial Narrow"/>
                <w:iCs/>
                <w:sz w:val="20"/>
                <w:szCs w:val="20"/>
              </w:rPr>
              <w:t>PBO</w:t>
            </w:r>
          </w:p>
        </w:tc>
        <w:tc>
          <w:tcPr>
            <w:tcW w:w="464" w:type="pct"/>
            <w:vAlign w:val="center"/>
          </w:tcPr>
          <w:p w14:paraId="1AA5E5CC" w14:textId="77777777" w:rsidR="000C70BF" w:rsidRPr="00FF4735" w:rsidRDefault="000C70BF" w:rsidP="00BF34B1">
            <w:pPr>
              <w:keepNext/>
              <w:keepLines/>
              <w:jc w:val="center"/>
              <w:rPr>
                <w:rFonts w:ascii="Arial Narrow" w:hAnsi="Arial Narrow" w:cstheme="minorHAnsi"/>
                <w:iCs/>
                <w:sz w:val="20"/>
                <w:szCs w:val="20"/>
              </w:rPr>
            </w:pPr>
            <w:r w:rsidRPr="00FF4735">
              <w:rPr>
                <w:rFonts w:ascii="Arial Narrow" w:hAnsi="Arial Narrow"/>
                <w:iCs/>
                <w:sz w:val="20"/>
                <w:szCs w:val="20"/>
              </w:rPr>
              <w:t>Incr.</w:t>
            </w:r>
          </w:p>
        </w:tc>
      </w:tr>
      <w:tr w:rsidR="000C70BF" w:rsidRPr="00FF4735" w14:paraId="7F2361E2" w14:textId="77777777" w:rsidTr="00BF34B1">
        <w:trPr>
          <w:trHeight w:val="53"/>
        </w:trPr>
        <w:tc>
          <w:tcPr>
            <w:tcW w:w="862" w:type="pct"/>
            <w:noWrap/>
            <w:vAlign w:val="center"/>
          </w:tcPr>
          <w:p w14:paraId="27C44628" w14:textId="77777777" w:rsidR="000C70BF" w:rsidRPr="00FF4735" w:rsidRDefault="000C70BF" w:rsidP="00BF34B1">
            <w:pPr>
              <w:keepNext/>
              <w:keepLines/>
              <w:jc w:val="left"/>
              <w:rPr>
                <w:rFonts w:ascii="Arial Narrow" w:hAnsi="Arial Narrow"/>
                <w:iCs/>
                <w:sz w:val="20"/>
                <w:szCs w:val="20"/>
              </w:rPr>
            </w:pPr>
            <w:r w:rsidRPr="00FF4735">
              <w:rPr>
                <w:rFonts w:ascii="Arial Narrow" w:hAnsi="Arial Narrow"/>
                <w:iCs/>
                <w:sz w:val="20"/>
                <w:szCs w:val="20"/>
              </w:rPr>
              <w:t>Fatal CHD</w:t>
            </w:r>
          </w:p>
        </w:tc>
        <w:tc>
          <w:tcPr>
            <w:tcW w:w="422" w:type="pct"/>
            <w:tcBorders>
              <w:top w:val="single" w:sz="4" w:space="0" w:color="auto"/>
              <w:bottom w:val="single" w:sz="4" w:space="0" w:color="auto"/>
              <w:right w:val="single" w:sz="4" w:space="0" w:color="auto"/>
            </w:tcBorders>
            <w:vAlign w:val="center"/>
          </w:tcPr>
          <w:p w14:paraId="2FC43942" w14:textId="77777777" w:rsidR="000C70BF" w:rsidRPr="00FF4735" w:rsidRDefault="000C70BF" w:rsidP="00BF34B1">
            <w:pPr>
              <w:keepNext/>
              <w:keepLines/>
              <w:jc w:val="center"/>
              <w:rPr>
                <w:rFonts w:ascii="Arial Narrow" w:hAnsi="Arial Narrow"/>
                <w:iCs/>
                <w:sz w:val="20"/>
                <w:szCs w:val="20"/>
              </w:rPr>
            </w:pPr>
            <w:r w:rsidRPr="00FF4735">
              <w:rPr>
                <w:rFonts w:ascii="Arial Narrow" w:hAnsi="Arial Narrow"/>
                <w:iCs/>
                <w:sz w:val="20"/>
                <w:szCs w:val="20"/>
              </w:rPr>
              <w:t>1.8%</w:t>
            </w:r>
          </w:p>
        </w:tc>
        <w:tc>
          <w:tcPr>
            <w:tcW w:w="464" w:type="pct"/>
            <w:tcBorders>
              <w:top w:val="single" w:sz="4" w:space="0" w:color="auto"/>
              <w:left w:val="single" w:sz="4" w:space="0" w:color="auto"/>
              <w:bottom w:val="single" w:sz="4" w:space="0" w:color="auto"/>
              <w:right w:val="single" w:sz="4" w:space="0" w:color="auto"/>
            </w:tcBorders>
            <w:noWrap/>
            <w:vAlign w:val="center"/>
          </w:tcPr>
          <w:p w14:paraId="15D572D2" w14:textId="77777777" w:rsidR="000C70BF" w:rsidRPr="00FF4735" w:rsidRDefault="000C70BF" w:rsidP="00BF34B1">
            <w:pPr>
              <w:keepNext/>
              <w:keepLines/>
              <w:jc w:val="center"/>
              <w:rPr>
                <w:rFonts w:ascii="Arial Narrow" w:hAnsi="Arial Narrow"/>
                <w:iCs/>
                <w:sz w:val="20"/>
                <w:szCs w:val="20"/>
              </w:rPr>
            </w:pPr>
            <w:r w:rsidRPr="00FF4735">
              <w:rPr>
                <w:rFonts w:ascii="Arial Narrow" w:hAnsi="Arial Narrow"/>
                <w:iCs/>
                <w:sz w:val="20"/>
                <w:szCs w:val="20"/>
              </w:rPr>
              <w:t>1.7%</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38A28D99" w14:textId="77777777" w:rsidR="000C70BF" w:rsidRPr="00FF4735" w:rsidRDefault="000C70BF" w:rsidP="00BF34B1">
            <w:pPr>
              <w:keepNext/>
              <w:keepLines/>
              <w:jc w:val="center"/>
              <w:rPr>
                <w:rFonts w:ascii="Arial Narrow" w:hAnsi="Arial Narrow" w:cstheme="minorHAnsi"/>
                <w:iCs/>
                <w:sz w:val="20"/>
                <w:szCs w:val="20"/>
              </w:rPr>
            </w:pPr>
            <w:r w:rsidRPr="00FF4735">
              <w:rPr>
                <w:rFonts w:ascii="Arial Narrow" w:hAnsi="Arial Narrow" w:cs="Calibri"/>
                <w:iCs/>
                <w:color w:val="000000"/>
                <w:sz w:val="20"/>
                <w:szCs w:val="20"/>
              </w:rPr>
              <w:t>0.10%</w:t>
            </w:r>
          </w:p>
        </w:tc>
        <w:tc>
          <w:tcPr>
            <w:tcW w:w="464" w:type="pct"/>
            <w:tcBorders>
              <w:top w:val="single" w:sz="4" w:space="0" w:color="auto"/>
              <w:left w:val="single" w:sz="4" w:space="0" w:color="auto"/>
              <w:bottom w:val="single" w:sz="4" w:space="0" w:color="auto"/>
              <w:right w:val="single" w:sz="4" w:space="0" w:color="auto"/>
            </w:tcBorders>
            <w:vAlign w:val="center"/>
          </w:tcPr>
          <w:p w14:paraId="4F1EFFF9" w14:textId="77777777" w:rsidR="000C70BF" w:rsidRPr="00FF4735" w:rsidRDefault="000C70BF" w:rsidP="00BF34B1">
            <w:pPr>
              <w:keepNext/>
              <w:keepLines/>
              <w:jc w:val="center"/>
              <w:rPr>
                <w:rFonts w:ascii="Arial Narrow" w:hAnsi="Arial Narrow" w:cs="Calibri"/>
                <w:iCs/>
                <w:color w:val="000000"/>
                <w:sz w:val="20"/>
                <w:szCs w:val="20"/>
              </w:rPr>
            </w:pPr>
            <w:r w:rsidRPr="00FF4735">
              <w:rPr>
                <w:rFonts w:ascii="Arial Narrow" w:hAnsi="Arial Narrow" w:cs="Calibri"/>
                <w:iCs/>
                <w:color w:val="000000"/>
                <w:sz w:val="20"/>
                <w:szCs w:val="20"/>
              </w:rPr>
              <w:t>2.3%</w:t>
            </w:r>
          </w:p>
        </w:tc>
        <w:tc>
          <w:tcPr>
            <w:tcW w:w="465" w:type="pct"/>
            <w:tcBorders>
              <w:top w:val="single" w:sz="4" w:space="0" w:color="auto"/>
              <w:left w:val="single" w:sz="4" w:space="0" w:color="auto"/>
              <w:bottom w:val="single" w:sz="4" w:space="0" w:color="auto"/>
              <w:right w:val="single" w:sz="4" w:space="0" w:color="auto"/>
            </w:tcBorders>
            <w:vAlign w:val="center"/>
          </w:tcPr>
          <w:p w14:paraId="734EC1AE" w14:textId="77777777" w:rsidR="000C70BF" w:rsidRPr="00FF4735" w:rsidRDefault="000C70BF" w:rsidP="00BF34B1">
            <w:pPr>
              <w:keepNext/>
              <w:keepLines/>
              <w:jc w:val="center"/>
              <w:rPr>
                <w:rFonts w:ascii="Arial Narrow" w:hAnsi="Arial Narrow" w:cs="Calibri"/>
                <w:iCs/>
                <w:color w:val="000000"/>
                <w:sz w:val="20"/>
                <w:szCs w:val="20"/>
              </w:rPr>
            </w:pPr>
            <w:r w:rsidRPr="00FF4735">
              <w:rPr>
                <w:rFonts w:ascii="Arial Narrow" w:hAnsi="Arial Narrow" w:cs="Calibri"/>
                <w:iCs/>
                <w:color w:val="000000"/>
                <w:sz w:val="20"/>
                <w:szCs w:val="20"/>
              </w:rPr>
              <w:t>2.3%</w:t>
            </w:r>
          </w:p>
        </w:tc>
        <w:tc>
          <w:tcPr>
            <w:tcW w:w="464" w:type="pct"/>
            <w:tcBorders>
              <w:top w:val="single" w:sz="4" w:space="0" w:color="auto"/>
              <w:left w:val="single" w:sz="4" w:space="0" w:color="auto"/>
              <w:bottom w:val="single" w:sz="4" w:space="0" w:color="auto"/>
              <w:right w:val="single" w:sz="4" w:space="0" w:color="auto"/>
            </w:tcBorders>
            <w:vAlign w:val="center"/>
          </w:tcPr>
          <w:p w14:paraId="2F692254" w14:textId="77777777" w:rsidR="000C70BF" w:rsidRPr="00FF4735" w:rsidRDefault="000C70BF" w:rsidP="00BF34B1">
            <w:pPr>
              <w:keepNext/>
              <w:keepLines/>
              <w:jc w:val="center"/>
              <w:rPr>
                <w:rFonts w:ascii="Arial Narrow" w:hAnsi="Arial Narrow" w:cs="Calibri"/>
                <w:iCs/>
                <w:color w:val="000000"/>
                <w:sz w:val="20"/>
                <w:szCs w:val="20"/>
              </w:rPr>
            </w:pPr>
            <w:r w:rsidRPr="00FF4735">
              <w:rPr>
                <w:rFonts w:ascii="Arial Narrow" w:hAnsi="Arial Narrow" w:cs="Calibri"/>
                <w:iCs/>
                <w:color w:val="000000"/>
                <w:sz w:val="20"/>
                <w:szCs w:val="20"/>
              </w:rPr>
              <w:t>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56BC91" w14:textId="77777777" w:rsidR="000C70BF" w:rsidRPr="00FF4735" w:rsidRDefault="000C70BF" w:rsidP="00BF34B1">
            <w:pPr>
              <w:keepNext/>
              <w:keepLines/>
              <w:jc w:val="center"/>
              <w:rPr>
                <w:rFonts w:ascii="Arial Narrow" w:hAnsi="Arial Narrow"/>
                <w:iCs/>
                <w:sz w:val="20"/>
                <w:szCs w:val="20"/>
              </w:rPr>
            </w:pPr>
            <w:r w:rsidRPr="00FF4735">
              <w:rPr>
                <w:rFonts w:ascii="Arial Narrow" w:hAnsi="Arial Narrow" w:cs="Calibri"/>
                <w:iCs/>
                <w:color w:val="000000"/>
                <w:sz w:val="20"/>
                <w:szCs w:val="20"/>
              </w:rPr>
              <w:t>52.2%</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8CEE86" w14:textId="77777777" w:rsidR="000C70BF" w:rsidRPr="00FF4735" w:rsidRDefault="000C70BF" w:rsidP="00BF34B1">
            <w:pPr>
              <w:keepNext/>
              <w:keepLines/>
              <w:jc w:val="center"/>
              <w:rPr>
                <w:rFonts w:ascii="Arial Narrow" w:hAnsi="Arial Narrow"/>
                <w:iCs/>
                <w:sz w:val="20"/>
                <w:szCs w:val="20"/>
              </w:rPr>
            </w:pPr>
            <w:r w:rsidRPr="00FF4735">
              <w:rPr>
                <w:rFonts w:ascii="Arial Narrow" w:hAnsi="Arial Narrow" w:cs="Calibri"/>
                <w:iCs/>
                <w:color w:val="000000"/>
                <w:sz w:val="20"/>
                <w:szCs w:val="20"/>
              </w:rPr>
              <w:t>58.8%</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52A78197" w14:textId="77777777" w:rsidR="000C70BF" w:rsidRPr="00FF4735" w:rsidRDefault="000C70BF" w:rsidP="00BF34B1">
            <w:pPr>
              <w:keepNext/>
              <w:keepLines/>
              <w:jc w:val="center"/>
              <w:rPr>
                <w:rFonts w:ascii="Arial Narrow" w:hAnsi="Arial Narrow" w:cstheme="minorHAnsi"/>
                <w:iCs/>
                <w:sz w:val="20"/>
                <w:szCs w:val="20"/>
              </w:rPr>
            </w:pPr>
            <w:r w:rsidRPr="00FF4735">
              <w:rPr>
                <w:rFonts w:ascii="Arial Narrow" w:hAnsi="Arial Narrow" w:cs="Calibri"/>
                <w:iCs/>
                <w:color w:val="000000"/>
                <w:sz w:val="20"/>
                <w:szCs w:val="20"/>
              </w:rPr>
              <w:t>-6.6%</w:t>
            </w:r>
          </w:p>
        </w:tc>
      </w:tr>
      <w:tr w:rsidR="000C70BF" w:rsidRPr="00FF4735" w14:paraId="3B14CC11" w14:textId="77777777" w:rsidTr="00BF34B1">
        <w:trPr>
          <w:trHeight w:val="53"/>
        </w:trPr>
        <w:tc>
          <w:tcPr>
            <w:tcW w:w="862" w:type="pct"/>
            <w:noWrap/>
            <w:vAlign w:val="center"/>
          </w:tcPr>
          <w:p w14:paraId="0B6F07C0" w14:textId="69F4719B" w:rsidR="000C70BF" w:rsidRPr="00FF4735" w:rsidRDefault="000C70BF" w:rsidP="00BF34B1">
            <w:pPr>
              <w:keepNext/>
              <w:keepLines/>
              <w:jc w:val="left"/>
              <w:rPr>
                <w:rFonts w:ascii="Arial Narrow" w:hAnsi="Arial Narrow"/>
                <w:iCs/>
                <w:sz w:val="20"/>
                <w:szCs w:val="20"/>
              </w:rPr>
            </w:pPr>
            <w:r w:rsidRPr="00FF4735">
              <w:rPr>
                <w:rFonts w:ascii="Arial Narrow" w:hAnsi="Arial Narrow"/>
                <w:iCs/>
                <w:sz w:val="20"/>
                <w:szCs w:val="20"/>
              </w:rPr>
              <w:t xml:space="preserve">Life years </w:t>
            </w:r>
          </w:p>
        </w:tc>
        <w:tc>
          <w:tcPr>
            <w:tcW w:w="422" w:type="pct"/>
            <w:tcBorders>
              <w:top w:val="single" w:sz="4" w:space="0" w:color="auto"/>
              <w:bottom w:val="single" w:sz="4" w:space="0" w:color="auto"/>
              <w:right w:val="single" w:sz="4" w:space="0" w:color="auto"/>
            </w:tcBorders>
            <w:vAlign w:val="center"/>
          </w:tcPr>
          <w:p w14:paraId="3D8912EA" w14:textId="77777777" w:rsidR="000C70BF" w:rsidRPr="00FF4735" w:rsidRDefault="000C70BF" w:rsidP="00BF34B1">
            <w:pPr>
              <w:keepNext/>
              <w:keepLines/>
              <w:jc w:val="center"/>
              <w:rPr>
                <w:rFonts w:ascii="Arial Narrow" w:hAnsi="Arial Narrow"/>
                <w:iCs/>
                <w:sz w:val="20"/>
                <w:szCs w:val="20"/>
              </w:rPr>
            </w:pPr>
            <w:r w:rsidRPr="00FF4735">
              <w:rPr>
                <w:rFonts w:ascii="Arial Narrow" w:hAnsi="Arial Narrow"/>
                <w:iCs/>
                <w:sz w:val="20"/>
                <w:szCs w:val="20"/>
              </w:rPr>
              <w:t>-</w:t>
            </w:r>
          </w:p>
        </w:tc>
        <w:tc>
          <w:tcPr>
            <w:tcW w:w="464" w:type="pct"/>
            <w:tcBorders>
              <w:top w:val="single" w:sz="4" w:space="0" w:color="auto"/>
              <w:left w:val="single" w:sz="4" w:space="0" w:color="auto"/>
              <w:bottom w:val="single" w:sz="4" w:space="0" w:color="auto"/>
              <w:right w:val="single" w:sz="4" w:space="0" w:color="auto"/>
            </w:tcBorders>
            <w:noWrap/>
            <w:vAlign w:val="center"/>
          </w:tcPr>
          <w:p w14:paraId="4EA75D65" w14:textId="77777777" w:rsidR="000C70BF" w:rsidRPr="00FF4735" w:rsidRDefault="000C70BF" w:rsidP="00BF34B1">
            <w:pPr>
              <w:keepNext/>
              <w:keepLines/>
              <w:jc w:val="center"/>
              <w:rPr>
                <w:rFonts w:ascii="Arial Narrow" w:hAnsi="Arial Narrow"/>
                <w:iCs/>
                <w:sz w:val="20"/>
                <w:szCs w:val="20"/>
              </w:rPr>
            </w:pPr>
            <w:r w:rsidRPr="00FF4735">
              <w:rPr>
                <w:rFonts w:ascii="Arial Narrow" w:hAnsi="Arial Narrow"/>
                <w:iCs/>
                <w:sz w:val="20"/>
                <w:szCs w:val="20"/>
              </w:rPr>
              <w:t>-</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5B6C2FD" w14:textId="77777777" w:rsidR="000C70BF" w:rsidRPr="00FF4735" w:rsidRDefault="000C70BF" w:rsidP="00BF34B1">
            <w:pPr>
              <w:keepNext/>
              <w:keepLines/>
              <w:jc w:val="center"/>
              <w:rPr>
                <w:rFonts w:ascii="Arial Narrow" w:hAnsi="Arial Narrow" w:cs="Calibri"/>
                <w:iCs/>
                <w:color w:val="000000"/>
                <w:sz w:val="20"/>
                <w:szCs w:val="20"/>
              </w:rPr>
            </w:pPr>
            <w:r w:rsidRPr="00FF4735">
              <w:rPr>
                <w:rFonts w:ascii="Arial Narrow" w:hAnsi="Arial Narrow" w:cs="Calibri"/>
                <w:iCs/>
                <w:color w:val="000000"/>
                <w:sz w:val="20"/>
                <w:szCs w:val="20"/>
              </w:rPr>
              <w:t>-</w:t>
            </w:r>
          </w:p>
        </w:tc>
        <w:tc>
          <w:tcPr>
            <w:tcW w:w="464" w:type="pct"/>
            <w:tcBorders>
              <w:top w:val="single" w:sz="4" w:space="0" w:color="auto"/>
              <w:left w:val="single" w:sz="4" w:space="0" w:color="auto"/>
              <w:bottom w:val="single" w:sz="4" w:space="0" w:color="auto"/>
              <w:right w:val="single" w:sz="4" w:space="0" w:color="auto"/>
            </w:tcBorders>
            <w:vAlign w:val="center"/>
          </w:tcPr>
          <w:p w14:paraId="4F630879" w14:textId="77777777" w:rsidR="000C70BF" w:rsidRPr="00FF4735" w:rsidRDefault="000C70BF" w:rsidP="00BF34B1">
            <w:pPr>
              <w:keepNext/>
              <w:keepLines/>
              <w:jc w:val="center"/>
              <w:rPr>
                <w:rFonts w:ascii="Arial Narrow" w:hAnsi="Arial Narrow"/>
                <w:iCs/>
                <w:sz w:val="20"/>
                <w:szCs w:val="20"/>
              </w:rPr>
            </w:pPr>
            <w:r w:rsidRPr="00FF4735">
              <w:rPr>
                <w:rFonts w:ascii="Arial Narrow" w:hAnsi="Arial Narrow"/>
                <w:iCs/>
                <w:sz w:val="20"/>
                <w:szCs w:val="20"/>
              </w:rPr>
              <w:t>2.129</w:t>
            </w:r>
          </w:p>
        </w:tc>
        <w:tc>
          <w:tcPr>
            <w:tcW w:w="465" w:type="pct"/>
            <w:tcBorders>
              <w:top w:val="single" w:sz="4" w:space="0" w:color="auto"/>
              <w:left w:val="single" w:sz="4" w:space="0" w:color="auto"/>
              <w:bottom w:val="single" w:sz="4" w:space="0" w:color="auto"/>
              <w:right w:val="single" w:sz="4" w:space="0" w:color="auto"/>
            </w:tcBorders>
            <w:vAlign w:val="center"/>
          </w:tcPr>
          <w:p w14:paraId="2548FC60" w14:textId="77777777" w:rsidR="000C70BF" w:rsidRPr="00FF4735" w:rsidRDefault="000C70BF" w:rsidP="00BF34B1">
            <w:pPr>
              <w:keepNext/>
              <w:keepLines/>
              <w:jc w:val="center"/>
              <w:rPr>
                <w:rFonts w:ascii="Arial Narrow" w:hAnsi="Arial Narrow"/>
                <w:iCs/>
                <w:sz w:val="20"/>
                <w:szCs w:val="20"/>
              </w:rPr>
            </w:pPr>
            <w:r w:rsidRPr="00FF4735">
              <w:rPr>
                <w:rFonts w:ascii="Arial Narrow" w:hAnsi="Arial Narrow"/>
                <w:iCs/>
                <w:sz w:val="20"/>
                <w:szCs w:val="20"/>
              </w:rPr>
              <w:t>2.129</w:t>
            </w:r>
          </w:p>
        </w:tc>
        <w:tc>
          <w:tcPr>
            <w:tcW w:w="464" w:type="pct"/>
            <w:tcBorders>
              <w:top w:val="single" w:sz="4" w:space="0" w:color="auto"/>
              <w:left w:val="single" w:sz="4" w:space="0" w:color="auto"/>
              <w:bottom w:val="single" w:sz="4" w:space="0" w:color="auto"/>
              <w:right w:val="single" w:sz="4" w:space="0" w:color="auto"/>
            </w:tcBorders>
            <w:vAlign w:val="center"/>
          </w:tcPr>
          <w:p w14:paraId="7C06B05C" w14:textId="77777777" w:rsidR="000C70BF" w:rsidRPr="00FF4735" w:rsidRDefault="000C70BF" w:rsidP="00BF34B1">
            <w:pPr>
              <w:keepNext/>
              <w:keepLines/>
              <w:jc w:val="center"/>
              <w:rPr>
                <w:rFonts w:ascii="Arial Narrow" w:hAnsi="Arial Narrow"/>
                <w:iCs/>
                <w:sz w:val="20"/>
                <w:szCs w:val="20"/>
              </w:rPr>
            </w:pPr>
            <w:r w:rsidRPr="00FF4735">
              <w:rPr>
                <w:rFonts w:ascii="Arial Narrow" w:hAnsi="Arial Narrow"/>
                <w:iCs/>
                <w:sz w:val="20"/>
                <w:szCs w:val="20"/>
              </w:rPr>
              <w:t>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A8B02F" w14:textId="77777777" w:rsidR="000C70BF" w:rsidRPr="00FF4735" w:rsidRDefault="000C70BF" w:rsidP="00BF34B1">
            <w:pPr>
              <w:keepNext/>
              <w:keepLines/>
              <w:jc w:val="center"/>
              <w:rPr>
                <w:rFonts w:ascii="Arial Narrow" w:hAnsi="Arial Narrow" w:cs="Calibri"/>
                <w:iCs/>
                <w:color w:val="000000"/>
                <w:sz w:val="20"/>
                <w:szCs w:val="20"/>
              </w:rPr>
            </w:pPr>
            <w:r w:rsidRPr="00FF4735">
              <w:rPr>
                <w:rFonts w:ascii="Arial Narrow" w:hAnsi="Arial Narrow"/>
                <w:iCs/>
                <w:sz w:val="20"/>
                <w:szCs w:val="20"/>
              </w:rPr>
              <w:t>16.4</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7BD12C" w14:textId="77777777" w:rsidR="000C70BF" w:rsidRPr="00FF4735" w:rsidRDefault="000C70BF" w:rsidP="00BF34B1">
            <w:pPr>
              <w:keepNext/>
              <w:keepLines/>
              <w:jc w:val="center"/>
              <w:rPr>
                <w:rFonts w:ascii="Arial Narrow" w:hAnsi="Arial Narrow" w:cs="Calibri"/>
                <w:iCs/>
                <w:color w:val="000000"/>
                <w:sz w:val="20"/>
                <w:szCs w:val="20"/>
              </w:rPr>
            </w:pPr>
            <w:r w:rsidRPr="00FF4735">
              <w:rPr>
                <w:rFonts w:ascii="Arial Narrow" w:hAnsi="Arial Narrow"/>
                <w:iCs/>
                <w:sz w:val="20"/>
                <w:szCs w:val="20"/>
              </w:rPr>
              <w:t>15.7</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62142D25" w14:textId="77777777" w:rsidR="000C70BF" w:rsidRPr="00FF4735" w:rsidRDefault="000C70BF" w:rsidP="00BF34B1">
            <w:pPr>
              <w:keepNext/>
              <w:keepLines/>
              <w:jc w:val="center"/>
              <w:rPr>
                <w:rFonts w:ascii="Arial Narrow" w:hAnsi="Arial Narrow" w:cs="Calibri"/>
                <w:iCs/>
                <w:color w:val="000000"/>
                <w:sz w:val="20"/>
                <w:szCs w:val="20"/>
              </w:rPr>
            </w:pPr>
            <w:r w:rsidRPr="00FF4735">
              <w:rPr>
                <w:rFonts w:ascii="Arial Narrow" w:hAnsi="Arial Narrow"/>
                <w:iCs/>
                <w:sz w:val="20"/>
                <w:szCs w:val="20"/>
              </w:rPr>
              <w:t>0.67</w:t>
            </w:r>
          </w:p>
        </w:tc>
      </w:tr>
      <w:tr w:rsidR="000C70BF" w:rsidRPr="00FF4735" w14:paraId="2BED374A" w14:textId="77777777" w:rsidTr="00BF34B1">
        <w:trPr>
          <w:trHeight w:val="53"/>
        </w:trPr>
        <w:tc>
          <w:tcPr>
            <w:tcW w:w="5000" w:type="pct"/>
            <w:gridSpan w:val="10"/>
            <w:tcBorders>
              <w:right w:val="single" w:sz="4" w:space="0" w:color="auto"/>
            </w:tcBorders>
            <w:noWrap/>
            <w:vAlign w:val="center"/>
          </w:tcPr>
          <w:p w14:paraId="27E58A09" w14:textId="77777777" w:rsidR="000C70BF" w:rsidRPr="00FF4735" w:rsidRDefault="000C70BF" w:rsidP="00BF34B1">
            <w:pPr>
              <w:keepNext/>
              <w:keepLines/>
              <w:jc w:val="left"/>
              <w:rPr>
                <w:rFonts w:ascii="Arial Narrow" w:hAnsi="Arial Narrow"/>
                <w:b/>
                <w:bCs/>
                <w:iCs/>
                <w:sz w:val="20"/>
                <w:szCs w:val="20"/>
              </w:rPr>
            </w:pPr>
            <w:r w:rsidRPr="00FF4735">
              <w:rPr>
                <w:rFonts w:ascii="Arial Narrow" w:hAnsi="Arial Narrow"/>
                <w:b/>
                <w:bCs/>
                <w:iCs/>
                <w:sz w:val="20"/>
                <w:szCs w:val="20"/>
              </w:rPr>
              <w:t>Non-fatal CHD (events/patient)</w:t>
            </w:r>
          </w:p>
        </w:tc>
      </w:tr>
      <w:tr w:rsidR="000C70BF" w:rsidRPr="00FF4735" w14:paraId="4788F514" w14:textId="77777777" w:rsidTr="00BF34B1">
        <w:trPr>
          <w:trHeight w:val="53"/>
        </w:trPr>
        <w:tc>
          <w:tcPr>
            <w:tcW w:w="862" w:type="pct"/>
            <w:noWrap/>
            <w:vAlign w:val="center"/>
          </w:tcPr>
          <w:p w14:paraId="466ED851" w14:textId="77777777" w:rsidR="000C70BF" w:rsidRPr="00FF4735" w:rsidRDefault="000C70BF" w:rsidP="00BF34B1">
            <w:pPr>
              <w:keepNext/>
              <w:keepLines/>
              <w:jc w:val="left"/>
              <w:rPr>
                <w:rFonts w:ascii="Arial Narrow" w:hAnsi="Arial Narrow"/>
                <w:iCs/>
                <w:sz w:val="20"/>
                <w:szCs w:val="20"/>
              </w:rPr>
            </w:pPr>
            <w:r w:rsidRPr="00FF4735">
              <w:rPr>
                <w:rFonts w:ascii="Arial Narrow" w:hAnsi="Arial Narrow"/>
                <w:iCs/>
                <w:sz w:val="20"/>
                <w:szCs w:val="20"/>
              </w:rPr>
              <w:t>MI (‘heart attack’)</w:t>
            </w:r>
          </w:p>
        </w:tc>
        <w:tc>
          <w:tcPr>
            <w:tcW w:w="422" w:type="pct"/>
            <w:tcBorders>
              <w:top w:val="single" w:sz="4" w:space="0" w:color="auto"/>
              <w:bottom w:val="single" w:sz="4" w:space="0" w:color="auto"/>
              <w:right w:val="single" w:sz="4" w:space="0" w:color="auto"/>
            </w:tcBorders>
            <w:vAlign w:val="center"/>
          </w:tcPr>
          <w:p w14:paraId="256D6B60" w14:textId="77777777" w:rsidR="000C70BF" w:rsidRPr="00FF4735" w:rsidRDefault="000C70BF" w:rsidP="00BF34B1">
            <w:pPr>
              <w:keepNext/>
              <w:keepLines/>
              <w:jc w:val="center"/>
              <w:rPr>
                <w:rFonts w:ascii="Arial Narrow" w:hAnsi="Arial Narrow"/>
                <w:iCs/>
                <w:sz w:val="20"/>
                <w:szCs w:val="20"/>
              </w:rPr>
            </w:pPr>
            <w:r w:rsidRPr="00FF4735">
              <w:rPr>
                <w:rFonts w:ascii="Arial Narrow" w:hAnsi="Arial Narrow"/>
                <w:iCs/>
                <w:sz w:val="20"/>
                <w:szCs w:val="20"/>
              </w:rPr>
              <w:t>0.0395</w:t>
            </w:r>
          </w:p>
        </w:tc>
        <w:tc>
          <w:tcPr>
            <w:tcW w:w="464" w:type="pct"/>
            <w:tcBorders>
              <w:top w:val="single" w:sz="4" w:space="0" w:color="auto"/>
              <w:left w:val="single" w:sz="4" w:space="0" w:color="auto"/>
              <w:bottom w:val="single" w:sz="4" w:space="0" w:color="auto"/>
              <w:right w:val="single" w:sz="4" w:space="0" w:color="auto"/>
            </w:tcBorders>
            <w:noWrap/>
            <w:vAlign w:val="center"/>
          </w:tcPr>
          <w:p w14:paraId="71BD1471" w14:textId="77777777" w:rsidR="000C70BF" w:rsidRPr="00FF4735" w:rsidRDefault="000C70BF" w:rsidP="00BF34B1">
            <w:pPr>
              <w:keepNext/>
              <w:keepLines/>
              <w:jc w:val="center"/>
              <w:rPr>
                <w:rFonts w:ascii="Arial Narrow" w:hAnsi="Arial Narrow"/>
                <w:iCs/>
                <w:sz w:val="20"/>
                <w:szCs w:val="20"/>
              </w:rPr>
            </w:pPr>
            <w:r w:rsidRPr="00FF4735">
              <w:rPr>
                <w:rFonts w:ascii="Arial Narrow" w:hAnsi="Arial Narrow"/>
                <w:iCs/>
                <w:sz w:val="20"/>
                <w:szCs w:val="20"/>
              </w:rPr>
              <w:t>0.0540</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DC639B2" w14:textId="77777777" w:rsidR="000C70BF" w:rsidRPr="00FF4735" w:rsidRDefault="000C70BF" w:rsidP="00BF34B1">
            <w:pPr>
              <w:keepNext/>
              <w:keepLines/>
              <w:jc w:val="center"/>
              <w:rPr>
                <w:rFonts w:ascii="Arial Narrow" w:hAnsi="Arial Narrow" w:cstheme="minorHAnsi"/>
                <w:iCs/>
                <w:sz w:val="20"/>
                <w:szCs w:val="20"/>
              </w:rPr>
            </w:pPr>
            <w:r w:rsidRPr="00FF4735">
              <w:rPr>
                <w:rFonts w:ascii="Arial Narrow" w:hAnsi="Arial Narrow" w:cs="Calibri"/>
                <w:iCs/>
                <w:color w:val="000000"/>
                <w:sz w:val="20"/>
                <w:szCs w:val="20"/>
              </w:rPr>
              <w:t>-0.0145</w:t>
            </w:r>
          </w:p>
        </w:tc>
        <w:tc>
          <w:tcPr>
            <w:tcW w:w="464" w:type="pct"/>
            <w:tcBorders>
              <w:top w:val="single" w:sz="4" w:space="0" w:color="auto"/>
              <w:left w:val="single" w:sz="4" w:space="0" w:color="auto"/>
              <w:bottom w:val="single" w:sz="4" w:space="0" w:color="auto"/>
              <w:right w:val="single" w:sz="4" w:space="0" w:color="auto"/>
            </w:tcBorders>
            <w:vAlign w:val="center"/>
          </w:tcPr>
          <w:p w14:paraId="38A04B3D" w14:textId="77777777" w:rsidR="000C70BF" w:rsidRPr="00FF4735" w:rsidRDefault="000C70BF" w:rsidP="00BF34B1">
            <w:pPr>
              <w:keepNext/>
              <w:keepLines/>
              <w:jc w:val="center"/>
              <w:rPr>
                <w:rFonts w:ascii="Arial Narrow" w:hAnsi="Arial Narrow" w:cs="Calibri"/>
                <w:iCs/>
                <w:color w:val="000000"/>
                <w:sz w:val="20"/>
                <w:szCs w:val="20"/>
              </w:rPr>
            </w:pPr>
            <w:r w:rsidRPr="00FF4735">
              <w:rPr>
                <w:rFonts w:ascii="Arial Narrow" w:hAnsi="Arial Narrow" w:cs="Calibri"/>
                <w:iCs/>
                <w:color w:val="000000"/>
                <w:sz w:val="20"/>
                <w:szCs w:val="20"/>
              </w:rPr>
              <w:t>0.0542</w:t>
            </w:r>
          </w:p>
        </w:tc>
        <w:tc>
          <w:tcPr>
            <w:tcW w:w="465" w:type="pct"/>
            <w:tcBorders>
              <w:top w:val="single" w:sz="4" w:space="0" w:color="auto"/>
              <w:left w:val="single" w:sz="4" w:space="0" w:color="auto"/>
              <w:bottom w:val="single" w:sz="4" w:space="0" w:color="auto"/>
              <w:right w:val="single" w:sz="4" w:space="0" w:color="auto"/>
            </w:tcBorders>
            <w:vAlign w:val="center"/>
          </w:tcPr>
          <w:p w14:paraId="78733A73" w14:textId="77777777" w:rsidR="000C70BF" w:rsidRPr="00FF4735" w:rsidRDefault="000C70BF" w:rsidP="00BF34B1">
            <w:pPr>
              <w:keepNext/>
              <w:keepLines/>
              <w:jc w:val="center"/>
              <w:rPr>
                <w:rFonts w:ascii="Arial Narrow" w:hAnsi="Arial Narrow" w:cs="Calibri"/>
                <w:iCs/>
                <w:color w:val="000000"/>
                <w:sz w:val="20"/>
                <w:szCs w:val="20"/>
              </w:rPr>
            </w:pPr>
            <w:r w:rsidRPr="00FF4735">
              <w:rPr>
                <w:rFonts w:ascii="Arial Narrow" w:hAnsi="Arial Narrow" w:cs="Calibri"/>
                <w:iCs/>
                <w:color w:val="000000"/>
                <w:sz w:val="20"/>
                <w:szCs w:val="20"/>
              </w:rPr>
              <w:t>0.0722</w:t>
            </w:r>
          </w:p>
        </w:tc>
        <w:tc>
          <w:tcPr>
            <w:tcW w:w="464" w:type="pct"/>
            <w:tcBorders>
              <w:top w:val="single" w:sz="4" w:space="0" w:color="auto"/>
              <w:left w:val="single" w:sz="4" w:space="0" w:color="auto"/>
              <w:bottom w:val="single" w:sz="4" w:space="0" w:color="auto"/>
              <w:right w:val="single" w:sz="4" w:space="0" w:color="auto"/>
            </w:tcBorders>
            <w:vAlign w:val="center"/>
          </w:tcPr>
          <w:p w14:paraId="77963F11" w14:textId="77777777" w:rsidR="000C70BF" w:rsidRPr="00FF4735" w:rsidRDefault="000C70BF" w:rsidP="00BF34B1">
            <w:pPr>
              <w:keepNext/>
              <w:keepLines/>
              <w:jc w:val="center"/>
              <w:rPr>
                <w:rFonts w:ascii="Arial Narrow" w:hAnsi="Arial Narrow" w:cs="Calibri"/>
                <w:iCs/>
                <w:color w:val="000000"/>
                <w:sz w:val="20"/>
                <w:szCs w:val="20"/>
              </w:rPr>
            </w:pPr>
            <w:r w:rsidRPr="00FF4735">
              <w:rPr>
                <w:rFonts w:ascii="Arial Narrow" w:hAnsi="Arial Narrow" w:cs="Calibri"/>
                <w:iCs/>
                <w:color w:val="000000"/>
                <w:sz w:val="20"/>
                <w:szCs w:val="20"/>
              </w:rPr>
              <w:t>-0.0180</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FE6197" w14:textId="77777777" w:rsidR="000C70BF" w:rsidRPr="00FF4735" w:rsidRDefault="000C70BF" w:rsidP="00BF34B1">
            <w:pPr>
              <w:keepNext/>
              <w:keepLines/>
              <w:jc w:val="center"/>
              <w:rPr>
                <w:rFonts w:ascii="Arial Narrow" w:hAnsi="Arial Narrow"/>
                <w:iCs/>
                <w:sz w:val="20"/>
                <w:szCs w:val="20"/>
                <w:highlight w:val="yellow"/>
              </w:rPr>
            </w:pPr>
            <w:r w:rsidRPr="00FF4735">
              <w:rPr>
                <w:rFonts w:ascii="Arial Narrow" w:hAnsi="Arial Narrow" w:cs="Calibri"/>
                <w:iCs/>
                <w:color w:val="000000"/>
                <w:sz w:val="20"/>
                <w:szCs w:val="20"/>
              </w:rPr>
              <w:t>0.7028</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F2C5C9" w14:textId="77777777" w:rsidR="000C70BF" w:rsidRPr="00FF4735" w:rsidRDefault="000C70BF" w:rsidP="00BF34B1">
            <w:pPr>
              <w:keepNext/>
              <w:keepLines/>
              <w:jc w:val="center"/>
              <w:rPr>
                <w:rFonts w:ascii="Arial Narrow" w:hAnsi="Arial Narrow"/>
                <w:iCs/>
                <w:sz w:val="20"/>
                <w:szCs w:val="20"/>
                <w:highlight w:val="yellow"/>
              </w:rPr>
            </w:pPr>
            <w:r w:rsidRPr="00FF4735">
              <w:rPr>
                <w:rFonts w:ascii="Arial Narrow" w:hAnsi="Arial Narrow" w:cs="Calibri"/>
                <w:iCs/>
                <w:color w:val="000000"/>
                <w:sz w:val="20"/>
                <w:szCs w:val="20"/>
              </w:rPr>
              <w:t>0.8289</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129A6107" w14:textId="77777777" w:rsidR="000C70BF" w:rsidRPr="00FF4735" w:rsidRDefault="000C70BF" w:rsidP="00BF34B1">
            <w:pPr>
              <w:keepNext/>
              <w:keepLines/>
              <w:jc w:val="center"/>
              <w:rPr>
                <w:rFonts w:ascii="Arial Narrow" w:hAnsi="Arial Narrow" w:cstheme="minorHAnsi"/>
                <w:iCs/>
                <w:sz w:val="20"/>
                <w:szCs w:val="20"/>
                <w:highlight w:val="yellow"/>
              </w:rPr>
            </w:pPr>
            <w:r w:rsidRPr="00FF4735">
              <w:rPr>
                <w:rFonts w:ascii="Arial Narrow" w:hAnsi="Arial Narrow" w:cs="Calibri"/>
                <w:iCs/>
                <w:color w:val="000000"/>
                <w:sz w:val="20"/>
                <w:szCs w:val="20"/>
              </w:rPr>
              <w:t>-0.1261</w:t>
            </w:r>
          </w:p>
        </w:tc>
      </w:tr>
      <w:tr w:rsidR="000C70BF" w:rsidRPr="00FF4735" w14:paraId="7777E5B2" w14:textId="77777777" w:rsidTr="00BF34B1">
        <w:trPr>
          <w:trHeight w:val="53"/>
        </w:trPr>
        <w:tc>
          <w:tcPr>
            <w:tcW w:w="862" w:type="pct"/>
            <w:noWrap/>
            <w:vAlign w:val="center"/>
          </w:tcPr>
          <w:p w14:paraId="6C2EC832" w14:textId="77777777" w:rsidR="000C70BF" w:rsidRPr="00FF4735" w:rsidRDefault="000C70BF" w:rsidP="00BF34B1">
            <w:pPr>
              <w:keepNext/>
              <w:keepLines/>
              <w:jc w:val="left"/>
              <w:rPr>
                <w:rFonts w:ascii="Arial Narrow" w:hAnsi="Arial Narrow"/>
                <w:iCs/>
                <w:sz w:val="20"/>
                <w:szCs w:val="20"/>
              </w:rPr>
            </w:pPr>
            <w:r w:rsidRPr="00FF4735">
              <w:rPr>
                <w:rFonts w:ascii="Arial Narrow" w:hAnsi="Arial Narrow"/>
                <w:iCs/>
                <w:sz w:val="20"/>
                <w:szCs w:val="20"/>
              </w:rPr>
              <w:t>Stroke</w:t>
            </w:r>
          </w:p>
        </w:tc>
        <w:tc>
          <w:tcPr>
            <w:tcW w:w="422" w:type="pct"/>
            <w:tcBorders>
              <w:top w:val="single" w:sz="4" w:space="0" w:color="auto"/>
              <w:bottom w:val="single" w:sz="4" w:space="0" w:color="auto"/>
              <w:right w:val="single" w:sz="4" w:space="0" w:color="auto"/>
            </w:tcBorders>
            <w:vAlign w:val="center"/>
          </w:tcPr>
          <w:p w14:paraId="59C30E63" w14:textId="77777777" w:rsidR="000C70BF" w:rsidRPr="00FF4735" w:rsidRDefault="000C70BF" w:rsidP="00BF34B1">
            <w:pPr>
              <w:keepNext/>
              <w:keepLines/>
              <w:jc w:val="center"/>
              <w:rPr>
                <w:rFonts w:ascii="Arial Narrow" w:hAnsi="Arial Narrow"/>
                <w:iCs/>
                <w:sz w:val="20"/>
                <w:szCs w:val="20"/>
              </w:rPr>
            </w:pPr>
            <w:r w:rsidRPr="00FF4735">
              <w:rPr>
                <w:rFonts w:ascii="Arial Narrow" w:hAnsi="Arial Narrow"/>
                <w:iCs/>
                <w:sz w:val="20"/>
                <w:szCs w:val="20"/>
              </w:rPr>
              <w:t>0.0159</w:t>
            </w:r>
          </w:p>
        </w:tc>
        <w:tc>
          <w:tcPr>
            <w:tcW w:w="464" w:type="pct"/>
            <w:tcBorders>
              <w:top w:val="single" w:sz="4" w:space="0" w:color="auto"/>
              <w:left w:val="single" w:sz="4" w:space="0" w:color="auto"/>
              <w:bottom w:val="single" w:sz="4" w:space="0" w:color="auto"/>
              <w:right w:val="single" w:sz="4" w:space="0" w:color="auto"/>
            </w:tcBorders>
            <w:noWrap/>
            <w:vAlign w:val="center"/>
          </w:tcPr>
          <w:p w14:paraId="2B0BDF48" w14:textId="77777777" w:rsidR="000C70BF" w:rsidRPr="00FF4735" w:rsidRDefault="000C70BF" w:rsidP="00BF34B1">
            <w:pPr>
              <w:keepNext/>
              <w:keepLines/>
              <w:jc w:val="center"/>
              <w:rPr>
                <w:rFonts w:ascii="Arial Narrow" w:hAnsi="Arial Narrow"/>
                <w:iCs/>
                <w:sz w:val="20"/>
                <w:szCs w:val="20"/>
              </w:rPr>
            </w:pPr>
            <w:r w:rsidRPr="00FF4735">
              <w:rPr>
                <w:rFonts w:ascii="Arial Narrow" w:hAnsi="Arial Narrow"/>
                <w:iCs/>
                <w:sz w:val="20"/>
                <w:szCs w:val="20"/>
              </w:rPr>
              <w:t>0.0206</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181958B" w14:textId="77777777" w:rsidR="000C70BF" w:rsidRPr="00FF4735" w:rsidRDefault="000C70BF" w:rsidP="00BF34B1">
            <w:pPr>
              <w:keepNext/>
              <w:keepLines/>
              <w:jc w:val="center"/>
              <w:rPr>
                <w:rFonts w:ascii="Arial Narrow" w:hAnsi="Arial Narrow" w:cstheme="minorHAnsi"/>
                <w:iCs/>
                <w:sz w:val="20"/>
                <w:szCs w:val="20"/>
              </w:rPr>
            </w:pPr>
            <w:r w:rsidRPr="00FF4735">
              <w:rPr>
                <w:rFonts w:ascii="Arial Narrow" w:hAnsi="Arial Narrow" w:cs="Calibri"/>
                <w:iCs/>
                <w:color w:val="000000"/>
                <w:sz w:val="20"/>
                <w:szCs w:val="20"/>
              </w:rPr>
              <w:t>-0.0047</w:t>
            </w:r>
          </w:p>
        </w:tc>
        <w:tc>
          <w:tcPr>
            <w:tcW w:w="464" w:type="pct"/>
            <w:tcBorders>
              <w:top w:val="single" w:sz="4" w:space="0" w:color="auto"/>
              <w:left w:val="single" w:sz="4" w:space="0" w:color="auto"/>
              <w:bottom w:val="single" w:sz="4" w:space="0" w:color="auto"/>
              <w:right w:val="single" w:sz="4" w:space="0" w:color="auto"/>
            </w:tcBorders>
            <w:vAlign w:val="center"/>
          </w:tcPr>
          <w:p w14:paraId="63529471" w14:textId="77777777" w:rsidR="000C70BF" w:rsidRPr="00FF4735" w:rsidRDefault="000C70BF" w:rsidP="00BF34B1">
            <w:pPr>
              <w:keepNext/>
              <w:keepLines/>
              <w:jc w:val="center"/>
              <w:rPr>
                <w:rFonts w:ascii="Arial Narrow" w:hAnsi="Arial Narrow" w:cs="Calibri"/>
                <w:iCs/>
                <w:color w:val="000000"/>
                <w:sz w:val="20"/>
                <w:szCs w:val="20"/>
              </w:rPr>
            </w:pPr>
            <w:r w:rsidRPr="00FF4735">
              <w:rPr>
                <w:rFonts w:ascii="Arial Narrow" w:hAnsi="Arial Narrow" w:cs="Calibri"/>
                <w:iCs/>
                <w:color w:val="000000"/>
                <w:sz w:val="20"/>
                <w:szCs w:val="20"/>
              </w:rPr>
              <w:t>0.0207</w:t>
            </w:r>
          </w:p>
        </w:tc>
        <w:tc>
          <w:tcPr>
            <w:tcW w:w="465" w:type="pct"/>
            <w:tcBorders>
              <w:top w:val="single" w:sz="4" w:space="0" w:color="auto"/>
              <w:left w:val="single" w:sz="4" w:space="0" w:color="auto"/>
              <w:bottom w:val="single" w:sz="4" w:space="0" w:color="auto"/>
              <w:right w:val="single" w:sz="4" w:space="0" w:color="auto"/>
            </w:tcBorders>
            <w:vAlign w:val="center"/>
          </w:tcPr>
          <w:p w14:paraId="72158D90" w14:textId="77777777" w:rsidR="000C70BF" w:rsidRPr="00FF4735" w:rsidRDefault="000C70BF" w:rsidP="00BF34B1">
            <w:pPr>
              <w:keepNext/>
              <w:keepLines/>
              <w:jc w:val="center"/>
              <w:rPr>
                <w:rFonts w:ascii="Arial Narrow" w:hAnsi="Arial Narrow" w:cs="Calibri"/>
                <w:iCs/>
                <w:color w:val="000000"/>
                <w:sz w:val="20"/>
                <w:szCs w:val="20"/>
              </w:rPr>
            </w:pPr>
            <w:r w:rsidRPr="00FF4735">
              <w:rPr>
                <w:rFonts w:ascii="Arial Narrow" w:hAnsi="Arial Narrow" w:cs="Calibri"/>
                <w:iCs/>
                <w:color w:val="000000"/>
                <w:sz w:val="20"/>
                <w:szCs w:val="20"/>
              </w:rPr>
              <w:t>0.0275</w:t>
            </w:r>
          </w:p>
        </w:tc>
        <w:tc>
          <w:tcPr>
            <w:tcW w:w="464" w:type="pct"/>
            <w:tcBorders>
              <w:top w:val="single" w:sz="4" w:space="0" w:color="auto"/>
              <w:left w:val="single" w:sz="4" w:space="0" w:color="auto"/>
              <w:bottom w:val="single" w:sz="4" w:space="0" w:color="auto"/>
              <w:right w:val="single" w:sz="4" w:space="0" w:color="auto"/>
            </w:tcBorders>
            <w:vAlign w:val="center"/>
          </w:tcPr>
          <w:p w14:paraId="3FE4C2CD" w14:textId="77777777" w:rsidR="000C70BF" w:rsidRPr="00FF4735" w:rsidRDefault="000C70BF" w:rsidP="00BF34B1">
            <w:pPr>
              <w:keepNext/>
              <w:keepLines/>
              <w:jc w:val="center"/>
              <w:rPr>
                <w:rFonts w:ascii="Arial Narrow" w:hAnsi="Arial Narrow" w:cs="Calibri"/>
                <w:iCs/>
                <w:color w:val="000000"/>
                <w:sz w:val="20"/>
                <w:szCs w:val="20"/>
              </w:rPr>
            </w:pPr>
            <w:r w:rsidRPr="00FF4735">
              <w:rPr>
                <w:rFonts w:ascii="Arial Narrow" w:hAnsi="Arial Narrow" w:cs="Calibri"/>
                <w:iCs/>
                <w:color w:val="000000"/>
                <w:sz w:val="20"/>
                <w:szCs w:val="20"/>
              </w:rPr>
              <w:t>-0.0069</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12051E" w14:textId="77777777" w:rsidR="000C70BF" w:rsidRPr="00FF4735" w:rsidRDefault="000C70BF" w:rsidP="00BF34B1">
            <w:pPr>
              <w:keepNext/>
              <w:keepLines/>
              <w:jc w:val="center"/>
              <w:rPr>
                <w:rFonts w:ascii="Arial Narrow" w:hAnsi="Arial Narrow"/>
                <w:iCs/>
                <w:sz w:val="20"/>
                <w:szCs w:val="20"/>
              </w:rPr>
            </w:pPr>
            <w:r w:rsidRPr="00FF4735">
              <w:rPr>
                <w:rFonts w:ascii="Arial Narrow" w:hAnsi="Arial Narrow" w:cs="Calibri"/>
                <w:iCs/>
                <w:color w:val="000000"/>
                <w:sz w:val="20"/>
                <w:szCs w:val="20"/>
              </w:rPr>
              <w:t>0.2682</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5B3726" w14:textId="77777777" w:rsidR="000C70BF" w:rsidRPr="00FF4735" w:rsidRDefault="000C70BF" w:rsidP="00BF34B1">
            <w:pPr>
              <w:keepNext/>
              <w:keepLines/>
              <w:jc w:val="center"/>
              <w:rPr>
                <w:rFonts w:ascii="Arial Narrow" w:hAnsi="Arial Narrow"/>
                <w:iCs/>
                <w:sz w:val="20"/>
                <w:szCs w:val="20"/>
              </w:rPr>
            </w:pPr>
            <w:r w:rsidRPr="00FF4735">
              <w:rPr>
                <w:rFonts w:ascii="Arial Narrow" w:hAnsi="Arial Narrow"/>
                <w:iCs/>
                <w:sz w:val="20"/>
                <w:szCs w:val="20"/>
              </w:rPr>
              <w:t>0.3163</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125F9230" w14:textId="77777777" w:rsidR="000C70BF" w:rsidRPr="00FF4735" w:rsidRDefault="000C70BF" w:rsidP="00BF34B1">
            <w:pPr>
              <w:keepNext/>
              <w:keepLines/>
              <w:jc w:val="center"/>
              <w:rPr>
                <w:rFonts w:ascii="Arial Narrow" w:hAnsi="Arial Narrow" w:cstheme="minorHAnsi"/>
                <w:iCs/>
                <w:sz w:val="20"/>
                <w:szCs w:val="20"/>
              </w:rPr>
            </w:pPr>
            <w:r w:rsidRPr="00FF4735">
              <w:rPr>
                <w:rFonts w:ascii="Arial Narrow" w:hAnsi="Arial Narrow" w:cs="Calibri"/>
                <w:iCs/>
                <w:color w:val="000000"/>
                <w:sz w:val="20"/>
                <w:szCs w:val="20"/>
              </w:rPr>
              <w:t>-0.0481</w:t>
            </w:r>
          </w:p>
        </w:tc>
      </w:tr>
    </w:tbl>
    <w:p w14:paraId="4DB3C896" w14:textId="3FAEF580" w:rsidR="000C70BF" w:rsidRPr="00FF4735" w:rsidRDefault="000C70BF" w:rsidP="00293F12">
      <w:pPr>
        <w:pStyle w:val="TableFigureFooter"/>
        <w:rPr>
          <w:iCs/>
        </w:rPr>
      </w:pPr>
      <w:r w:rsidRPr="00FF4735">
        <w:rPr>
          <w:iCs/>
        </w:rPr>
        <w:t xml:space="preserve">Source: compiled during the evaluation using analysis of individual patient data from FOURIER presented in the November 2019 PBAC </w:t>
      </w:r>
      <w:r w:rsidR="00C915B4">
        <w:rPr>
          <w:iCs/>
        </w:rPr>
        <w:t xml:space="preserve"> PSD</w:t>
      </w:r>
      <w:r w:rsidRPr="00FF4735">
        <w:rPr>
          <w:iCs/>
        </w:rPr>
        <w:t>; and Economic model_Mar 22 ‘Model’ spreadsheet</w:t>
      </w:r>
    </w:p>
    <w:p w14:paraId="05230421" w14:textId="77777777" w:rsidR="000C70BF" w:rsidRPr="00FF4735" w:rsidRDefault="000C70BF" w:rsidP="00293F12">
      <w:pPr>
        <w:pStyle w:val="TableFigureFooter"/>
        <w:rPr>
          <w:iCs/>
        </w:rPr>
      </w:pPr>
      <w:r w:rsidRPr="00FF4735">
        <w:rPr>
          <w:iCs/>
        </w:rPr>
        <w:t>Abbreviations: CHD, coronary heart disease; EVO, evolocumab; Incr., increment; MI, myocardial infarction; PBO, placebo</w:t>
      </w:r>
    </w:p>
    <w:p w14:paraId="16364A47" w14:textId="40099D07" w:rsidR="00A65DA3" w:rsidRPr="00FF4735" w:rsidRDefault="00A65DA3" w:rsidP="00AB2A33">
      <w:pPr>
        <w:pStyle w:val="ExecSumBodyText"/>
        <w:rPr>
          <w:iCs/>
        </w:rPr>
      </w:pPr>
      <w:r w:rsidRPr="00FF4735">
        <w:rPr>
          <w:iCs/>
        </w:rPr>
        <w:t>The risk of events (and the incremental benefit of evolocumab) was substantially higher over the 25</w:t>
      </w:r>
      <w:r w:rsidR="00322DF0" w:rsidRPr="00FF4735">
        <w:rPr>
          <w:iCs/>
        </w:rPr>
        <w:t>-</w:t>
      </w:r>
      <w:r w:rsidRPr="00FF4735">
        <w:rPr>
          <w:iCs/>
        </w:rPr>
        <w:t xml:space="preserve">year timeframe for the economic model than in the trial because the model was based on a longer timeframe, with patients at increased risk of events </w:t>
      </w:r>
      <w:r w:rsidRPr="00FF4735">
        <w:rPr>
          <w:iCs/>
        </w:rPr>
        <w:lastRenderedPageBreak/>
        <w:t>as they age over the model time horizon. At a more comparable time point in the model</w:t>
      </w:r>
      <w:r w:rsidR="00322DF0" w:rsidRPr="00FF4735">
        <w:rPr>
          <w:iCs/>
        </w:rPr>
        <w:t xml:space="preserve"> (26 months)</w:t>
      </w:r>
      <w:r w:rsidRPr="00FF4735">
        <w:rPr>
          <w:iCs/>
        </w:rPr>
        <w:t>, the risk of fatal or non-fatal CHD events was still slightly higher in the model than in the FOURIER trial.</w:t>
      </w:r>
    </w:p>
    <w:p w14:paraId="33EC8A14" w14:textId="6DA0A3CA" w:rsidR="00DF144B" w:rsidRPr="00FF4735" w:rsidRDefault="008026BD" w:rsidP="00DF144B">
      <w:pPr>
        <w:pStyle w:val="ExecSumBodyText"/>
        <w:rPr>
          <w:iCs/>
        </w:rPr>
      </w:pPr>
      <w:r w:rsidRPr="00FF4735">
        <w:rPr>
          <w:iCs/>
        </w:rPr>
        <w:fldChar w:fldCharType="begin"/>
      </w:r>
      <w:r w:rsidRPr="00FF4735">
        <w:rPr>
          <w:iCs/>
        </w:rPr>
        <w:instrText xml:space="preserve"> REF _Ref102645040 \h  \* MERGEFORMAT </w:instrText>
      </w:r>
      <w:r w:rsidRPr="00FF4735">
        <w:rPr>
          <w:iCs/>
        </w:rPr>
      </w:r>
      <w:r w:rsidRPr="00FF4735">
        <w:rPr>
          <w:iCs/>
        </w:rPr>
        <w:fldChar w:fldCharType="separate"/>
      </w:r>
      <w:r w:rsidR="00EB7F7C" w:rsidRPr="00EB7F7C">
        <w:rPr>
          <w:iCs/>
        </w:rPr>
        <w:t>Table 14</w:t>
      </w:r>
      <w:r w:rsidRPr="00FF4735">
        <w:rPr>
          <w:iCs/>
        </w:rPr>
        <w:fldChar w:fldCharType="end"/>
      </w:r>
      <w:r w:rsidRPr="00FF4735">
        <w:rPr>
          <w:iCs/>
        </w:rPr>
        <w:t xml:space="preserve"> </w:t>
      </w:r>
      <w:r w:rsidR="00DF144B" w:rsidRPr="00FF4735">
        <w:rPr>
          <w:iCs/>
        </w:rPr>
        <w:t xml:space="preserve">compares the above-listed modelled outcomes for every 1,000 patients with </w:t>
      </w:r>
      <w:r w:rsidR="00C5262A" w:rsidRPr="00FF4735">
        <w:rPr>
          <w:iCs/>
        </w:rPr>
        <w:t xml:space="preserve">LDL-C </w:t>
      </w:r>
      <w:r w:rsidR="00DF144B" w:rsidRPr="00FF4735">
        <w:rPr>
          <w:iCs/>
        </w:rPr>
        <w:t xml:space="preserve">between 1.8 and 2.6 mmol/L treated with evolocumab compared with </w:t>
      </w:r>
      <w:r w:rsidR="005B2B62">
        <w:rPr>
          <w:iCs/>
        </w:rPr>
        <w:t>‘</w:t>
      </w:r>
      <w:r w:rsidR="00DF144B" w:rsidRPr="00FF4735">
        <w:rPr>
          <w:iCs/>
        </w:rPr>
        <w:t>placebo</w:t>
      </w:r>
      <w:r w:rsidR="005B2B62">
        <w:rPr>
          <w:iCs/>
        </w:rPr>
        <w:t>’</w:t>
      </w:r>
      <w:r w:rsidR="00DF144B" w:rsidRPr="00FF4735">
        <w:rPr>
          <w:iCs/>
        </w:rPr>
        <w:t xml:space="preserve"> from the current submission, followed up for 25 years, to the same estimates for patients with </w:t>
      </w:r>
      <w:r w:rsidR="00C5262A" w:rsidRPr="00FF4735">
        <w:rPr>
          <w:iCs/>
        </w:rPr>
        <w:t xml:space="preserve">LDL-C </w:t>
      </w:r>
      <w:r w:rsidR="00DF144B" w:rsidRPr="00FF4735">
        <w:rPr>
          <w:iCs/>
        </w:rPr>
        <w:t>above 2.6 mmol/L presented in the November 2019 PBAC</w:t>
      </w:r>
      <w:r w:rsidR="00C915B4">
        <w:rPr>
          <w:iCs/>
        </w:rPr>
        <w:t xml:space="preserve"> PSD</w:t>
      </w:r>
      <w:r w:rsidR="00DF144B" w:rsidRPr="00FF4735">
        <w:rPr>
          <w:iCs/>
        </w:rPr>
        <w:t xml:space="preserve"> (</w:t>
      </w:r>
      <w:r w:rsidR="005B2B62">
        <w:rPr>
          <w:iCs/>
        </w:rPr>
        <w:t>p</w:t>
      </w:r>
      <w:r w:rsidR="00DF144B" w:rsidRPr="00FF4735">
        <w:rPr>
          <w:iCs/>
        </w:rPr>
        <w:t xml:space="preserve">ara 4.11, evolocumab PBAC </w:t>
      </w:r>
      <w:r w:rsidR="00C915B4">
        <w:rPr>
          <w:iCs/>
        </w:rPr>
        <w:t>PSD</w:t>
      </w:r>
      <w:r w:rsidR="00DF144B" w:rsidRPr="00FF4735">
        <w:rPr>
          <w:iCs/>
        </w:rPr>
        <w:t>, November 2019 PBAC meeting).</w:t>
      </w:r>
    </w:p>
    <w:p w14:paraId="26E249A3" w14:textId="7AEB7DB7" w:rsidR="00DF144B" w:rsidRPr="00E83932" w:rsidRDefault="00DF144B" w:rsidP="00E83932">
      <w:pPr>
        <w:pStyle w:val="Caption"/>
        <w:keepNext/>
        <w:rPr>
          <w:rFonts w:ascii="Arial Narrow" w:hAnsi="Arial Narrow"/>
          <w:color w:val="auto"/>
          <w:sz w:val="20"/>
        </w:rPr>
      </w:pPr>
      <w:bookmarkStart w:id="48" w:name="_Ref102645040"/>
      <w:r w:rsidRPr="00E83932">
        <w:rPr>
          <w:rFonts w:ascii="Arial Narrow" w:hAnsi="Arial Narrow"/>
          <w:color w:val="auto"/>
          <w:sz w:val="20"/>
        </w:rPr>
        <w:t>Table</w:t>
      </w:r>
      <w:r w:rsidR="008026BD">
        <w:rPr>
          <w:rFonts w:ascii="Arial Narrow" w:hAnsi="Arial Narrow"/>
          <w:color w:val="auto"/>
          <w:sz w:val="20"/>
        </w:rPr>
        <w:t xml:space="preserve"> </w:t>
      </w:r>
      <w:r w:rsidR="008026BD" w:rsidRPr="008026BD">
        <w:rPr>
          <w:rFonts w:ascii="Arial Narrow" w:hAnsi="Arial Narrow"/>
          <w:color w:val="auto"/>
          <w:sz w:val="20"/>
        </w:rPr>
        <w:fldChar w:fldCharType="begin"/>
      </w:r>
      <w:r w:rsidR="008026BD" w:rsidRPr="008026BD">
        <w:rPr>
          <w:rFonts w:ascii="Arial Narrow" w:hAnsi="Arial Narrow"/>
          <w:color w:val="auto"/>
          <w:sz w:val="20"/>
        </w:rPr>
        <w:instrText xml:space="preserve"> SEQ Table \* ARABIC </w:instrText>
      </w:r>
      <w:r w:rsidR="008026BD" w:rsidRPr="008026BD">
        <w:rPr>
          <w:rFonts w:ascii="Arial Narrow" w:hAnsi="Arial Narrow"/>
          <w:color w:val="auto"/>
          <w:sz w:val="20"/>
        </w:rPr>
        <w:fldChar w:fldCharType="separate"/>
      </w:r>
      <w:r w:rsidR="00EB7F7C">
        <w:rPr>
          <w:rFonts w:ascii="Arial Narrow" w:hAnsi="Arial Narrow"/>
          <w:noProof/>
          <w:color w:val="auto"/>
          <w:sz w:val="20"/>
        </w:rPr>
        <w:t>14</w:t>
      </w:r>
      <w:r w:rsidR="008026BD" w:rsidRPr="008026BD">
        <w:rPr>
          <w:rFonts w:ascii="Arial Narrow" w:hAnsi="Arial Narrow"/>
          <w:color w:val="auto"/>
          <w:sz w:val="20"/>
        </w:rPr>
        <w:fldChar w:fldCharType="end"/>
      </w:r>
      <w:bookmarkEnd w:id="48"/>
      <w:r w:rsidRPr="00E83932">
        <w:rPr>
          <w:rFonts w:ascii="Arial Narrow" w:hAnsi="Arial Narrow"/>
          <w:color w:val="auto"/>
          <w:sz w:val="20"/>
        </w:rPr>
        <w:t>: Comparison of modelled outcomes for every 1</w:t>
      </w:r>
      <w:r w:rsidR="00CE2EE7">
        <w:rPr>
          <w:rFonts w:ascii="Arial Narrow" w:hAnsi="Arial Narrow"/>
          <w:color w:val="auto"/>
          <w:sz w:val="20"/>
        </w:rPr>
        <w:t>,</w:t>
      </w:r>
      <w:r w:rsidRPr="00E83932">
        <w:rPr>
          <w:rFonts w:ascii="Arial Narrow" w:hAnsi="Arial Narrow"/>
          <w:color w:val="auto"/>
          <w:sz w:val="20"/>
        </w:rPr>
        <w:t>000 patients over a 25</w:t>
      </w:r>
      <w:r w:rsidR="00CE2EE7">
        <w:rPr>
          <w:rFonts w:ascii="Arial Narrow" w:hAnsi="Arial Narrow"/>
          <w:color w:val="auto"/>
          <w:sz w:val="20"/>
        </w:rPr>
        <w:t>-</w:t>
      </w:r>
      <w:r w:rsidRPr="00E83932">
        <w:rPr>
          <w:rFonts w:ascii="Arial Narrow" w:hAnsi="Arial Narrow"/>
          <w:color w:val="auto"/>
          <w:sz w:val="20"/>
        </w:rPr>
        <w:t>year timeframe from November 2019 submission (patients with LDL</w:t>
      </w:r>
      <w:r w:rsidR="00CE2EE7">
        <w:rPr>
          <w:rFonts w:ascii="Arial Narrow" w:hAnsi="Arial Narrow"/>
          <w:color w:val="auto"/>
          <w:sz w:val="20"/>
        </w:rPr>
        <w:t> </w:t>
      </w:r>
      <w:r w:rsidRPr="00E83932">
        <w:rPr>
          <w:rFonts w:ascii="Arial Narrow" w:hAnsi="Arial Narrow"/>
          <w:color w:val="auto"/>
          <w:sz w:val="20"/>
        </w:rPr>
        <w:t>&gt; 2.6 mmol/L) and current economic model (</w:t>
      </w:r>
      <w:r w:rsidR="00C5262A">
        <w:rPr>
          <w:rFonts w:ascii="Arial Narrow" w:hAnsi="Arial Narrow"/>
          <w:color w:val="auto"/>
          <w:sz w:val="20"/>
        </w:rPr>
        <w:t xml:space="preserve">LDL-C </w:t>
      </w:r>
      <w:r w:rsidRPr="00E83932">
        <w:rPr>
          <w:rFonts w:ascii="Arial Narrow" w:hAnsi="Arial Narrow"/>
          <w:color w:val="auto"/>
          <w:sz w:val="20"/>
        </w:rPr>
        <w:t>between 1.8 and 2.6 mmol/L)</w:t>
      </w:r>
    </w:p>
    <w:tbl>
      <w:tblPr>
        <w:tblW w:w="500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4: Comparison of modelled outcomes for every 1,000 patients over a 25-year timeframe from November 2019 submission (patients with LDL &gt; 2.6 mmol/L) and current economic model (LDL-C between 1.8 and 2.6 mmol/L)"/>
      </w:tblPr>
      <w:tblGrid>
        <w:gridCol w:w="5055"/>
        <w:gridCol w:w="1989"/>
        <w:gridCol w:w="1973"/>
      </w:tblGrid>
      <w:tr w:rsidR="00DF144B" w:rsidRPr="00FF4735" w14:paraId="26D500F2" w14:textId="77777777" w:rsidTr="00B82D54">
        <w:trPr>
          <w:trHeight w:val="39"/>
        </w:trPr>
        <w:tc>
          <w:tcPr>
            <w:tcW w:w="2802" w:type="pct"/>
            <w:vAlign w:val="center"/>
          </w:tcPr>
          <w:p w14:paraId="522FBDAB" w14:textId="77777777" w:rsidR="00DF144B" w:rsidRPr="00FF4735" w:rsidRDefault="00DF144B" w:rsidP="00393506">
            <w:pPr>
              <w:pStyle w:val="TableText"/>
              <w:keepLines/>
              <w:widowControl w:val="0"/>
              <w:jc w:val="center"/>
              <w:rPr>
                <w:b/>
                <w:iCs/>
              </w:rPr>
            </w:pPr>
          </w:p>
        </w:tc>
        <w:tc>
          <w:tcPr>
            <w:tcW w:w="1103" w:type="pct"/>
            <w:vAlign w:val="center"/>
          </w:tcPr>
          <w:p w14:paraId="0C8C1F98" w14:textId="77777777" w:rsidR="00DF144B" w:rsidRPr="00FF4735" w:rsidRDefault="00DF144B" w:rsidP="00393506">
            <w:pPr>
              <w:pStyle w:val="TableText"/>
              <w:keepLines/>
              <w:widowControl w:val="0"/>
              <w:jc w:val="center"/>
              <w:rPr>
                <w:b/>
                <w:iCs/>
              </w:rPr>
            </w:pPr>
            <w:r w:rsidRPr="00FF4735">
              <w:rPr>
                <w:b/>
                <w:iCs/>
              </w:rPr>
              <w:t>Nov 2019 submission</w:t>
            </w:r>
          </w:p>
        </w:tc>
        <w:tc>
          <w:tcPr>
            <w:tcW w:w="1094" w:type="pct"/>
            <w:vAlign w:val="center"/>
          </w:tcPr>
          <w:p w14:paraId="76A4AEDB" w14:textId="77777777" w:rsidR="00DF144B" w:rsidRPr="00FF4735" w:rsidRDefault="00DF144B" w:rsidP="00393506">
            <w:pPr>
              <w:pStyle w:val="TableText"/>
              <w:keepLines/>
              <w:widowControl w:val="0"/>
              <w:jc w:val="center"/>
              <w:rPr>
                <w:b/>
                <w:iCs/>
              </w:rPr>
            </w:pPr>
            <w:r w:rsidRPr="00FF4735">
              <w:rPr>
                <w:b/>
                <w:iCs/>
              </w:rPr>
              <w:t>Current submission</w:t>
            </w:r>
          </w:p>
        </w:tc>
      </w:tr>
      <w:tr w:rsidR="00DF144B" w:rsidRPr="00FF4735" w14:paraId="51128B52" w14:textId="77777777" w:rsidTr="00B82D54">
        <w:tc>
          <w:tcPr>
            <w:tcW w:w="2802" w:type="pct"/>
          </w:tcPr>
          <w:p w14:paraId="54920148" w14:textId="77777777" w:rsidR="00DF144B" w:rsidRPr="00FF4735" w:rsidRDefault="00DF144B" w:rsidP="00393506">
            <w:pPr>
              <w:pStyle w:val="TableText"/>
              <w:keepLines/>
              <w:widowControl w:val="0"/>
              <w:rPr>
                <w:iCs/>
              </w:rPr>
            </w:pPr>
            <w:r w:rsidRPr="00FF4735">
              <w:rPr>
                <w:iCs/>
              </w:rPr>
              <w:t>Evolocumab drug costs (including treatment discontinuations)</w:t>
            </w:r>
          </w:p>
        </w:tc>
        <w:tc>
          <w:tcPr>
            <w:tcW w:w="1103" w:type="pct"/>
          </w:tcPr>
          <w:p w14:paraId="0047F7EF" w14:textId="1FA0C881" w:rsidR="00DF144B" w:rsidRPr="009833AE" w:rsidRDefault="00DF144B" w:rsidP="00393506">
            <w:pPr>
              <w:pStyle w:val="TableText"/>
              <w:keepLines/>
              <w:widowControl w:val="0"/>
              <w:jc w:val="center"/>
              <w:rPr>
                <w:iCs/>
                <w:vertAlign w:val="superscript"/>
              </w:rPr>
            </w:pPr>
            <w:r w:rsidRPr="00FF4735">
              <w:rPr>
                <w:iCs/>
              </w:rPr>
              <w:t>$</w:t>
            </w:r>
            <w:r w:rsidR="00650CB8" w:rsidRPr="00650CB8">
              <w:rPr>
                <w:iCs/>
                <w:color w:val="000000"/>
                <w:spacing w:val="214"/>
                <w:shd w:val="solid" w:color="000000" w:fill="000000"/>
                <w:fitText w:val="300" w:id="-1435748607"/>
                <w14:textFill>
                  <w14:solidFill>
                    <w14:srgbClr w14:val="000000">
                      <w14:alpha w14:val="100000"/>
                    </w14:srgbClr>
                  </w14:solidFill>
                </w14:textFill>
              </w:rPr>
              <w:t>|</w:t>
            </w:r>
            <w:r w:rsidR="00650CB8" w:rsidRPr="00650CB8">
              <w:rPr>
                <w:iCs/>
                <w:color w:val="000000"/>
                <w:spacing w:val="1"/>
                <w:shd w:val="solid" w:color="000000" w:fill="000000"/>
                <w:fitText w:val="300" w:id="-1435748607"/>
                <w14:textFill>
                  <w14:solidFill>
                    <w14:srgbClr w14:val="000000">
                      <w14:alpha w14:val="100000"/>
                    </w14:srgbClr>
                  </w14:solidFill>
                </w14:textFill>
              </w:rPr>
              <w:t>|</w:t>
            </w:r>
            <w:r w:rsidR="00650CB8" w:rsidRPr="00650CB8">
              <w:rPr>
                <w:iCs/>
              </w:rPr>
              <w:t xml:space="preserve"> </w:t>
            </w:r>
            <w:r w:rsidR="00650CB8" w:rsidRPr="00650CB8">
              <w:rPr>
                <w:rFonts w:hint="eastAsia"/>
                <w:iCs/>
                <w:color w:val="000000"/>
                <w:w w:val="24"/>
                <w:shd w:val="solid" w:color="000000" w:fill="000000"/>
                <w:fitText w:val="110" w:id="-1435748606"/>
                <w14:textFill>
                  <w14:solidFill>
                    <w14:srgbClr w14:val="000000">
                      <w14:alpha w14:val="100000"/>
                    </w14:srgbClr>
                  </w14:solidFill>
                </w14:textFill>
              </w:rPr>
              <w:t xml:space="preserve">　</w:t>
            </w:r>
            <w:r w:rsidR="00650CB8" w:rsidRPr="00650CB8">
              <w:rPr>
                <w:iCs/>
                <w:color w:val="000000"/>
                <w:w w:val="24"/>
                <w:shd w:val="solid" w:color="000000" w:fill="000000"/>
                <w:fitText w:val="110" w:id="-1435748606"/>
                <w14:textFill>
                  <w14:solidFill>
                    <w14:srgbClr w14:val="000000">
                      <w14:alpha w14:val="100000"/>
                    </w14:srgbClr>
                  </w14:solidFill>
                </w14:textFill>
              </w:rPr>
              <w:t>|</w:t>
            </w:r>
            <w:r w:rsidR="00650CB8" w:rsidRPr="00650CB8">
              <w:rPr>
                <w:rFonts w:hint="eastAsia"/>
                <w:iCs/>
                <w:color w:val="000000"/>
                <w:spacing w:val="6"/>
                <w:w w:val="24"/>
                <w:shd w:val="solid" w:color="000000" w:fill="000000"/>
                <w:fitText w:val="110" w:id="-1435748606"/>
                <w14:textFill>
                  <w14:solidFill>
                    <w14:srgbClr w14:val="000000">
                      <w14:alpha w14:val="100000"/>
                    </w14:srgbClr>
                  </w14:solidFill>
                </w14:textFill>
              </w:rPr>
              <w:t xml:space="preserve">　</w:t>
            </w:r>
            <w:r w:rsidR="009833AE">
              <w:rPr>
                <w:iCs/>
                <w:vertAlign w:val="superscript"/>
              </w:rPr>
              <w:t>1</w:t>
            </w:r>
          </w:p>
        </w:tc>
        <w:tc>
          <w:tcPr>
            <w:tcW w:w="1094" w:type="pct"/>
          </w:tcPr>
          <w:p w14:paraId="63FF37F5" w14:textId="519AFAD9" w:rsidR="00DF144B" w:rsidRPr="009833AE" w:rsidRDefault="00DF144B" w:rsidP="00393506">
            <w:pPr>
              <w:pStyle w:val="TableText"/>
              <w:keepLines/>
              <w:widowControl w:val="0"/>
              <w:jc w:val="center"/>
              <w:rPr>
                <w:iCs/>
                <w:vertAlign w:val="superscript"/>
              </w:rPr>
            </w:pPr>
            <w:r w:rsidRPr="00FF4735">
              <w:rPr>
                <w:iCs/>
              </w:rPr>
              <w:t>$</w:t>
            </w:r>
            <w:r w:rsidR="00650CB8" w:rsidRPr="00650CB8">
              <w:rPr>
                <w:iCs/>
                <w:color w:val="000000"/>
                <w:spacing w:val="46"/>
                <w:shd w:val="solid" w:color="000000" w:fill="000000"/>
                <w:fitText w:val="310" w:id="-1435748605"/>
                <w14:textFill>
                  <w14:solidFill>
                    <w14:srgbClr w14:val="000000">
                      <w14:alpha w14:val="100000"/>
                    </w14:srgbClr>
                  </w14:solidFill>
                </w14:textFill>
              </w:rPr>
              <w:t>|||</w:t>
            </w:r>
            <w:r w:rsidR="00650CB8" w:rsidRPr="00650CB8">
              <w:rPr>
                <w:iCs/>
                <w:color w:val="000000"/>
                <w:spacing w:val="2"/>
                <w:shd w:val="solid" w:color="000000" w:fill="000000"/>
                <w:fitText w:val="310" w:id="-1435748605"/>
                <w14:textFill>
                  <w14:solidFill>
                    <w14:srgbClr w14:val="000000">
                      <w14:alpha w14:val="100000"/>
                    </w14:srgbClr>
                  </w14:solidFill>
                </w14:textFill>
              </w:rPr>
              <w:t>|</w:t>
            </w:r>
            <w:r w:rsidR="00650CB8" w:rsidRPr="00650CB8">
              <w:rPr>
                <w:iCs/>
              </w:rPr>
              <w:t xml:space="preserve"> </w:t>
            </w:r>
            <w:r w:rsidR="00650CB8" w:rsidRPr="00650CB8">
              <w:rPr>
                <w:rFonts w:hint="eastAsia"/>
                <w:iCs/>
                <w:color w:val="000000"/>
                <w:w w:val="29"/>
                <w:shd w:val="solid" w:color="000000" w:fill="000000"/>
                <w:fitText w:val="130" w:id="-1435748604"/>
                <w14:textFill>
                  <w14:solidFill>
                    <w14:srgbClr w14:val="000000">
                      <w14:alpha w14:val="100000"/>
                    </w14:srgbClr>
                  </w14:solidFill>
                </w14:textFill>
              </w:rPr>
              <w:t xml:space="preserve">　</w:t>
            </w:r>
            <w:r w:rsidR="00650CB8" w:rsidRPr="00650CB8">
              <w:rPr>
                <w:iCs/>
                <w:color w:val="000000"/>
                <w:w w:val="29"/>
                <w:shd w:val="solid" w:color="000000" w:fill="000000"/>
                <w:fitText w:val="130" w:id="-1435748604"/>
                <w14:textFill>
                  <w14:solidFill>
                    <w14:srgbClr w14:val="000000">
                      <w14:alpha w14:val="100000"/>
                    </w14:srgbClr>
                  </w14:solidFill>
                </w14:textFill>
              </w:rPr>
              <w:t>|</w:t>
            </w:r>
            <w:r w:rsidR="00650CB8" w:rsidRPr="00650CB8">
              <w:rPr>
                <w:rFonts w:hint="eastAsia"/>
                <w:iCs/>
                <w:color w:val="000000"/>
                <w:spacing w:val="2"/>
                <w:w w:val="29"/>
                <w:shd w:val="solid" w:color="000000" w:fill="000000"/>
                <w:fitText w:val="130" w:id="-1435748604"/>
                <w14:textFill>
                  <w14:solidFill>
                    <w14:srgbClr w14:val="000000">
                      <w14:alpha w14:val="100000"/>
                    </w14:srgbClr>
                  </w14:solidFill>
                </w14:textFill>
              </w:rPr>
              <w:t xml:space="preserve">　</w:t>
            </w:r>
            <w:r w:rsidR="009833AE">
              <w:rPr>
                <w:iCs/>
                <w:vertAlign w:val="superscript"/>
              </w:rPr>
              <w:t>2</w:t>
            </w:r>
          </w:p>
        </w:tc>
      </w:tr>
      <w:tr w:rsidR="00DF144B" w:rsidRPr="00FF4735" w14:paraId="3892A564" w14:textId="77777777" w:rsidTr="00B82D54">
        <w:tc>
          <w:tcPr>
            <w:tcW w:w="2802" w:type="pct"/>
          </w:tcPr>
          <w:p w14:paraId="4F779E6E" w14:textId="77777777" w:rsidR="00DF144B" w:rsidRPr="00FF4735" w:rsidRDefault="00DF144B" w:rsidP="00393506">
            <w:pPr>
              <w:pStyle w:val="TableText"/>
              <w:keepLines/>
              <w:widowControl w:val="0"/>
              <w:rPr>
                <w:iCs/>
              </w:rPr>
            </w:pPr>
            <w:r w:rsidRPr="00FF4735">
              <w:rPr>
                <w:iCs/>
              </w:rPr>
              <w:t>Fatal CHD events avoided</w:t>
            </w:r>
          </w:p>
        </w:tc>
        <w:tc>
          <w:tcPr>
            <w:tcW w:w="1103" w:type="pct"/>
          </w:tcPr>
          <w:p w14:paraId="3B05D367" w14:textId="77777777" w:rsidR="00DF144B" w:rsidRPr="00411EE9" w:rsidRDefault="00DF144B" w:rsidP="00393506">
            <w:pPr>
              <w:pStyle w:val="TableText"/>
              <w:keepLines/>
              <w:widowControl w:val="0"/>
              <w:jc w:val="center"/>
              <w:rPr>
                <w:iCs/>
              </w:rPr>
            </w:pPr>
            <w:r w:rsidRPr="00411EE9">
              <w:rPr>
                <w:iCs/>
              </w:rPr>
              <w:t>100</w:t>
            </w:r>
          </w:p>
        </w:tc>
        <w:tc>
          <w:tcPr>
            <w:tcW w:w="1094" w:type="pct"/>
          </w:tcPr>
          <w:p w14:paraId="698BF068" w14:textId="77777777" w:rsidR="00DF144B" w:rsidRPr="00411EE9" w:rsidRDefault="00DF144B" w:rsidP="00393506">
            <w:pPr>
              <w:pStyle w:val="TableText"/>
              <w:keepLines/>
              <w:widowControl w:val="0"/>
              <w:jc w:val="center"/>
              <w:rPr>
                <w:iCs/>
              </w:rPr>
            </w:pPr>
            <w:r w:rsidRPr="00411EE9">
              <w:rPr>
                <w:iCs/>
              </w:rPr>
              <w:t>66</w:t>
            </w:r>
          </w:p>
        </w:tc>
      </w:tr>
      <w:tr w:rsidR="00DF144B" w:rsidRPr="00FF4735" w14:paraId="78081FA8" w14:textId="77777777" w:rsidTr="00B82D54">
        <w:tc>
          <w:tcPr>
            <w:tcW w:w="2802" w:type="pct"/>
          </w:tcPr>
          <w:p w14:paraId="6CDFBE79" w14:textId="77777777" w:rsidR="00DF144B" w:rsidRPr="00FF4735" w:rsidRDefault="00DF144B" w:rsidP="00393506">
            <w:pPr>
              <w:pStyle w:val="TableText"/>
              <w:keepLines/>
              <w:widowControl w:val="0"/>
              <w:rPr>
                <w:iCs/>
              </w:rPr>
            </w:pPr>
            <w:r w:rsidRPr="00FF4735">
              <w:rPr>
                <w:iCs/>
              </w:rPr>
              <w:t>- resulting in life years gained per patient</w:t>
            </w:r>
          </w:p>
        </w:tc>
        <w:tc>
          <w:tcPr>
            <w:tcW w:w="1103" w:type="pct"/>
          </w:tcPr>
          <w:p w14:paraId="5E9B1D4B" w14:textId="77777777" w:rsidR="00DF144B" w:rsidRPr="00411EE9" w:rsidRDefault="00DF144B" w:rsidP="00393506">
            <w:pPr>
              <w:pStyle w:val="TableText"/>
              <w:keepLines/>
              <w:widowControl w:val="0"/>
              <w:jc w:val="center"/>
              <w:rPr>
                <w:iCs/>
              </w:rPr>
            </w:pPr>
            <w:r w:rsidRPr="00411EE9">
              <w:rPr>
                <w:iCs/>
              </w:rPr>
              <w:t>1.1</w:t>
            </w:r>
          </w:p>
        </w:tc>
        <w:tc>
          <w:tcPr>
            <w:tcW w:w="1094" w:type="pct"/>
          </w:tcPr>
          <w:p w14:paraId="7FBFB177" w14:textId="77777777" w:rsidR="00DF144B" w:rsidRPr="00411EE9" w:rsidRDefault="00DF144B" w:rsidP="00393506">
            <w:pPr>
              <w:pStyle w:val="TableText"/>
              <w:keepLines/>
              <w:widowControl w:val="0"/>
              <w:jc w:val="center"/>
              <w:rPr>
                <w:iCs/>
              </w:rPr>
            </w:pPr>
            <w:r w:rsidRPr="00411EE9">
              <w:rPr>
                <w:iCs/>
              </w:rPr>
              <w:t>0.67</w:t>
            </w:r>
          </w:p>
        </w:tc>
      </w:tr>
      <w:tr w:rsidR="00DF144B" w:rsidRPr="00FF4735" w14:paraId="51D2FDF6" w14:textId="77777777" w:rsidTr="00B82D54">
        <w:tc>
          <w:tcPr>
            <w:tcW w:w="2802" w:type="pct"/>
          </w:tcPr>
          <w:p w14:paraId="6AB372EE" w14:textId="77777777" w:rsidR="00DF144B" w:rsidRPr="00FF4735" w:rsidRDefault="00DF144B" w:rsidP="00393506">
            <w:pPr>
              <w:pStyle w:val="TableText"/>
              <w:keepLines/>
              <w:widowControl w:val="0"/>
              <w:rPr>
                <w:iCs/>
              </w:rPr>
            </w:pPr>
            <w:r w:rsidRPr="00FF4735">
              <w:rPr>
                <w:iCs/>
              </w:rPr>
              <w:t>Life years per CHD death avoided</w:t>
            </w:r>
          </w:p>
        </w:tc>
        <w:tc>
          <w:tcPr>
            <w:tcW w:w="1103" w:type="pct"/>
          </w:tcPr>
          <w:p w14:paraId="014CFAE4" w14:textId="77777777" w:rsidR="00DF144B" w:rsidRPr="00411EE9" w:rsidRDefault="00DF144B" w:rsidP="00393506">
            <w:pPr>
              <w:pStyle w:val="TableText"/>
              <w:keepLines/>
              <w:widowControl w:val="0"/>
              <w:jc w:val="center"/>
              <w:rPr>
                <w:iCs/>
              </w:rPr>
            </w:pPr>
            <w:r w:rsidRPr="00411EE9">
              <w:rPr>
                <w:iCs/>
              </w:rPr>
              <w:t>11</w:t>
            </w:r>
          </w:p>
        </w:tc>
        <w:tc>
          <w:tcPr>
            <w:tcW w:w="1094" w:type="pct"/>
          </w:tcPr>
          <w:p w14:paraId="0141BBEC" w14:textId="77777777" w:rsidR="00DF144B" w:rsidRPr="00411EE9" w:rsidRDefault="00DF144B" w:rsidP="00393506">
            <w:pPr>
              <w:pStyle w:val="TableText"/>
              <w:keepLines/>
              <w:widowControl w:val="0"/>
              <w:jc w:val="center"/>
              <w:rPr>
                <w:iCs/>
              </w:rPr>
            </w:pPr>
            <w:r w:rsidRPr="00411EE9">
              <w:rPr>
                <w:iCs/>
              </w:rPr>
              <w:t>10</w:t>
            </w:r>
          </w:p>
        </w:tc>
      </w:tr>
      <w:tr w:rsidR="00DF144B" w:rsidRPr="00FF4735" w14:paraId="70884759" w14:textId="77777777" w:rsidTr="00B82D54">
        <w:tc>
          <w:tcPr>
            <w:tcW w:w="2802" w:type="pct"/>
          </w:tcPr>
          <w:p w14:paraId="2665B8AB" w14:textId="77777777" w:rsidR="00DF144B" w:rsidRPr="00FF4735" w:rsidRDefault="00DF144B" w:rsidP="00393506">
            <w:pPr>
              <w:pStyle w:val="TableText"/>
              <w:keepLines/>
              <w:widowControl w:val="0"/>
              <w:rPr>
                <w:iCs/>
              </w:rPr>
            </w:pPr>
            <w:r w:rsidRPr="00FF4735">
              <w:rPr>
                <w:iCs/>
              </w:rPr>
              <w:t>Non-fatal MIs avoided</w:t>
            </w:r>
          </w:p>
        </w:tc>
        <w:tc>
          <w:tcPr>
            <w:tcW w:w="1103" w:type="pct"/>
          </w:tcPr>
          <w:p w14:paraId="276A51BD" w14:textId="77777777" w:rsidR="00DF144B" w:rsidRPr="00411EE9" w:rsidRDefault="00DF144B" w:rsidP="00393506">
            <w:pPr>
              <w:pStyle w:val="TableText"/>
              <w:keepLines/>
              <w:widowControl w:val="0"/>
              <w:jc w:val="center"/>
              <w:rPr>
                <w:iCs/>
              </w:rPr>
            </w:pPr>
            <w:r w:rsidRPr="00411EE9">
              <w:rPr>
                <w:iCs/>
              </w:rPr>
              <w:t>200</w:t>
            </w:r>
          </w:p>
        </w:tc>
        <w:tc>
          <w:tcPr>
            <w:tcW w:w="1094" w:type="pct"/>
          </w:tcPr>
          <w:p w14:paraId="34CE7C6E" w14:textId="77777777" w:rsidR="00DF144B" w:rsidRPr="00411EE9" w:rsidRDefault="00DF144B" w:rsidP="00393506">
            <w:pPr>
              <w:pStyle w:val="TableText"/>
              <w:keepLines/>
              <w:widowControl w:val="0"/>
              <w:jc w:val="center"/>
              <w:rPr>
                <w:iCs/>
              </w:rPr>
            </w:pPr>
            <w:r w:rsidRPr="00411EE9">
              <w:rPr>
                <w:iCs/>
              </w:rPr>
              <w:t>126</w:t>
            </w:r>
          </w:p>
        </w:tc>
      </w:tr>
      <w:tr w:rsidR="00DF144B" w:rsidRPr="00FF4735" w14:paraId="01A312B3" w14:textId="77777777" w:rsidTr="00B82D54">
        <w:tc>
          <w:tcPr>
            <w:tcW w:w="2802" w:type="pct"/>
          </w:tcPr>
          <w:p w14:paraId="372614CC" w14:textId="77777777" w:rsidR="00DF144B" w:rsidRPr="00FF4735" w:rsidRDefault="00DF144B" w:rsidP="00393506">
            <w:pPr>
              <w:pStyle w:val="TableText"/>
              <w:keepLines/>
              <w:widowControl w:val="0"/>
              <w:rPr>
                <w:iCs/>
              </w:rPr>
            </w:pPr>
            <w:r w:rsidRPr="00FF4735">
              <w:rPr>
                <w:bCs w:val="0"/>
                <w:iCs/>
              </w:rPr>
              <w:t>-</w:t>
            </w:r>
            <w:r w:rsidRPr="00FF4735">
              <w:rPr>
                <w:iCs/>
              </w:rPr>
              <w:t xml:space="preserve"> resulting in treatment cost savings</w:t>
            </w:r>
          </w:p>
        </w:tc>
        <w:tc>
          <w:tcPr>
            <w:tcW w:w="1103" w:type="pct"/>
          </w:tcPr>
          <w:p w14:paraId="4AF8AC80" w14:textId="485A4C2B" w:rsidR="00DF144B" w:rsidRPr="009833AE" w:rsidRDefault="00DF144B" w:rsidP="00393506">
            <w:pPr>
              <w:pStyle w:val="TableText"/>
              <w:keepLines/>
              <w:widowControl w:val="0"/>
              <w:jc w:val="center"/>
              <w:rPr>
                <w:iCs/>
                <w:vertAlign w:val="superscript"/>
              </w:rPr>
            </w:pPr>
            <w:r w:rsidRPr="00FF4735">
              <w:rPr>
                <w:iCs/>
              </w:rPr>
              <w:t>$</w:t>
            </w:r>
            <w:r w:rsidR="00650CB8" w:rsidRPr="00650CB8">
              <w:rPr>
                <w:iCs/>
                <w:color w:val="000000"/>
                <w:spacing w:val="214"/>
                <w:shd w:val="solid" w:color="000000" w:fill="000000"/>
                <w:fitText w:val="300" w:id="-1435748603"/>
                <w14:textFill>
                  <w14:solidFill>
                    <w14:srgbClr w14:val="000000">
                      <w14:alpha w14:val="100000"/>
                    </w14:srgbClr>
                  </w14:solidFill>
                </w14:textFill>
              </w:rPr>
              <w:t>|</w:t>
            </w:r>
            <w:r w:rsidR="00650CB8" w:rsidRPr="00650CB8">
              <w:rPr>
                <w:iCs/>
                <w:color w:val="000000"/>
                <w:spacing w:val="1"/>
                <w:shd w:val="solid" w:color="000000" w:fill="000000"/>
                <w:fitText w:val="300" w:id="-1435748603"/>
                <w14:textFill>
                  <w14:solidFill>
                    <w14:srgbClr w14:val="000000">
                      <w14:alpha w14:val="100000"/>
                    </w14:srgbClr>
                  </w14:solidFill>
                </w14:textFill>
              </w:rPr>
              <w:t>|</w:t>
            </w:r>
            <w:r w:rsidR="00650CB8" w:rsidRPr="00650CB8">
              <w:rPr>
                <w:iCs/>
              </w:rPr>
              <w:t xml:space="preserve"> </w:t>
            </w:r>
            <w:r w:rsidR="00650CB8" w:rsidRPr="00650CB8">
              <w:rPr>
                <w:rFonts w:hint="eastAsia"/>
                <w:iCs/>
                <w:color w:val="000000"/>
                <w:w w:val="24"/>
                <w:shd w:val="solid" w:color="000000" w:fill="000000"/>
                <w:fitText w:val="110" w:id="-1435748602"/>
                <w14:textFill>
                  <w14:solidFill>
                    <w14:srgbClr w14:val="000000">
                      <w14:alpha w14:val="100000"/>
                    </w14:srgbClr>
                  </w14:solidFill>
                </w14:textFill>
              </w:rPr>
              <w:t xml:space="preserve">　</w:t>
            </w:r>
            <w:r w:rsidR="00650CB8" w:rsidRPr="00650CB8">
              <w:rPr>
                <w:iCs/>
                <w:color w:val="000000"/>
                <w:w w:val="24"/>
                <w:shd w:val="solid" w:color="000000" w:fill="000000"/>
                <w:fitText w:val="110" w:id="-1435748602"/>
                <w14:textFill>
                  <w14:solidFill>
                    <w14:srgbClr w14:val="000000">
                      <w14:alpha w14:val="100000"/>
                    </w14:srgbClr>
                  </w14:solidFill>
                </w14:textFill>
              </w:rPr>
              <w:t>|</w:t>
            </w:r>
            <w:r w:rsidR="00650CB8" w:rsidRPr="00650CB8">
              <w:rPr>
                <w:rFonts w:hint="eastAsia"/>
                <w:iCs/>
                <w:color w:val="000000"/>
                <w:spacing w:val="6"/>
                <w:w w:val="24"/>
                <w:shd w:val="solid" w:color="000000" w:fill="000000"/>
                <w:fitText w:val="110" w:id="-1435748602"/>
                <w14:textFill>
                  <w14:solidFill>
                    <w14:srgbClr w14:val="000000">
                      <w14:alpha w14:val="100000"/>
                    </w14:srgbClr>
                  </w14:solidFill>
                </w14:textFill>
              </w:rPr>
              <w:t xml:space="preserve">　</w:t>
            </w:r>
            <w:r w:rsidR="009833AE">
              <w:rPr>
                <w:iCs/>
                <w:vertAlign w:val="superscript"/>
              </w:rPr>
              <w:t>3</w:t>
            </w:r>
          </w:p>
        </w:tc>
        <w:tc>
          <w:tcPr>
            <w:tcW w:w="1094" w:type="pct"/>
          </w:tcPr>
          <w:p w14:paraId="40FE94E6" w14:textId="57B4F5BA" w:rsidR="00DF144B" w:rsidRPr="009833AE" w:rsidRDefault="00DF144B" w:rsidP="00393506">
            <w:pPr>
              <w:pStyle w:val="TableText"/>
              <w:keepLines/>
              <w:widowControl w:val="0"/>
              <w:jc w:val="center"/>
              <w:rPr>
                <w:iCs/>
                <w:vertAlign w:val="superscript"/>
              </w:rPr>
            </w:pPr>
            <w:r w:rsidRPr="00FF4735">
              <w:rPr>
                <w:iCs/>
              </w:rPr>
              <w:t>$</w:t>
            </w:r>
            <w:r w:rsidR="00650CB8" w:rsidRPr="00650CB8">
              <w:rPr>
                <w:iCs/>
                <w:color w:val="000000"/>
                <w:spacing w:val="46"/>
                <w:shd w:val="solid" w:color="000000" w:fill="000000"/>
                <w:fitText w:val="310" w:id="-1435748601"/>
                <w14:textFill>
                  <w14:solidFill>
                    <w14:srgbClr w14:val="000000">
                      <w14:alpha w14:val="100000"/>
                    </w14:srgbClr>
                  </w14:solidFill>
                </w14:textFill>
              </w:rPr>
              <w:t>|||</w:t>
            </w:r>
            <w:r w:rsidR="00650CB8" w:rsidRPr="00650CB8">
              <w:rPr>
                <w:iCs/>
                <w:color w:val="000000"/>
                <w:spacing w:val="2"/>
                <w:shd w:val="solid" w:color="000000" w:fill="000000"/>
                <w:fitText w:val="310" w:id="-1435748601"/>
                <w14:textFill>
                  <w14:solidFill>
                    <w14:srgbClr w14:val="000000">
                      <w14:alpha w14:val="100000"/>
                    </w14:srgbClr>
                  </w14:solidFill>
                </w14:textFill>
              </w:rPr>
              <w:t>|</w:t>
            </w:r>
            <w:r w:rsidR="00650CB8" w:rsidRPr="00650CB8">
              <w:rPr>
                <w:iCs/>
              </w:rPr>
              <w:t xml:space="preserve"> </w:t>
            </w:r>
            <w:r w:rsidR="00650CB8" w:rsidRPr="00650CB8">
              <w:rPr>
                <w:rFonts w:hint="eastAsia"/>
                <w:iCs/>
                <w:color w:val="000000"/>
                <w:w w:val="29"/>
                <w:shd w:val="solid" w:color="000000" w:fill="000000"/>
                <w:fitText w:val="130" w:id="-1435748600"/>
                <w14:textFill>
                  <w14:solidFill>
                    <w14:srgbClr w14:val="000000">
                      <w14:alpha w14:val="100000"/>
                    </w14:srgbClr>
                  </w14:solidFill>
                </w14:textFill>
              </w:rPr>
              <w:t xml:space="preserve">　</w:t>
            </w:r>
            <w:r w:rsidR="00650CB8" w:rsidRPr="00650CB8">
              <w:rPr>
                <w:iCs/>
                <w:color w:val="000000"/>
                <w:w w:val="29"/>
                <w:shd w:val="solid" w:color="000000" w:fill="000000"/>
                <w:fitText w:val="130" w:id="-1435748600"/>
                <w14:textFill>
                  <w14:solidFill>
                    <w14:srgbClr w14:val="000000">
                      <w14:alpha w14:val="100000"/>
                    </w14:srgbClr>
                  </w14:solidFill>
                </w14:textFill>
              </w:rPr>
              <w:t>|</w:t>
            </w:r>
            <w:r w:rsidR="00650CB8" w:rsidRPr="00650CB8">
              <w:rPr>
                <w:rFonts w:hint="eastAsia"/>
                <w:iCs/>
                <w:color w:val="000000"/>
                <w:spacing w:val="2"/>
                <w:w w:val="29"/>
                <w:shd w:val="solid" w:color="000000" w:fill="000000"/>
                <w:fitText w:val="130" w:id="-1435748600"/>
                <w14:textFill>
                  <w14:solidFill>
                    <w14:srgbClr w14:val="000000">
                      <w14:alpha w14:val="100000"/>
                    </w14:srgbClr>
                  </w14:solidFill>
                </w14:textFill>
              </w:rPr>
              <w:t xml:space="preserve">　</w:t>
            </w:r>
            <w:r w:rsidR="009833AE">
              <w:rPr>
                <w:iCs/>
                <w:vertAlign w:val="superscript"/>
              </w:rPr>
              <w:t>3</w:t>
            </w:r>
          </w:p>
        </w:tc>
      </w:tr>
      <w:tr w:rsidR="00DF144B" w:rsidRPr="00FF4735" w14:paraId="7E4DEC28" w14:textId="77777777" w:rsidTr="00B82D54">
        <w:tc>
          <w:tcPr>
            <w:tcW w:w="2802" w:type="pct"/>
          </w:tcPr>
          <w:p w14:paraId="68111A04" w14:textId="77777777" w:rsidR="00DF144B" w:rsidRPr="00FF4735" w:rsidRDefault="00DF144B" w:rsidP="00393506">
            <w:pPr>
              <w:pStyle w:val="TableText"/>
              <w:keepLines/>
              <w:widowControl w:val="0"/>
              <w:rPr>
                <w:bCs w:val="0"/>
                <w:iCs/>
              </w:rPr>
            </w:pPr>
            <w:r w:rsidRPr="00FF4735">
              <w:rPr>
                <w:bCs w:val="0"/>
                <w:iCs/>
              </w:rPr>
              <w:t>Non-fatal strokes avoided</w:t>
            </w:r>
          </w:p>
        </w:tc>
        <w:tc>
          <w:tcPr>
            <w:tcW w:w="1103" w:type="pct"/>
          </w:tcPr>
          <w:p w14:paraId="7320061C" w14:textId="77777777" w:rsidR="00DF144B" w:rsidRPr="00411EE9" w:rsidRDefault="00DF144B" w:rsidP="00393506">
            <w:pPr>
              <w:pStyle w:val="TableText"/>
              <w:keepLines/>
              <w:widowControl w:val="0"/>
              <w:jc w:val="center"/>
              <w:rPr>
                <w:bCs w:val="0"/>
                <w:iCs/>
              </w:rPr>
            </w:pPr>
            <w:r w:rsidRPr="00411EE9">
              <w:rPr>
                <w:bCs w:val="0"/>
                <w:iCs/>
              </w:rPr>
              <w:t>80</w:t>
            </w:r>
          </w:p>
        </w:tc>
        <w:tc>
          <w:tcPr>
            <w:tcW w:w="1094" w:type="pct"/>
          </w:tcPr>
          <w:p w14:paraId="2E9752BD" w14:textId="77777777" w:rsidR="00DF144B" w:rsidRPr="00411EE9" w:rsidRDefault="00DF144B" w:rsidP="00393506">
            <w:pPr>
              <w:pStyle w:val="TableText"/>
              <w:keepLines/>
              <w:widowControl w:val="0"/>
              <w:jc w:val="center"/>
              <w:rPr>
                <w:bCs w:val="0"/>
                <w:iCs/>
              </w:rPr>
            </w:pPr>
            <w:r w:rsidRPr="00411EE9">
              <w:rPr>
                <w:bCs w:val="0"/>
                <w:iCs/>
              </w:rPr>
              <w:t>48</w:t>
            </w:r>
          </w:p>
        </w:tc>
      </w:tr>
      <w:tr w:rsidR="00DF144B" w:rsidRPr="00FF4735" w14:paraId="1973F447" w14:textId="77777777" w:rsidTr="00B82D54">
        <w:tc>
          <w:tcPr>
            <w:tcW w:w="2802" w:type="pct"/>
          </w:tcPr>
          <w:p w14:paraId="0E69B006" w14:textId="77777777" w:rsidR="00DF144B" w:rsidRPr="00FF4735" w:rsidRDefault="00DF144B" w:rsidP="00393506">
            <w:pPr>
              <w:pStyle w:val="TableText"/>
              <w:keepLines/>
              <w:widowControl w:val="0"/>
              <w:rPr>
                <w:bCs w:val="0"/>
                <w:iCs/>
              </w:rPr>
            </w:pPr>
            <w:r w:rsidRPr="00FF4735">
              <w:rPr>
                <w:bCs w:val="0"/>
                <w:iCs/>
              </w:rPr>
              <w:t>- resulting in treatment cost savings</w:t>
            </w:r>
          </w:p>
        </w:tc>
        <w:tc>
          <w:tcPr>
            <w:tcW w:w="1103" w:type="pct"/>
          </w:tcPr>
          <w:p w14:paraId="07928277" w14:textId="08EFC33F" w:rsidR="00DF144B" w:rsidRPr="009833AE" w:rsidRDefault="00DF144B" w:rsidP="00393506">
            <w:pPr>
              <w:pStyle w:val="TableText"/>
              <w:keepLines/>
              <w:widowControl w:val="0"/>
              <w:jc w:val="center"/>
              <w:rPr>
                <w:bCs w:val="0"/>
                <w:iCs/>
                <w:vertAlign w:val="superscript"/>
              </w:rPr>
            </w:pPr>
            <w:r w:rsidRPr="00FF4735">
              <w:rPr>
                <w:bCs w:val="0"/>
                <w:iCs/>
              </w:rPr>
              <w:t>$</w:t>
            </w:r>
            <w:r w:rsidR="00650CB8" w:rsidRPr="00650CB8">
              <w:rPr>
                <w:bCs w:val="0"/>
                <w:iCs/>
                <w:color w:val="000000"/>
                <w:spacing w:val="214"/>
                <w:shd w:val="solid" w:color="000000" w:fill="000000"/>
                <w:fitText w:val="300" w:id="-1435748599"/>
                <w14:textFill>
                  <w14:solidFill>
                    <w14:srgbClr w14:val="000000">
                      <w14:alpha w14:val="100000"/>
                    </w14:srgbClr>
                  </w14:solidFill>
                </w14:textFill>
              </w:rPr>
              <w:t>|</w:t>
            </w:r>
            <w:r w:rsidR="00650CB8" w:rsidRPr="00650CB8">
              <w:rPr>
                <w:bCs w:val="0"/>
                <w:iCs/>
                <w:color w:val="000000"/>
                <w:spacing w:val="1"/>
                <w:shd w:val="solid" w:color="000000" w:fill="000000"/>
                <w:fitText w:val="300" w:id="-1435748599"/>
                <w14:textFill>
                  <w14:solidFill>
                    <w14:srgbClr w14:val="000000">
                      <w14:alpha w14:val="100000"/>
                    </w14:srgbClr>
                  </w14:solidFill>
                </w14:textFill>
              </w:rPr>
              <w:t>|</w:t>
            </w:r>
            <w:r w:rsidR="00650CB8" w:rsidRPr="00650CB8">
              <w:rPr>
                <w:bCs w:val="0"/>
                <w:iCs/>
              </w:rPr>
              <w:t xml:space="preserve"> </w:t>
            </w:r>
            <w:r w:rsidR="00650CB8" w:rsidRPr="00650CB8">
              <w:rPr>
                <w:rFonts w:hint="eastAsia"/>
                <w:bCs w:val="0"/>
                <w:iCs/>
                <w:color w:val="000000"/>
                <w:w w:val="24"/>
                <w:shd w:val="solid" w:color="000000" w:fill="000000"/>
                <w:fitText w:val="110" w:id="-1435748598"/>
                <w14:textFill>
                  <w14:solidFill>
                    <w14:srgbClr w14:val="000000">
                      <w14:alpha w14:val="100000"/>
                    </w14:srgbClr>
                  </w14:solidFill>
                </w14:textFill>
              </w:rPr>
              <w:t xml:space="preserve">　</w:t>
            </w:r>
            <w:r w:rsidR="00650CB8" w:rsidRPr="00650CB8">
              <w:rPr>
                <w:bCs w:val="0"/>
                <w:iCs/>
                <w:color w:val="000000"/>
                <w:w w:val="24"/>
                <w:shd w:val="solid" w:color="000000" w:fill="000000"/>
                <w:fitText w:val="110" w:id="-1435748598"/>
                <w14:textFill>
                  <w14:solidFill>
                    <w14:srgbClr w14:val="000000">
                      <w14:alpha w14:val="100000"/>
                    </w14:srgbClr>
                  </w14:solidFill>
                </w14:textFill>
              </w:rPr>
              <w:t>|</w:t>
            </w:r>
            <w:r w:rsidR="00650CB8" w:rsidRPr="00650CB8">
              <w:rPr>
                <w:rFonts w:hint="eastAsia"/>
                <w:bCs w:val="0"/>
                <w:iCs/>
                <w:color w:val="000000"/>
                <w:spacing w:val="6"/>
                <w:w w:val="24"/>
                <w:shd w:val="solid" w:color="000000" w:fill="000000"/>
                <w:fitText w:val="110" w:id="-1435748598"/>
                <w14:textFill>
                  <w14:solidFill>
                    <w14:srgbClr w14:val="000000">
                      <w14:alpha w14:val="100000"/>
                    </w14:srgbClr>
                  </w14:solidFill>
                </w14:textFill>
              </w:rPr>
              <w:t xml:space="preserve">　</w:t>
            </w:r>
            <w:r w:rsidR="009833AE">
              <w:rPr>
                <w:bCs w:val="0"/>
                <w:iCs/>
                <w:vertAlign w:val="superscript"/>
              </w:rPr>
              <w:t>3</w:t>
            </w:r>
          </w:p>
        </w:tc>
        <w:tc>
          <w:tcPr>
            <w:tcW w:w="1094" w:type="pct"/>
          </w:tcPr>
          <w:p w14:paraId="1AA3D01F" w14:textId="411944A4" w:rsidR="00DF144B" w:rsidRPr="009833AE" w:rsidRDefault="00DF144B" w:rsidP="00393506">
            <w:pPr>
              <w:pStyle w:val="TableText"/>
              <w:keepLines/>
              <w:widowControl w:val="0"/>
              <w:jc w:val="center"/>
              <w:rPr>
                <w:bCs w:val="0"/>
                <w:iCs/>
              </w:rPr>
            </w:pPr>
            <w:r w:rsidRPr="00FF4735">
              <w:rPr>
                <w:bCs w:val="0"/>
                <w:iCs/>
              </w:rPr>
              <w:t>$</w:t>
            </w:r>
            <w:r w:rsidR="00650CB8" w:rsidRPr="00650CB8">
              <w:rPr>
                <w:bCs w:val="0"/>
                <w:iCs/>
                <w:color w:val="000000"/>
                <w:spacing w:val="46"/>
                <w:shd w:val="solid" w:color="000000" w:fill="000000"/>
                <w:fitText w:val="310" w:id="-1435748597"/>
                <w14:textFill>
                  <w14:solidFill>
                    <w14:srgbClr w14:val="000000">
                      <w14:alpha w14:val="100000"/>
                    </w14:srgbClr>
                  </w14:solidFill>
                </w14:textFill>
              </w:rPr>
              <w:t>|||</w:t>
            </w:r>
            <w:r w:rsidR="00650CB8" w:rsidRPr="00650CB8">
              <w:rPr>
                <w:bCs w:val="0"/>
                <w:iCs/>
                <w:color w:val="000000"/>
                <w:spacing w:val="2"/>
                <w:shd w:val="solid" w:color="000000" w:fill="000000"/>
                <w:fitText w:val="310" w:id="-1435748597"/>
                <w14:textFill>
                  <w14:solidFill>
                    <w14:srgbClr w14:val="000000">
                      <w14:alpha w14:val="100000"/>
                    </w14:srgbClr>
                  </w14:solidFill>
                </w14:textFill>
              </w:rPr>
              <w:t>|</w:t>
            </w:r>
            <w:r w:rsidR="00650CB8" w:rsidRPr="00650CB8">
              <w:rPr>
                <w:bCs w:val="0"/>
                <w:iCs/>
              </w:rPr>
              <w:t xml:space="preserve"> </w:t>
            </w:r>
            <w:r w:rsidR="00650CB8" w:rsidRPr="00650CB8">
              <w:rPr>
                <w:rFonts w:hint="eastAsia"/>
                <w:bCs w:val="0"/>
                <w:iCs/>
                <w:color w:val="000000"/>
                <w:w w:val="29"/>
                <w:shd w:val="solid" w:color="000000" w:fill="000000"/>
                <w:fitText w:val="130" w:id="-1435748596"/>
                <w14:textFill>
                  <w14:solidFill>
                    <w14:srgbClr w14:val="000000">
                      <w14:alpha w14:val="100000"/>
                    </w14:srgbClr>
                  </w14:solidFill>
                </w14:textFill>
              </w:rPr>
              <w:t xml:space="preserve">　</w:t>
            </w:r>
            <w:r w:rsidR="00650CB8" w:rsidRPr="00650CB8">
              <w:rPr>
                <w:bCs w:val="0"/>
                <w:iCs/>
                <w:color w:val="000000"/>
                <w:w w:val="29"/>
                <w:shd w:val="solid" w:color="000000" w:fill="000000"/>
                <w:fitText w:val="130" w:id="-1435748596"/>
                <w14:textFill>
                  <w14:solidFill>
                    <w14:srgbClr w14:val="000000">
                      <w14:alpha w14:val="100000"/>
                    </w14:srgbClr>
                  </w14:solidFill>
                </w14:textFill>
              </w:rPr>
              <w:t>|</w:t>
            </w:r>
            <w:r w:rsidR="00650CB8" w:rsidRPr="00650CB8">
              <w:rPr>
                <w:rFonts w:hint="eastAsia"/>
                <w:bCs w:val="0"/>
                <w:iCs/>
                <w:color w:val="000000"/>
                <w:spacing w:val="2"/>
                <w:w w:val="29"/>
                <w:shd w:val="solid" w:color="000000" w:fill="000000"/>
                <w:fitText w:val="130" w:id="-1435748596"/>
                <w14:textFill>
                  <w14:solidFill>
                    <w14:srgbClr w14:val="000000">
                      <w14:alpha w14:val="100000"/>
                    </w14:srgbClr>
                  </w14:solidFill>
                </w14:textFill>
              </w:rPr>
              <w:t xml:space="preserve">　</w:t>
            </w:r>
            <w:r w:rsidR="009833AE">
              <w:rPr>
                <w:bCs w:val="0"/>
                <w:iCs/>
                <w:vertAlign w:val="superscript"/>
              </w:rPr>
              <w:t>3</w:t>
            </w:r>
          </w:p>
        </w:tc>
      </w:tr>
    </w:tbl>
    <w:p w14:paraId="106F186B" w14:textId="673AD058" w:rsidR="00DF144B" w:rsidRPr="00FF4735" w:rsidRDefault="00DF144B" w:rsidP="00E83932">
      <w:pPr>
        <w:pStyle w:val="TableFigureFooter"/>
        <w:rPr>
          <w:iCs/>
        </w:rPr>
      </w:pPr>
      <w:r w:rsidRPr="00FF4735">
        <w:rPr>
          <w:iCs/>
        </w:rPr>
        <w:t xml:space="preserve">Source: Calculated during the evaluation from ‘Economic model_Mar 22’ Excel spreadsheet; </w:t>
      </w:r>
      <w:r w:rsidR="005B2B62">
        <w:rPr>
          <w:iCs/>
        </w:rPr>
        <w:t>p</w:t>
      </w:r>
      <w:r w:rsidRPr="00FF4735">
        <w:rPr>
          <w:iCs/>
        </w:rPr>
        <w:t>ara 4.11, evolocumab PBAC</w:t>
      </w:r>
      <w:r w:rsidR="00C915B4">
        <w:rPr>
          <w:iCs/>
        </w:rPr>
        <w:t xml:space="preserve"> PSD</w:t>
      </w:r>
      <w:r w:rsidRPr="00FF4735">
        <w:rPr>
          <w:iCs/>
        </w:rPr>
        <w:t>, November 2019 PBAC meeting.</w:t>
      </w:r>
    </w:p>
    <w:p w14:paraId="1108856F" w14:textId="0A9DF4ED" w:rsidR="00DF144B" w:rsidRDefault="00DF144B" w:rsidP="00E83932">
      <w:pPr>
        <w:pStyle w:val="TableFigureFooter"/>
        <w:rPr>
          <w:iCs/>
        </w:rPr>
      </w:pPr>
      <w:r w:rsidRPr="00FF4735">
        <w:rPr>
          <w:iCs/>
        </w:rPr>
        <w:t xml:space="preserve">Abbreviations: CHD, coronary heart disease; MI, myocardial infarction </w:t>
      </w:r>
    </w:p>
    <w:p w14:paraId="246677A7" w14:textId="77777777" w:rsidR="009833AE" w:rsidRPr="00D86F1E" w:rsidRDefault="009833AE" w:rsidP="009833AE">
      <w:pPr>
        <w:pStyle w:val="TableFigureFooter"/>
        <w:keepNext/>
        <w:spacing w:after="0"/>
        <w:contextualSpacing w:val="0"/>
        <w:rPr>
          <w:i/>
        </w:rPr>
      </w:pPr>
      <w:r w:rsidRPr="00D86F1E">
        <w:rPr>
          <w:i/>
        </w:rPr>
        <w:t>The redacted values correspond to the following ranges:</w:t>
      </w:r>
    </w:p>
    <w:p w14:paraId="0A090269" w14:textId="6EE065D7" w:rsidR="009833AE" w:rsidRPr="00281DAB" w:rsidRDefault="009833AE" w:rsidP="009833AE">
      <w:pPr>
        <w:pStyle w:val="TableFigureFooter"/>
        <w:keepNext/>
        <w:spacing w:after="0"/>
        <w:contextualSpacing w:val="0"/>
      </w:pPr>
      <w:r w:rsidRPr="00D86F1E">
        <w:rPr>
          <w:i/>
          <w:szCs w:val="18"/>
          <w:vertAlign w:val="superscript"/>
        </w:rPr>
        <w:t>1</w:t>
      </w:r>
      <w:r w:rsidRPr="00D86F1E">
        <w:rPr>
          <w:i/>
          <w:szCs w:val="18"/>
        </w:rPr>
        <w:t xml:space="preserve"> </w:t>
      </w:r>
      <w:r w:rsidRPr="009833AE">
        <w:rPr>
          <w:i/>
          <w:szCs w:val="18"/>
        </w:rPr>
        <w:t>$20 million to &lt; $30 million</w:t>
      </w:r>
    </w:p>
    <w:p w14:paraId="16AE273A" w14:textId="216AEA27" w:rsidR="009833AE" w:rsidRPr="00D86F1E" w:rsidRDefault="009833AE" w:rsidP="009833AE">
      <w:pPr>
        <w:rPr>
          <w:rFonts w:ascii="Arial Narrow" w:hAnsi="Arial Narrow"/>
          <w:i/>
          <w:sz w:val="18"/>
          <w:szCs w:val="18"/>
        </w:rPr>
      </w:pPr>
      <w:r w:rsidRPr="00D86F1E">
        <w:rPr>
          <w:rFonts w:ascii="Arial Narrow" w:hAnsi="Arial Narrow"/>
          <w:i/>
          <w:sz w:val="18"/>
          <w:szCs w:val="18"/>
          <w:vertAlign w:val="superscript"/>
        </w:rPr>
        <w:t>2</w:t>
      </w:r>
      <w:r w:rsidRPr="00D86F1E">
        <w:rPr>
          <w:rFonts w:ascii="Arial Narrow" w:hAnsi="Arial Narrow"/>
          <w:i/>
          <w:sz w:val="18"/>
          <w:szCs w:val="18"/>
        </w:rPr>
        <w:t xml:space="preserve"> </w:t>
      </w:r>
      <w:r>
        <w:rPr>
          <w:rFonts w:ascii="Arial Narrow" w:hAnsi="Arial Narrow"/>
          <w:i/>
          <w:sz w:val="18"/>
          <w:szCs w:val="18"/>
        </w:rPr>
        <w:t>$</w:t>
      </w:r>
      <w:r w:rsidRPr="009833AE">
        <w:rPr>
          <w:rFonts w:ascii="Arial Narrow" w:hAnsi="Arial Narrow"/>
          <w:i/>
          <w:sz w:val="18"/>
          <w:szCs w:val="18"/>
        </w:rPr>
        <w:t>10 million to &lt; $20 million</w:t>
      </w:r>
    </w:p>
    <w:p w14:paraId="68C9E516" w14:textId="082124DF" w:rsidR="009833AE" w:rsidRPr="009833AE" w:rsidRDefault="009833AE" w:rsidP="009833AE">
      <w:pPr>
        <w:rPr>
          <w:rFonts w:ascii="Arial Narrow" w:hAnsi="Arial Narrow"/>
          <w:i/>
          <w:sz w:val="18"/>
          <w:szCs w:val="18"/>
        </w:rPr>
      </w:pPr>
      <w:r w:rsidRPr="00D86F1E">
        <w:rPr>
          <w:rFonts w:ascii="Arial Narrow" w:hAnsi="Arial Narrow"/>
          <w:i/>
          <w:sz w:val="18"/>
          <w:szCs w:val="18"/>
          <w:vertAlign w:val="superscript"/>
        </w:rPr>
        <w:t xml:space="preserve">3 </w:t>
      </w:r>
      <w:r w:rsidRPr="009833AE">
        <w:rPr>
          <w:rFonts w:ascii="Arial Narrow" w:hAnsi="Arial Narrow"/>
          <w:i/>
          <w:sz w:val="18"/>
          <w:szCs w:val="18"/>
        </w:rPr>
        <w:t>$0 to &lt; $10 million</w:t>
      </w:r>
    </w:p>
    <w:p w14:paraId="7C9D7638" w14:textId="77777777" w:rsidR="00985590" w:rsidRPr="00FF4735" w:rsidRDefault="00985590" w:rsidP="00E83932">
      <w:pPr>
        <w:pStyle w:val="TableFigureFooter"/>
        <w:rPr>
          <w:iCs/>
        </w:rPr>
      </w:pPr>
    </w:p>
    <w:p w14:paraId="26520760" w14:textId="246367B0" w:rsidR="00397EB0" w:rsidRPr="00FF4735" w:rsidRDefault="00397EB0" w:rsidP="00BB732D">
      <w:pPr>
        <w:pStyle w:val="ExecSumBodyText"/>
        <w:rPr>
          <w:iCs/>
        </w:rPr>
      </w:pPr>
      <w:r w:rsidRPr="00FF4735">
        <w:rPr>
          <w:iCs/>
        </w:rPr>
        <w:t>Compared with the November 2019 model, the current model generates smaller incremental drug costs</w:t>
      </w:r>
      <w:r w:rsidR="0025701C" w:rsidRPr="00FF4735">
        <w:rPr>
          <w:iCs/>
        </w:rPr>
        <w:t xml:space="preserve"> </w:t>
      </w:r>
      <w:r w:rsidRPr="00FF4735">
        <w:rPr>
          <w:iCs/>
        </w:rPr>
        <w:t>and disease management savings and fewer fatal and non-fatal CHD events avoided, consistent with the lower proposed price and lower risk population</w:t>
      </w:r>
      <w:r w:rsidR="005D25E4" w:rsidRPr="00FF4735">
        <w:rPr>
          <w:iCs/>
        </w:rPr>
        <w:t xml:space="preserve"> (</w:t>
      </w:r>
      <w:r w:rsidR="00C5262A" w:rsidRPr="00FF4735">
        <w:rPr>
          <w:iCs/>
        </w:rPr>
        <w:t xml:space="preserve">LDL-C </w:t>
      </w:r>
      <w:r w:rsidR="005D25E4" w:rsidRPr="00FF4735">
        <w:rPr>
          <w:iCs/>
        </w:rPr>
        <w:t xml:space="preserve">&gt; 1.8 and </w:t>
      </w:r>
      <w:r w:rsidR="005D25E4" w:rsidRPr="00FF4735">
        <w:rPr>
          <w:rFonts w:cstheme="minorHAnsi"/>
          <w:iCs/>
        </w:rPr>
        <w:t>≤ 2.6 mmol/L compared to &gt; 2.6 mmol/L</w:t>
      </w:r>
      <w:r w:rsidR="00D73185" w:rsidRPr="00FF4735">
        <w:rPr>
          <w:rFonts w:cstheme="minorHAnsi"/>
          <w:iCs/>
        </w:rPr>
        <w:t>)</w:t>
      </w:r>
      <w:r w:rsidRPr="00FF4735">
        <w:rPr>
          <w:iCs/>
        </w:rPr>
        <w:t>.</w:t>
      </w:r>
    </w:p>
    <w:p w14:paraId="007732EF" w14:textId="1783F743" w:rsidR="00367788" w:rsidRPr="001F281D" w:rsidRDefault="005110D1" w:rsidP="00367788">
      <w:pPr>
        <w:pStyle w:val="ExecSumBodyText"/>
        <w:rPr>
          <w:iCs/>
        </w:rPr>
        <w:sectPr w:rsidR="00367788" w:rsidRPr="001F281D" w:rsidSect="006534DA">
          <w:headerReference w:type="default" r:id="rId8"/>
          <w:footerReference w:type="default" r:id="rId9"/>
          <w:pgSz w:w="11907" w:h="16840" w:code="9"/>
          <w:pgMar w:top="1440" w:right="1440" w:bottom="1440" w:left="1440" w:header="1440" w:footer="1440" w:gutter="0"/>
          <w:cols w:space="708"/>
          <w:docGrid w:linePitch="360"/>
        </w:sectPr>
      </w:pPr>
      <w:r w:rsidRPr="00FF4735">
        <w:rPr>
          <w:iCs/>
        </w:rPr>
        <w:t xml:space="preserve">The submission did not present sensitivity analyses for the economic </w:t>
      </w:r>
      <w:r w:rsidR="005B2B62">
        <w:rPr>
          <w:iCs/>
        </w:rPr>
        <w:t>model</w:t>
      </w:r>
      <w:r w:rsidRPr="00FF4735">
        <w:rPr>
          <w:iCs/>
        </w:rPr>
        <w:t xml:space="preserve">. During the evaluation, sensitivity analyses were conducted to </w:t>
      </w:r>
      <w:r w:rsidR="00D73185" w:rsidRPr="00FF4735">
        <w:rPr>
          <w:iCs/>
        </w:rPr>
        <w:t>assess the impact of varying</w:t>
      </w:r>
      <w:r w:rsidRPr="00FF4735">
        <w:rPr>
          <w:iCs/>
        </w:rPr>
        <w:t xml:space="preserve"> the baseline mean </w:t>
      </w:r>
      <w:r w:rsidR="00C5262A" w:rsidRPr="00FF4735">
        <w:rPr>
          <w:iCs/>
        </w:rPr>
        <w:t xml:space="preserve">LDL-C </w:t>
      </w:r>
      <w:r w:rsidRPr="00FF4735">
        <w:rPr>
          <w:iCs/>
        </w:rPr>
        <w:t xml:space="preserve">used in </w:t>
      </w:r>
      <w:r w:rsidRPr="00144F71">
        <w:rPr>
          <w:rFonts w:cstheme="minorHAnsi"/>
          <w:iCs/>
        </w:rPr>
        <w:t>the model, using</w:t>
      </w:r>
      <w:r w:rsidRPr="00FF4735">
        <w:rPr>
          <w:iCs/>
        </w:rPr>
        <w:t xml:space="preserve"> the upper and lower limit of the proposed </w:t>
      </w:r>
      <w:r w:rsidR="00C5262A" w:rsidRPr="00FF4735">
        <w:rPr>
          <w:iCs/>
        </w:rPr>
        <w:t xml:space="preserve">LDL-C </w:t>
      </w:r>
      <w:r w:rsidRPr="00FF4735">
        <w:rPr>
          <w:iCs/>
        </w:rPr>
        <w:t>threshold (1.8 and 2.6 mmol/L)</w:t>
      </w:r>
      <w:r w:rsidR="00322DF0" w:rsidRPr="00FF4735">
        <w:rPr>
          <w:iCs/>
        </w:rPr>
        <w:t>,</w:t>
      </w:r>
      <w:r w:rsidRPr="00FF4735">
        <w:rPr>
          <w:iCs/>
        </w:rPr>
        <w:t xml:space="preserve"> and the average LDL-C from the sponsor-commissioned analysis of the IQVIA GP database for patients, but without the application of the submission’s assumed uptake across </w:t>
      </w:r>
      <w:r w:rsidR="00C5262A" w:rsidRPr="00FF4735">
        <w:rPr>
          <w:iCs/>
        </w:rPr>
        <w:t xml:space="preserve">LDL-C </w:t>
      </w:r>
      <w:r w:rsidRPr="00FF4735">
        <w:rPr>
          <w:iCs/>
        </w:rPr>
        <w:t>levels.</w:t>
      </w:r>
      <w:r w:rsidR="005B2B62">
        <w:rPr>
          <w:iCs/>
        </w:rPr>
        <w:t xml:space="preserve"> </w:t>
      </w:r>
      <w:r w:rsidR="00C86303">
        <w:rPr>
          <w:iCs/>
        </w:rPr>
        <w:t xml:space="preserve">The ICERs ranged from </w:t>
      </w:r>
      <w:r w:rsidR="00094A83" w:rsidRPr="00094A83">
        <w:rPr>
          <w:iCs/>
        </w:rPr>
        <w:t>$15,000 to &lt;</w:t>
      </w:r>
      <w:r w:rsidR="00094A83">
        <w:rPr>
          <w:iCs/>
        </w:rPr>
        <w:t> </w:t>
      </w:r>
      <w:r w:rsidR="00094A83" w:rsidRPr="00094A83">
        <w:rPr>
          <w:iCs/>
        </w:rPr>
        <w:t>$25,000</w:t>
      </w:r>
      <w:r w:rsidR="00C86303">
        <w:rPr>
          <w:iCs/>
        </w:rPr>
        <w:t xml:space="preserve"> to</w:t>
      </w:r>
      <w:r w:rsidR="00094A83">
        <w:rPr>
          <w:iCs/>
        </w:rPr>
        <w:t xml:space="preserve"> </w:t>
      </w:r>
      <w:r w:rsidR="00094A83" w:rsidRPr="00094A83">
        <w:rPr>
          <w:iCs/>
        </w:rPr>
        <w:t>$55,000 to &lt;</w:t>
      </w:r>
      <w:r w:rsidR="00094A83">
        <w:rPr>
          <w:iCs/>
        </w:rPr>
        <w:t> </w:t>
      </w:r>
      <w:r w:rsidR="00094A83" w:rsidRPr="00094A83">
        <w:rPr>
          <w:iCs/>
        </w:rPr>
        <w:t xml:space="preserve">$75,000 </w:t>
      </w:r>
      <w:r w:rsidR="00C86303">
        <w:rPr>
          <w:iCs/>
        </w:rPr>
        <w:t xml:space="preserve">per QALY gained. </w:t>
      </w:r>
      <w:r w:rsidR="00367788" w:rsidRPr="001F281D">
        <w:rPr>
          <w:iCs/>
        </w:rPr>
        <w:t xml:space="preserve">The ESC noted that the </w:t>
      </w:r>
      <w:r w:rsidR="00C809B5" w:rsidRPr="001F281D">
        <w:rPr>
          <w:iCs/>
        </w:rPr>
        <w:t>value proposition</w:t>
      </w:r>
      <w:r w:rsidR="00367788" w:rsidRPr="001F281D">
        <w:rPr>
          <w:iCs/>
        </w:rPr>
        <w:t xml:space="preserve"> for this </w:t>
      </w:r>
      <w:r w:rsidR="000364AB" w:rsidRPr="001F281D">
        <w:rPr>
          <w:iCs/>
        </w:rPr>
        <w:t xml:space="preserve">new </w:t>
      </w:r>
      <w:r w:rsidR="00407B9C" w:rsidRPr="001F281D">
        <w:rPr>
          <w:iCs/>
        </w:rPr>
        <w:t xml:space="preserve">lower risk </w:t>
      </w:r>
      <w:r w:rsidR="00367788" w:rsidRPr="001F281D">
        <w:rPr>
          <w:iCs/>
        </w:rPr>
        <w:t>patient population</w:t>
      </w:r>
      <w:r w:rsidR="00C809B5" w:rsidRPr="001F281D">
        <w:rPr>
          <w:iCs/>
        </w:rPr>
        <w:t xml:space="preserve"> may be different to</w:t>
      </w:r>
      <w:r w:rsidR="00407B9C" w:rsidRPr="001F281D">
        <w:rPr>
          <w:iCs/>
        </w:rPr>
        <w:t xml:space="preserve"> that previously accepted for the higher risk group</w:t>
      </w:r>
      <w:r w:rsidR="00367788" w:rsidRPr="001F281D">
        <w:rPr>
          <w:iCs/>
        </w:rPr>
        <w:t xml:space="preserve">. The ESC considered it may be informative for the PBAC to </w:t>
      </w:r>
      <w:r w:rsidR="00393506" w:rsidRPr="001F281D">
        <w:rPr>
          <w:iCs/>
        </w:rPr>
        <w:t>be presented with</w:t>
      </w:r>
      <w:r w:rsidR="00367788" w:rsidRPr="001F281D">
        <w:rPr>
          <w:iCs/>
        </w:rPr>
        <w:t xml:space="preserve"> the drug cost resulting in ICER</w:t>
      </w:r>
      <w:r w:rsidR="00393506" w:rsidRPr="001F281D">
        <w:rPr>
          <w:iCs/>
        </w:rPr>
        <w:t>s</w:t>
      </w:r>
      <w:r w:rsidR="00367788" w:rsidRPr="001F281D">
        <w:rPr>
          <w:iCs/>
        </w:rPr>
        <w:t xml:space="preserve"> of </w:t>
      </w:r>
      <w:r w:rsidR="00094A83" w:rsidRPr="00094A83">
        <w:rPr>
          <w:iCs/>
        </w:rPr>
        <w:t>$15,000 to &lt; $25,000</w:t>
      </w:r>
      <w:r w:rsidR="00367788" w:rsidRPr="001F281D">
        <w:rPr>
          <w:iCs/>
        </w:rPr>
        <w:t xml:space="preserve"> and </w:t>
      </w:r>
      <w:r w:rsidR="00094A83" w:rsidRPr="00094A83">
        <w:rPr>
          <w:iCs/>
        </w:rPr>
        <w:t>$15,000 to &lt; $25,000</w:t>
      </w:r>
      <w:r w:rsidR="00367788" w:rsidRPr="001F281D">
        <w:rPr>
          <w:rFonts w:cstheme="minorHAnsi"/>
          <w:iCs/>
        </w:rPr>
        <w:t xml:space="preserve">. </w:t>
      </w:r>
      <w:r w:rsidR="000364AB" w:rsidRPr="001F281D">
        <w:rPr>
          <w:rFonts w:cstheme="minorHAnsi"/>
          <w:iCs/>
        </w:rPr>
        <w:t xml:space="preserve">These analyses are shown in </w:t>
      </w:r>
      <w:r w:rsidR="000364AB" w:rsidRPr="001F281D">
        <w:rPr>
          <w:rFonts w:cstheme="minorHAnsi"/>
          <w:iCs/>
        </w:rPr>
        <w:fldChar w:fldCharType="begin"/>
      </w:r>
      <w:r w:rsidR="000364AB" w:rsidRPr="001F281D">
        <w:rPr>
          <w:rFonts w:cstheme="minorHAnsi"/>
          <w:iCs/>
        </w:rPr>
        <w:instrText xml:space="preserve"> REF _Ref105597273 \h  \* MERGEFORMAT </w:instrText>
      </w:r>
      <w:r w:rsidR="000364AB" w:rsidRPr="001F281D">
        <w:rPr>
          <w:rFonts w:cstheme="minorHAnsi"/>
          <w:iCs/>
        </w:rPr>
      </w:r>
      <w:r w:rsidR="000364AB" w:rsidRPr="001F281D">
        <w:rPr>
          <w:rFonts w:cstheme="minorHAnsi"/>
          <w:iCs/>
        </w:rPr>
        <w:fldChar w:fldCharType="separate"/>
      </w:r>
      <w:r w:rsidR="00EB7F7C" w:rsidRPr="00EB7F7C">
        <w:rPr>
          <w:rFonts w:cstheme="minorHAnsi"/>
          <w:iCs/>
        </w:rPr>
        <w:t xml:space="preserve">Table </w:t>
      </w:r>
      <w:r w:rsidR="00EB7F7C" w:rsidRPr="00EB7F7C">
        <w:rPr>
          <w:rFonts w:cstheme="minorHAnsi"/>
          <w:iCs/>
          <w:noProof/>
        </w:rPr>
        <w:t>15</w:t>
      </w:r>
      <w:r w:rsidR="000364AB" w:rsidRPr="001F281D">
        <w:rPr>
          <w:rFonts w:cstheme="minorHAnsi"/>
          <w:iCs/>
        </w:rPr>
        <w:fldChar w:fldCharType="end"/>
      </w:r>
      <w:r w:rsidR="000364AB" w:rsidRPr="001F281D">
        <w:rPr>
          <w:rFonts w:cstheme="minorHAnsi"/>
          <w:iCs/>
        </w:rPr>
        <w:t xml:space="preserve"> below, along with s</w:t>
      </w:r>
      <w:r w:rsidR="00367788" w:rsidRPr="001F281D">
        <w:rPr>
          <w:rFonts w:cstheme="minorHAnsi"/>
          <w:iCs/>
        </w:rPr>
        <w:t>ensitivity analyses using 0% and 3.5% discount rates for costs and benefits, as requested in the PBAC Guidelines.</w:t>
      </w:r>
      <w:r w:rsidR="00367788" w:rsidRPr="001F281D">
        <w:rPr>
          <w:iCs/>
        </w:rPr>
        <w:t xml:space="preserve"> </w:t>
      </w:r>
    </w:p>
    <w:p w14:paraId="3D387ADD" w14:textId="60D5A4C5" w:rsidR="00367788" w:rsidRPr="001F281D" w:rsidRDefault="00367788" w:rsidP="00C86303">
      <w:pPr>
        <w:pStyle w:val="Tableheadingrow"/>
        <w:rPr>
          <w:iCs/>
          <w:szCs w:val="20"/>
        </w:rPr>
      </w:pPr>
      <w:r w:rsidRPr="001F281D">
        <w:rPr>
          <w:iCs/>
        </w:rPr>
        <w:lastRenderedPageBreak/>
        <w:t xml:space="preserve"> </w:t>
      </w:r>
      <w:bookmarkStart w:id="51" w:name="_Ref105597273"/>
      <w:r w:rsidRPr="001F281D">
        <w:rPr>
          <w:iCs/>
          <w:szCs w:val="20"/>
        </w:rPr>
        <w:t xml:space="preserve">Table </w:t>
      </w:r>
      <w:r w:rsidRPr="001F281D">
        <w:rPr>
          <w:iCs/>
          <w:szCs w:val="20"/>
        </w:rPr>
        <w:fldChar w:fldCharType="begin"/>
      </w:r>
      <w:r w:rsidRPr="001F281D">
        <w:rPr>
          <w:iCs/>
          <w:szCs w:val="20"/>
        </w:rPr>
        <w:instrText xml:space="preserve"> SEQ Table \* ARABIC </w:instrText>
      </w:r>
      <w:r w:rsidRPr="001F281D">
        <w:rPr>
          <w:iCs/>
          <w:szCs w:val="20"/>
        </w:rPr>
        <w:fldChar w:fldCharType="separate"/>
      </w:r>
      <w:r w:rsidR="00EB7F7C">
        <w:rPr>
          <w:iCs/>
          <w:noProof/>
          <w:szCs w:val="20"/>
        </w:rPr>
        <w:t>15</w:t>
      </w:r>
      <w:r w:rsidRPr="001F281D">
        <w:rPr>
          <w:iCs/>
          <w:szCs w:val="20"/>
        </w:rPr>
        <w:fldChar w:fldCharType="end"/>
      </w:r>
      <w:bookmarkEnd w:id="51"/>
      <w:r w:rsidRPr="001F281D">
        <w:rPr>
          <w:iCs/>
          <w:szCs w:val="20"/>
        </w:rPr>
        <w:t>: Results of sensitivity analyses</w:t>
      </w:r>
    </w:p>
    <w:tbl>
      <w:tblPr>
        <w:tblStyle w:val="TableGrid"/>
        <w:tblW w:w="5000" w:type="pct"/>
        <w:tblCellMar>
          <w:left w:w="28" w:type="dxa"/>
          <w:right w:w="28" w:type="dxa"/>
        </w:tblCellMar>
        <w:tblLook w:val="04A0" w:firstRow="1" w:lastRow="0" w:firstColumn="1" w:lastColumn="0" w:noHBand="0" w:noVBand="1"/>
      </w:tblPr>
      <w:tblGrid>
        <w:gridCol w:w="1483"/>
        <w:gridCol w:w="1161"/>
        <w:gridCol w:w="1161"/>
        <w:gridCol w:w="900"/>
        <w:gridCol w:w="1201"/>
        <w:gridCol w:w="1055"/>
        <w:gridCol w:w="1028"/>
        <w:gridCol w:w="1028"/>
      </w:tblGrid>
      <w:tr w:rsidR="004C5508" w:rsidRPr="001F281D" w14:paraId="2B163671" w14:textId="77777777" w:rsidTr="00367788">
        <w:tc>
          <w:tcPr>
            <w:tcW w:w="2406" w:type="dxa"/>
            <w:vMerge w:val="restart"/>
            <w:tcBorders>
              <w:top w:val="single" w:sz="4" w:space="0" w:color="auto"/>
              <w:left w:val="single" w:sz="4" w:space="0" w:color="auto"/>
              <w:bottom w:val="single" w:sz="4" w:space="0" w:color="auto"/>
              <w:right w:val="single" w:sz="4" w:space="0" w:color="auto"/>
            </w:tcBorders>
          </w:tcPr>
          <w:p w14:paraId="48DB1E97" w14:textId="77777777" w:rsidR="00367788" w:rsidRPr="001F281D" w:rsidRDefault="00367788">
            <w:pPr>
              <w:keepNext/>
              <w:rPr>
                <w:rFonts w:ascii="Arial Narrow" w:hAnsi="Arial Narrow"/>
                <w:b/>
                <w:bCs/>
                <w:iCs/>
                <w:sz w:val="20"/>
                <w:szCs w:val="20"/>
              </w:rPr>
            </w:pPr>
          </w:p>
        </w:tc>
        <w:tc>
          <w:tcPr>
            <w:tcW w:w="8246" w:type="dxa"/>
            <w:gridSpan w:val="5"/>
            <w:tcBorders>
              <w:top w:val="single" w:sz="4" w:space="0" w:color="auto"/>
              <w:left w:val="single" w:sz="4" w:space="0" w:color="auto"/>
              <w:bottom w:val="single" w:sz="4" w:space="0" w:color="auto"/>
              <w:right w:val="single" w:sz="4" w:space="0" w:color="auto"/>
            </w:tcBorders>
            <w:vAlign w:val="center"/>
            <w:hideMark/>
          </w:tcPr>
          <w:p w14:paraId="1931589B" w14:textId="250669DA" w:rsidR="00367788" w:rsidRPr="001F281D" w:rsidRDefault="00367788">
            <w:pPr>
              <w:keepNext/>
              <w:jc w:val="center"/>
              <w:rPr>
                <w:rFonts w:ascii="Arial Narrow" w:hAnsi="Arial Narrow"/>
                <w:b/>
                <w:bCs/>
                <w:iCs/>
                <w:sz w:val="20"/>
                <w:szCs w:val="20"/>
              </w:rPr>
            </w:pPr>
            <w:r w:rsidRPr="001F281D">
              <w:rPr>
                <w:rFonts w:ascii="Arial Narrow" w:hAnsi="Arial Narrow"/>
                <w:b/>
                <w:bCs/>
                <w:iCs/>
                <w:sz w:val="20"/>
                <w:szCs w:val="20"/>
              </w:rPr>
              <w:t>New population with LDL &gt;</w:t>
            </w:r>
            <w:r w:rsidR="000364AB" w:rsidRPr="001F281D">
              <w:rPr>
                <w:rFonts w:ascii="Arial Narrow" w:hAnsi="Arial Narrow"/>
                <w:b/>
                <w:bCs/>
                <w:iCs/>
                <w:sz w:val="20"/>
                <w:szCs w:val="20"/>
              </w:rPr>
              <w:t xml:space="preserve"> </w:t>
            </w:r>
            <w:r w:rsidRPr="001F281D">
              <w:rPr>
                <w:rFonts w:ascii="Arial Narrow" w:hAnsi="Arial Narrow"/>
                <w:b/>
                <w:bCs/>
                <w:iCs/>
                <w:sz w:val="20"/>
                <w:szCs w:val="20"/>
              </w:rPr>
              <w:t>1.8 and ≤</w:t>
            </w:r>
            <w:r w:rsidR="000364AB" w:rsidRPr="001F281D">
              <w:rPr>
                <w:rFonts w:ascii="Arial Narrow" w:hAnsi="Arial Narrow"/>
                <w:b/>
                <w:bCs/>
                <w:iCs/>
                <w:sz w:val="20"/>
                <w:szCs w:val="20"/>
              </w:rPr>
              <w:t xml:space="preserve"> </w:t>
            </w:r>
            <w:r w:rsidRPr="001F281D">
              <w:rPr>
                <w:rFonts w:ascii="Arial Narrow" w:hAnsi="Arial Narrow"/>
                <w:b/>
                <w:bCs/>
                <w:iCs/>
                <w:sz w:val="20"/>
                <w:szCs w:val="20"/>
              </w:rPr>
              <w:t>2.6 mmol/L</w:t>
            </w:r>
          </w:p>
        </w:tc>
        <w:tc>
          <w:tcPr>
            <w:tcW w:w="3298" w:type="dxa"/>
            <w:gridSpan w:val="2"/>
            <w:tcBorders>
              <w:top w:val="single" w:sz="4" w:space="0" w:color="auto"/>
              <w:left w:val="single" w:sz="4" w:space="0" w:color="auto"/>
              <w:bottom w:val="single" w:sz="4" w:space="0" w:color="auto"/>
              <w:right w:val="single" w:sz="4" w:space="0" w:color="auto"/>
            </w:tcBorders>
            <w:hideMark/>
          </w:tcPr>
          <w:p w14:paraId="1520EC4E" w14:textId="77777777" w:rsidR="00367788" w:rsidRPr="001F281D" w:rsidRDefault="00367788">
            <w:pPr>
              <w:keepNext/>
              <w:jc w:val="center"/>
              <w:rPr>
                <w:rFonts w:ascii="Arial Narrow" w:hAnsi="Arial Narrow"/>
                <w:b/>
                <w:bCs/>
                <w:iCs/>
                <w:sz w:val="20"/>
                <w:szCs w:val="20"/>
              </w:rPr>
            </w:pPr>
            <w:r w:rsidRPr="001F281D">
              <w:rPr>
                <w:rFonts w:ascii="Arial Narrow" w:hAnsi="Arial Narrow"/>
                <w:b/>
                <w:bCs/>
                <w:iCs/>
                <w:sz w:val="20"/>
                <w:szCs w:val="20"/>
              </w:rPr>
              <w:t>Overall population</w:t>
            </w:r>
          </w:p>
        </w:tc>
      </w:tr>
      <w:tr w:rsidR="004C5508" w:rsidRPr="001F281D" w14:paraId="320A94E3" w14:textId="77777777" w:rsidTr="00367788">
        <w:tc>
          <w:tcPr>
            <w:tcW w:w="0" w:type="auto"/>
            <w:vMerge/>
            <w:tcBorders>
              <w:top w:val="single" w:sz="4" w:space="0" w:color="auto"/>
              <w:left w:val="single" w:sz="4" w:space="0" w:color="auto"/>
              <w:bottom w:val="single" w:sz="4" w:space="0" w:color="auto"/>
              <w:right w:val="single" w:sz="4" w:space="0" w:color="auto"/>
            </w:tcBorders>
            <w:vAlign w:val="center"/>
            <w:hideMark/>
          </w:tcPr>
          <w:p w14:paraId="0E33592E" w14:textId="77777777" w:rsidR="00367788" w:rsidRPr="001F281D" w:rsidRDefault="00367788">
            <w:pPr>
              <w:jc w:val="left"/>
              <w:rPr>
                <w:rFonts w:ascii="Arial Narrow" w:hAnsi="Arial Narrow"/>
                <w:b/>
                <w:bCs/>
                <w:iCs/>
                <w:sz w:val="20"/>
                <w:szCs w:val="20"/>
              </w:rPr>
            </w:pPr>
          </w:p>
        </w:tc>
        <w:tc>
          <w:tcPr>
            <w:tcW w:w="1650" w:type="dxa"/>
            <w:tcBorders>
              <w:top w:val="single" w:sz="4" w:space="0" w:color="auto"/>
              <w:left w:val="single" w:sz="4" w:space="0" w:color="auto"/>
              <w:bottom w:val="single" w:sz="4" w:space="0" w:color="auto"/>
              <w:right w:val="single" w:sz="4" w:space="0" w:color="auto"/>
            </w:tcBorders>
            <w:vAlign w:val="center"/>
            <w:hideMark/>
          </w:tcPr>
          <w:p w14:paraId="62F1022A" w14:textId="77777777" w:rsidR="00367788" w:rsidRPr="001F281D" w:rsidRDefault="00367788">
            <w:pPr>
              <w:keepNext/>
              <w:jc w:val="center"/>
              <w:rPr>
                <w:rFonts w:ascii="Arial Narrow" w:hAnsi="Arial Narrow"/>
                <w:b/>
                <w:bCs/>
                <w:iCs/>
                <w:sz w:val="20"/>
                <w:szCs w:val="20"/>
              </w:rPr>
            </w:pPr>
            <w:r w:rsidRPr="001F281D">
              <w:rPr>
                <w:rFonts w:ascii="Arial Narrow" w:hAnsi="Arial Narrow"/>
                <w:b/>
                <w:bCs/>
                <w:iCs/>
                <w:sz w:val="20"/>
                <w:szCs w:val="20"/>
              </w:rPr>
              <w:t>Incremental cost</w:t>
            </w:r>
          </w:p>
        </w:tc>
        <w:tc>
          <w:tcPr>
            <w:tcW w:w="1649" w:type="dxa"/>
            <w:tcBorders>
              <w:top w:val="single" w:sz="4" w:space="0" w:color="auto"/>
              <w:left w:val="single" w:sz="4" w:space="0" w:color="auto"/>
              <w:bottom w:val="single" w:sz="4" w:space="0" w:color="auto"/>
              <w:right w:val="single" w:sz="4" w:space="0" w:color="auto"/>
            </w:tcBorders>
            <w:vAlign w:val="center"/>
            <w:hideMark/>
          </w:tcPr>
          <w:p w14:paraId="52ECF7E6" w14:textId="77777777" w:rsidR="00367788" w:rsidRPr="001F281D" w:rsidRDefault="00367788">
            <w:pPr>
              <w:keepNext/>
              <w:jc w:val="center"/>
              <w:rPr>
                <w:rFonts w:ascii="Arial Narrow" w:hAnsi="Arial Narrow"/>
                <w:b/>
                <w:bCs/>
                <w:iCs/>
                <w:sz w:val="20"/>
                <w:szCs w:val="20"/>
              </w:rPr>
            </w:pPr>
            <w:r w:rsidRPr="001F281D">
              <w:rPr>
                <w:rFonts w:ascii="Arial Narrow" w:hAnsi="Arial Narrow"/>
                <w:b/>
                <w:bCs/>
                <w:iCs/>
                <w:sz w:val="20"/>
                <w:szCs w:val="20"/>
              </w:rPr>
              <w:t>Incremental QALYs</w:t>
            </w:r>
          </w:p>
        </w:tc>
        <w:tc>
          <w:tcPr>
            <w:tcW w:w="1649" w:type="dxa"/>
            <w:tcBorders>
              <w:top w:val="single" w:sz="4" w:space="0" w:color="auto"/>
              <w:left w:val="single" w:sz="4" w:space="0" w:color="auto"/>
              <w:bottom w:val="single" w:sz="4" w:space="0" w:color="auto"/>
              <w:right w:val="single" w:sz="4" w:space="0" w:color="auto"/>
            </w:tcBorders>
            <w:vAlign w:val="center"/>
            <w:hideMark/>
          </w:tcPr>
          <w:p w14:paraId="67EF08F2" w14:textId="77777777" w:rsidR="00367788" w:rsidRPr="001F281D" w:rsidRDefault="00367788">
            <w:pPr>
              <w:keepNext/>
              <w:jc w:val="center"/>
              <w:rPr>
                <w:rFonts w:ascii="Arial Narrow" w:hAnsi="Arial Narrow"/>
                <w:b/>
                <w:bCs/>
                <w:iCs/>
                <w:sz w:val="20"/>
                <w:szCs w:val="20"/>
              </w:rPr>
            </w:pPr>
            <w:r w:rsidRPr="001F281D">
              <w:rPr>
                <w:rFonts w:ascii="Arial Narrow" w:hAnsi="Arial Narrow"/>
                <w:b/>
                <w:bCs/>
                <w:iCs/>
                <w:sz w:val="20"/>
                <w:szCs w:val="20"/>
              </w:rPr>
              <w:t>ICER</w:t>
            </w:r>
          </w:p>
        </w:tc>
        <w:tc>
          <w:tcPr>
            <w:tcW w:w="1649" w:type="dxa"/>
            <w:tcBorders>
              <w:top w:val="single" w:sz="4" w:space="0" w:color="auto"/>
              <w:left w:val="single" w:sz="4" w:space="0" w:color="auto"/>
              <w:bottom w:val="single" w:sz="4" w:space="0" w:color="auto"/>
              <w:right w:val="single" w:sz="4" w:space="0" w:color="auto"/>
            </w:tcBorders>
            <w:vAlign w:val="center"/>
            <w:hideMark/>
          </w:tcPr>
          <w:p w14:paraId="58371650" w14:textId="77777777" w:rsidR="00367788" w:rsidRPr="001F281D" w:rsidRDefault="00367788">
            <w:pPr>
              <w:keepNext/>
              <w:jc w:val="center"/>
              <w:rPr>
                <w:rFonts w:ascii="Arial Narrow" w:hAnsi="Arial Narrow"/>
                <w:b/>
                <w:bCs/>
                <w:iCs/>
                <w:sz w:val="20"/>
                <w:szCs w:val="20"/>
                <w:vertAlign w:val="superscript"/>
              </w:rPr>
            </w:pPr>
            <w:r w:rsidRPr="001F281D">
              <w:rPr>
                <w:rFonts w:ascii="Arial Narrow" w:hAnsi="Arial Narrow"/>
                <w:b/>
                <w:bCs/>
                <w:iCs/>
                <w:sz w:val="20"/>
                <w:szCs w:val="20"/>
              </w:rPr>
              <w:t xml:space="preserve">Evolocumab price to achieve ICER </w:t>
            </w:r>
            <w:r w:rsidRPr="001F281D">
              <w:rPr>
                <w:rFonts w:ascii="Arial Narrow" w:hAnsi="Arial Narrow"/>
                <w:b/>
                <w:bCs/>
                <w:iCs/>
                <w:sz w:val="20"/>
                <w:szCs w:val="20"/>
                <w:vertAlign w:val="superscript"/>
              </w:rPr>
              <w:t>a</w:t>
            </w:r>
          </w:p>
        </w:tc>
        <w:tc>
          <w:tcPr>
            <w:tcW w:w="1649" w:type="dxa"/>
            <w:tcBorders>
              <w:top w:val="single" w:sz="4" w:space="0" w:color="auto"/>
              <w:left w:val="single" w:sz="4" w:space="0" w:color="auto"/>
              <w:bottom w:val="single" w:sz="4" w:space="0" w:color="auto"/>
              <w:right w:val="single" w:sz="4" w:space="0" w:color="auto"/>
            </w:tcBorders>
            <w:vAlign w:val="center"/>
            <w:hideMark/>
          </w:tcPr>
          <w:p w14:paraId="545FD234" w14:textId="77777777" w:rsidR="00367788" w:rsidRPr="001F281D" w:rsidRDefault="00367788">
            <w:pPr>
              <w:keepNext/>
              <w:jc w:val="center"/>
              <w:rPr>
                <w:rFonts w:ascii="Arial Narrow" w:hAnsi="Arial Narrow"/>
                <w:b/>
                <w:bCs/>
                <w:iCs/>
                <w:sz w:val="20"/>
                <w:szCs w:val="20"/>
                <w:vertAlign w:val="superscript"/>
              </w:rPr>
            </w:pPr>
            <w:r w:rsidRPr="001F281D">
              <w:rPr>
                <w:rFonts w:ascii="Arial Narrow" w:hAnsi="Arial Narrow"/>
                <w:b/>
                <w:bCs/>
                <w:iCs/>
                <w:sz w:val="20"/>
                <w:szCs w:val="20"/>
              </w:rPr>
              <w:t xml:space="preserve">Rebate on published DMPQ </w:t>
            </w:r>
            <w:r w:rsidRPr="001F281D">
              <w:rPr>
                <w:rFonts w:ascii="Arial Narrow" w:hAnsi="Arial Narrow"/>
                <w:b/>
                <w:bCs/>
                <w:iCs/>
                <w:sz w:val="20"/>
                <w:szCs w:val="20"/>
                <w:vertAlign w:val="superscript"/>
              </w:rPr>
              <w:t>b</w:t>
            </w:r>
          </w:p>
        </w:tc>
        <w:tc>
          <w:tcPr>
            <w:tcW w:w="1649" w:type="dxa"/>
            <w:tcBorders>
              <w:top w:val="single" w:sz="4" w:space="0" w:color="auto"/>
              <w:left w:val="single" w:sz="4" w:space="0" w:color="auto"/>
              <w:bottom w:val="single" w:sz="4" w:space="0" w:color="auto"/>
              <w:right w:val="single" w:sz="4" w:space="0" w:color="auto"/>
            </w:tcBorders>
            <w:vAlign w:val="center"/>
            <w:hideMark/>
          </w:tcPr>
          <w:p w14:paraId="7B0FF83E" w14:textId="77777777" w:rsidR="00367788" w:rsidRPr="001F281D" w:rsidRDefault="00367788">
            <w:pPr>
              <w:keepNext/>
              <w:jc w:val="center"/>
              <w:rPr>
                <w:rFonts w:ascii="Arial Narrow" w:hAnsi="Arial Narrow"/>
                <w:b/>
                <w:bCs/>
                <w:iCs/>
                <w:sz w:val="20"/>
                <w:szCs w:val="20"/>
                <w:vertAlign w:val="superscript"/>
              </w:rPr>
            </w:pPr>
            <w:r w:rsidRPr="001F281D">
              <w:rPr>
                <w:rFonts w:ascii="Arial Narrow" w:hAnsi="Arial Narrow"/>
                <w:b/>
                <w:bCs/>
                <w:iCs/>
                <w:sz w:val="20"/>
                <w:szCs w:val="20"/>
              </w:rPr>
              <w:t xml:space="preserve">Weighted rebate </w:t>
            </w:r>
            <w:r w:rsidRPr="001F281D">
              <w:rPr>
                <w:rFonts w:ascii="Arial Narrow" w:hAnsi="Arial Narrow"/>
                <w:b/>
                <w:bCs/>
                <w:iCs/>
                <w:sz w:val="20"/>
                <w:szCs w:val="20"/>
                <w:vertAlign w:val="superscript"/>
              </w:rPr>
              <w:t>c</w:t>
            </w:r>
          </w:p>
        </w:tc>
        <w:tc>
          <w:tcPr>
            <w:tcW w:w="1649" w:type="dxa"/>
            <w:tcBorders>
              <w:top w:val="single" w:sz="4" w:space="0" w:color="auto"/>
              <w:left w:val="single" w:sz="4" w:space="0" w:color="auto"/>
              <w:bottom w:val="single" w:sz="4" w:space="0" w:color="auto"/>
              <w:right w:val="single" w:sz="4" w:space="0" w:color="auto"/>
            </w:tcBorders>
            <w:vAlign w:val="center"/>
            <w:hideMark/>
          </w:tcPr>
          <w:p w14:paraId="2EB35D2F" w14:textId="77777777" w:rsidR="00367788" w:rsidRPr="001F281D" w:rsidRDefault="00367788">
            <w:pPr>
              <w:keepNext/>
              <w:jc w:val="center"/>
              <w:rPr>
                <w:rFonts w:ascii="Arial Narrow" w:hAnsi="Arial Narrow"/>
                <w:b/>
                <w:bCs/>
                <w:iCs/>
                <w:sz w:val="20"/>
                <w:szCs w:val="20"/>
              </w:rPr>
            </w:pPr>
            <w:r w:rsidRPr="001F281D">
              <w:rPr>
                <w:rFonts w:ascii="Arial Narrow" w:hAnsi="Arial Narrow"/>
                <w:b/>
                <w:bCs/>
                <w:iCs/>
                <w:sz w:val="20"/>
                <w:szCs w:val="20"/>
              </w:rPr>
              <w:t>Weighted average effective DPMQ</w:t>
            </w:r>
          </w:p>
        </w:tc>
      </w:tr>
      <w:tr w:rsidR="004C5508" w:rsidRPr="001F281D" w14:paraId="7654B41E" w14:textId="77777777" w:rsidTr="00367788">
        <w:tc>
          <w:tcPr>
            <w:tcW w:w="13950" w:type="dxa"/>
            <w:gridSpan w:val="8"/>
            <w:tcBorders>
              <w:top w:val="single" w:sz="4" w:space="0" w:color="auto"/>
              <w:left w:val="single" w:sz="4" w:space="0" w:color="auto"/>
              <w:bottom w:val="single" w:sz="4" w:space="0" w:color="auto"/>
              <w:right w:val="single" w:sz="4" w:space="0" w:color="auto"/>
            </w:tcBorders>
            <w:hideMark/>
          </w:tcPr>
          <w:p w14:paraId="5AFEA6E0" w14:textId="77777777" w:rsidR="00367788" w:rsidRPr="001F281D" w:rsidRDefault="00367788">
            <w:pPr>
              <w:keepNext/>
              <w:jc w:val="left"/>
              <w:rPr>
                <w:rFonts w:ascii="Arial Narrow" w:hAnsi="Arial Narrow"/>
                <w:b/>
                <w:bCs/>
                <w:iCs/>
                <w:sz w:val="20"/>
                <w:szCs w:val="20"/>
              </w:rPr>
            </w:pPr>
            <w:r w:rsidRPr="001F281D">
              <w:rPr>
                <w:rFonts w:ascii="Arial Narrow" w:hAnsi="Arial Narrow"/>
                <w:b/>
                <w:bCs/>
                <w:iCs/>
                <w:sz w:val="20"/>
                <w:szCs w:val="20"/>
              </w:rPr>
              <w:t>Average LDL-C: 2.325 mmol/L</w:t>
            </w:r>
          </w:p>
        </w:tc>
      </w:tr>
      <w:tr w:rsidR="004C5508" w:rsidRPr="001F281D" w14:paraId="6D98DD28" w14:textId="77777777" w:rsidTr="00367788">
        <w:tc>
          <w:tcPr>
            <w:tcW w:w="2406" w:type="dxa"/>
            <w:tcBorders>
              <w:top w:val="single" w:sz="4" w:space="0" w:color="auto"/>
              <w:left w:val="single" w:sz="4" w:space="0" w:color="auto"/>
              <w:bottom w:val="single" w:sz="4" w:space="0" w:color="auto"/>
              <w:right w:val="single" w:sz="4" w:space="0" w:color="auto"/>
            </w:tcBorders>
            <w:hideMark/>
          </w:tcPr>
          <w:p w14:paraId="436C73A4" w14:textId="7A366D86" w:rsidR="00367788" w:rsidRPr="001F281D" w:rsidRDefault="00367788">
            <w:pPr>
              <w:keepNext/>
              <w:jc w:val="left"/>
              <w:rPr>
                <w:rFonts w:ascii="Arial Narrow" w:hAnsi="Arial Narrow"/>
                <w:iCs/>
                <w:sz w:val="20"/>
                <w:szCs w:val="20"/>
              </w:rPr>
            </w:pPr>
            <w:r w:rsidRPr="001F281D">
              <w:rPr>
                <w:rFonts w:ascii="Arial Narrow" w:hAnsi="Arial Narrow"/>
                <w:iCs/>
                <w:sz w:val="20"/>
                <w:szCs w:val="20"/>
              </w:rPr>
              <w:t>Base case: price based on $</w:t>
            </w:r>
            <w:r w:rsidR="00D05F5F">
              <w:rPr>
                <w:rFonts w:ascii="Arial Narrow" w:hAnsi="Arial Narrow"/>
                <w:iCs/>
                <w:sz w:val="20"/>
                <w:szCs w:val="20"/>
              </w:rPr>
              <w:t xml:space="preserve">25,000 </w:t>
            </w:r>
            <w:r w:rsidR="00DF54A9">
              <w:rPr>
                <w:rFonts w:ascii="Arial Narrow" w:hAnsi="Arial Narrow"/>
                <w:iCs/>
                <w:sz w:val="20"/>
                <w:szCs w:val="20"/>
              </w:rPr>
              <w:t xml:space="preserve">to </w:t>
            </w:r>
            <w:r w:rsidR="00DF54A9">
              <w:rPr>
                <w:rFonts w:ascii="Arial Narrow" w:hAnsi="Arial Narrow"/>
                <w:iCs/>
                <w:sz w:val="20"/>
                <w:szCs w:val="20"/>
              </w:rPr>
              <w:br/>
            </w:r>
            <w:r w:rsidR="00DF54A9" w:rsidRPr="00DF54A9">
              <w:rPr>
                <w:rFonts w:ascii="Arial Narrow" w:hAnsi="Arial Narrow"/>
                <w:iCs/>
                <w:sz w:val="20"/>
                <w:szCs w:val="20"/>
              </w:rPr>
              <w:t>&lt;</w:t>
            </w:r>
            <w:r w:rsidR="00D05F5F">
              <w:rPr>
                <w:rFonts w:ascii="Arial Narrow" w:hAnsi="Arial Narrow"/>
                <w:iCs/>
                <w:sz w:val="20"/>
                <w:szCs w:val="20"/>
              </w:rPr>
              <w:t xml:space="preserve"> </w:t>
            </w:r>
            <w:r w:rsidR="00DF54A9">
              <w:rPr>
                <w:rFonts w:ascii="Arial Narrow" w:hAnsi="Arial Narrow"/>
                <w:iCs/>
                <w:sz w:val="20"/>
                <w:szCs w:val="20"/>
              </w:rPr>
              <w:t>$</w:t>
            </w:r>
            <w:r w:rsidR="00D05F5F">
              <w:rPr>
                <w:rFonts w:ascii="Arial Narrow" w:hAnsi="Arial Narrow"/>
                <w:iCs/>
                <w:sz w:val="20"/>
                <w:szCs w:val="20"/>
              </w:rPr>
              <w:t>35</w:t>
            </w:r>
            <w:r w:rsidRPr="001F281D">
              <w:rPr>
                <w:rFonts w:ascii="Arial Narrow" w:hAnsi="Arial Narrow"/>
                <w:iCs/>
                <w:sz w:val="20"/>
                <w:szCs w:val="20"/>
              </w:rPr>
              <w:t>,000/QALY gained threshold</w:t>
            </w:r>
          </w:p>
        </w:tc>
        <w:tc>
          <w:tcPr>
            <w:tcW w:w="1650" w:type="dxa"/>
            <w:tcBorders>
              <w:top w:val="single" w:sz="4" w:space="0" w:color="auto"/>
              <w:left w:val="single" w:sz="4" w:space="0" w:color="auto"/>
              <w:bottom w:val="single" w:sz="4" w:space="0" w:color="auto"/>
              <w:right w:val="single" w:sz="4" w:space="0" w:color="auto"/>
            </w:tcBorders>
            <w:vAlign w:val="center"/>
            <w:hideMark/>
          </w:tcPr>
          <w:p w14:paraId="329D43A1" w14:textId="65BAACB6" w:rsidR="00367788" w:rsidRPr="001F281D" w:rsidRDefault="00367788">
            <w:pPr>
              <w:keepNext/>
              <w:jc w:val="center"/>
              <w:rPr>
                <w:rFonts w:ascii="Arial Narrow" w:hAnsi="Arial Narrow"/>
                <w:iCs/>
                <w:sz w:val="20"/>
                <w:szCs w:val="20"/>
              </w:rPr>
            </w:pPr>
            <w:r w:rsidRPr="001F281D">
              <w:rPr>
                <w:rFonts w:ascii="Arial Narrow" w:hAnsi="Arial Narrow"/>
                <w:iCs/>
                <w:sz w:val="20"/>
                <w:szCs w:val="20"/>
              </w:rPr>
              <w:t>$</w:t>
            </w:r>
            <w:r w:rsidR="00650CB8" w:rsidRPr="00650CB8">
              <w:rPr>
                <w:rFonts w:ascii="Arial Narrow" w:hAnsi="Arial Narrow"/>
                <w:iCs/>
                <w:color w:val="000000"/>
                <w:spacing w:val="56"/>
                <w:sz w:val="20"/>
                <w:szCs w:val="20"/>
                <w:shd w:val="solid" w:color="000000" w:fill="000000"/>
                <w:fitText w:val="340" w:id="-1435748595"/>
                <w14:textFill>
                  <w14:solidFill>
                    <w14:srgbClr w14:val="000000">
                      <w14:alpha w14:val="100000"/>
                    </w14:srgbClr>
                  </w14:solidFill>
                </w14:textFill>
              </w:rPr>
              <w:t>|||</w:t>
            </w:r>
            <w:r w:rsidR="00650CB8" w:rsidRPr="00650CB8">
              <w:rPr>
                <w:rFonts w:ascii="Arial Narrow" w:hAnsi="Arial Narrow"/>
                <w:iCs/>
                <w:color w:val="000000"/>
                <w:spacing w:val="2"/>
                <w:sz w:val="20"/>
                <w:szCs w:val="20"/>
                <w:shd w:val="solid" w:color="000000" w:fill="000000"/>
                <w:fitText w:val="340" w:id="-1435748595"/>
                <w14:textFill>
                  <w14:solidFill>
                    <w14:srgbClr w14:val="000000">
                      <w14:alpha w14:val="100000"/>
                    </w14:srgbClr>
                  </w14:solidFill>
                </w14:textFill>
              </w:rPr>
              <w:t>|</w:t>
            </w:r>
          </w:p>
        </w:tc>
        <w:tc>
          <w:tcPr>
            <w:tcW w:w="1649" w:type="dxa"/>
            <w:tcBorders>
              <w:top w:val="single" w:sz="4" w:space="0" w:color="auto"/>
              <w:left w:val="single" w:sz="4" w:space="0" w:color="auto"/>
              <w:bottom w:val="single" w:sz="4" w:space="0" w:color="auto"/>
              <w:right w:val="single" w:sz="4" w:space="0" w:color="auto"/>
            </w:tcBorders>
            <w:vAlign w:val="center"/>
            <w:hideMark/>
          </w:tcPr>
          <w:p w14:paraId="5638444A" w14:textId="77777777" w:rsidR="00367788" w:rsidRPr="001F281D" w:rsidRDefault="00367788">
            <w:pPr>
              <w:keepNext/>
              <w:jc w:val="center"/>
              <w:rPr>
                <w:rFonts w:ascii="Arial Narrow" w:hAnsi="Arial Narrow"/>
                <w:iCs/>
                <w:sz w:val="20"/>
                <w:szCs w:val="20"/>
              </w:rPr>
            </w:pPr>
            <w:r w:rsidRPr="001F281D">
              <w:rPr>
                <w:rFonts w:ascii="Arial Narrow" w:hAnsi="Arial Narrow"/>
                <w:iCs/>
                <w:sz w:val="20"/>
                <w:szCs w:val="20"/>
              </w:rPr>
              <w:t>0.2957</w:t>
            </w:r>
          </w:p>
        </w:tc>
        <w:tc>
          <w:tcPr>
            <w:tcW w:w="1649" w:type="dxa"/>
            <w:tcBorders>
              <w:top w:val="single" w:sz="4" w:space="0" w:color="auto"/>
              <w:left w:val="single" w:sz="4" w:space="0" w:color="auto"/>
              <w:bottom w:val="single" w:sz="4" w:space="0" w:color="auto"/>
              <w:right w:val="single" w:sz="4" w:space="0" w:color="auto"/>
            </w:tcBorders>
            <w:vAlign w:val="center"/>
            <w:hideMark/>
          </w:tcPr>
          <w:p w14:paraId="47A0ABB1" w14:textId="2EE7AC7B" w:rsidR="00367788" w:rsidRPr="00E968BB" w:rsidRDefault="00367788">
            <w:pPr>
              <w:keepNext/>
              <w:jc w:val="center"/>
              <w:rPr>
                <w:rFonts w:ascii="Arial Narrow" w:hAnsi="Arial Narrow"/>
                <w:iCs/>
                <w:sz w:val="20"/>
                <w:szCs w:val="20"/>
                <w:vertAlign w:val="superscript"/>
              </w:rPr>
            </w:pPr>
            <w:r w:rsidRPr="001F281D">
              <w:rPr>
                <w:rFonts w:ascii="Arial Narrow" w:hAnsi="Arial Narrow"/>
                <w:iCs/>
                <w:sz w:val="20"/>
                <w:szCs w:val="20"/>
              </w:rPr>
              <w:t>$</w:t>
            </w:r>
            <w:r w:rsidR="00650CB8" w:rsidRPr="00650CB8">
              <w:rPr>
                <w:rFonts w:ascii="Arial Narrow" w:hAnsi="Arial Narrow"/>
                <w:iCs/>
                <w:color w:val="000000"/>
                <w:spacing w:val="79"/>
                <w:sz w:val="20"/>
                <w:szCs w:val="20"/>
                <w:shd w:val="solid" w:color="000000" w:fill="000000"/>
                <w:fitText w:val="410" w:id="-1435748594"/>
                <w14:textFill>
                  <w14:solidFill>
                    <w14:srgbClr w14:val="000000">
                      <w14:alpha w14:val="100000"/>
                    </w14:srgbClr>
                  </w14:solidFill>
                </w14:textFill>
              </w:rPr>
              <w:t>|||</w:t>
            </w:r>
            <w:r w:rsidR="00650CB8" w:rsidRPr="00650CB8">
              <w:rPr>
                <w:rFonts w:ascii="Arial Narrow" w:hAnsi="Arial Narrow"/>
                <w:iCs/>
                <w:color w:val="000000"/>
                <w:spacing w:val="3"/>
                <w:sz w:val="20"/>
                <w:szCs w:val="20"/>
                <w:shd w:val="solid" w:color="000000" w:fill="000000"/>
                <w:fitText w:val="410" w:id="-1435748594"/>
                <w14:textFill>
                  <w14:solidFill>
                    <w14:srgbClr w14:val="000000">
                      <w14:alpha w14:val="100000"/>
                    </w14:srgbClr>
                  </w14:solidFill>
                </w14:textFill>
              </w:rPr>
              <w:t>|</w:t>
            </w:r>
            <w:r w:rsidR="00E968BB">
              <w:rPr>
                <w:rFonts w:ascii="Arial Narrow" w:hAnsi="Arial Narrow"/>
                <w:iCs/>
                <w:sz w:val="20"/>
                <w:szCs w:val="20"/>
                <w:vertAlign w:val="superscript"/>
              </w:rPr>
              <w:t>1</w:t>
            </w:r>
          </w:p>
        </w:tc>
        <w:tc>
          <w:tcPr>
            <w:tcW w:w="1649" w:type="dxa"/>
            <w:tcBorders>
              <w:top w:val="single" w:sz="4" w:space="0" w:color="auto"/>
              <w:left w:val="single" w:sz="4" w:space="0" w:color="auto"/>
              <w:bottom w:val="single" w:sz="4" w:space="0" w:color="auto"/>
              <w:right w:val="single" w:sz="4" w:space="0" w:color="auto"/>
            </w:tcBorders>
            <w:vAlign w:val="center"/>
            <w:hideMark/>
          </w:tcPr>
          <w:p w14:paraId="79E772D9" w14:textId="1FC6167B" w:rsidR="00367788" w:rsidRPr="001F281D" w:rsidRDefault="00367788">
            <w:pPr>
              <w:keepNext/>
              <w:jc w:val="center"/>
              <w:rPr>
                <w:rFonts w:ascii="Arial Narrow" w:hAnsi="Arial Narrow"/>
                <w:iCs/>
                <w:sz w:val="20"/>
                <w:szCs w:val="20"/>
              </w:rPr>
            </w:pPr>
            <w:r w:rsidRPr="001F281D">
              <w:rPr>
                <w:rFonts w:ascii="Arial Narrow" w:hAnsi="Arial Narrow"/>
                <w:iCs/>
                <w:sz w:val="20"/>
                <w:szCs w:val="20"/>
              </w:rPr>
              <w:t>$</w:t>
            </w:r>
            <w:r w:rsidR="00650CB8" w:rsidRPr="00650CB8">
              <w:rPr>
                <w:rFonts w:ascii="Arial Narrow" w:hAnsi="Arial Narrow"/>
                <w:iCs/>
                <w:color w:val="000000"/>
                <w:spacing w:val="49"/>
                <w:sz w:val="20"/>
                <w:szCs w:val="20"/>
                <w:shd w:val="solid" w:color="000000" w:fill="000000"/>
                <w:fitText w:val="320" w:id="-1435748593"/>
                <w14:textFill>
                  <w14:solidFill>
                    <w14:srgbClr w14:val="000000">
                      <w14:alpha w14:val="100000"/>
                    </w14:srgbClr>
                  </w14:solidFill>
                </w14:textFill>
              </w:rPr>
              <w:t>|||</w:t>
            </w:r>
            <w:r w:rsidR="00650CB8" w:rsidRPr="00650CB8">
              <w:rPr>
                <w:rFonts w:ascii="Arial Narrow" w:hAnsi="Arial Narrow"/>
                <w:iCs/>
                <w:color w:val="000000"/>
                <w:spacing w:val="3"/>
                <w:sz w:val="20"/>
                <w:szCs w:val="20"/>
                <w:shd w:val="solid" w:color="000000" w:fill="000000"/>
                <w:fitText w:val="320" w:id="-1435748593"/>
                <w14:textFill>
                  <w14:solidFill>
                    <w14:srgbClr w14:val="000000">
                      <w14:alpha w14:val="100000"/>
                    </w14:srgbClr>
                  </w14:solidFill>
                </w14:textFill>
              </w:rPr>
              <w:t>|</w:t>
            </w:r>
          </w:p>
        </w:tc>
        <w:tc>
          <w:tcPr>
            <w:tcW w:w="1649" w:type="dxa"/>
            <w:tcBorders>
              <w:top w:val="single" w:sz="4" w:space="0" w:color="auto"/>
              <w:left w:val="single" w:sz="4" w:space="0" w:color="auto"/>
              <w:bottom w:val="single" w:sz="4" w:space="0" w:color="auto"/>
              <w:right w:val="single" w:sz="4" w:space="0" w:color="auto"/>
            </w:tcBorders>
            <w:vAlign w:val="center"/>
            <w:hideMark/>
          </w:tcPr>
          <w:p w14:paraId="3F2DEEF6" w14:textId="69262768" w:rsidR="00367788" w:rsidRPr="001F281D" w:rsidRDefault="00650CB8">
            <w:pPr>
              <w:keepNext/>
              <w:jc w:val="center"/>
              <w:rPr>
                <w:rFonts w:ascii="Arial Narrow" w:hAnsi="Arial Narrow"/>
                <w:iCs/>
                <w:sz w:val="20"/>
                <w:szCs w:val="20"/>
              </w:rPr>
            </w:pPr>
            <w:r w:rsidRPr="00650CB8">
              <w:rPr>
                <w:rFonts w:ascii="Arial Narrow" w:hAnsi="Arial Narrow"/>
                <w:iCs/>
                <w:color w:val="000000"/>
                <w:spacing w:val="79"/>
                <w:sz w:val="20"/>
                <w:szCs w:val="20"/>
                <w:shd w:val="solid" w:color="000000" w:fill="000000"/>
                <w:fitText w:val="410" w:id="-1435748592"/>
                <w14:textFill>
                  <w14:solidFill>
                    <w14:srgbClr w14:val="000000">
                      <w14:alpha w14:val="100000"/>
                    </w14:srgbClr>
                  </w14:solidFill>
                </w14:textFill>
              </w:rPr>
              <w:t>|||</w:t>
            </w:r>
            <w:r w:rsidRPr="00650CB8">
              <w:rPr>
                <w:rFonts w:ascii="Arial Narrow" w:hAnsi="Arial Narrow"/>
                <w:iCs/>
                <w:color w:val="000000"/>
                <w:spacing w:val="3"/>
                <w:sz w:val="20"/>
                <w:szCs w:val="20"/>
                <w:shd w:val="solid" w:color="000000" w:fill="000000"/>
                <w:fitText w:val="410" w:id="-1435748592"/>
                <w14:textFill>
                  <w14:solidFill>
                    <w14:srgbClr w14:val="000000">
                      <w14:alpha w14:val="100000"/>
                    </w14:srgbClr>
                  </w14:solidFill>
                </w14:textFill>
              </w:rPr>
              <w:t>|</w:t>
            </w:r>
            <w:r w:rsidR="00367788" w:rsidRPr="001F281D">
              <w:rPr>
                <w:rFonts w:ascii="Arial Narrow" w:hAnsi="Arial Narrow"/>
                <w:iCs/>
                <w:sz w:val="20"/>
                <w:szCs w:val="20"/>
              </w:rPr>
              <w:t>%</w:t>
            </w:r>
          </w:p>
        </w:tc>
        <w:tc>
          <w:tcPr>
            <w:tcW w:w="1649" w:type="dxa"/>
            <w:tcBorders>
              <w:top w:val="single" w:sz="4" w:space="0" w:color="auto"/>
              <w:left w:val="single" w:sz="4" w:space="0" w:color="auto"/>
              <w:bottom w:val="single" w:sz="4" w:space="0" w:color="auto"/>
              <w:right w:val="single" w:sz="4" w:space="0" w:color="auto"/>
            </w:tcBorders>
            <w:vAlign w:val="center"/>
            <w:hideMark/>
          </w:tcPr>
          <w:p w14:paraId="60351E38" w14:textId="0422A8EB" w:rsidR="00367788" w:rsidRPr="001F281D" w:rsidRDefault="00650CB8">
            <w:pPr>
              <w:keepNext/>
              <w:jc w:val="center"/>
              <w:rPr>
                <w:rFonts w:ascii="Arial Narrow" w:hAnsi="Arial Narrow"/>
                <w:iCs/>
                <w:sz w:val="20"/>
                <w:szCs w:val="20"/>
              </w:rPr>
            </w:pPr>
            <w:r w:rsidRPr="00650CB8">
              <w:rPr>
                <w:rFonts w:ascii="Arial Narrow" w:hAnsi="Arial Narrow"/>
                <w:iCs/>
                <w:color w:val="000000"/>
                <w:spacing w:val="79"/>
                <w:sz w:val="20"/>
                <w:szCs w:val="20"/>
                <w:shd w:val="solid" w:color="000000" w:fill="000000"/>
                <w:fitText w:val="410" w:id="-1435748608"/>
                <w14:textFill>
                  <w14:solidFill>
                    <w14:srgbClr w14:val="000000">
                      <w14:alpha w14:val="100000"/>
                    </w14:srgbClr>
                  </w14:solidFill>
                </w14:textFill>
              </w:rPr>
              <w:t>|||</w:t>
            </w:r>
            <w:r w:rsidRPr="00650CB8">
              <w:rPr>
                <w:rFonts w:ascii="Arial Narrow" w:hAnsi="Arial Narrow"/>
                <w:iCs/>
                <w:color w:val="000000"/>
                <w:spacing w:val="3"/>
                <w:sz w:val="20"/>
                <w:szCs w:val="20"/>
                <w:shd w:val="solid" w:color="000000" w:fill="000000"/>
                <w:fitText w:val="410" w:id="-1435748608"/>
                <w14:textFill>
                  <w14:solidFill>
                    <w14:srgbClr w14:val="000000">
                      <w14:alpha w14:val="100000"/>
                    </w14:srgbClr>
                  </w14:solidFill>
                </w14:textFill>
              </w:rPr>
              <w:t>|</w:t>
            </w:r>
            <w:r w:rsidR="00367788" w:rsidRPr="001F281D">
              <w:rPr>
                <w:rFonts w:ascii="Arial Narrow" w:hAnsi="Arial Narrow"/>
                <w:iCs/>
                <w:sz w:val="20"/>
                <w:szCs w:val="20"/>
              </w:rPr>
              <w:t>%</w:t>
            </w:r>
          </w:p>
        </w:tc>
        <w:tc>
          <w:tcPr>
            <w:tcW w:w="1649" w:type="dxa"/>
            <w:tcBorders>
              <w:top w:val="single" w:sz="4" w:space="0" w:color="auto"/>
              <w:left w:val="single" w:sz="4" w:space="0" w:color="auto"/>
              <w:bottom w:val="single" w:sz="4" w:space="0" w:color="auto"/>
              <w:right w:val="single" w:sz="4" w:space="0" w:color="auto"/>
            </w:tcBorders>
            <w:vAlign w:val="center"/>
            <w:hideMark/>
          </w:tcPr>
          <w:p w14:paraId="70D535CA" w14:textId="0D393B4A" w:rsidR="00367788" w:rsidRPr="001F281D" w:rsidRDefault="00367788">
            <w:pPr>
              <w:keepNext/>
              <w:jc w:val="center"/>
              <w:rPr>
                <w:rFonts w:ascii="Arial Narrow" w:hAnsi="Arial Narrow"/>
                <w:iCs/>
                <w:sz w:val="20"/>
                <w:szCs w:val="20"/>
              </w:rPr>
            </w:pPr>
            <w:r w:rsidRPr="001F281D">
              <w:rPr>
                <w:rFonts w:ascii="Arial Narrow" w:hAnsi="Arial Narrow"/>
                <w:iCs/>
                <w:sz w:val="20"/>
                <w:szCs w:val="20"/>
              </w:rPr>
              <w:t>140 mg: $</w:t>
            </w:r>
            <w:r w:rsidR="00650CB8" w:rsidRPr="00650CB8">
              <w:rPr>
                <w:rFonts w:ascii="Arial Narrow" w:hAnsi="Arial Narrow"/>
                <w:iCs/>
                <w:color w:val="000000"/>
                <w:spacing w:val="76"/>
                <w:sz w:val="20"/>
                <w:szCs w:val="20"/>
                <w:shd w:val="solid" w:color="000000" w:fill="000000"/>
                <w:fitText w:val="400" w:id="-1435748607"/>
                <w14:textFill>
                  <w14:solidFill>
                    <w14:srgbClr w14:val="000000">
                      <w14:alpha w14:val="100000"/>
                    </w14:srgbClr>
                  </w14:solidFill>
                </w14:textFill>
              </w:rPr>
              <w:t>|||</w:t>
            </w:r>
            <w:r w:rsidR="00650CB8" w:rsidRPr="00650CB8">
              <w:rPr>
                <w:rFonts w:ascii="Arial Narrow" w:hAnsi="Arial Narrow"/>
                <w:iCs/>
                <w:color w:val="000000"/>
                <w:spacing w:val="2"/>
                <w:sz w:val="20"/>
                <w:szCs w:val="20"/>
                <w:shd w:val="solid" w:color="000000" w:fill="000000"/>
                <w:fitText w:val="400" w:id="-1435748607"/>
                <w14:textFill>
                  <w14:solidFill>
                    <w14:srgbClr w14:val="000000">
                      <w14:alpha w14:val="100000"/>
                    </w14:srgbClr>
                  </w14:solidFill>
                </w14:textFill>
              </w:rPr>
              <w:t>|</w:t>
            </w:r>
          </w:p>
          <w:p w14:paraId="3E7D725B" w14:textId="17F37CC5" w:rsidR="00367788" w:rsidRPr="001F281D" w:rsidRDefault="00367788">
            <w:pPr>
              <w:keepNext/>
              <w:jc w:val="center"/>
              <w:rPr>
                <w:rFonts w:ascii="Arial Narrow" w:hAnsi="Arial Narrow"/>
                <w:iCs/>
                <w:sz w:val="20"/>
                <w:szCs w:val="20"/>
              </w:rPr>
            </w:pPr>
            <w:r w:rsidRPr="001F281D">
              <w:rPr>
                <w:rFonts w:ascii="Arial Narrow" w:hAnsi="Arial Narrow"/>
                <w:iCs/>
                <w:sz w:val="20"/>
                <w:szCs w:val="20"/>
              </w:rPr>
              <w:t>420 mg: $</w:t>
            </w:r>
            <w:r w:rsidR="00650CB8" w:rsidRPr="00650CB8">
              <w:rPr>
                <w:rFonts w:ascii="Arial Narrow" w:hAnsi="Arial Narrow"/>
                <w:iCs/>
                <w:color w:val="000000"/>
                <w:spacing w:val="76"/>
                <w:sz w:val="20"/>
                <w:szCs w:val="20"/>
                <w:shd w:val="solid" w:color="000000" w:fill="000000"/>
                <w:fitText w:val="400" w:id="-1435748606"/>
                <w14:textFill>
                  <w14:solidFill>
                    <w14:srgbClr w14:val="000000">
                      <w14:alpha w14:val="100000"/>
                    </w14:srgbClr>
                  </w14:solidFill>
                </w14:textFill>
              </w:rPr>
              <w:t>|||</w:t>
            </w:r>
            <w:r w:rsidR="00650CB8" w:rsidRPr="00650CB8">
              <w:rPr>
                <w:rFonts w:ascii="Arial Narrow" w:hAnsi="Arial Narrow"/>
                <w:iCs/>
                <w:color w:val="000000"/>
                <w:spacing w:val="2"/>
                <w:sz w:val="20"/>
                <w:szCs w:val="20"/>
                <w:shd w:val="solid" w:color="000000" w:fill="000000"/>
                <w:fitText w:val="400" w:id="-1435748606"/>
                <w14:textFill>
                  <w14:solidFill>
                    <w14:srgbClr w14:val="000000">
                      <w14:alpha w14:val="100000"/>
                    </w14:srgbClr>
                  </w14:solidFill>
                </w14:textFill>
              </w:rPr>
              <w:t>|</w:t>
            </w:r>
          </w:p>
        </w:tc>
      </w:tr>
      <w:tr w:rsidR="004C5508" w:rsidRPr="001F281D" w14:paraId="0E031E61" w14:textId="77777777" w:rsidTr="00367788">
        <w:tc>
          <w:tcPr>
            <w:tcW w:w="2406" w:type="dxa"/>
            <w:tcBorders>
              <w:top w:val="single" w:sz="4" w:space="0" w:color="auto"/>
              <w:left w:val="single" w:sz="4" w:space="0" w:color="auto"/>
              <w:bottom w:val="single" w:sz="4" w:space="0" w:color="auto"/>
              <w:right w:val="single" w:sz="4" w:space="0" w:color="auto"/>
            </w:tcBorders>
            <w:hideMark/>
          </w:tcPr>
          <w:p w14:paraId="1C69280B" w14:textId="1514B6E0" w:rsidR="00367788" w:rsidRPr="001F281D" w:rsidRDefault="00367788">
            <w:pPr>
              <w:keepNext/>
              <w:jc w:val="left"/>
              <w:rPr>
                <w:rFonts w:ascii="Arial Narrow" w:hAnsi="Arial Narrow"/>
                <w:iCs/>
                <w:sz w:val="20"/>
                <w:szCs w:val="20"/>
              </w:rPr>
            </w:pPr>
            <w:r w:rsidRPr="001F281D">
              <w:rPr>
                <w:rFonts w:ascii="Arial Narrow" w:hAnsi="Arial Narrow"/>
                <w:iCs/>
                <w:sz w:val="20"/>
                <w:szCs w:val="20"/>
              </w:rPr>
              <w:t>Price based on $25,000</w:t>
            </w:r>
            <w:r w:rsidR="00DF54A9">
              <w:rPr>
                <w:rFonts w:ascii="Arial Narrow" w:hAnsi="Arial Narrow"/>
                <w:iCs/>
                <w:sz w:val="20"/>
                <w:szCs w:val="20"/>
              </w:rPr>
              <w:t xml:space="preserve"> to </w:t>
            </w:r>
            <w:r w:rsidR="00DF54A9" w:rsidRPr="00DF54A9">
              <w:rPr>
                <w:rFonts w:ascii="Arial Narrow" w:hAnsi="Arial Narrow"/>
                <w:iCs/>
                <w:sz w:val="20"/>
                <w:szCs w:val="20"/>
              </w:rPr>
              <w:t>&lt;</w:t>
            </w:r>
            <w:r w:rsidR="00DF54A9">
              <w:rPr>
                <w:rFonts w:ascii="Arial Narrow" w:hAnsi="Arial Narrow"/>
                <w:iCs/>
                <w:sz w:val="20"/>
                <w:szCs w:val="20"/>
              </w:rPr>
              <w:t xml:space="preserve"> </w:t>
            </w:r>
            <w:r w:rsidR="00D05F5F">
              <w:rPr>
                <w:rFonts w:ascii="Arial Narrow" w:hAnsi="Arial Narrow"/>
                <w:iCs/>
                <w:sz w:val="20"/>
                <w:szCs w:val="20"/>
              </w:rPr>
              <w:t>$35,000</w:t>
            </w:r>
            <w:r w:rsidRPr="001F281D">
              <w:rPr>
                <w:rFonts w:ascii="Arial Narrow" w:hAnsi="Arial Narrow"/>
                <w:iCs/>
                <w:sz w:val="20"/>
                <w:szCs w:val="20"/>
              </w:rPr>
              <w:t>/QALY threshold</w:t>
            </w:r>
          </w:p>
        </w:tc>
        <w:tc>
          <w:tcPr>
            <w:tcW w:w="1650" w:type="dxa"/>
            <w:tcBorders>
              <w:top w:val="single" w:sz="4" w:space="0" w:color="auto"/>
              <w:left w:val="single" w:sz="4" w:space="0" w:color="auto"/>
              <w:bottom w:val="single" w:sz="4" w:space="0" w:color="auto"/>
              <w:right w:val="single" w:sz="4" w:space="0" w:color="auto"/>
            </w:tcBorders>
            <w:vAlign w:val="center"/>
            <w:hideMark/>
          </w:tcPr>
          <w:p w14:paraId="0931DFAD" w14:textId="5589A04B" w:rsidR="00367788" w:rsidRPr="001F281D" w:rsidRDefault="00367788">
            <w:pPr>
              <w:keepNext/>
              <w:jc w:val="center"/>
              <w:rPr>
                <w:rFonts w:ascii="Arial Narrow" w:hAnsi="Arial Narrow"/>
                <w:iCs/>
                <w:sz w:val="20"/>
                <w:szCs w:val="20"/>
              </w:rPr>
            </w:pPr>
            <w:r w:rsidRPr="001F281D">
              <w:rPr>
                <w:rFonts w:ascii="Arial Narrow" w:hAnsi="Arial Narrow"/>
                <w:iCs/>
                <w:sz w:val="20"/>
                <w:szCs w:val="20"/>
              </w:rPr>
              <w:t>$</w:t>
            </w:r>
            <w:r w:rsidR="00650CB8" w:rsidRPr="00650CB8">
              <w:rPr>
                <w:rFonts w:ascii="Arial Narrow" w:hAnsi="Arial Narrow"/>
                <w:iCs/>
                <w:color w:val="000000"/>
                <w:spacing w:val="56"/>
                <w:sz w:val="20"/>
                <w:szCs w:val="20"/>
                <w:shd w:val="solid" w:color="000000" w:fill="000000"/>
                <w:fitText w:val="340" w:id="-1435748605"/>
                <w14:textFill>
                  <w14:solidFill>
                    <w14:srgbClr w14:val="000000">
                      <w14:alpha w14:val="100000"/>
                    </w14:srgbClr>
                  </w14:solidFill>
                </w14:textFill>
              </w:rPr>
              <w:t>|||</w:t>
            </w:r>
            <w:r w:rsidR="00650CB8" w:rsidRPr="00650CB8">
              <w:rPr>
                <w:rFonts w:ascii="Arial Narrow" w:hAnsi="Arial Narrow"/>
                <w:iCs/>
                <w:color w:val="000000"/>
                <w:spacing w:val="2"/>
                <w:sz w:val="20"/>
                <w:szCs w:val="20"/>
                <w:shd w:val="solid" w:color="000000" w:fill="000000"/>
                <w:fitText w:val="340" w:id="-1435748605"/>
                <w14:textFill>
                  <w14:solidFill>
                    <w14:srgbClr w14:val="000000">
                      <w14:alpha w14:val="100000"/>
                    </w14:srgbClr>
                  </w14:solidFill>
                </w14:textFill>
              </w:rPr>
              <w:t>|</w:t>
            </w:r>
          </w:p>
        </w:tc>
        <w:tc>
          <w:tcPr>
            <w:tcW w:w="1649" w:type="dxa"/>
            <w:tcBorders>
              <w:top w:val="single" w:sz="4" w:space="0" w:color="auto"/>
              <w:left w:val="single" w:sz="4" w:space="0" w:color="auto"/>
              <w:bottom w:val="single" w:sz="4" w:space="0" w:color="auto"/>
              <w:right w:val="single" w:sz="4" w:space="0" w:color="auto"/>
            </w:tcBorders>
            <w:vAlign w:val="center"/>
            <w:hideMark/>
          </w:tcPr>
          <w:p w14:paraId="595EB3BB" w14:textId="77777777" w:rsidR="00367788" w:rsidRPr="001F281D" w:rsidRDefault="00367788">
            <w:pPr>
              <w:keepNext/>
              <w:jc w:val="center"/>
              <w:rPr>
                <w:rFonts w:ascii="Arial Narrow" w:hAnsi="Arial Narrow"/>
                <w:iCs/>
                <w:sz w:val="20"/>
                <w:szCs w:val="20"/>
              </w:rPr>
            </w:pPr>
            <w:r w:rsidRPr="001F281D">
              <w:rPr>
                <w:rFonts w:ascii="Arial Narrow" w:hAnsi="Arial Narrow"/>
                <w:iCs/>
                <w:sz w:val="20"/>
                <w:szCs w:val="20"/>
              </w:rPr>
              <w:t>0.2957</w:t>
            </w:r>
          </w:p>
        </w:tc>
        <w:tc>
          <w:tcPr>
            <w:tcW w:w="1649" w:type="dxa"/>
            <w:tcBorders>
              <w:top w:val="single" w:sz="4" w:space="0" w:color="auto"/>
              <w:left w:val="single" w:sz="4" w:space="0" w:color="auto"/>
              <w:bottom w:val="single" w:sz="4" w:space="0" w:color="auto"/>
              <w:right w:val="single" w:sz="4" w:space="0" w:color="auto"/>
            </w:tcBorders>
            <w:vAlign w:val="center"/>
            <w:hideMark/>
          </w:tcPr>
          <w:p w14:paraId="2121FC81" w14:textId="4C1A8D51" w:rsidR="00367788" w:rsidRPr="00E968BB" w:rsidRDefault="00367788">
            <w:pPr>
              <w:keepNext/>
              <w:jc w:val="center"/>
              <w:rPr>
                <w:rFonts w:ascii="Arial Narrow" w:hAnsi="Arial Narrow"/>
                <w:iCs/>
                <w:sz w:val="20"/>
                <w:szCs w:val="20"/>
                <w:vertAlign w:val="superscript"/>
              </w:rPr>
            </w:pPr>
            <w:r w:rsidRPr="001F281D">
              <w:rPr>
                <w:rFonts w:ascii="Arial Narrow" w:hAnsi="Arial Narrow"/>
                <w:iCs/>
                <w:sz w:val="20"/>
                <w:szCs w:val="20"/>
              </w:rPr>
              <w:t>$</w:t>
            </w:r>
            <w:r w:rsidR="00650CB8" w:rsidRPr="00650CB8">
              <w:rPr>
                <w:rFonts w:ascii="Arial Narrow" w:hAnsi="Arial Narrow"/>
                <w:iCs/>
                <w:color w:val="000000"/>
                <w:spacing w:val="79"/>
                <w:sz w:val="20"/>
                <w:szCs w:val="20"/>
                <w:shd w:val="solid" w:color="000000" w:fill="000000"/>
                <w:fitText w:val="410" w:id="-1435748604"/>
                <w14:textFill>
                  <w14:solidFill>
                    <w14:srgbClr w14:val="000000">
                      <w14:alpha w14:val="100000"/>
                    </w14:srgbClr>
                  </w14:solidFill>
                </w14:textFill>
              </w:rPr>
              <w:t>|||</w:t>
            </w:r>
            <w:r w:rsidR="00650CB8" w:rsidRPr="00650CB8">
              <w:rPr>
                <w:rFonts w:ascii="Arial Narrow" w:hAnsi="Arial Narrow"/>
                <w:iCs/>
                <w:color w:val="000000"/>
                <w:spacing w:val="3"/>
                <w:sz w:val="20"/>
                <w:szCs w:val="20"/>
                <w:shd w:val="solid" w:color="000000" w:fill="000000"/>
                <w:fitText w:val="410" w:id="-1435748604"/>
                <w14:textFill>
                  <w14:solidFill>
                    <w14:srgbClr w14:val="000000">
                      <w14:alpha w14:val="100000"/>
                    </w14:srgbClr>
                  </w14:solidFill>
                </w14:textFill>
              </w:rPr>
              <w:t>|</w:t>
            </w:r>
            <w:r w:rsidR="00E968BB">
              <w:rPr>
                <w:rFonts w:ascii="Arial Narrow" w:hAnsi="Arial Narrow"/>
                <w:iCs/>
                <w:sz w:val="20"/>
                <w:szCs w:val="20"/>
                <w:vertAlign w:val="superscript"/>
              </w:rPr>
              <w:t>1</w:t>
            </w:r>
          </w:p>
        </w:tc>
        <w:tc>
          <w:tcPr>
            <w:tcW w:w="1649" w:type="dxa"/>
            <w:tcBorders>
              <w:top w:val="single" w:sz="4" w:space="0" w:color="auto"/>
              <w:left w:val="single" w:sz="4" w:space="0" w:color="auto"/>
              <w:bottom w:val="single" w:sz="4" w:space="0" w:color="auto"/>
              <w:right w:val="single" w:sz="4" w:space="0" w:color="auto"/>
            </w:tcBorders>
            <w:vAlign w:val="center"/>
            <w:hideMark/>
          </w:tcPr>
          <w:p w14:paraId="2FE0A619" w14:textId="67F7DCAB" w:rsidR="00367788" w:rsidRPr="001F281D" w:rsidRDefault="00367788">
            <w:pPr>
              <w:keepNext/>
              <w:jc w:val="center"/>
              <w:rPr>
                <w:rFonts w:ascii="Arial Narrow" w:hAnsi="Arial Narrow"/>
                <w:iCs/>
                <w:sz w:val="20"/>
                <w:szCs w:val="20"/>
              </w:rPr>
            </w:pPr>
            <w:r w:rsidRPr="001F281D">
              <w:rPr>
                <w:rFonts w:ascii="Arial Narrow" w:hAnsi="Arial Narrow"/>
                <w:iCs/>
                <w:sz w:val="20"/>
                <w:szCs w:val="20"/>
              </w:rPr>
              <w:t>$</w:t>
            </w:r>
            <w:r w:rsidR="00650CB8" w:rsidRPr="00650CB8">
              <w:rPr>
                <w:rFonts w:ascii="Arial Narrow" w:hAnsi="Arial Narrow"/>
                <w:iCs/>
                <w:color w:val="000000"/>
                <w:spacing w:val="49"/>
                <w:sz w:val="20"/>
                <w:szCs w:val="20"/>
                <w:shd w:val="solid" w:color="000000" w:fill="000000"/>
                <w:fitText w:val="320" w:id="-1435748603"/>
                <w14:textFill>
                  <w14:solidFill>
                    <w14:srgbClr w14:val="000000">
                      <w14:alpha w14:val="100000"/>
                    </w14:srgbClr>
                  </w14:solidFill>
                </w14:textFill>
              </w:rPr>
              <w:t>|||</w:t>
            </w:r>
            <w:r w:rsidR="00650CB8" w:rsidRPr="00650CB8">
              <w:rPr>
                <w:rFonts w:ascii="Arial Narrow" w:hAnsi="Arial Narrow"/>
                <w:iCs/>
                <w:color w:val="000000"/>
                <w:spacing w:val="3"/>
                <w:sz w:val="20"/>
                <w:szCs w:val="20"/>
                <w:shd w:val="solid" w:color="000000" w:fill="000000"/>
                <w:fitText w:val="320" w:id="-1435748603"/>
                <w14:textFill>
                  <w14:solidFill>
                    <w14:srgbClr w14:val="000000">
                      <w14:alpha w14:val="100000"/>
                    </w14:srgbClr>
                  </w14:solidFill>
                </w14:textFill>
              </w:rPr>
              <w:t>|</w:t>
            </w:r>
          </w:p>
        </w:tc>
        <w:tc>
          <w:tcPr>
            <w:tcW w:w="1649" w:type="dxa"/>
            <w:tcBorders>
              <w:top w:val="single" w:sz="4" w:space="0" w:color="auto"/>
              <w:left w:val="single" w:sz="4" w:space="0" w:color="auto"/>
              <w:bottom w:val="single" w:sz="4" w:space="0" w:color="auto"/>
              <w:right w:val="single" w:sz="4" w:space="0" w:color="auto"/>
            </w:tcBorders>
            <w:vAlign w:val="center"/>
            <w:hideMark/>
          </w:tcPr>
          <w:p w14:paraId="5850E0A0" w14:textId="6676599D" w:rsidR="00367788" w:rsidRPr="001F281D" w:rsidRDefault="00650CB8">
            <w:pPr>
              <w:keepNext/>
              <w:jc w:val="center"/>
              <w:rPr>
                <w:rFonts w:ascii="Arial Narrow" w:hAnsi="Arial Narrow"/>
                <w:iCs/>
                <w:sz w:val="20"/>
                <w:szCs w:val="20"/>
              </w:rPr>
            </w:pPr>
            <w:r w:rsidRPr="00650CB8">
              <w:rPr>
                <w:rFonts w:ascii="Arial Narrow" w:hAnsi="Arial Narrow"/>
                <w:iCs/>
                <w:color w:val="000000"/>
                <w:spacing w:val="79"/>
                <w:sz w:val="20"/>
                <w:szCs w:val="20"/>
                <w:shd w:val="solid" w:color="000000" w:fill="000000"/>
                <w:fitText w:val="410" w:id="-1435748602"/>
                <w14:textFill>
                  <w14:solidFill>
                    <w14:srgbClr w14:val="000000">
                      <w14:alpha w14:val="100000"/>
                    </w14:srgbClr>
                  </w14:solidFill>
                </w14:textFill>
              </w:rPr>
              <w:t>|||</w:t>
            </w:r>
            <w:r w:rsidRPr="00650CB8">
              <w:rPr>
                <w:rFonts w:ascii="Arial Narrow" w:hAnsi="Arial Narrow"/>
                <w:iCs/>
                <w:color w:val="000000"/>
                <w:spacing w:val="3"/>
                <w:sz w:val="20"/>
                <w:szCs w:val="20"/>
                <w:shd w:val="solid" w:color="000000" w:fill="000000"/>
                <w:fitText w:val="410" w:id="-1435748602"/>
                <w14:textFill>
                  <w14:solidFill>
                    <w14:srgbClr w14:val="000000">
                      <w14:alpha w14:val="100000"/>
                    </w14:srgbClr>
                  </w14:solidFill>
                </w14:textFill>
              </w:rPr>
              <w:t>|</w:t>
            </w:r>
            <w:r w:rsidR="00367788" w:rsidRPr="001F281D">
              <w:rPr>
                <w:rFonts w:ascii="Arial Narrow" w:hAnsi="Arial Narrow"/>
                <w:iCs/>
                <w:sz w:val="20"/>
                <w:szCs w:val="20"/>
              </w:rPr>
              <w:t>%</w:t>
            </w:r>
          </w:p>
        </w:tc>
        <w:tc>
          <w:tcPr>
            <w:tcW w:w="1649" w:type="dxa"/>
            <w:tcBorders>
              <w:top w:val="single" w:sz="4" w:space="0" w:color="auto"/>
              <w:left w:val="single" w:sz="4" w:space="0" w:color="auto"/>
              <w:bottom w:val="single" w:sz="4" w:space="0" w:color="auto"/>
              <w:right w:val="single" w:sz="4" w:space="0" w:color="auto"/>
            </w:tcBorders>
            <w:vAlign w:val="center"/>
            <w:hideMark/>
          </w:tcPr>
          <w:p w14:paraId="31C64845" w14:textId="5FB8D199" w:rsidR="00367788" w:rsidRPr="001F281D" w:rsidRDefault="00650CB8">
            <w:pPr>
              <w:keepNext/>
              <w:jc w:val="center"/>
              <w:rPr>
                <w:rFonts w:ascii="Arial Narrow" w:hAnsi="Arial Narrow"/>
                <w:iCs/>
                <w:sz w:val="20"/>
                <w:szCs w:val="20"/>
              </w:rPr>
            </w:pPr>
            <w:r w:rsidRPr="00650CB8">
              <w:rPr>
                <w:rFonts w:ascii="Arial Narrow" w:hAnsi="Arial Narrow"/>
                <w:iCs/>
                <w:color w:val="000000"/>
                <w:spacing w:val="79"/>
                <w:sz w:val="20"/>
                <w:szCs w:val="20"/>
                <w:shd w:val="solid" w:color="000000" w:fill="000000"/>
                <w:fitText w:val="410" w:id="-1435748601"/>
                <w14:textFill>
                  <w14:solidFill>
                    <w14:srgbClr w14:val="000000">
                      <w14:alpha w14:val="100000"/>
                    </w14:srgbClr>
                  </w14:solidFill>
                </w14:textFill>
              </w:rPr>
              <w:t>|||</w:t>
            </w:r>
            <w:r w:rsidRPr="00650CB8">
              <w:rPr>
                <w:rFonts w:ascii="Arial Narrow" w:hAnsi="Arial Narrow"/>
                <w:iCs/>
                <w:color w:val="000000"/>
                <w:spacing w:val="3"/>
                <w:sz w:val="20"/>
                <w:szCs w:val="20"/>
                <w:shd w:val="solid" w:color="000000" w:fill="000000"/>
                <w:fitText w:val="410" w:id="-1435748601"/>
                <w14:textFill>
                  <w14:solidFill>
                    <w14:srgbClr w14:val="000000">
                      <w14:alpha w14:val="100000"/>
                    </w14:srgbClr>
                  </w14:solidFill>
                </w14:textFill>
              </w:rPr>
              <w:t>|</w:t>
            </w:r>
            <w:r w:rsidR="00367788" w:rsidRPr="001F281D">
              <w:rPr>
                <w:rFonts w:ascii="Arial Narrow" w:hAnsi="Arial Narrow"/>
                <w:iCs/>
                <w:sz w:val="20"/>
                <w:szCs w:val="20"/>
              </w:rPr>
              <w:t>%</w:t>
            </w:r>
          </w:p>
        </w:tc>
        <w:tc>
          <w:tcPr>
            <w:tcW w:w="1649" w:type="dxa"/>
            <w:tcBorders>
              <w:top w:val="single" w:sz="4" w:space="0" w:color="auto"/>
              <w:left w:val="single" w:sz="4" w:space="0" w:color="auto"/>
              <w:bottom w:val="single" w:sz="4" w:space="0" w:color="auto"/>
              <w:right w:val="single" w:sz="4" w:space="0" w:color="auto"/>
            </w:tcBorders>
            <w:vAlign w:val="center"/>
            <w:hideMark/>
          </w:tcPr>
          <w:p w14:paraId="1ECF595B" w14:textId="3DEE7E1C" w:rsidR="00367788" w:rsidRPr="001F281D" w:rsidRDefault="00367788">
            <w:pPr>
              <w:keepNext/>
              <w:jc w:val="center"/>
              <w:rPr>
                <w:rFonts w:ascii="Arial Narrow" w:hAnsi="Arial Narrow"/>
                <w:iCs/>
                <w:sz w:val="20"/>
                <w:szCs w:val="20"/>
              </w:rPr>
            </w:pPr>
            <w:r w:rsidRPr="001F281D">
              <w:rPr>
                <w:rFonts w:ascii="Arial Narrow" w:hAnsi="Arial Narrow"/>
                <w:iCs/>
                <w:sz w:val="20"/>
                <w:szCs w:val="20"/>
              </w:rPr>
              <w:t>140 mg: $</w:t>
            </w:r>
            <w:r w:rsidR="00650CB8" w:rsidRPr="00650CB8">
              <w:rPr>
                <w:rFonts w:ascii="Arial Narrow" w:hAnsi="Arial Narrow"/>
                <w:iCs/>
                <w:color w:val="000000"/>
                <w:spacing w:val="76"/>
                <w:sz w:val="20"/>
                <w:szCs w:val="20"/>
                <w:shd w:val="solid" w:color="000000" w:fill="000000"/>
                <w:fitText w:val="400" w:id="-1435748600"/>
                <w14:textFill>
                  <w14:solidFill>
                    <w14:srgbClr w14:val="000000">
                      <w14:alpha w14:val="100000"/>
                    </w14:srgbClr>
                  </w14:solidFill>
                </w14:textFill>
              </w:rPr>
              <w:t>|||</w:t>
            </w:r>
            <w:r w:rsidR="00650CB8" w:rsidRPr="00650CB8">
              <w:rPr>
                <w:rFonts w:ascii="Arial Narrow" w:hAnsi="Arial Narrow"/>
                <w:iCs/>
                <w:color w:val="000000"/>
                <w:spacing w:val="2"/>
                <w:sz w:val="20"/>
                <w:szCs w:val="20"/>
                <w:shd w:val="solid" w:color="000000" w:fill="000000"/>
                <w:fitText w:val="400" w:id="-1435748600"/>
                <w14:textFill>
                  <w14:solidFill>
                    <w14:srgbClr w14:val="000000">
                      <w14:alpha w14:val="100000"/>
                    </w14:srgbClr>
                  </w14:solidFill>
                </w14:textFill>
              </w:rPr>
              <w:t>|</w:t>
            </w:r>
          </w:p>
          <w:p w14:paraId="13A3CD2E" w14:textId="30103068" w:rsidR="00367788" w:rsidRPr="001F281D" w:rsidRDefault="00367788">
            <w:pPr>
              <w:keepNext/>
              <w:jc w:val="center"/>
              <w:rPr>
                <w:rFonts w:ascii="Arial Narrow" w:hAnsi="Arial Narrow"/>
                <w:iCs/>
                <w:sz w:val="20"/>
                <w:szCs w:val="20"/>
              </w:rPr>
            </w:pPr>
            <w:r w:rsidRPr="001F281D">
              <w:rPr>
                <w:rFonts w:ascii="Arial Narrow" w:hAnsi="Arial Narrow"/>
                <w:iCs/>
                <w:sz w:val="20"/>
                <w:szCs w:val="20"/>
              </w:rPr>
              <w:t>420 mg: $</w:t>
            </w:r>
            <w:r w:rsidR="00650CB8" w:rsidRPr="00650CB8">
              <w:rPr>
                <w:rFonts w:ascii="Arial Narrow" w:hAnsi="Arial Narrow"/>
                <w:iCs/>
                <w:color w:val="000000"/>
                <w:spacing w:val="76"/>
                <w:sz w:val="20"/>
                <w:szCs w:val="20"/>
                <w:shd w:val="solid" w:color="000000" w:fill="000000"/>
                <w:fitText w:val="400" w:id="-1435748599"/>
                <w14:textFill>
                  <w14:solidFill>
                    <w14:srgbClr w14:val="000000">
                      <w14:alpha w14:val="100000"/>
                    </w14:srgbClr>
                  </w14:solidFill>
                </w14:textFill>
              </w:rPr>
              <w:t>|||</w:t>
            </w:r>
            <w:r w:rsidR="00650CB8" w:rsidRPr="00650CB8">
              <w:rPr>
                <w:rFonts w:ascii="Arial Narrow" w:hAnsi="Arial Narrow"/>
                <w:iCs/>
                <w:color w:val="000000"/>
                <w:spacing w:val="2"/>
                <w:sz w:val="20"/>
                <w:szCs w:val="20"/>
                <w:shd w:val="solid" w:color="000000" w:fill="000000"/>
                <w:fitText w:val="400" w:id="-1435748599"/>
                <w14:textFill>
                  <w14:solidFill>
                    <w14:srgbClr w14:val="000000">
                      <w14:alpha w14:val="100000"/>
                    </w14:srgbClr>
                  </w14:solidFill>
                </w14:textFill>
              </w:rPr>
              <w:t>|</w:t>
            </w:r>
          </w:p>
        </w:tc>
      </w:tr>
      <w:tr w:rsidR="004C5508" w:rsidRPr="001F281D" w14:paraId="7D03189A" w14:textId="77777777" w:rsidTr="00367788">
        <w:tc>
          <w:tcPr>
            <w:tcW w:w="2406" w:type="dxa"/>
            <w:tcBorders>
              <w:top w:val="single" w:sz="4" w:space="0" w:color="auto"/>
              <w:left w:val="single" w:sz="4" w:space="0" w:color="auto"/>
              <w:bottom w:val="single" w:sz="4" w:space="0" w:color="auto"/>
              <w:right w:val="single" w:sz="4" w:space="0" w:color="auto"/>
            </w:tcBorders>
            <w:hideMark/>
          </w:tcPr>
          <w:p w14:paraId="28B1195A" w14:textId="7E137011" w:rsidR="00367788" w:rsidRPr="001F281D" w:rsidRDefault="00367788">
            <w:pPr>
              <w:keepNext/>
              <w:jc w:val="left"/>
              <w:rPr>
                <w:rFonts w:ascii="Arial Narrow" w:hAnsi="Arial Narrow"/>
                <w:iCs/>
                <w:sz w:val="20"/>
                <w:szCs w:val="20"/>
              </w:rPr>
            </w:pPr>
            <w:r w:rsidRPr="001F281D">
              <w:rPr>
                <w:rFonts w:ascii="Arial Narrow" w:hAnsi="Arial Narrow"/>
                <w:iCs/>
                <w:sz w:val="20"/>
                <w:szCs w:val="20"/>
              </w:rPr>
              <w:t>Price based on $</w:t>
            </w:r>
            <w:r w:rsidR="00D05F5F">
              <w:rPr>
                <w:rFonts w:ascii="Arial Narrow" w:hAnsi="Arial Narrow"/>
                <w:iCs/>
                <w:sz w:val="20"/>
                <w:szCs w:val="20"/>
              </w:rPr>
              <w:t>15,000</w:t>
            </w:r>
            <w:r w:rsidR="00DF54A9">
              <w:rPr>
                <w:rFonts w:ascii="Arial Narrow" w:hAnsi="Arial Narrow"/>
                <w:iCs/>
                <w:sz w:val="20"/>
                <w:szCs w:val="20"/>
              </w:rPr>
              <w:t xml:space="preserve"> to </w:t>
            </w:r>
            <w:r w:rsidR="00DF54A9" w:rsidRPr="00DF54A9">
              <w:rPr>
                <w:rFonts w:ascii="Arial Narrow" w:hAnsi="Arial Narrow"/>
                <w:iCs/>
                <w:sz w:val="20"/>
                <w:szCs w:val="20"/>
              </w:rPr>
              <w:t>&lt;</w:t>
            </w:r>
            <w:r w:rsidR="00DF54A9">
              <w:rPr>
                <w:rFonts w:ascii="Arial Narrow" w:hAnsi="Arial Narrow"/>
                <w:iCs/>
                <w:sz w:val="20"/>
                <w:szCs w:val="20"/>
              </w:rPr>
              <w:t xml:space="preserve"> $</w:t>
            </w:r>
            <w:r w:rsidRPr="001F281D">
              <w:rPr>
                <w:rFonts w:ascii="Arial Narrow" w:hAnsi="Arial Narrow"/>
                <w:iCs/>
                <w:sz w:val="20"/>
                <w:szCs w:val="20"/>
              </w:rPr>
              <w:t>2</w:t>
            </w:r>
            <w:r w:rsidR="00D05F5F">
              <w:rPr>
                <w:rFonts w:ascii="Arial Narrow" w:hAnsi="Arial Narrow"/>
                <w:iCs/>
                <w:sz w:val="20"/>
                <w:szCs w:val="20"/>
              </w:rPr>
              <w:t>5</w:t>
            </w:r>
            <w:r w:rsidRPr="001F281D">
              <w:rPr>
                <w:rFonts w:ascii="Arial Narrow" w:hAnsi="Arial Narrow"/>
                <w:iCs/>
                <w:sz w:val="20"/>
                <w:szCs w:val="20"/>
              </w:rPr>
              <w:t xml:space="preserve">,000/QALY </w:t>
            </w:r>
            <w:r w:rsidR="00407B9C" w:rsidRPr="001F281D">
              <w:rPr>
                <w:rFonts w:ascii="Arial Narrow" w:hAnsi="Arial Narrow"/>
                <w:iCs/>
                <w:sz w:val="20"/>
                <w:szCs w:val="20"/>
              </w:rPr>
              <w:t>threshold</w:t>
            </w:r>
          </w:p>
        </w:tc>
        <w:tc>
          <w:tcPr>
            <w:tcW w:w="1650" w:type="dxa"/>
            <w:tcBorders>
              <w:top w:val="single" w:sz="4" w:space="0" w:color="auto"/>
              <w:left w:val="single" w:sz="4" w:space="0" w:color="auto"/>
              <w:bottom w:val="single" w:sz="4" w:space="0" w:color="auto"/>
              <w:right w:val="single" w:sz="4" w:space="0" w:color="auto"/>
            </w:tcBorders>
            <w:vAlign w:val="center"/>
            <w:hideMark/>
          </w:tcPr>
          <w:p w14:paraId="2D264852" w14:textId="66135879" w:rsidR="00367788" w:rsidRPr="001F281D" w:rsidRDefault="00367788">
            <w:pPr>
              <w:keepNext/>
              <w:jc w:val="center"/>
              <w:rPr>
                <w:rFonts w:ascii="Arial Narrow" w:hAnsi="Arial Narrow"/>
                <w:iCs/>
                <w:sz w:val="20"/>
                <w:szCs w:val="20"/>
              </w:rPr>
            </w:pPr>
            <w:r w:rsidRPr="001F281D">
              <w:rPr>
                <w:rFonts w:ascii="Arial Narrow" w:hAnsi="Arial Narrow"/>
                <w:iCs/>
                <w:sz w:val="20"/>
                <w:szCs w:val="20"/>
              </w:rPr>
              <w:t>$</w:t>
            </w:r>
            <w:r w:rsidR="00650CB8" w:rsidRPr="00650CB8">
              <w:rPr>
                <w:rFonts w:ascii="Arial Narrow" w:hAnsi="Arial Narrow"/>
                <w:iCs/>
                <w:color w:val="000000"/>
                <w:spacing w:val="56"/>
                <w:sz w:val="20"/>
                <w:szCs w:val="20"/>
                <w:shd w:val="solid" w:color="000000" w:fill="000000"/>
                <w:fitText w:val="340" w:id="-1435748598"/>
                <w14:textFill>
                  <w14:solidFill>
                    <w14:srgbClr w14:val="000000">
                      <w14:alpha w14:val="100000"/>
                    </w14:srgbClr>
                  </w14:solidFill>
                </w14:textFill>
              </w:rPr>
              <w:t>|||</w:t>
            </w:r>
            <w:r w:rsidR="00650CB8" w:rsidRPr="00650CB8">
              <w:rPr>
                <w:rFonts w:ascii="Arial Narrow" w:hAnsi="Arial Narrow"/>
                <w:iCs/>
                <w:color w:val="000000"/>
                <w:spacing w:val="2"/>
                <w:sz w:val="20"/>
                <w:szCs w:val="20"/>
                <w:shd w:val="solid" w:color="000000" w:fill="000000"/>
                <w:fitText w:val="340" w:id="-1435748598"/>
                <w14:textFill>
                  <w14:solidFill>
                    <w14:srgbClr w14:val="000000">
                      <w14:alpha w14:val="100000"/>
                    </w14:srgbClr>
                  </w14:solidFill>
                </w14:textFill>
              </w:rPr>
              <w:t>|</w:t>
            </w:r>
          </w:p>
        </w:tc>
        <w:tc>
          <w:tcPr>
            <w:tcW w:w="1649" w:type="dxa"/>
            <w:tcBorders>
              <w:top w:val="single" w:sz="4" w:space="0" w:color="auto"/>
              <w:left w:val="single" w:sz="4" w:space="0" w:color="auto"/>
              <w:bottom w:val="single" w:sz="4" w:space="0" w:color="auto"/>
              <w:right w:val="single" w:sz="4" w:space="0" w:color="auto"/>
            </w:tcBorders>
            <w:vAlign w:val="center"/>
            <w:hideMark/>
          </w:tcPr>
          <w:p w14:paraId="30B1353A" w14:textId="77777777" w:rsidR="00367788" w:rsidRPr="001F281D" w:rsidRDefault="00367788">
            <w:pPr>
              <w:keepNext/>
              <w:jc w:val="center"/>
              <w:rPr>
                <w:rFonts w:ascii="Arial Narrow" w:hAnsi="Arial Narrow"/>
                <w:iCs/>
                <w:sz w:val="20"/>
                <w:szCs w:val="20"/>
              </w:rPr>
            </w:pPr>
            <w:r w:rsidRPr="001F281D">
              <w:rPr>
                <w:rFonts w:ascii="Arial Narrow" w:hAnsi="Arial Narrow"/>
                <w:iCs/>
                <w:sz w:val="20"/>
                <w:szCs w:val="20"/>
              </w:rPr>
              <w:t>0.2957</w:t>
            </w:r>
          </w:p>
        </w:tc>
        <w:tc>
          <w:tcPr>
            <w:tcW w:w="1649" w:type="dxa"/>
            <w:tcBorders>
              <w:top w:val="single" w:sz="4" w:space="0" w:color="auto"/>
              <w:left w:val="single" w:sz="4" w:space="0" w:color="auto"/>
              <w:bottom w:val="single" w:sz="4" w:space="0" w:color="auto"/>
              <w:right w:val="single" w:sz="4" w:space="0" w:color="auto"/>
            </w:tcBorders>
            <w:vAlign w:val="center"/>
            <w:hideMark/>
          </w:tcPr>
          <w:p w14:paraId="1953B7D5" w14:textId="74FB1AB0" w:rsidR="00367788" w:rsidRPr="00E968BB" w:rsidRDefault="00367788">
            <w:pPr>
              <w:keepNext/>
              <w:jc w:val="center"/>
              <w:rPr>
                <w:rFonts w:ascii="Arial Narrow" w:hAnsi="Arial Narrow"/>
                <w:iCs/>
                <w:sz w:val="20"/>
                <w:szCs w:val="20"/>
                <w:vertAlign w:val="superscript"/>
              </w:rPr>
            </w:pPr>
            <w:r w:rsidRPr="001F281D">
              <w:rPr>
                <w:rFonts w:ascii="Arial Narrow" w:hAnsi="Arial Narrow"/>
                <w:iCs/>
                <w:sz w:val="20"/>
                <w:szCs w:val="20"/>
              </w:rPr>
              <w:t>$</w:t>
            </w:r>
            <w:r w:rsidR="00650CB8" w:rsidRPr="00650CB8">
              <w:rPr>
                <w:rFonts w:ascii="Arial Narrow" w:hAnsi="Arial Narrow"/>
                <w:iCs/>
                <w:color w:val="000000"/>
                <w:spacing w:val="79"/>
                <w:sz w:val="20"/>
                <w:szCs w:val="20"/>
                <w:shd w:val="solid" w:color="000000" w:fill="000000"/>
                <w:fitText w:val="410" w:id="-1435748597"/>
                <w14:textFill>
                  <w14:solidFill>
                    <w14:srgbClr w14:val="000000">
                      <w14:alpha w14:val="100000"/>
                    </w14:srgbClr>
                  </w14:solidFill>
                </w14:textFill>
              </w:rPr>
              <w:t>|||</w:t>
            </w:r>
            <w:r w:rsidR="00650CB8" w:rsidRPr="00650CB8">
              <w:rPr>
                <w:rFonts w:ascii="Arial Narrow" w:hAnsi="Arial Narrow"/>
                <w:iCs/>
                <w:color w:val="000000"/>
                <w:spacing w:val="3"/>
                <w:sz w:val="20"/>
                <w:szCs w:val="20"/>
                <w:shd w:val="solid" w:color="000000" w:fill="000000"/>
                <w:fitText w:val="410" w:id="-1435748597"/>
                <w14:textFill>
                  <w14:solidFill>
                    <w14:srgbClr w14:val="000000">
                      <w14:alpha w14:val="100000"/>
                    </w14:srgbClr>
                  </w14:solidFill>
                </w14:textFill>
              </w:rPr>
              <w:t>|</w:t>
            </w:r>
            <w:r w:rsidR="00E968BB">
              <w:rPr>
                <w:rFonts w:ascii="Arial Narrow" w:hAnsi="Arial Narrow"/>
                <w:iCs/>
                <w:sz w:val="20"/>
                <w:szCs w:val="20"/>
                <w:vertAlign w:val="superscript"/>
              </w:rPr>
              <w:t>2</w:t>
            </w:r>
          </w:p>
        </w:tc>
        <w:tc>
          <w:tcPr>
            <w:tcW w:w="1649" w:type="dxa"/>
            <w:tcBorders>
              <w:top w:val="single" w:sz="4" w:space="0" w:color="auto"/>
              <w:left w:val="single" w:sz="4" w:space="0" w:color="auto"/>
              <w:bottom w:val="single" w:sz="4" w:space="0" w:color="auto"/>
              <w:right w:val="single" w:sz="4" w:space="0" w:color="auto"/>
            </w:tcBorders>
            <w:vAlign w:val="center"/>
            <w:hideMark/>
          </w:tcPr>
          <w:p w14:paraId="3BC01DFA" w14:textId="27BAE4CD" w:rsidR="00367788" w:rsidRPr="001F281D" w:rsidRDefault="00367788">
            <w:pPr>
              <w:keepNext/>
              <w:jc w:val="center"/>
              <w:rPr>
                <w:rFonts w:ascii="Arial Narrow" w:hAnsi="Arial Narrow"/>
                <w:iCs/>
                <w:sz w:val="20"/>
                <w:szCs w:val="20"/>
              </w:rPr>
            </w:pPr>
            <w:r w:rsidRPr="001F281D">
              <w:rPr>
                <w:rFonts w:ascii="Arial Narrow" w:hAnsi="Arial Narrow"/>
                <w:iCs/>
                <w:sz w:val="20"/>
                <w:szCs w:val="20"/>
              </w:rPr>
              <w:t>$</w:t>
            </w:r>
            <w:r w:rsidR="00650CB8" w:rsidRPr="00650CB8">
              <w:rPr>
                <w:rFonts w:ascii="Arial Narrow" w:hAnsi="Arial Narrow"/>
                <w:iCs/>
                <w:color w:val="000000"/>
                <w:spacing w:val="49"/>
                <w:sz w:val="20"/>
                <w:szCs w:val="20"/>
                <w:shd w:val="solid" w:color="000000" w:fill="000000"/>
                <w:fitText w:val="320" w:id="-1435748596"/>
                <w14:textFill>
                  <w14:solidFill>
                    <w14:srgbClr w14:val="000000">
                      <w14:alpha w14:val="100000"/>
                    </w14:srgbClr>
                  </w14:solidFill>
                </w14:textFill>
              </w:rPr>
              <w:t>|||</w:t>
            </w:r>
            <w:r w:rsidR="00650CB8" w:rsidRPr="00650CB8">
              <w:rPr>
                <w:rFonts w:ascii="Arial Narrow" w:hAnsi="Arial Narrow"/>
                <w:iCs/>
                <w:color w:val="000000"/>
                <w:spacing w:val="3"/>
                <w:sz w:val="20"/>
                <w:szCs w:val="20"/>
                <w:shd w:val="solid" w:color="000000" w:fill="000000"/>
                <w:fitText w:val="320" w:id="-1435748596"/>
                <w14:textFill>
                  <w14:solidFill>
                    <w14:srgbClr w14:val="000000">
                      <w14:alpha w14:val="100000"/>
                    </w14:srgbClr>
                  </w14:solidFill>
                </w14:textFill>
              </w:rPr>
              <w:t>|</w:t>
            </w:r>
          </w:p>
        </w:tc>
        <w:tc>
          <w:tcPr>
            <w:tcW w:w="1649" w:type="dxa"/>
            <w:tcBorders>
              <w:top w:val="single" w:sz="4" w:space="0" w:color="auto"/>
              <w:left w:val="single" w:sz="4" w:space="0" w:color="auto"/>
              <w:bottom w:val="single" w:sz="4" w:space="0" w:color="auto"/>
              <w:right w:val="single" w:sz="4" w:space="0" w:color="auto"/>
            </w:tcBorders>
            <w:vAlign w:val="center"/>
            <w:hideMark/>
          </w:tcPr>
          <w:p w14:paraId="544AD11E" w14:textId="44B81F00" w:rsidR="00367788" w:rsidRPr="001F281D" w:rsidRDefault="00650CB8">
            <w:pPr>
              <w:keepNext/>
              <w:jc w:val="center"/>
              <w:rPr>
                <w:rFonts w:ascii="Arial Narrow" w:hAnsi="Arial Narrow"/>
                <w:iCs/>
                <w:sz w:val="20"/>
                <w:szCs w:val="20"/>
              </w:rPr>
            </w:pPr>
            <w:r w:rsidRPr="00650CB8">
              <w:rPr>
                <w:rFonts w:ascii="Arial Narrow" w:hAnsi="Arial Narrow"/>
                <w:iCs/>
                <w:color w:val="000000"/>
                <w:spacing w:val="79"/>
                <w:sz w:val="20"/>
                <w:szCs w:val="20"/>
                <w:shd w:val="solid" w:color="000000" w:fill="000000"/>
                <w:fitText w:val="410" w:id="-1435748595"/>
                <w14:textFill>
                  <w14:solidFill>
                    <w14:srgbClr w14:val="000000">
                      <w14:alpha w14:val="100000"/>
                    </w14:srgbClr>
                  </w14:solidFill>
                </w14:textFill>
              </w:rPr>
              <w:t>|||</w:t>
            </w:r>
            <w:r w:rsidRPr="00650CB8">
              <w:rPr>
                <w:rFonts w:ascii="Arial Narrow" w:hAnsi="Arial Narrow"/>
                <w:iCs/>
                <w:color w:val="000000"/>
                <w:spacing w:val="3"/>
                <w:sz w:val="20"/>
                <w:szCs w:val="20"/>
                <w:shd w:val="solid" w:color="000000" w:fill="000000"/>
                <w:fitText w:val="410" w:id="-1435748595"/>
                <w14:textFill>
                  <w14:solidFill>
                    <w14:srgbClr w14:val="000000">
                      <w14:alpha w14:val="100000"/>
                    </w14:srgbClr>
                  </w14:solidFill>
                </w14:textFill>
              </w:rPr>
              <w:t>|</w:t>
            </w:r>
            <w:r w:rsidR="00367788" w:rsidRPr="001F281D">
              <w:rPr>
                <w:rFonts w:ascii="Arial Narrow" w:hAnsi="Arial Narrow"/>
                <w:iCs/>
                <w:sz w:val="20"/>
                <w:szCs w:val="20"/>
              </w:rPr>
              <w:t>%</w:t>
            </w:r>
          </w:p>
        </w:tc>
        <w:tc>
          <w:tcPr>
            <w:tcW w:w="1649" w:type="dxa"/>
            <w:tcBorders>
              <w:top w:val="single" w:sz="4" w:space="0" w:color="auto"/>
              <w:left w:val="single" w:sz="4" w:space="0" w:color="auto"/>
              <w:bottom w:val="single" w:sz="4" w:space="0" w:color="auto"/>
              <w:right w:val="single" w:sz="4" w:space="0" w:color="auto"/>
            </w:tcBorders>
            <w:vAlign w:val="center"/>
            <w:hideMark/>
          </w:tcPr>
          <w:p w14:paraId="554548CF" w14:textId="783CCE7C" w:rsidR="00367788" w:rsidRPr="001F281D" w:rsidRDefault="00650CB8">
            <w:pPr>
              <w:keepNext/>
              <w:jc w:val="center"/>
              <w:rPr>
                <w:rFonts w:ascii="Arial Narrow" w:hAnsi="Arial Narrow"/>
                <w:iCs/>
                <w:sz w:val="20"/>
                <w:szCs w:val="20"/>
              </w:rPr>
            </w:pPr>
            <w:r w:rsidRPr="00650CB8">
              <w:rPr>
                <w:rFonts w:ascii="Arial Narrow" w:hAnsi="Arial Narrow"/>
                <w:iCs/>
                <w:color w:val="000000"/>
                <w:spacing w:val="79"/>
                <w:sz w:val="20"/>
                <w:szCs w:val="20"/>
                <w:shd w:val="solid" w:color="000000" w:fill="000000"/>
                <w:fitText w:val="410" w:id="-1435748594"/>
                <w14:textFill>
                  <w14:solidFill>
                    <w14:srgbClr w14:val="000000">
                      <w14:alpha w14:val="100000"/>
                    </w14:srgbClr>
                  </w14:solidFill>
                </w14:textFill>
              </w:rPr>
              <w:t>|||</w:t>
            </w:r>
            <w:r w:rsidRPr="00650CB8">
              <w:rPr>
                <w:rFonts w:ascii="Arial Narrow" w:hAnsi="Arial Narrow"/>
                <w:iCs/>
                <w:color w:val="000000"/>
                <w:spacing w:val="3"/>
                <w:sz w:val="20"/>
                <w:szCs w:val="20"/>
                <w:shd w:val="solid" w:color="000000" w:fill="000000"/>
                <w:fitText w:val="410" w:id="-1435748594"/>
                <w14:textFill>
                  <w14:solidFill>
                    <w14:srgbClr w14:val="000000">
                      <w14:alpha w14:val="100000"/>
                    </w14:srgbClr>
                  </w14:solidFill>
                </w14:textFill>
              </w:rPr>
              <w:t>|</w:t>
            </w:r>
            <w:r w:rsidR="00367788" w:rsidRPr="001F281D">
              <w:rPr>
                <w:rFonts w:ascii="Arial Narrow" w:hAnsi="Arial Narrow"/>
                <w:iCs/>
                <w:sz w:val="20"/>
                <w:szCs w:val="20"/>
              </w:rPr>
              <w:t>%</w:t>
            </w:r>
          </w:p>
        </w:tc>
        <w:tc>
          <w:tcPr>
            <w:tcW w:w="1649" w:type="dxa"/>
            <w:tcBorders>
              <w:top w:val="single" w:sz="4" w:space="0" w:color="auto"/>
              <w:left w:val="single" w:sz="4" w:space="0" w:color="auto"/>
              <w:bottom w:val="single" w:sz="4" w:space="0" w:color="auto"/>
              <w:right w:val="single" w:sz="4" w:space="0" w:color="auto"/>
            </w:tcBorders>
            <w:vAlign w:val="center"/>
            <w:hideMark/>
          </w:tcPr>
          <w:p w14:paraId="5E071007" w14:textId="69B8AB51" w:rsidR="00367788" w:rsidRPr="001F281D" w:rsidRDefault="00367788">
            <w:pPr>
              <w:keepNext/>
              <w:jc w:val="center"/>
              <w:rPr>
                <w:rFonts w:ascii="Arial Narrow" w:hAnsi="Arial Narrow"/>
                <w:iCs/>
                <w:sz w:val="20"/>
                <w:szCs w:val="20"/>
              </w:rPr>
            </w:pPr>
            <w:r w:rsidRPr="001F281D">
              <w:rPr>
                <w:rFonts w:ascii="Arial Narrow" w:hAnsi="Arial Narrow"/>
                <w:iCs/>
                <w:sz w:val="20"/>
                <w:szCs w:val="20"/>
              </w:rPr>
              <w:t>140 mg: $</w:t>
            </w:r>
            <w:r w:rsidR="00650CB8" w:rsidRPr="00650CB8">
              <w:rPr>
                <w:rFonts w:ascii="Arial Narrow" w:hAnsi="Arial Narrow"/>
                <w:iCs/>
                <w:color w:val="000000"/>
                <w:spacing w:val="76"/>
                <w:sz w:val="20"/>
                <w:szCs w:val="20"/>
                <w:shd w:val="solid" w:color="000000" w:fill="000000"/>
                <w:fitText w:val="400" w:id="-1435748593"/>
                <w14:textFill>
                  <w14:solidFill>
                    <w14:srgbClr w14:val="000000">
                      <w14:alpha w14:val="100000"/>
                    </w14:srgbClr>
                  </w14:solidFill>
                </w14:textFill>
              </w:rPr>
              <w:t>|||</w:t>
            </w:r>
            <w:r w:rsidR="00650CB8" w:rsidRPr="00650CB8">
              <w:rPr>
                <w:rFonts w:ascii="Arial Narrow" w:hAnsi="Arial Narrow"/>
                <w:iCs/>
                <w:color w:val="000000"/>
                <w:spacing w:val="2"/>
                <w:sz w:val="20"/>
                <w:szCs w:val="20"/>
                <w:shd w:val="solid" w:color="000000" w:fill="000000"/>
                <w:fitText w:val="400" w:id="-1435748593"/>
                <w14:textFill>
                  <w14:solidFill>
                    <w14:srgbClr w14:val="000000">
                      <w14:alpha w14:val="100000"/>
                    </w14:srgbClr>
                  </w14:solidFill>
                </w14:textFill>
              </w:rPr>
              <w:t>|</w:t>
            </w:r>
          </w:p>
          <w:p w14:paraId="4FFECCC9" w14:textId="4DE1E36E" w:rsidR="00367788" w:rsidRPr="001F281D" w:rsidRDefault="00367788">
            <w:pPr>
              <w:keepNext/>
              <w:jc w:val="center"/>
              <w:rPr>
                <w:rFonts w:ascii="Arial Narrow" w:hAnsi="Arial Narrow"/>
                <w:iCs/>
                <w:sz w:val="20"/>
                <w:szCs w:val="20"/>
              </w:rPr>
            </w:pPr>
            <w:r w:rsidRPr="001F281D">
              <w:rPr>
                <w:rFonts w:ascii="Arial Narrow" w:hAnsi="Arial Narrow"/>
                <w:iCs/>
                <w:sz w:val="20"/>
                <w:szCs w:val="20"/>
              </w:rPr>
              <w:t>420 mg: $</w:t>
            </w:r>
            <w:r w:rsidR="00650CB8" w:rsidRPr="00650CB8">
              <w:rPr>
                <w:rFonts w:ascii="Arial Narrow" w:hAnsi="Arial Narrow"/>
                <w:iCs/>
                <w:color w:val="000000"/>
                <w:spacing w:val="76"/>
                <w:sz w:val="20"/>
                <w:szCs w:val="20"/>
                <w:shd w:val="solid" w:color="000000" w:fill="000000"/>
                <w:fitText w:val="400" w:id="-1435748592"/>
                <w14:textFill>
                  <w14:solidFill>
                    <w14:srgbClr w14:val="000000">
                      <w14:alpha w14:val="100000"/>
                    </w14:srgbClr>
                  </w14:solidFill>
                </w14:textFill>
              </w:rPr>
              <w:t>|||</w:t>
            </w:r>
            <w:r w:rsidR="00650CB8" w:rsidRPr="00650CB8">
              <w:rPr>
                <w:rFonts w:ascii="Arial Narrow" w:hAnsi="Arial Narrow"/>
                <w:iCs/>
                <w:color w:val="000000"/>
                <w:spacing w:val="2"/>
                <w:sz w:val="20"/>
                <w:szCs w:val="20"/>
                <w:shd w:val="solid" w:color="000000" w:fill="000000"/>
                <w:fitText w:val="400" w:id="-1435748592"/>
                <w14:textFill>
                  <w14:solidFill>
                    <w14:srgbClr w14:val="000000">
                      <w14:alpha w14:val="100000"/>
                    </w14:srgbClr>
                  </w14:solidFill>
                </w14:textFill>
              </w:rPr>
              <w:t>|</w:t>
            </w:r>
          </w:p>
        </w:tc>
      </w:tr>
      <w:tr w:rsidR="004C5508" w:rsidRPr="001F281D" w14:paraId="298B0825" w14:textId="77777777" w:rsidTr="00367788">
        <w:tc>
          <w:tcPr>
            <w:tcW w:w="13950" w:type="dxa"/>
            <w:gridSpan w:val="8"/>
            <w:tcBorders>
              <w:top w:val="single" w:sz="4" w:space="0" w:color="auto"/>
              <w:left w:val="single" w:sz="4" w:space="0" w:color="auto"/>
              <w:bottom w:val="single" w:sz="4" w:space="0" w:color="auto"/>
              <w:right w:val="single" w:sz="4" w:space="0" w:color="auto"/>
            </w:tcBorders>
            <w:hideMark/>
          </w:tcPr>
          <w:p w14:paraId="7AD3C720" w14:textId="77777777" w:rsidR="00367788" w:rsidRPr="001F281D" w:rsidRDefault="00367788">
            <w:pPr>
              <w:keepNext/>
              <w:jc w:val="left"/>
              <w:rPr>
                <w:rFonts w:ascii="Arial Narrow" w:hAnsi="Arial Narrow"/>
                <w:b/>
                <w:bCs/>
                <w:iCs/>
                <w:sz w:val="20"/>
                <w:szCs w:val="20"/>
              </w:rPr>
            </w:pPr>
            <w:r w:rsidRPr="001F281D">
              <w:rPr>
                <w:rFonts w:ascii="Arial Narrow" w:hAnsi="Arial Narrow"/>
                <w:b/>
                <w:bCs/>
                <w:iCs/>
                <w:sz w:val="20"/>
                <w:szCs w:val="20"/>
              </w:rPr>
              <w:t>Average LDL-C: 2.2 mmol/L (based on FOURIER, as reported in PSCR)</w:t>
            </w:r>
          </w:p>
        </w:tc>
      </w:tr>
      <w:tr w:rsidR="004C5508" w:rsidRPr="001F281D" w14:paraId="27C68B10" w14:textId="77777777" w:rsidTr="00367788">
        <w:tc>
          <w:tcPr>
            <w:tcW w:w="2406" w:type="dxa"/>
            <w:tcBorders>
              <w:top w:val="single" w:sz="4" w:space="0" w:color="auto"/>
              <w:left w:val="single" w:sz="4" w:space="0" w:color="auto"/>
              <w:bottom w:val="single" w:sz="4" w:space="0" w:color="auto"/>
              <w:right w:val="single" w:sz="4" w:space="0" w:color="auto"/>
            </w:tcBorders>
            <w:hideMark/>
          </w:tcPr>
          <w:p w14:paraId="55C42E1C" w14:textId="77777777" w:rsidR="00367788" w:rsidRPr="001F281D" w:rsidRDefault="00367788">
            <w:pPr>
              <w:keepNext/>
              <w:jc w:val="left"/>
              <w:rPr>
                <w:rFonts w:ascii="Arial Narrow" w:hAnsi="Arial Narrow"/>
                <w:iCs/>
                <w:sz w:val="20"/>
                <w:szCs w:val="20"/>
              </w:rPr>
            </w:pPr>
            <w:r w:rsidRPr="001F281D">
              <w:rPr>
                <w:rFonts w:ascii="Arial Narrow" w:hAnsi="Arial Narrow"/>
                <w:iCs/>
                <w:sz w:val="20"/>
                <w:szCs w:val="20"/>
              </w:rPr>
              <w:t>Price based on base case estimates</w:t>
            </w:r>
          </w:p>
        </w:tc>
        <w:tc>
          <w:tcPr>
            <w:tcW w:w="1650" w:type="dxa"/>
            <w:tcBorders>
              <w:top w:val="single" w:sz="4" w:space="0" w:color="auto"/>
              <w:left w:val="single" w:sz="4" w:space="0" w:color="auto"/>
              <w:bottom w:val="single" w:sz="4" w:space="0" w:color="auto"/>
              <w:right w:val="single" w:sz="4" w:space="0" w:color="auto"/>
            </w:tcBorders>
            <w:vAlign w:val="center"/>
            <w:hideMark/>
          </w:tcPr>
          <w:p w14:paraId="6229CAA0" w14:textId="342E2C6C" w:rsidR="00367788" w:rsidRPr="001F281D" w:rsidRDefault="00367788">
            <w:pPr>
              <w:keepNext/>
              <w:jc w:val="center"/>
              <w:rPr>
                <w:rFonts w:ascii="Arial Narrow" w:hAnsi="Arial Narrow"/>
                <w:iCs/>
                <w:sz w:val="20"/>
                <w:szCs w:val="20"/>
              </w:rPr>
            </w:pPr>
            <w:r w:rsidRPr="001F281D">
              <w:rPr>
                <w:rFonts w:ascii="Arial Narrow" w:hAnsi="Arial Narrow"/>
                <w:iCs/>
                <w:sz w:val="20"/>
                <w:szCs w:val="20"/>
              </w:rPr>
              <w:t>$</w:t>
            </w:r>
            <w:r w:rsidR="00650CB8" w:rsidRPr="00650CB8">
              <w:rPr>
                <w:rFonts w:ascii="Arial Narrow" w:hAnsi="Arial Narrow"/>
                <w:iCs/>
                <w:color w:val="000000"/>
                <w:spacing w:val="56"/>
                <w:sz w:val="20"/>
                <w:szCs w:val="20"/>
                <w:shd w:val="solid" w:color="000000" w:fill="000000"/>
                <w:fitText w:val="340" w:id="-1435748608"/>
                <w14:textFill>
                  <w14:solidFill>
                    <w14:srgbClr w14:val="000000">
                      <w14:alpha w14:val="100000"/>
                    </w14:srgbClr>
                  </w14:solidFill>
                </w14:textFill>
              </w:rPr>
              <w:t>|||</w:t>
            </w:r>
            <w:r w:rsidR="00650CB8" w:rsidRPr="00650CB8">
              <w:rPr>
                <w:rFonts w:ascii="Arial Narrow" w:hAnsi="Arial Narrow"/>
                <w:iCs/>
                <w:color w:val="000000"/>
                <w:spacing w:val="2"/>
                <w:sz w:val="20"/>
                <w:szCs w:val="20"/>
                <w:shd w:val="solid" w:color="000000" w:fill="000000"/>
                <w:fitText w:val="340" w:id="-1435748608"/>
                <w14:textFill>
                  <w14:solidFill>
                    <w14:srgbClr w14:val="000000">
                      <w14:alpha w14:val="100000"/>
                    </w14:srgbClr>
                  </w14:solidFill>
                </w14:textFill>
              </w:rPr>
              <w:t>|</w:t>
            </w:r>
          </w:p>
        </w:tc>
        <w:tc>
          <w:tcPr>
            <w:tcW w:w="1649" w:type="dxa"/>
            <w:tcBorders>
              <w:top w:val="single" w:sz="4" w:space="0" w:color="auto"/>
              <w:left w:val="single" w:sz="4" w:space="0" w:color="auto"/>
              <w:bottom w:val="single" w:sz="4" w:space="0" w:color="auto"/>
              <w:right w:val="single" w:sz="4" w:space="0" w:color="auto"/>
            </w:tcBorders>
            <w:vAlign w:val="center"/>
            <w:hideMark/>
          </w:tcPr>
          <w:p w14:paraId="784F4FE3" w14:textId="77777777" w:rsidR="00367788" w:rsidRPr="001F281D" w:rsidRDefault="00367788">
            <w:pPr>
              <w:keepNext/>
              <w:jc w:val="center"/>
              <w:rPr>
                <w:rFonts w:ascii="Arial Narrow" w:hAnsi="Arial Narrow"/>
                <w:iCs/>
                <w:sz w:val="20"/>
                <w:szCs w:val="20"/>
              </w:rPr>
            </w:pPr>
            <w:r w:rsidRPr="001F281D">
              <w:rPr>
                <w:rFonts w:ascii="Arial Narrow" w:hAnsi="Arial Narrow"/>
                <w:iCs/>
                <w:sz w:val="20"/>
                <w:szCs w:val="20"/>
              </w:rPr>
              <w:t>0.2675</w:t>
            </w:r>
          </w:p>
        </w:tc>
        <w:tc>
          <w:tcPr>
            <w:tcW w:w="1649" w:type="dxa"/>
            <w:tcBorders>
              <w:top w:val="single" w:sz="4" w:space="0" w:color="auto"/>
              <w:left w:val="single" w:sz="4" w:space="0" w:color="auto"/>
              <w:bottom w:val="single" w:sz="4" w:space="0" w:color="auto"/>
              <w:right w:val="single" w:sz="4" w:space="0" w:color="auto"/>
            </w:tcBorders>
            <w:vAlign w:val="center"/>
            <w:hideMark/>
          </w:tcPr>
          <w:p w14:paraId="15B8A9A9" w14:textId="43D2E1F3" w:rsidR="00367788" w:rsidRPr="001F281D" w:rsidRDefault="00367788">
            <w:pPr>
              <w:keepNext/>
              <w:jc w:val="center"/>
              <w:rPr>
                <w:rFonts w:ascii="Arial Narrow" w:hAnsi="Arial Narrow"/>
                <w:iCs/>
                <w:sz w:val="20"/>
                <w:szCs w:val="20"/>
              </w:rPr>
            </w:pPr>
            <w:r w:rsidRPr="001F281D">
              <w:rPr>
                <w:rFonts w:ascii="Arial Narrow" w:hAnsi="Arial Narrow"/>
                <w:iCs/>
                <w:sz w:val="20"/>
                <w:szCs w:val="20"/>
              </w:rPr>
              <w:t>$</w:t>
            </w:r>
            <w:r w:rsidR="00650CB8" w:rsidRPr="00650CB8">
              <w:rPr>
                <w:rFonts w:ascii="Arial Narrow" w:hAnsi="Arial Narrow"/>
                <w:iCs/>
                <w:color w:val="000000"/>
                <w:spacing w:val="79"/>
                <w:sz w:val="20"/>
                <w:szCs w:val="20"/>
                <w:shd w:val="solid" w:color="000000" w:fill="000000"/>
                <w:fitText w:val="410" w:id="-1435748607"/>
                <w14:textFill>
                  <w14:solidFill>
                    <w14:srgbClr w14:val="000000">
                      <w14:alpha w14:val="100000"/>
                    </w14:srgbClr>
                  </w14:solidFill>
                </w14:textFill>
              </w:rPr>
              <w:t>|||</w:t>
            </w:r>
            <w:r w:rsidR="00650CB8" w:rsidRPr="00650CB8">
              <w:rPr>
                <w:rFonts w:ascii="Arial Narrow" w:hAnsi="Arial Narrow"/>
                <w:iCs/>
                <w:color w:val="000000"/>
                <w:spacing w:val="3"/>
                <w:sz w:val="20"/>
                <w:szCs w:val="20"/>
                <w:shd w:val="solid" w:color="000000" w:fill="000000"/>
                <w:fitText w:val="410" w:id="-1435748607"/>
                <w14:textFill>
                  <w14:solidFill>
                    <w14:srgbClr w14:val="000000">
                      <w14:alpha w14:val="100000"/>
                    </w14:srgbClr>
                  </w14:solidFill>
                </w14:textFill>
              </w:rPr>
              <w:t>|</w:t>
            </w:r>
            <w:r w:rsidR="00E968BB">
              <w:rPr>
                <w:rFonts w:ascii="Arial Narrow" w:hAnsi="Arial Narrow"/>
                <w:iCs/>
                <w:sz w:val="20"/>
                <w:szCs w:val="20"/>
                <w:vertAlign w:val="superscript"/>
              </w:rPr>
              <w:t>1</w:t>
            </w:r>
          </w:p>
        </w:tc>
        <w:tc>
          <w:tcPr>
            <w:tcW w:w="1649" w:type="dxa"/>
            <w:tcBorders>
              <w:top w:val="single" w:sz="4" w:space="0" w:color="auto"/>
              <w:left w:val="single" w:sz="4" w:space="0" w:color="auto"/>
              <w:bottom w:val="single" w:sz="4" w:space="0" w:color="auto"/>
              <w:right w:val="single" w:sz="4" w:space="0" w:color="auto"/>
            </w:tcBorders>
            <w:vAlign w:val="center"/>
            <w:hideMark/>
          </w:tcPr>
          <w:p w14:paraId="685164FA" w14:textId="7909FA62" w:rsidR="00367788" w:rsidRPr="001F281D" w:rsidRDefault="00367788">
            <w:pPr>
              <w:keepNext/>
              <w:jc w:val="center"/>
              <w:rPr>
                <w:rFonts w:ascii="Arial Narrow" w:hAnsi="Arial Narrow"/>
                <w:iCs/>
                <w:sz w:val="20"/>
                <w:szCs w:val="20"/>
              </w:rPr>
            </w:pPr>
            <w:r w:rsidRPr="001F281D">
              <w:rPr>
                <w:rFonts w:ascii="Arial Narrow" w:hAnsi="Arial Narrow"/>
                <w:iCs/>
                <w:sz w:val="20"/>
                <w:szCs w:val="20"/>
              </w:rPr>
              <w:t>$</w:t>
            </w:r>
            <w:r w:rsidR="00650CB8" w:rsidRPr="00650CB8">
              <w:rPr>
                <w:rFonts w:ascii="Arial Narrow" w:hAnsi="Arial Narrow"/>
                <w:iCs/>
                <w:color w:val="000000"/>
                <w:spacing w:val="49"/>
                <w:sz w:val="20"/>
                <w:szCs w:val="20"/>
                <w:shd w:val="solid" w:color="000000" w:fill="000000"/>
                <w:fitText w:val="320" w:id="-1435748606"/>
                <w14:textFill>
                  <w14:solidFill>
                    <w14:srgbClr w14:val="000000">
                      <w14:alpha w14:val="100000"/>
                    </w14:srgbClr>
                  </w14:solidFill>
                </w14:textFill>
              </w:rPr>
              <w:t>|||</w:t>
            </w:r>
            <w:r w:rsidR="00650CB8" w:rsidRPr="00650CB8">
              <w:rPr>
                <w:rFonts w:ascii="Arial Narrow" w:hAnsi="Arial Narrow"/>
                <w:iCs/>
                <w:color w:val="000000"/>
                <w:spacing w:val="3"/>
                <w:sz w:val="20"/>
                <w:szCs w:val="20"/>
                <w:shd w:val="solid" w:color="000000" w:fill="000000"/>
                <w:fitText w:val="320" w:id="-1435748606"/>
                <w14:textFill>
                  <w14:solidFill>
                    <w14:srgbClr w14:val="000000">
                      <w14:alpha w14:val="100000"/>
                    </w14:srgbClr>
                  </w14:solidFill>
                </w14:textFill>
              </w:rPr>
              <w:t>|</w:t>
            </w:r>
          </w:p>
        </w:tc>
        <w:tc>
          <w:tcPr>
            <w:tcW w:w="1649" w:type="dxa"/>
            <w:tcBorders>
              <w:top w:val="single" w:sz="4" w:space="0" w:color="auto"/>
              <w:left w:val="single" w:sz="4" w:space="0" w:color="auto"/>
              <w:bottom w:val="single" w:sz="4" w:space="0" w:color="auto"/>
              <w:right w:val="single" w:sz="4" w:space="0" w:color="auto"/>
            </w:tcBorders>
            <w:vAlign w:val="center"/>
            <w:hideMark/>
          </w:tcPr>
          <w:p w14:paraId="159BA796" w14:textId="3DB9F4DE" w:rsidR="00367788" w:rsidRPr="001F281D" w:rsidRDefault="00650CB8">
            <w:pPr>
              <w:keepNext/>
              <w:jc w:val="center"/>
              <w:rPr>
                <w:rFonts w:ascii="Arial Narrow" w:hAnsi="Arial Narrow"/>
                <w:iCs/>
                <w:sz w:val="20"/>
                <w:szCs w:val="20"/>
              </w:rPr>
            </w:pPr>
            <w:r w:rsidRPr="00650CB8">
              <w:rPr>
                <w:rFonts w:ascii="Arial Narrow" w:hAnsi="Arial Narrow"/>
                <w:iCs/>
                <w:color w:val="000000"/>
                <w:spacing w:val="79"/>
                <w:sz w:val="20"/>
                <w:szCs w:val="20"/>
                <w:shd w:val="solid" w:color="000000" w:fill="000000"/>
                <w:fitText w:val="410" w:id="-1435748605"/>
                <w14:textFill>
                  <w14:solidFill>
                    <w14:srgbClr w14:val="000000">
                      <w14:alpha w14:val="100000"/>
                    </w14:srgbClr>
                  </w14:solidFill>
                </w14:textFill>
              </w:rPr>
              <w:t>|||</w:t>
            </w:r>
            <w:r w:rsidRPr="00650CB8">
              <w:rPr>
                <w:rFonts w:ascii="Arial Narrow" w:hAnsi="Arial Narrow"/>
                <w:iCs/>
                <w:color w:val="000000"/>
                <w:spacing w:val="3"/>
                <w:sz w:val="20"/>
                <w:szCs w:val="20"/>
                <w:shd w:val="solid" w:color="000000" w:fill="000000"/>
                <w:fitText w:val="410" w:id="-1435748605"/>
                <w14:textFill>
                  <w14:solidFill>
                    <w14:srgbClr w14:val="000000">
                      <w14:alpha w14:val="100000"/>
                    </w14:srgbClr>
                  </w14:solidFill>
                </w14:textFill>
              </w:rPr>
              <w:t>|</w:t>
            </w:r>
            <w:r w:rsidR="00367788" w:rsidRPr="001F281D">
              <w:rPr>
                <w:rFonts w:ascii="Arial Narrow" w:hAnsi="Arial Narrow"/>
                <w:iCs/>
                <w:sz w:val="20"/>
                <w:szCs w:val="20"/>
              </w:rPr>
              <w:t>%</w:t>
            </w:r>
          </w:p>
        </w:tc>
        <w:tc>
          <w:tcPr>
            <w:tcW w:w="1649" w:type="dxa"/>
            <w:tcBorders>
              <w:top w:val="single" w:sz="4" w:space="0" w:color="auto"/>
              <w:left w:val="single" w:sz="4" w:space="0" w:color="auto"/>
              <w:bottom w:val="single" w:sz="4" w:space="0" w:color="auto"/>
              <w:right w:val="single" w:sz="4" w:space="0" w:color="auto"/>
            </w:tcBorders>
            <w:vAlign w:val="center"/>
            <w:hideMark/>
          </w:tcPr>
          <w:p w14:paraId="0F78D407" w14:textId="56D888DF" w:rsidR="00367788" w:rsidRPr="001F281D" w:rsidRDefault="00650CB8">
            <w:pPr>
              <w:keepNext/>
              <w:jc w:val="center"/>
              <w:rPr>
                <w:rFonts w:ascii="Arial Narrow" w:hAnsi="Arial Narrow"/>
                <w:iCs/>
                <w:sz w:val="20"/>
                <w:szCs w:val="20"/>
              </w:rPr>
            </w:pPr>
            <w:r w:rsidRPr="00650CB8">
              <w:rPr>
                <w:rFonts w:ascii="Arial Narrow" w:hAnsi="Arial Narrow"/>
                <w:iCs/>
                <w:color w:val="000000"/>
                <w:spacing w:val="79"/>
                <w:sz w:val="20"/>
                <w:szCs w:val="20"/>
                <w:shd w:val="solid" w:color="000000" w:fill="000000"/>
                <w:fitText w:val="410" w:id="-1435748604"/>
                <w14:textFill>
                  <w14:solidFill>
                    <w14:srgbClr w14:val="000000">
                      <w14:alpha w14:val="100000"/>
                    </w14:srgbClr>
                  </w14:solidFill>
                </w14:textFill>
              </w:rPr>
              <w:t>|||</w:t>
            </w:r>
            <w:r w:rsidRPr="00650CB8">
              <w:rPr>
                <w:rFonts w:ascii="Arial Narrow" w:hAnsi="Arial Narrow"/>
                <w:iCs/>
                <w:color w:val="000000"/>
                <w:spacing w:val="3"/>
                <w:sz w:val="20"/>
                <w:szCs w:val="20"/>
                <w:shd w:val="solid" w:color="000000" w:fill="000000"/>
                <w:fitText w:val="410" w:id="-1435748604"/>
                <w14:textFill>
                  <w14:solidFill>
                    <w14:srgbClr w14:val="000000">
                      <w14:alpha w14:val="100000"/>
                    </w14:srgbClr>
                  </w14:solidFill>
                </w14:textFill>
              </w:rPr>
              <w:t>|</w:t>
            </w:r>
            <w:r w:rsidR="00367788" w:rsidRPr="001F281D">
              <w:rPr>
                <w:rFonts w:ascii="Arial Narrow" w:hAnsi="Arial Narrow"/>
                <w:iCs/>
                <w:sz w:val="20"/>
                <w:szCs w:val="20"/>
              </w:rPr>
              <w:t>%</w:t>
            </w:r>
          </w:p>
        </w:tc>
        <w:tc>
          <w:tcPr>
            <w:tcW w:w="1649" w:type="dxa"/>
            <w:tcBorders>
              <w:top w:val="single" w:sz="4" w:space="0" w:color="auto"/>
              <w:left w:val="single" w:sz="4" w:space="0" w:color="auto"/>
              <w:bottom w:val="single" w:sz="4" w:space="0" w:color="auto"/>
              <w:right w:val="single" w:sz="4" w:space="0" w:color="auto"/>
            </w:tcBorders>
            <w:vAlign w:val="center"/>
            <w:hideMark/>
          </w:tcPr>
          <w:p w14:paraId="296ABC4E" w14:textId="64AC354F" w:rsidR="00367788" w:rsidRPr="001F281D" w:rsidRDefault="00367788">
            <w:pPr>
              <w:keepNext/>
              <w:jc w:val="center"/>
              <w:rPr>
                <w:rFonts w:ascii="Arial Narrow" w:hAnsi="Arial Narrow"/>
                <w:iCs/>
                <w:sz w:val="20"/>
                <w:szCs w:val="20"/>
              </w:rPr>
            </w:pPr>
            <w:r w:rsidRPr="001F281D">
              <w:rPr>
                <w:rFonts w:ascii="Arial Narrow" w:hAnsi="Arial Narrow"/>
                <w:iCs/>
                <w:sz w:val="20"/>
                <w:szCs w:val="20"/>
              </w:rPr>
              <w:t>140 mg: $</w:t>
            </w:r>
            <w:r w:rsidR="00650CB8" w:rsidRPr="00650CB8">
              <w:rPr>
                <w:rFonts w:ascii="Arial Narrow" w:hAnsi="Arial Narrow"/>
                <w:iCs/>
                <w:color w:val="000000"/>
                <w:spacing w:val="76"/>
                <w:sz w:val="20"/>
                <w:szCs w:val="20"/>
                <w:shd w:val="solid" w:color="000000" w:fill="000000"/>
                <w:fitText w:val="400" w:id="-1435748603"/>
                <w14:textFill>
                  <w14:solidFill>
                    <w14:srgbClr w14:val="000000">
                      <w14:alpha w14:val="100000"/>
                    </w14:srgbClr>
                  </w14:solidFill>
                </w14:textFill>
              </w:rPr>
              <w:t>|||</w:t>
            </w:r>
            <w:r w:rsidR="00650CB8" w:rsidRPr="00650CB8">
              <w:rPr>
                <w:rFonts w:ascii="Arial Narrow" w:hAnsi="Arial Narrow"/>
                <w:iCs/>
                <w:color w:val="000000"/>
                <w:spacing w:val="2"/>
                <w:sz w:val="20"/>
                <w:szCs w:val="20"/>
                <w:shd w:val="solid" w:color="000000" w:fill="000000"/>
                <w:fitText w:val="400" w:id="-1435748603"/>
                <w14:textFill>
                  <w14:solidFill>
                    <w14:srgbClr w14:val="000000">
                      <w14:alpha w14:val="100000"/>
                    </w14:srgbClr>
                  </w14:solidFill>
                </w14:textFill>
              </w:rPr>
              <w:t>|</w:t>
            </w:r>
          </w:p>
          <w:p w14:paraId="7EC6B2CE" w14:textId="4CFCD4A9" w:rsidR="00367788" w:rsidRPr="001F281D" w:rsidRDefault="00367788">
            <w:pPr>
              <w:keepNext/>
              <w:jc w:val="center"/>
              <w:rPr>
                <w:rFonts w:ascii="Arial Narrow" w:hAnsi="Arial Narrow"/>
                <w:iCs/>
                <w:sz w:val="20"/>
                <w:szCs w:val="20"/>
              </w:rPr>
            </w:pPr>
            <w:r w:rsidRPr="001F281D">
              <w:rPr>
                <w:rFonts w:ascii="Arial Narrow" w:hAnsi="Arial Narrow"/>
                <w:iCs/>
                <w:sz w:val="20"/>
                <w:szCs w:val="20"/>
              </w:rPr>
              <w:t>420 mg: $</w:t>
            </w:r>
            <w:r w:rsidR="00650CB8" w:rsidRPr="00650CB8">
              <w:rPr>
                <w:rFonts w:ascii="Arial Narrow" w:hAnsi="Arial Narrow"/>
                <w:iCs/>
                <w:color w:val="000000"/>
                <w:spacing w:val="76"/>
                <w:sz w:val="20"/>
                <w:szCs w:val="20"/>
                <w:shd w:val="solid" w:color="000000" w:fill="000000"/>
                <w:fitText w:val="400" w:id="-1435748602"/>
                <w14:textFill>
                  <w14:solidFill>
                    <w14:srgbClr w14:val="000000">
                      <w14:alpha w14:val="100000"/>
                    </w14:srgbClr>
                  </w14:solidFill>
                </w14:textFill>
              </w:rPr>
              <w:t>|||</w:t>
            </w:r>
            <w:r w:rsidR="00650CB8" w:rsidRPr="00650CB8">
              <w:rPr>
                <w:rFonts w:ascii="Arial Narrow" w:hAnsi="Arial Narrow"/>
                <w:iCs/>
                <w:color w:val="000000"/>
                <w:spacing w:val="2"/>
                <w:sz w:val="20"/>
                <w:szCs w:val="20"/>
                <w:shd w:val="solid" w:color="000000" w:fill="000000"/>
                <w:fitText w:val="400" w:id="-1435748602"/>
                <w14:textFill>
                  <w14:solidFill>
                    <w14:srgbClr w14:val="000000">
                      <w14:alpha w14:val="100000"/>
                    </w14:srgbClr>
                  </w14:solidFill>
                </w14:textFill>
              </w:rPr>
              <w:t>|</w:t>
            </w:r>
          </w:p>
        </w:tc>
      </w:tr>
      <w:tr w:rsidR="004C5508" w:rsidRPr="001F281D" w14:paraId="0F37FA22" w14:textId="77777777" w:rsidTr="00367788">
        <w:tc>
          <w:tcPr>
            <w:tcW w:w="2406" w:type="dxa"/>
            <w:tcBorders>
              <w:top w:val="single" w:sz="4" w:space="0" w:color="auto"/>
              <w:left w:val="single" w:sz="4" w:space="0" w:color="auto"/>
              <w:bottom w:val="single" w:sz="4" w:space="0" w:color="auto"/>
              <w:right w:val="single" w:sz="4" w:space="0" w:color="auto"/>
            </w:tcBorders>
            <w:hideMark/>
          </w:tcPr>
          <w:p w14:paraId="06D1B2F7" w14:textId="241D76C4" w:rsidR="00367788" w:rsidRPr="001F281D" w:rsidRDefault="00367788">
            <w:pPr>
              <w:keepNext/>
              <w:jc w:val="left"/>
              <w:rPr>
                <w:rFonts w:ascii="Arial Narrow" w:hAnsi="Arial Narrow"/>
                <w:iCs/>
                <w:sz w:val="20"/>
                <w:szCs w:val="20"/>
              </w:rPr>
            </w:pPr>
            <w:r w:rsidRPr="001F281D">
              <w:rPr>
                <w:rFonts w:ascii="Arial Narrow" w:hAnsi="Arial Narrow"/>
                <w:iCs/>
                <w:sz w:val="20"/>
                <w:szCs w:val="20"/>
              </w:rPr>
              <w:t>Price based on $</w:t>
            </w:r>
            <w:r w:rsidR="00D05F5F">
              <w:rPr>
                <w:rFonts w:ascii="Arial Narrow" w:hAnsi="Arial Narrow"/>
                <w:iCs/>
                <w:sz w:val="20"/>
                <w:szCs w:val="20"/>
              </w:rPr>
              <w:t xml:space="preserve">25,000 </w:t>
            </w:r>
            <w:r w:rsidR="00DF54A9">
              <w:rPr>
                <w:rFonts w:ascii="Arial Narrow" w:hAnsi="Arial Narrow"/>
                <w:iCs/>
                <w:sz w:val="20"/>
                <w:szCs w:val="20"/>
              </w:rPr>
              <w:t xml:space="preserve">to </w:t>
            </w:r>
            <w:r w:rsidR="00DF54A9" w:rsidRPr="00DF54A9">
              <w:rPr>
                <w:rFonts w:ascii="Arial Narrow" w:hAnsi="Arial Narrow"/>
                <w:iCs/>
                <w:sz w:val="20"/>
                <w:szCs w:val="20"/>
              </w:rPr>
              <w:t>&lt;</w:t>
            </w:r>
            <w:r w:rsidR="00D05F5F">
              <w:rPr>
                <w:rFonts w:ascii="Arial Narrow" w:hAnsi="Arial Narrow"/>
                <w:iCs/>
                <w:sz w:val="20"/>
                <w:szCs w:val="20"/>
              </w:rPr>
              <w:t xml:space="preserve"> </w:t>
            </w:r>
            <w:r w:rsidR="00DF54A9">
              <w:rPr>
                <w:rFonts w:ascii="Arial Narrow" w:hAnsi="Arial Narrow"/>
                <w:iCs/>
                <w:sz w:val="20"/>
                <w:szCs w:val="20"/>
              </w:rPr>
              <w:t>$</w:t>
            </w:r>
            <w:r w:rsidRPr="001F281D">
              <w:rPr>
                <w:rFonts w:ascii="Arial Narrow" w:hAnsi="Arial Narrow"/>
                <w:iCs/>
                <w:sz w:val="20"/>
                <w:szCs w:val="20"/>
              </w:rPr>
              <w:t>3</w:t>
            </w:r>
            <w:r w:rsidR="00D05F5F">
              <w:rPr>
                <w:rFonts w:ascii="Arial Narrow" w:hAnsi="Arial Narrow"/>
                <w:iCs/>
                <w:sz w:val="20"/>
                <w:szCs w:val="20"/>
              </w:rPr>
              <w:t>5</w:t>
            </w:r>
            <w:r w:rsidRPr="001F281D">
              <w:rPr>
                <w:rFonts w:ascii="Arial Narrow" w:hAnsi="Arial Narrow"/>
                <w:iCs/>
                <w:sz w:val="20"/>
                <w:szCs w:val="20"/>
              </w:rPr>
              <w:t>,000/QALY threshold</w:t>
            </w:r>
          </w:p>
        </w:tc>
        <w:tc>
          <w:tcPr>
            <w:tcW w:w="1650" w:type="dxa"/>
            <w:tcBorders>
              <w:top w:val="single" w:sz="4" w:space="0" w:color="auto"/>
              <w:left w:val="single" w:sz="4" w:space="0" w:color="auto"/>
              <w:bottom w:val="single" w:sz="4" w:space="0" w:color="auto"/>
              <w:right w:val="single" w:sz="4" w:space="0" w:color="auto"/>
            </w:tcBorders>
            <w:vAlign w:val="center"/>
            <w:hideMark/>
          </w:tcPr>
          <w:p w14:paraId="35CB7284" w14:textId="1918B9D1" w:rsidR="00367788" w:rsidRPr="001F281D" w:rsidRDefault="00367788">
            <w:pPr>
              <w:keepNext/>
              <w:jc w:val="center"/>
              <w:rPr>
                <w:rFonts w:ascii="Arial Narrow" w:hAnsi="Arial Narrow"/>
                <w:iCs/>
                <w:sz w:val="20"/>
                <w:szCs w:val="20"/>
              </w:rPr>
            </w:pPr>
            <w:r w:rsidRPr="001F281D">
              <w:rPr>
                <w:rFonts w:ascii="Arial Narrow" w:hAnsi="Arial Narrow"/>
                <w:iCs/>
                <w:sz w:val="20"/>
                <w:szCs w:val="20"/>
              </w:rPr>
              <w:t>$</w:t>
            </w:r>
            <w:r w:rsidR="00650CB8" w:rsidRPr="00650CB8">
              <w:rPr>
                <w:rFonts w:ascii="Arial Narrow" w:hAnsi="Arial Narrow"/>
                <w:iCs/>
                <w:color w:val="000000"/>
                <w:spacing w:val="56"/>
                <w:sz w:val="20"/>
                <w:szCs w:val="20"/>
                <w:shd w:val="solid" w:color="000000" w:fill="000000"/>
                <w:fitText w:val="340" w:id="-1435748601"/>
                <w14:textFill>
                  <w14:solidFill>
                    <w14:srgbClr w14:val="000000">
                      <w14:alpha w14:val="100000"/>
                    </w14:srgbClr>
                  </w14:solidFill>
                </w14:textFill>
              </w:rPr>
              <w:t>|||</w:t>
            </w:r>
            <w:r w:rsidR="00650CB8" w:rsidRPr="00650CB8">
              <w:rPr>
                <w:rFonts w:ascii="Arial Narrow" w:hAnsi="Arial Narrow"/>
                <w:iCs/>
                <w:color w:val="000000"/>
                <w:spacing w:val="2"/>
                <w:sz w:val="20"/>
                <w:szCs w:val="20"/>
                <w:shd w:val="solid" w:color="000000" w:fill="000000"/>
                <w:fitText w:val="340" w:id="-1435748601"/>
                <w14:textFill>
                  <w14:solidFill>
                    <w14:srgbClr w14:val="000000">
                      <w14:alpha w14:val="100000"/>
                    </w14:srgbClr>
                  </w14:solidFill>
                </w14:textFill>
              </w:rPr>
              <w:t>|</w:t>
            </w:r>
          </w:p>
        </w:tc>
        <w:tc>
          <w:tcPr>
            <w:tcW w:w="1649" w:type="dxa"/>
            <w:tcBorders>
              <w:top w:val="single" w:sz="4" w:space="0" w:color="auto"/>
              <w:left w:val="single" w:sz="4" w:space="0" w:color="auto"/>
              <w:bottom w:val="single" w:sz="4" w:space="0" w:color="auto"/>
              <w:right w:val="single" w:sz="4" w:space="0" w:color="auto"/>
            </w:tcBorders>
            <w:vAlign w:val="center"/>
            <w:hideMark/>
          </w:tcPr>
          <w:p w14:paraId="58F5020D" w14:textId="77777777" w:rsidR="00367788" w:rsidRPr="001F281D" w:rsidRDefault="00367788">
            <w:pPr>
              <w:keepNext/>
              <w:jc w:val="center"/>
              <w:rPr>
                <w:rFonts w:ascii="Arial Narrow" w:hAnsi="Arial Narrow"/>
                <w:iCs/>
                <w:sz w:val="20"/>
                <w:szCs w:val="20"/>
              </w:rPr>
            </w:pPr>
            <w:r w:rsidRPr="001F281D">
              <w:rPr>
                <w:rFonts w:ascii="Arial Narrow" w:hAnsi="Arial Narrow"/>
                <w:iCs/>
                <w:sz w:val="20"/>
                <w:szCs w:val="20"/>
              </w:rPr>
              <w:t>0.2675</w:t>
            </w:r>
          </w:p>
        </w:tc>
        <w:tc>
          <w:tcPr>
            <w:tcW w:w="1649" w:type="dxa"/>
            <w:tcBorders>
              <w:top w:val="single" w:sz="4" w:space="0" w:color="auto"/>
              <w:left w:val="single" w:sz="4" w:space="0" w:color="auto"/>
              <w:bottom w:val="single" w:sz="4" w:space="0" w:color="auto"/>
              <w:right w:val="single" w:sz="4" w:space="0" w:color="auto"/>
            </w:tcBorders>
            <w:vAlign w:val="center"/>
            <w:hideMark/>
          </w:tcPr>
          <w:p w14:paraId="4A5C8D3B" w14:textId="740AAEB9" w:rsidR="00367788" w:rsidRPr="001F281D" w:rsidRDefault="00367788">
            <w:pPr>
              <w:keepNext/>
              <w:jc w:val="center"/>
              <w:rPr>
                <w:rFonts w:ascii="Arial Narrow" w:hAnsi="Arial Narrow"/>
                <w:iCs/>
                <w:sz w:val="20"/>
                <w:szCs w:val="20"/>
              </w:rPr>
            </w:pPr>
            <w:r w:rsidRPr="001F281D">
              <w:rPr>
                <w:rFonts w:ascii="Arial Narrow" w:hAnsi="Arial Narrow"/>
                <w:iCs/>
                <w:sz w:val="20"/>
                <w:szCs w:val="20"/>
              </w:rPr>
              <w:t>$</w:t>
            </w:r>
            <w:r w:rsidR="00650CB8" w:rsidRPr="00650CB8">
              <w:rPr>
                <w:rFonts w:ascii="Arial Narrow" w:hAnsi="Arial Narrow"/>
                <w:iCs/>
                <w:color w:val="000000"/>
                <w:spacing w:val="79"/>
                <w:sz w:val="20"/>
                <w:szCs w:val="20"/>
                <w:shd w:val="solid" w:color="000000" w:fill="000000"/>
                <w:fitText w:val="410" w:id="-1435748600"/>
                <w14:textFill>
                  <w14:solidFill>
                    <w14:srgbClr w14:val="000000">
                      <w14:alpha w14:val="100000"/>
                    </w14:srgbClr>
                  </w14:solidFill>
                </w14:textFill>
              </w:rPr>
              <w:t>|||</w:t>
            </w:r>
            <w:r w:rsidR="00650CB8" w:rsidRPr="00650CB8">
              <w:rPr>
                <w:rFonts w:ascii="Arial Narrow" w:hAnsi="Arial Narrow"/>
                <w:iCs/>
                <w:color w:val="000000"/>
                <w:spacing w:val="3"/>
                <w:sz w:val="20"/>
                <w:szCs w:val="20"/>
                <w:shd w:val="solid" w:color="000000" w:fill="000000"/>
                <w:fitText w:val="410" w:id="-1435748600"/>
                <w14:textFill>
                  <w14:solidFill>
                    <w14:srgbClr w14:val="000000">
                      <w14:alpha w14:val="100000"/>
                    </w14:srgbClr>
                  </w14:solidFill>
                </w14:textFill>
              </w:rPr>
              <w:t>|</w:t>
            </w:r>
            <w:r w:rsidR="00E968BB">
              <w:rPr>
                <w:rFonts w:ascii="Arial Narrow" w:hAnsi="Arial Narrow"/>
                <w:iCs/>
                <w:sz w:val="20"/>
                <w:szCs w:val="20"/>
                <w:vertAlign w:val="superscript"/>
              </w:rPr>
              <w:t>1</w:t>
            </w:r>
          </w:p>
        </w:tc>
        <w:tc>
          <w:tcPr>
            <w:tcW w:w="1649" w:type="dxa"/>
            <w:tcBorders>
              <w:top w:val="single" w:sz="4" w:space="0" w:color="auto"/>
              <w:left w:val="single" w:sz="4" w:space="0" w:color="auto"/>
              <w:bottom w:val="single" w:sz="4" w:space="0" w:color="auto"/>
              <w:right w:val="single" w:sz="4" w:space="0" w:color="auto"/>
            </w:tcBorders>
            <w:vAlign w:val="center"/>
            <w:hideMark/>
          </w:tcPr>
          <w:p w14:paraId="5BA2E879" w14:textId="016ABC05" w:rsidR="00367788" w:rsidRPr="001F281D" w:rsidRDefault="00367788">
            <w:pPr>
              <w:keepNext/>
              <w:jc w:val="center"/>
              <w:rPr>
                <w:rFonts w:ascii="Arial Narrow" w:hAnsi="Arial Narrow"/>
                <w:iCs/>
                <w:sz w:val="20"/>
                <w:szCs w:val="20"/>
              </w:rPr>
            </w:pPr>
            <w:r w:rsidRPr="001F281D">
              <w:rPr>
                <w:rFonts w:ascii="Arial Narrow" w:hAnsi="Arial Narrow"/>
                <w:iCs/>
                <w:sz w:val="20"/>
                <w:szCs w:val="20"/>
              </w:rPr>
              <w:t>$</w:t>
            </w:r>
            <w:r w:rsidR="00650CB8" w:rsidRPr="00650CB8">
              <w:rPr>
                <w:rFonts w:ascii="Arial Narrow" w:hAnsi="Arial Narrow"/>
                <w:iCs/>
                <w:color w:val="000000"/>
                <w:spacing w:val="49"/>
                <w:sz w:val="20"/>
                <w:szCs w:val="20"/>
                <w:shd w:val="solid" w:color="000000" w:fill="000000"/>
                <w:fitText w:val="320" w:id="-1435748599"/>
                <w14:textFill>
                  <w14:solidFill>
                    <w14:srgbClr w14:val="000000">
                      <w14:alpha w14:val="100000"/>
                    </w14:srgbClr>
                  </w14:solidFill>
                </w14:textFill>
              </w:rPr>
              <w:t>|||</w:t>
            </w:r>
            <w:r w:rsidR="00650CB8" w:rsidRPr="00650CB8">
              <w:rPr>
                <w:rFonts w:ascii="Arial Narrow" w:hAnsi="Arial Narrow"/>
                <w:iCs/>
                <w:color w:val="000000"/>
                <w:spacing w:val="3"/>
                <w:sz w:val="20"/>
                <w:szCs w:val="20"/>
                <w:shd w:val="solid" w:color="000000" w:fill="000000"/>
                <w:fitText w:val="320" w:id="-1435748599"/>
                <w14:textFill>
                  <w14:solidFill>
                    <w14:srgbClr w14:val="000000">
                      <w14:alpha w14:val="100000"/>
                    </w14:srgbClr>
                  </w14:solidFill>
                </w14:textFill>
              </w:rPr>
              <w:t>|</w:t>
            </w:r>
          </w:p>
        </w:tc>
        <w:tc>
          <w:tcPr>
            <w:tcW w:w="1649" w:type="dxa"/>
            <w:tcBorders>
              <w:top w:val="single" w:sz="4" w:space="0" w:color="auto"/>
              <w:left w:val="single" w:sz="4" w:space="0" w:color="auto"/>
              <w:bottom w:val="single" w:sz="4" w:space="0" w:color="auto"/>
              <w:right w:val="single" w:sz="4" w:space="0" w:color="auto"/>
            </w:tcBorders>
            <w:vAlign w:val="center"/>
            <w:hideMark/>
          </w:tcPr>
          <w:p w14:paraId="13BD5435" w14:textId="01F7D65D" w:rsidR="00367788" w:rsidRPr="001F281D" w:rsidRDefault="00650CB8">
            <w:pPr>
              <w:keepNext/>
              <w:jc w:val="center"/>
              <w:rPr>
                <w:rFonts w:ascii="Arial Narrow" w:hAnsi="Arial Narrow"/>
                <w:iCs/>
                <w:sz w:val="20"/>
                <w:szCs w:val="20"/>
              </w:rPr>
            </w:pPr>
            <w:r w:rsidRPr="00650CB8">
              <w:rPr>
                <w:rFonts w:ascii="Arial Narrow" w:hAnsi="Arial Narrow"/>
                <w:iCs/>
                <w:color w:val="000000"/>
                <w:spacing w:val="79"/>
                <w:sz w:val="20"/>
                <w:szCs w:val="20"/>
                <w:shd w:val="solid" w:color="000000" w:fill="000000"/>
                <w:fitText w:val="410" w:id="-1435748598"/>
                <w14:textFill>
                  <w14:solidFill>
                    <w14:srgbClr w14:val="000000">
                      <w14:alpha w14:val="100000"/>
                    </w14:srgbClr>
                  </w14:solidFill>
                </w14:textFill>
              </w:rPr>
              <w:t>|||</w:t>
            </w:r>
            <w:r w:rsidRPr="00650CB8">
              <w:rPr>
                <w:rFonts w:ascii="Arial Narrow" w:hAnsi="Arial Narrow"/>
                <w:iCs/>
                <w:color w:val="000000"/>
                <w:spacing w:val="3"/>
                <w:sz w:val="20"/>
                <w:szCs w:val="20"/>
                <w:shd w:val="solid" w:color="000000" w:fill="000000"/>
                <w:fitText w:val="410" w:id="-1435748598"/>
                <w14:textFill>
                  <w14:solidFill>
                    <w14:srgbClr w14:val="000000">
                      <w14:alpha w14:val="100000"/>
                    </w14:srgbClr>
                  </w14:solidFill>
                </w14:textFill>
              </w:rPr>
              <w:t>|</w:t>
            </w:r>
            <w:r w:rsidR="00367788" w:rsidRPr="001F281D">
              <w:rPr>
                <w:rFonts w:ascii="Arial Narrow" w:hAnsi="Arial Narrow"/>
                <w:iCs/>
                <w:sz w:val="20"/>
                <w:szCs w:val="20"/>
              </w:rPr>
              <w:t>%</w:t>
            </w:r>
          </w:p>
        </w:tc>
        <w:tc>
          <w:tcPr>
            <w:tcW w:w="1649" w:type="dxa"/>
            <w:tcBorders>
              <w:top w:val="single" w:sz="4" w:space="0" w:color="auto"/>
              <w:left w:val="single" w:sz="4" w:space="0" w:color="auto"/>
              <w:bottom w:val="single" w:sz="4" w:space="0" w:color="auto"/>
              <w:right w:val="single" w:sz="4" w:space="0" w:color="auto"/>
            </w:tcBorders>
            <w:vAlign w:val="center"/>
            <w:hideMark/>
          </w:tcPr>
          <w:p w14:paraId="61543E75" w14:textId="090F2828" w:rsidR="00367788" w:rsidRPr="001F281D" w:rsidRDefault="00650CB8">
            <w:pPr>
              <w:keepNext/>
              <w:jc w:val="center"/>
              <w:rPr>
                <w:rFonts w:ascii="Arial Narrow" w:hAnsi="Arial Narrow"/>
                <w:iCs/>
                <w:sz w:val="20"/>
                <w:szCs w:val="20"/>
              </w:rPr>
            </w:pPr>
            <w:r w:rsidRPr="00650CB8">
              <w:rPr>
                <w:rFonts w:ascii="Arial Narrow" w:hAnsi="Arial Narrow"/>
                <w:iCs/>
                <w:color w:val="000000"/>
                <w:spacing w:val="79"/>
                <w:sz w:val="20"/>
                <w:szCs w:val="20"/>
                <w:shd w:val="solid" w:color="000000" w:fill="000000"/>
                <w:fitText w:val="410" w:id="-1435748597"/>
                <w14:textFill>
                  <w14:solidFill>
                    <w14:srgbClr w14:val="000000">
                      <w14:alpha w14:val="100000"/>
                    </w14:srgbClr>
                  </w14:solidFill>
                </w14:textFill>
              </w:rPr>
              <w:t>|||</w:t>
            </w:r>
            <w:r w:rsidRPr="00650CB8">
              <w:rPr>
                <w:rFonts w:ascii="Arial Narrow" w:hAnsi="Arial Narrow"/>
                <w:iCs/>
                <w:color w:val="000000"/>
                <w:spacing w:val="3"/>
                <w:sz w:val="20"/>
                <w:szCs w:val="20"/>
                <w:shd w:val="solid" w:color="000000" w:fill="000000"/>
                <w:fitText w:val="410" w:id="-1435748597"/>
                <w14:textFill>
                  <w14:solidFill>
                    <w14:srgbClr w14:val="000000">
                      <w14:alpha w14:val="100000"/>
                    </w14:srgbClr>
                  </w14:solidFill>
                </w14:textFill>
              </w:rPr>
              <w:t>|</w:t>
            </w:r>
            <w:r w:rsidR="00367788" w:rsidRPr="001F281D">
              <w:rPr>
                <w:rFonts w:ascii="Arial Narrow" w:hAnsi="Arial Narrow"/>
                <w:iCs/>
                <w:sz w:val="20"/>
                <w:szCs w:val="20"/>
              </w:rPr>
              <w:t>%</w:t>
            </w:r>
          </w:p>
        </w:tc>
        <w:tc>
          <w:tcPr>
            <w:tcW w:w="1649" w:type="dxa"/>
            <w:tcBorders>
              <w:top w:val="single" w:sz="4" w:space="0" w:color="auto"/>
              <w:left w:val="single" w:sz="4" w:space="0" w:color="auto"/>
              <w:bottom w:val="single" w:sz="4" w:space="0" w:color="auto"/>
              <w:right w:val="single" w:sz="4" w:space="0" w:color="auto"/>
            </w:tcBorders>
            <w:vAlign w:val="center"/>
            <w:hideMark/>
          </w:tcPr>
          <w:p w14:paraId="77ECFA19" w14:textId="4FEC86A4" w:rsidR="00367788" w:rsidRPr="001F281D" w:rsidRDefault="00367788">
            <w:pPr>
              <w:keepNext/>
              <w:jc w:val="center"/>
              <w:rPr>
                <w:rFonts w:ascii="Arial Narrow" w:hAnsi="Arial Narrow"/>
                <w:iCs/>
                <w:sz w:val="20"/>
                <w:szCs w:val="20"/>
              </w:rPr>
            </w:pPr>
            <w:r w:rsidRPr="001F281D">
              <w:rPr>
                <w:rFonts w:ascii="Arial Narrow" w:hAnsi="Arial Narrow"/>
                <w:iCs/>
                <w:sz w:val="20"/>
                <w:szCs w:val="20"/>
              </w:rPr>
              <w:t>140 mg: $</w:t>
            </w:r>
            <w:r w:rsidR="00650CB8" w:rsidRPr="00650CB8">
              <w:rPr>
                <w:rFonts w:ascii="Arial Narrow" w:hAnsi="Arial Narrow"/>
                <w:iCs/>
                <w:color w:val="000000"/>
                <w:spacing w:val="76"/>
                <w:sz w:val="20"/>
                <w:szCs w:val="20"/>
                <w:shd w:val="solid" w:color="000000" w:fill="000000"/>
                <w:fitText w:val="400" w:id="-1435748596"/>
                <w14:textFill>
                  <w14:solidFill>
                    <w14:srgbClr w14:val="000000">
                      <w14:alpha w14:val="100000"/>
                    </w14:srgbClr>
                  </w14:solidFill>
                </w14:textFill>
              </w:rPr>
              <w:t>|||</w:t>
            </w:r>
            <w:r w:rsidR="00650CB8" w:rsidRPr="00650CB8">
              <w:rPr>
                <w:rFonts w:ascii="Arial Narrow" w:hAnsi="Arial Narrow"/>
                <w:iCs/>
                <w:color w:val="000000"/>
                <w:spacing w:val="2"/>
                <w:sz w:val="20"/>
                <w:szCs w:val="20"/>
                <w:shd w:val="solid" w:color="000000" w:fill="000000"/>
                <w:fitText w:val="400" w:id="-1435748596"/>
                <w14:textFill>
                  <w14:solidFill>
                    <w14:srgbClr w14:val="000000">
                      <w14:alpha w14:val="100000"/>
                    </w14:srgbClr>
                  </w14:solidFill>
                </w14:textFill>
              </w:rPr>
              <w:t>|</w:t>
            </w:r>
          </w:p>
          <w:p w14:paraId="59438AFD" w14:textId="50E99CC3" w:rsidR="00367788" w:rsidRPr="001F281D" w:rsidRDefault="00367788">
            <w:pPr>
              <w:keepNext/>
              <w:jc w:val="center"/>
              <w:rPr>
                <w:rFonts w:ascii="Arial Narrow" w:hAnsi="Arial Narrow"/>
                <w:iCs/>
                <w:sz w:val="20"/>
                <w:szCs w:val="20"/>
              </w:rPr>
            </w:pPr>
            <w:r w:rsidRPr="001F281D">
              <w:rPr>
                <w:rFonts w:ascii="Arial Narrow" w:hAnsi="Arial Narrow"/>
                <w:iCs/>
                <w:sz w:val="20"/>
                <w:szCs w:val="20"/>
              </w:rPr>
              <w:t>420 mg: $</w:t>
            </w:r>
            <w:r w:rsidR="00650CB8" w:rsidRPr="00650CB8">
              <w:rPr>
                <w:rFonts w:ascii="Arial Narrow" w:hAnsi="Arial Narrow"/>
                <w:iCs/>
                <w:color w:val="000000"/>
                <w:spacing w:val="76"/>
                <w:sz w:val="20"/>
                <w:szCs w:val="20"/>
                <w:shd w:val="solid" w:color="000000" w:fill="000000"/>
                <w:fitText w:val="400" w:id="-1435748595"/>
                <w14:textFill>
                  <w14:solidFill>
                    <w14:srgbClr w14:val="000000">
                      <w14:alpha w14:val="100000"/>
                    </w14:srgbClr>
                  </w14:solidFill>
                </w14:textFill>
              </w:rPr>
              <w:t>|||</w:t>
            </w:r>
            <w:r w:rsidR="00650CB8" w:rsidRPr="00650CB8">
              <w:rPr>
                <w:rFonts w:ascii="Arial Narrow" w:hAnsi="Arial Narrow"/>
                <w:iCs/>
                <w:color w:val="000000"/>
                <w:spacing w:val="2"/>
                <w:sz w:val="20"/>
                <w:szCs w:val="20"/>
                <w:shd w:val="solid" w:color="000000" w:fill="000000"/>
                <w:fitText w:val="400" w:id="-1435748595"/>
                <w14:textFill>
                  <w14:solidFill>
                    <w14:srgbClr w14:val="000000">
                      <w14:alpha w14:val="100000"/>
                    </w14:srgbClr>
                  </w14:solidFill>
                </w14:textFill>
              </w:rPr>
              <w:t>|</w:t>
            </w:r>
          </w:p>
        </w:tc>
      </w:tr>
      <w:tr w:rsidR="004C5508" w:rsidRPr="001F281D" w14:paraId="28057210" w14:textId="77777777" w:rsidTr="00367788">
        <w:tc>
          <w:tcPr>
            <w:tcW w:w="2406" w:type="dxa"/>
            <w:tcBorders>
              <w:top w:val="single" w:sz="4" w:space="0" w:color="auto"/>
              <w:left w:val="single" w:sz="4" w:space="0" w:color="auto"/>
              <w:bottom w:val="single" w:sz="4" w:space="0" w:color="auto"/>
              <w:right w:val="single" w:sz="4" w:space="0" w:color="auto"/>
            </w:tcBorders>
          </w:tcPr>
          <w:p w14:paraId="2DC287AD" w14:textId="1961FB3F" w:rsidR="00270CED" w:rsidRPr="001F281D" w:rsidRDefault="00270CED" w:rsidP="00270CED">
            <w:pPr>
              <w:keepNext/>
              <w:jc w:val="left"/>
              <w:rPr>
                <w:rFonts w:ascii="Arial Narrow" w:hAnsi="Arial Narrow"/>
                <w:iCs/>
                <w:sz w:val="20"/>
                <w:szCs w:val="20"/>
              </w:rPr>
            </w:pPr>
            <w:r w:rsidRPr="001F281D">
              <w:rPr>
                <w:rFonts w:ascii="Arial Narrow" w:hAnsi="Arial Narrow"/>
                <w:iCs/>
                <w:sz w:val="20"/>
                <w:szCs w:val="20"/>
              </w:rPr>
              <w:t>Price based on $25,000</w:t>
            </w:r>
            <w:r w:rsidR="00DF54A9">
              <w:rPr>
                <w:rFonts w:ascii="Arial Narrow" w:hAnsi="Arial Narrow"/>
                <w:iCs/>
                <w:sz w:val="20"/>
                <w:szCs w:val="20"/>
              </w:rPr>
              <w:t xml:space="preserve"> to &lt; </w:t>
            </w:r>
            <w:r w:rsidR="00D05F5F">
              <w:rPr>
                <w:rFonts w:ascii="Arial Narrow" w:hAnsi="Arial Narrow"/>
                <w:iCs/>
                <w:sz w:val="20"/>
                <w:szCs w:val="20"/>
              </w:rPr>
              <w:t>$35,000</w:t>
            </w:r>
            <w:r w:rsidRPr="001F281D">
              <w:rPr>
                <w:rFonts w:ascii="Arial Narrow" w:hAnsi="Arial Narrow"/>
                <w:iCs/>
                <w:sz w:val="20"/>
                <w:szCs w:val="20"/>
              </w:rPr>
              <w:t>/QALY threshold</w:t>
            </w:r>
          </w:p>
        </w:tc>
        <w:tc>
          <w:tcPr>
            <w:tcW w:w="1650" w:type="dxa"/>
            <w:tcBorders>
              <w:top w:val="single" w:sz="4" w:space="0" w:color="auto"/>
              <w:left w:val="single" w:sz="4" w:space="0" w:color="auto"/>
              <w:bottom w:val="single" w:sz="4" w:space="0" w:color="auto"/>
              <w:right w:val="single" w:sz="4" w:space="0" w:color="auto"/>
            </w:tcBorders>
            <w:vAlign w:val="center"/>
          </w:tcPr>
          <w:p w14:paraId="1ADBD3CA" w14:textId="164A202F" w:rsidR="00270CED" w:rsidRPr="001F281D" w:rsidRDefault="00270CED" w:rsidP="00270CED">
            <w:pPr>
              <w:keepNext/>
              <w:jc w:val="center"/>
              <w:rPr>
                <w:rFonts w:ascii="Arial Narrow" w:hAnsi="Arial Narrow"/>
                <w:iCs/>
                <w:sz w:val="20"/>
                <w:szCs w:val="20"/>
              </w:rPr>
            </w:pPr>
            <w:r w:rsidRPr="001F281D">
              <w:rPr>
                <w:rFonts w:ascii="Arial Narrow" w:hAnsi="Arial Narrow"/>
                <w:iCs/>
                <w:sz w:val="20"/>
                <w:szCs w:val="20"/>
              </w:rPr>
              <w:t>$</w:t>
            </w:r>
            <w:r w:rsidR="00650CB8" w:rsidRPr="00650CB8">
              <w:rPr>
                <w:rFonts w:ascii="Arial Narrow" w:hAnsi="Arial Narrow"/>
                <w:iCs/>
                <w:color w:val="000000"/>
                <w:spacing w:val="56"/>
                <w:sz w:val="20"/>
                <w:szCs w:val="20"/>
                <w:shd w:val="solid" w:color="000000" w:fill="000000"/>
                <w:fitText w:val="340" w:id="-1435748594"/>
                <w14:textFill>
                  <w14:solidFill>
                    <w14:srgbClr w14:val="000000">
                      <w14:alpha w14:val="100000"/>
                    </w14:srgbClr>
                  </w14:solidFill>
                </w14:textFill>
              </w:rPr>
              <w:t>|||</w:t>
            </w:r>
            <w:r w:rsidR="00650CB8" w:rsidRPr="00650CB8">
              <w:rPr>
                <w:rFonts w:ascii="Arial Narrow" w:hAnsi="Arial Narrow"/>
                <w:iCs/>
                <w:color w:val="000000"/>
                <w:spacing w:val="2"/>
                <w:sz w:val="20"/>
                <w:szCs w:val="20"/>
                <w:shd w:val="solid" w:color="000000" w:fill="000000"/>
                <w:fitText w:val="340" w:id="-1435748594"/>
                <w14:textFill>
                  <w14:solidFill>
                    <w14:srgbClr w14:val="000000">
                      <w14:alpha w14:val="100000"/>
                    </w14:srgbClr>
                  </w14:solidFill>
                </w14:textFill>
              </w:rPr>
              <w:t>|</w:t>
            </w:r>
          </w:p>
        </w:tc>
        <w:tc>
          <w:tcPr>
            <w:tcW w:w="1649" w:type="dxa"/>
            <w:tcBorders>
              <w:top w:val="single" w:sz="4" w:space="0" w:color="auto"/>
              <w:left w:val="single" w:sz="4" w:space="0" w:color="auto"/>
              <w:bottom w:val="single" w:sz="4" w:space="0" w:color="auto"/>
              <w:right w:val="single" w:sz="4" w:space="0" w:color="auto"/>
            </w:tcBorders>
            <w:vAlign w:val="center"/>
          </w:tcPr>
          <w:p w14:paraId="7E589AFC" w14:textId="7FC481A7" w:rsidR="00270CED" w:rsidRPr="001F281D" w:rsidRDefault="00270CED" w:rsidP="00270CED">
            <w:pPr>
              <w:keepNext/>
              <w:jc w:val="center"/>
              <w:rPr>
                <w:rFonts w:ascii="Arial Narrow" w:hAnsi="Arial Narrow"/>
                <w:iCs/>
                <w:sz w:val="20"/>
                <w:szCs w:val="20"/>
              </w:rPr>
            </w:pPr>
            <w:r w:rsidRPr="001F281D">
              <w:rPr>
                <w:rFonts w:ascii="Arial Narrow" w:hAnsi="Arial Narrow"/>
                <w:iCs/>
                <w:sz w:val="20"/>
                <w:szCs w:val="20"/>
              </w:rPr>
              <w:t>0.267</w:t>
            </w:r>
          </w:p>
        </w:tc>
        <w:tc>
          <w:tcPr>
            <w:tcW w:w="1649" w:type="dxa"/>
            <w:tcBorders>
              <w:top w:val="single" w:sz="4" w:space="0" w:color="auto"/>
              <w:left w:val="single" w:sz="4" w:space="0" w:color="auto"/>
              <w:bottom w:val="single" w:sz="4" w:space="0" w:color="auto"/>
              <w:right w:val="single" w:sz="4" w:space="0" w:color="auto"/>
            </w:tcBorders>
            <w:vAlign w:val="center"/>
          </w:tcPr>
          <w:p w14:paraId="283EB500" w14:textId="11AF44B3" w:rsidR="00270CED" w:rsidRPr="001F281D" w:rsidRDefault="00270CED" w:rsidP="00270CED">
            <w:pPr>
              <w:keepNext/>
              <w:jc w:val="center"/>
              <w:rPr>
                <w:rFonts w:ascii="Arial Narrow" w:hAnsi="Arial Narrow"/>
                <w:iCs/>
                <w:sz w:val="20"/>
                <w:szCs w:val="20"/>
              </w:rPr>
            </w:pPr>
            <w:r w:rsidRPr="001F281D">
              <w:rPr>
                <w:rFonts w:ascii="Arial Narrow" w:hAnsi="Arial Narrow"/>
                <w:iCs/>
                <w:sz w:val="20"/>
                <w:szCs w:val="20"/>
              </w:rPr>
              <w:t>$</w:t>
            </w:r>
            <w:r w:rsidR="00650CB8" w:rsidRPr="00650CB8">
              <w:rPr>
                <w:rFonts w:ascii="Arial Narrow" w:hAnsi="Arial Narrow"/>
                <w:iCs/>
                <w:color w:val="000000"/>
                <w:spacing w:val="79"/>
                <w:sz w:val="20"/>
                <w:szCs w:val="20"/>
                <w:shd w:val="solid" w:color="000000" w:fill="000000"/>
                <w:fitText w:val="410" w:id="-1435748593"/>
                <w14:textFill>
                  <w14:solidFill>
                    <w14:srgbClr w14:val="000000">
                      <w14:alpha w14:val="100000"/>
                    </w14:srgbClr>
                  </w14:solidFill>
                </w14:textFill>
              </w:rPr>
              <w:t>|||</w:t>
            </w:r>
            <w:r w:rsidR="00650CB8" w:rsidRPr="00650CB8">
              <w:rPr>
                <w:rFonts w:ascii="Arial Narrow" w:hAnsi="Arial Narrow"/>
                <w:iCs/>
                <w:color w:val="000000"/>
                <w:spacing w:val="3"/>
                <w:sz w:val="20"/>
                <w:szCs w:val="20"/>
                <w:shd w:val="solid" w:color="000000" w:fill="000000"/>
                <w:fitText w:val="410" w:id="-1435748593"/>
                <w14:textFill>
                  <w14:solidFill>
                    <w14:srgbClr w14:val="000000">
                      <w14:alpha w14:val="100000"/>
                    </w14:srgbClr>
                  </w14:solidFill>
                </w14:textFill>
              </w:rPr>
              <w:t>|</w:t>
            </w:r>
            <w:r w:rsidR="00E968BB">
              <w:rPr>
                <w:rFonts w:ascii="Arial Narrow" w:hAnsi="Arial Narrow"/>
                <w:iCs/>
                <w:sz w:val="20"/>
                <w:szCs w:val="20"/>
                <w:vertAlign w:val="superscript"/>
              </w:rPr>
              <w:t>1</w:t>
            </w:r>
          </w:p>
        </w:tc>
        <w:tc>
          <w:tcPr>
            <w:tcW w:w="1649" w:type="dxa"/>
            <w:tcBorders>
              <w:top w:val="single" w:sz="4" w:space="0" w:color="auto"/>
              <w:left w:val="single" w:sz="4" w:space="0" w:color="auto"/>
              <w:bottom w:val="single" w:sz="4" w:space="0" w:color="auto"/>
              <w:right w:val="single" w:sz="4" w:space="0" w:color="auto"/>
            </w:tcBorders>
            <w:vAlign w:val="center"/>
          </w:tcPr>
          <w:p w14:paraId="08B299CB" w14:textId="0640E960" w:rsidR="00270CED" w:rsidRPr="001F281D" w:rsidRDefault="00270CED" w:rsidP="00270CED">
            <w:pPr>
              <w:keepNext/>
              <w:jc w:val="center"/>
              <w:rPr>
                <w:rFonts w:ascii="Arial Narrow" w:hAnsi="Arial Narrow"/>
                <w:iCs/>
                <w:sz w:val="20"/>
                <w:szCs w:val="20"/>
              </w:rPr>
            </w:pPr>
            <w:r w:rsidRPr="001F281D">
              <w:rPr>
                <w:rFonts w:ascii="Arial Narrow" w:hAnsi="Arial Narrow"/>
                <w:iCs/>
                <w:sz w:val="20"/>
                <w:szCs w:val="20"/>
              </w:rPr>
              <w:t>$</w:t>
            </w:r>
            <w:r w:rsidR="00650CB8" w:rsidRPr="00650CB8">
              <w:rPr>
                <w:rFonts w:ascii="Arial Narrow" w:hAnsi="Arial Narrow"/>
                <w:iCs/>
                <w:color w:val="000000"/>
                <w:spacing w:val="49"/>
                <w:sz w:val="20"/>
                <w:szCs w:val="20"/>
                <w:shd w:val="solid" w:color="000000" w:fill="000000"/>
                <w:fitText w:val="320" w:id="-1435748592"/>
                <w14:textFill>
                  <w14:solidFill>
                    <w14:srgbClr w14:val="000000">
                      <w14:alpha w14:val="100000"/>
                    </w14:srgbClr>
                  </w14:solidFill>
                </w14:textFill>
              </w:rPr>
              <w:t>|||</w:t>
            </w:r>
            <w:r w:rsidR="00650CB8" w:rsidRPr="00650CB8">
              <w:rPr>
                <w:rFonts w:ascii="Arial Narrow" w:hAnsi="Arial Narrow"/>
                <w:iCs/>
                <w:color w:val="000000"/>
                <w:spacing w:val="3"/>
                <w:sz w:val="20"/>
                <w:szCs w:val="20"/>
                <w:shd w:val="solid" w:color="000000" w:fill="000000"/>
                <w:fitText w:val="320" w:id="-1435748592"/>
                <w14:textFill>
                  <w14:solidFill>
                    <w14:srgbClr w14:val="000000">
                      <w14:alpha w14:val="100000"/>
                    </w14:srgbClr>
                  </w14:solidFill>
                </w14:textFill>
              </w:rPr>
              <w:t>|</w:t>
            </w:r>
          </w:p>
        </w:tc>
        <w:tc>
          <w:tcPr>
            <w:tcW w:w="1649" w:type="dxa"/>
            <w:tcBorders>
              <w:top w:val="single" w:sz="4" w:space="0" w:color="auto"/>
              <w:left w:val="single" w:sz="4" w:space="0" w:color="auto"/>
              <w:bottom w:val="single" w:sz="4" w:space="0" w:color="auto"/>
              <w:right w:val="single" w:sz="4" w:space="0" w:color="auto"/>
            </w:tcBorders>
            <w:vAlign w:val="center"/>
          </w:tcPr>
          <w:p w14:paraId="46C2BD96" w14:textId="3F573328" w:rsidR="00270CED" w:rsidRPr="001F281D" w:rsidRDefault="00650CB8" w:rsidP="00270CED">
            <w:pPr>
              <w:keepNext/>
              <w:jc w:val="center"/>
              <w:rPr>
                <w:rFonts w:ascii="Arial Narrow" w:hAnsi="Arial Narrow"/>
                <w:iCs/>
                <w:sz w:val="20"/>
                <w:szCs w:val="20"/>
              </w:rPr>
            </w:pPr>
            <w:r w:rsidRPr="00650CB8">
              <w:rPr>
                <w:rFonts w:ascii="Arial Narrow" w:hAnsi="Arial Narrow"/>
                <w:iCs/>
                <w:color w:val="000000"/>
                <w:spacing w:val="79"/>
                <w:sz w:val="20"/>
                <w:szCs w:val="20"/>
                <w:shd w:val="solid" w:color="000000" w:fill="000000"/>
                <w:fitText w:val="410" w:id="-1435748608"/>
                <w14:textFill>
                  <w14:solidFill>
                    <w14:srgbClr w14:val="000000">
                      <w14:alpha w14:val="100000"/>
                    </w14:srgbClr>
                  </w14:solidFill>
                </w14:textFill>
              </w:rPr>
              <w:t>|||</w:t>
            </w:r>
            <w:r w:rsidRPr="00650CB8">
              <w:rPr>
                <w:rFonts w:ascii="Arial Narrow" w:hAnsi="Arial Narrow"/>
                <w:iCs/>
                <w:color w:val="000000"/>
                <w:spacing w:val="3"/>
                <w:sz w:val="20"/>
                <w:szCs w:val="20"/>
                <w:shd w:val="solid" w:color="000000" w:fill="000000"/>
                <w:fitText w:val="410" w:id="-1435748608"/>
                <w14:textFill>
                  <w14:solidFill>
                    <w14:srgbClr w14:val="000000">
                      <w14:alpha w14:val="100000"/>
                    </w14:srgbClr>
                  </w14:solidFill>
                </w14:textFill>
              </w:rPr>
              <w:t>|</w:t>
            </w:r>
            <w:r w:rsidR="00270CED" w:rsidRPr="001F281D">
              <w:rPr>
                <w:rFonts w:ascii="Arial Narrow" w:hAnsi="Arial Narrow"/>
                <w:iCs/>
                <w:sz w:val="20"/>
                <w:szCs w:val="20"/>
              </w:rPr>
              <w:t>%</w:t>
            </w:r>
          </w:p>
        </w:tc>
        <w:tc>
          <w:tcPr>
            <w:tcW w:w="1649" w:type="dxa"/>
            <w:tcBorders>
              <w:top w:val="single" w:sz="4" w:space="0" w:color="auto"/>
              <w:left w:val="single" w:sz="4" w:space="0" w:color="auto"/>
              <w:bottom w:val="single" w:sz="4" w:space="0" w:color="auto"/>
              <w:right w:val="single" w:sz="4" w:space="0" w:color="auto"/>
            </w:tcBorders>
            <w:vAlign w:val="center"/>
          </w:tcPr>
          <w:p w14:paraId="37F01037" w14:textId="150EDB62" w:rsidR="00270CED" w:rsidRPr="001F281D" w:rsidRDefault="00650CB8" w:rsidP="00270CED">
            <w:pPr>
              <w:keepNext/>
              <w:jc w:val="center"/>
              <w:rPr>
                <w:rFonts w:ascii="Arial Narrow" w:hAnsi="Arial Narrow"/>
                <w:iCs/>
                <w:sz w:val="20"/>
                <w:szCs w:val="20"/>
              </w:rPr>
            </w:pPr>
            <w:r w:rsidRPr="00650CB8">
              <w:rPr>
                <w:rFonts w:ascii="Arial Narrow" w:hAnsi="Arial Narrow"/>
                <w:iCs/>
                <w:color w:val="000000"/>
                <w:spacing w:val="79"/>
                <w:sz w:val="20"/>
                <w:szCs w:val="20"/>
                <w:shd w:val="solid" w:color="000000" w:fill="000000"/>
                <w:fitText w:val="410" w:id="-1435748607"/>
                <w14:textFill>
                  <w14:solidFill>
                    <w14:srgbClr w14:val="000000">
                      <w14:alpha w14:val="100000"/>
                    </w14:srgbClr>
                  </w14:solidFill>
                </w14:textFill>
              </w:rPr>
              <w:t>|||</w:t>
            </w:r>
            <w:r w:rsidRPr="00650CB8">
              <w:rPr>
                <w:rFonts w:ascii="Arial Narrow" w:hAnsi="Arial Narrow"/>
                <w:iCs/>
                <w:color w:val="000000"/>
                <w:spacing w:val="3"/>
                <w:sz w:val="20"/>
                <w:szCs w:val="20"/>
                <w:shd w:val="solid" w:color="000000" w:fill="000000"/>
                <w:fitText w:val="410" w:id="-1435748607"/>
                <w14:textFill>
                  <w14:solidFill>
                    <w14:srgbClr w14:val="000000">
                      <w14:alpha w14:val="100000"/>
                    </w14:srgbClr>
                  </w14:solidFill>
                </w14:textFill>
              </w:rPr>
              <w:t>|</w:t>
            </w:r>
            <w:r w:rsidR="00270CED" w:rsidRPr="001F281D">
              <w:rPr>
                <w:rFonts w:ascii="Arial Narrow" w:hAnsi="Arial Narrow"/>
                <w:iCs/>
                <w:sz w:val="20"/>
                <w:szCs w:val="20"/>
              </w:rPr>
              <w:t>%</w:t>
            </w:r>
          </w:p>
        </w:tc>
        <w:tc>
          <w:tcPr>
            <w:tcW w:w="1649" w:type="dxa"/>
            <w:tcBorders>
              <w:top w:val="single" w:sz="4" w:space="0" w:color="auto"/>
              <w:left w:val="single" w:sz="4" w:space="0" w:color="auto"/>
              <w:bottom w:val="single" w:sz="4" w:space="0" w:color="auto"/>
              <w:right w:val="single" w:sz="4" w:space="0" w:color="auto"/>
            </w:tcBorders>
            <w:vAlign w:val="center"/>
          </w:tcPr>
          <w:p w14:paraId="053E0581" w14:textId="423AD6FA" w:rsidR="00270CED" w:rsidRPr="001F281D" w:rsidRDefault="00270CED" w:rsidP="00270CED">
            <w:pPr>
              <w:keepNext/>
              <w:jc w:val="center"/>
              <w:rPr>
                <w:rFonts w:ascii="Arial Narrow" w:hAnsi="Arial Narrow"/>
                <w:iCs/>
                <w:sz w:val="20"/>
                <w:szCs w:val="20"/>
              </w:rPr>
            </w:pPr>
            <w:r w:rsidRPr="001F281D">
              <w:rPr>
                <w:rFonts w:ascii="Arial Narrow" w:hAnsi="Arial Narrow"/>
                <w:iCs/>
                <w:sz w:val="20"/>
                <w:szCs w:val="20"/>
              </w:rPr>
              <w:t>140 mg: $</w:t>
            </w:r>
            <w:r w:rsidR="00650CB8" w:rsidRPr="00650CB8">
              <w:rPr>
                <w:rFonts w:ascii="Arial Narrow" w:hAnsi="Arial Narrow"/>
                <w:iCs/>
                <w:color w:val="000000"/>
                <w:spacing w:val="76"/>
                <w:sz w:val="20"/>
                <w:szCs w:val="20"/>
                <w:shd w:val="solid" w:color="000000" w:fill="000000"/>
                <w:fitText w:val="400" w:id="-1435748606"/>
                <w14:textFill>
                  <w14:solidFill>
                    <w14:srgbClr w14:val="000000">
                      <w14:alpha w14:val="100000"/>
                    </w14:srgbClr>
                  </w14:solidFill>
                </w14:textFill>
              </w:rPr>
              <w:t>|||</w:t>
            </w:r>
            <w:r w:rsidR="00650CB8" w:rsidRPr="00650CB8">
              <w:rPr>
                <w:rFonts w:ascii="Arial Narrow" w:hAnsi="Arial Narrow"/>
                <w:iCs/>
                <w:color w:val="000000"/>
                <w:spacing w:val="2"/>
                <w:sz w:val="20"/>
                <w:szCs w:val="20"/>
                <w:shd w:val="solid" w:color="000000" w:fill="000000"/>
                <w:fitText w:val="400" w:id="-1435748606"/>
                <w14:textFill>
                  <w14:solidFill>
                    <w14:srgbClr w14:val="000000">
                      <w14:alpha w14:val="100000"/>
                    </w14:srgbClr>
                  </w14:solidFill>
                </w14:textFill>
              </w:rPr>
              <w:t>|</w:t>
            </w:r>
          </w:p>
          <w:p w14:paraId="0FAAD6F7" w14:textId="0C84B81A" w:rsidR="00270CED" w:rsidRPr="001F281D" w:rsidRDefault="00270CED" w:rsidP="00270CED">
            <w:pPr>
              <w:keepNext/>
              <w:jc w:val="center"/>
              <w:rPr>
                <w:rFonts w:ascii="Arial Narrow" w:hAnsi="Arial Narrow"/>
                <w:iCs/>
                <w:sz w:val="20"/>
                <w:szCs w:val="20"/>
              </w:rPr>
            </w:pPr>
            <w:r w:rsidRPr="001F281D">
              <w:rPr>
                <w:rFonts w:ascii="Arial Narrow" w:hAnsi="Arial Narrow"/>
                <w:iCs/>
                <w:sz w:val="20"/>
                <w:szCs w:val="20"/>
              </w:rPr>
              <w:t>420 mg: $</w:t>
            </w:r>
            <w:r w:rsidR="00650CB8" w:rsidRPr="00650CB8">
              <w:rPr>
                <w:rFonts w:ascii="Arial Narrow" w:hAnsi="Arial Narrow"/>
                <w:iCs/>
                <w:color w:val="000000"/>
                <w:spacing w:val="76"/>
                <w:sz w:val="20"/>
                <w:szCs w:val="20"/>
                <w:shd w:val="solid" w:color="000000" w:fill="000000"/>
                <w:fitText w:val="400" w:id="-1435748605"/>
                <w14:textFill>
                  <w14:solidFill>
                    <w14:srgbClr w14:val="000000">
                      <w14:alpha w14:val="100000"/>
                    </w14:srgbClr>
                  </w14:solidFill>
                </w14:textFill>
              </w:rPr>
              <w:t>|||</w:t>
            </w:r>
            <w:r w:rsidR="00650CB8" w:rsidRPr="00650CB8">
              <w:rPr>
                <w:rFonts w:ascii="Arial Narrow" w:hAnsi="Arial Narrow"/>
                <w:iCs/>
                <w:color w:val="000000"/>
                <w:spacing w:val="2"/>
                <w:sz w:val="20"/>
                <w:szCs w:val="20"/>
                <w:shd w:val="solid" w:color="000000" w:fill="000000"/>
                <w:fitText w:val="400" w:id="-1435748605"/>
                <w14:textFill>
                  <w14:solidFill>
                    <w14:srgbClr w14:val="000000">
                      <w14:alpha w14:val="100000"/>
                    </w14:srgbClr>
                  </w14:solidFill>
                </w14:textFill>
              </w:rPr>
              <w:t>|</w:t>
            </w:r>
          </w:p>
        </w:tc>
      </w:tr>
      <w:tr w:rsidR="004C5508" w:rsidRPr="001F281D" w14:paraId="6CA3559A" w14:textId="77777777" w:rsidTr="00367788">
        <w:tc>
          <w:tcPr>
            <w:tcW w:w="2406" w:type="dxa"/>
            <w:tcBorders>
              <w:top w:val="single" w:sz="4" w:space="0" w:color="auto"/>
              <w:left w:val="single" w:sz="4" w:space="0" w:color="auto"/>
              <w:bottom w:val="single" w:sz="4" w:space="0" w:color="auto"/>
              <w:right w:val="single" w:sz="4" w:space="0" w:color="auto"/>
            </w:tcBorders>
          </w:tcPr>
          <w:p w14:paraId="7D1051FC" w14:textId="47054E13" w:rsidR="00270CED" w:rsidRPr="001F281D" w:rsidRDefault="00270CED" w:rsidP="00270CED">
            <w:pPr>
              <w:keepNext/>
              <w:jc w:val="left"/>
              <w:rPr>
                <w:rFonts w:ascii="Arial Narrow" w:hAnsi="Arial Narrow"/>
                <w:iCs/>
                <w:sz w:val="20"/>
                <w:szCs w:val="20"/>
              </w:rPr>
            </w:pPr>
            <w:r w:rsidRPr="001F281D">
              <w:rPr>
                <w:rFonts w:ascii="Arial Narrow" w:hAnsi="Arial Narrow"/>
                <w:iCs/>
                <w:sz w:val="20"/>
                <w:szCs w:val="20"/>
              </w:rPr>
              <w:t>Price based on $</w:t>
            </w:r>
            <w:r w:rsidR="00D05F5F">
              <w:rPr>
                <w:rFonts w:ascii="Arial Narrow" w:hAnsi="Arial Narrow"/>
                <w:iCs/>
                <w:sz w:val="20"/>
                <w:szCs w:val="20"/>
              </w:rPr>
              <w:t>15</w:t>
            </w:r>
            <w:r w:rsidRPr="001F281D">
              <w:rPr>
                <w:rFonts w:ascii="Arial Narrow" w:hAnsi="Arial Narrow"/>
                <w:iCs/>
                <w:sz w:val="20"/>
                <w:szCs w:val="20"/>
              </w:rPr>
              <w:t>,000</w:t>
            </w:r>
            <w:r w:rsidR="00DF54A9">
              <w:rPr>
                <w:rFonts w:ascii="Arial Narrow" w:hAnsi="Arial Narrow"/>
                <w:iCs/>
                <w:sz w:val="20"/>
                <w:szCs w:val="20"/>
              </w:rPr>
              <w:t xml:space="preserve"> to &lt; </w:t>
            </w:r>
            <w:r w:rsidR="00D05F5F">
              <w:rPr>
                <w:rFonts w:ascii="Arial Narrow" w:hAnsi="Arial Narrow"/>
                <w:iCs/>
                <w:sz w:val="20"/>
                <w:szCs w:val="20"/>
              </w:rPr>
              <w:t>$25,000</w:t>
            </w:r>
            <w:r w:rsidRPr="001F281D">
              <w:rPr>
                <w:rFonts w:ascii="Arial Narrow" w:hAnsi="Arial Narrow"/>
                <w:iCs/>
                <w:sz w:val="20"/>
                <w:szCs w:val="20"/>
              </w:rPr>
              <w:t>/QALY threshold</w:t>
            </w:r>
          </w:p>
        </w:tc>
        <w:tc>
          <w:tcPr>
            <w:tcW w:w="1650" w:type="dxa"/>
            <w:tcBorders>
              <w:top w:val="single" w:sz="4" w:space="0" w:color="auto"/>
              <w:left w:val="single" w:sz="4" w:space="0" w:color="auto"/>
              <w:bottom w:val="single" w:sz="4" w:space="0" w:color="auto"/>
              <w:right w:val="single" w:sz="4" w:space="0" w:color="auto"/>
            </w:tcBorders>
            <w:vAlign w:val="center"/>
          </w:tcPr>
          <w:p w14:paraId="76263BE9" w14:textId="76737518" w:rsidR="00270CED" w:rsidRPr="001F281D" w:rsidRDefault="00270CED" w:rsidP="00270CED">
            <w:pPr>
              <w:keepNext/>
              <w:jc w:val="center"/>
              <w:rPr>
                <w:rFonts w:ascii="Arial Narrow" w:hAnsi="Arial Narrow"/>
                <w:iCs/>
                <w:sz w:val="20"/>
                <w:szCs w:val="20"/>
              </w:rPr>
            </w:pPr>
            <w:r w:rsidRPr="001F281D">
              <w:rPr>
                <w:rFonts w:ascii="Arial Narrow" w:hAnsi="Arial Narrow"/>
                <w:iCs/>
                <w:sz w:val="20"/>
                <w:szCs w:val="20"/>
              </w:rPr>
              <w:t>$</w:t>
            </w:r>
            <w:r w:rsidR="00650CB8" w:rsidRPr="00650CB8">
              <w:rPr>
                <w:rFonts w:ascii="Arial Narrow" w:hAnsi="Arial Narrow"/>
                <w:iCs/>
                <w:color w:val="000000"/>
                <w:spacing w:val="56"/>
                <w:sz w:val="20"/>
                <w:szCs w:val="20"/>
                <w:shd w:val="solid" w:color="000000" w:fill="000000"/>
                <w:fitText w:val="340" w:id="-1435748604"/>
                <w14:textFill>
                  <w14:solidFill>
                    <w14:srgbClr w14:val="000000">
                      <w14:alpha w14:val="100000"/>
                    </w14:srgbClr>
                  </w14:solidFill>
                </w14:textFill>
              </w:rPr>
              <w:t>|||</w:t>
            </w:r>
            <w:r w:rsidR="00650CB8" w:rsidRPr="00650CB8">
              <w:rPr>
                <w:rFonts w:ascii="Arial Narrow" w:hAnsi="Arial Narrow"/>
                <w:iCs/>
                <w:color w:val="000000"/>
                <w:spacing w:val="2"/>
                <w:sz w:val="20"/>
                <w:szCs w:val="20"/>
                <w:shd w:val="solid" w:color="000000" w:fill="000000"/>
                <w:fitText w:val="340" w:id="-1435748604"/>
                <w14:textFill>
                  <w14:solidFill>
                    <w14:srgbClr w14:val="000000">
                      <w14:alpha w14:val="100000"/>
                    </w14:srgbClr>
                  </w14:solidFill>
                </w14:textFill>
              </w:rPr>
              <w:t>|</w:t>
            </w:r>
          </w:p>
        </w:tc>
        <w:tc>
          <w:tcPr>
            <w:tcW w:w="1649" w:type="dxa"/>
            <w:tcBorders>
              <w:top w:val="single" w:sz="4" w:space="0" w:color="auto"/>
              <w:left w:val="single" w:sz="4" w:space="0" w:color="auto"/>
              <w:bottom w:val="single" w:sz="4" w:space="0" w:color="auto"/>
              <w:right w:val="single" w:sz="4" w:space="0" w:color="auto"/>
            </w:tcBorders>
            <w:vAlign w:val="center"/>
          </w:tcPr>
          <w:p w14:paraId="33D55427" w14:textId="77825E13" w:rsidR="00270CED" w:rsidRPr="001F281D" w:rsidRDefault="00270CED" w:rsidP="00270CED">
            <w:pPr>
              <w:keepNext/>
              <w:jc w:val="center"/>
              <w:rPr>
                <w:rFonts w:ascii="Arial Narrow" w:hAnsi="Arial Narrow"/>
                <w:iCs/>
                <w:sz w:val="20"/>
                <w:szCs w:val="20"/>
              </w:rPr>
            </w:pPr>
            <w:r w:rsidRPr="001F281D">
              <w:rPr>
                <w:rFonts w:ascii="Arial Narrow" w:hAnsi="Arial Narrow"/>
                <w:iCs/>
                <w:sz w:val="20"/>
                <w:szCs w:val="20"/>
              </w:rPr>
              <w:t>0.267</w:t>
            </w:r>
          </w:p>
        </w:tc>
        <w:tc>
          <w:tcPr>
            <w:tcW w:w="1649" w:type="dxa"/>
            <w:tcBorders>
              <w:top w:val="single" w:sz="4" w:space="0" w:color="auto"/>
              <w:left w:val="single" w:sz="4" w:space="0" w:color="auto"/>
              <w:bottom w:val="single" w:sz="4" w:space="0" w:color="auto"/>
              <w:right w:val="single" w:sz="4" w:space="0" w:color="auto"/>
            </w:tcBorders>
            <w:vAlign w:val="center"/>
          </w:tcPr>
          <w:p w14:paraId="1A0A3569" w14:textId="6EB59574" w:rsidR="00270CED" w:rsidRPr="001F281D" w:rsidRDefault="00270CED" w:rsidP="00270CED">
            <w:pPr>
              <w:keepNext/>
              <w:jc w:val="center"/>
              <w:rPr>
                <w:rFonts w:ascii="Arial Narrow" w:hAnsi="Arial Narrow"/>
                <w:iCs/>
                <w:sz w:val="20"/>
                <w:szCs w:val="20"/>
              </w:rPr>
            </w:pPr>
            <w:r w:rsidRPr="001F281D">
              <w:rPr>
                <w:rFonts w:ascii="Arial Narrow" w:hAnsi="Arial Narrow"/>
                <w:iCs/>
                <w:sz w:val="20"/>
                <w:szCs w:val="20"/>
              </w:rPr>
              <w:t>$</w:t>
            </w:r>
            <w:r w:rsidR="00650CB8" w:rsidRPr="00650CB8">
              <w:rPr>
                <w:rFonts w:ascii="Arial Narrow" w:hAnsi="Arial Narrow"/>
                <w:iCs/>
                <w:color w:val="000000"/>
                <w:spacing w:val="79"/>
                <w:sz w:val="20"/>
                <w:szCs w:val="20"/>
                <w:shd w:val="solid" w:color="000000" w:fill="000000"/>
                <w:fitText w:val="410" w:id="-1435748603"/>
                <w14:textFill>
                  <w14:solidFill>
                    <w14:srgbClr w14:val="000000">
                      <w14:alpha w14:val="100000"/>
                    </w14:srgbClr>
                  </w14:solidFill>
                </w14:textFill>
              </w:rPr>
              <w:t>|||</w:t>
            </w:r>
            <w:r w:rsidR="00650CB8" w:rsidRPr="00650CB8">
              <w:rPr>
                <w:rFonts w:ascii="Arial Narrow" w:hAnsi="Arial Narrow"/>
                <w:iCs/>
                <w:color w:val="000000"/>
                <w:spacing w:val="3"/>
                <w:sz w:val="20"/>
                <w:szCs w:val="20"/>
                <w:shd w:val="solid" w:color="000000" w:fill="000000"/>
                <w:fitText w:val="410" w:id="-1435748603"/>
                <w14:textFill>
                  <w14:solidFill>
                    <w14:srgbClr w14:val="000000">
                      <w14:alpha w14:val="100000"/>
                    </w14:srgbClr>
                  </w14:solidFill>
                </w14:textFill>
              </w:rPr>
              <w:t>|</w:t>
            </w:r>
            <w:r w:rsidR="00E968BB">
              <w:rPr>
                <w:rFonts w:ascii="Arial Narrow" w:hAnsi="Arial Narrow"/>
                <w:iCs/>
                <w:sz w:val="20"/>
                <w:szCs w:val="20"/>
                <w:vertAlign w:val="superscript"/>
              </w:rPr>
              <w:t>2</w:t>
            </w:r>
          </w:p>
        </w:tc>
        <w:tc>
          <w:tcPr>
            <w:tcW w:w="1649" w:type="dxa"/>
            <w:tcBorders>
              <w:top w:val="single" w:sz="4" w:space="0" w:color="auto"/>
              <w:left w:val="single" w:sz="4" w:space="0" w:color="auto"/>
              <w:bottom w:val="single" w:sz="4" w:space="0" w:color="auto"/>
              <w:right w:val="single" w:sz="4" w:space="0" w:color="auto"/>
            </w:tcBorders>
            <w:vAlign w:val="center"/>
          </w:tcPr>
          <w:p w14:paraId="14AFBD70" w14:textId="2C191CA3" w:rsidR="00270CED" w:rsidRPr="001F281D" w:rsidRDefault="00270CED" w:rsidP="00270CED">
            <w:pPr>
              <w:keepNext/>
              <w:jc w:val="center"/>
              <w:rPr>
                <w:rFonts w:ascii="Arial Narrow" w:hAnsi="Arial Narrow"/>
                <w:iCs/>
                <w:sz w:val="20"/>
                <w:szCs w:val="20"/>
              </w:rPr>
            </w:pPr>
            <w:r w:rsidRPr="001F281D">
              <w:rPr>
                <w:rFonts w:ascii="Arial Narrow" w:hAnsi="Arial Narrow"/>
                <w:iCs/>
                <w:sz w:val="20"/>
                <w:szCs w:val="20"/>
              </w:rPr>
              <w:t>$</w:t>
            </w:r>
            <w:r w:rsidR="00650CB8" w:rsidRPr="00650CB8">
              <w:rPr>
                <w:rFonts w:ascii="Arial Narrow" w:hAnsi="Arial Narrow"/>
                <w:iCs/>
                <w:color w:val="000000"/>
                <w:spacing w:val="49"/>
                <w:sz w:val="20"/>
                <w:szCs w:val="20"/>
                <w:shd w:val="solid" w:color="000000" w:fill="000000"/>
                <w:fitText w:val="320" w:id="-1435748602"/>
                <w14:textFill>
                  <w14:solidFill>
                    <w14:srgbClr w14:val="000000">
                      <w14:alpha w14:val="100000"/>
                    </w14:srgbClr>
                  </w14:solidFill>
                </w14:textFill>
              </w:rPr>
              <w:t>|||</w:t>
            </w:r>
            <w:r w:rsidR="00650CB8" w:rsidRPr="00650CB8">
              <w:rPr>
                <w:rFonts w:ascii="Arial Narrow" w:hAnsi="Arial Narrow"/>
                <w:iCs/>
                <w:color w:val="000000"/>
                <w:spacing w:val="3"/>
                <w:sz w:val="20"/>
                <w:szCs w:val="20"/>
                <w:shd w:val="solid" w:color="000000" w:fill="000000"/>
                <w:fitText w:val="320" w:id="-1435748602"/>
                <w14:textFill>
                  <w14:solidFill>
                    <w14:srgbClr w14:val="000000">
                      <w14:alpha w14:val="100000"/>
                    </w14:srgbClr>
                  </w14:solidFill>
                </w14:textFill>
              </w:rPr>
              <w:t>|</w:t>
            </w:r>
          </w:p>
        </w:tc>
        <w:tc>
          <w:tcPr>
            <w:tcW w:w="1649" w:type="dxa"/>
            <w:tcBorders>
              <w:top w:val="single" w:sz="4" w:space="0" w:color="auto"/>
              <w:left w:val="single" w:sz="4" w:space="0" w:color="auto"/>
              <w:bottom w:val="single" w:sz="4" w:space="0" w:color="auto"/>
              <w:right w:val="single" w:sz="4" w:space="0" w:color="auto"/>
            </w:tcBorders>
            <w:vAlign w:val="center"/>
          </w:tcPr>
          <w:p w14:paraId="35031F52" w14:textId="103992C6" w:rsidR="00270CED" w:rsidRPr="001F281D" w:rsidRDefault="00650CB8" w:rsidP="00270CED">
            <w:pPr>
              <w:keepNext/>
              <w:jc w:val="center"/>
              <w:rPr>
                <w:rFonts w:ascii="Arial Narrow" w:hAnsi="Arial Narrow"/>
                <w:iCs/>
                <w:sz w:val="20"/>
                <w:szCs w:val="20"/>
              </w:rPr>
            </w:pPr>
            <w:r w:rsidRPr="00650CB8">
              <w:rPr>
                <w:rFonts w:ascii="Arial Narrow" w:hAnsi="Arial Narrow"/>
                <w:iCs/>
                <w:color w:val="000000"/>
                <w:spacing w:val="79"/>
                <w:sz w:val="20"/>
                <w:szCs w:val="20"/>
                <w:shd w:val="solid" w:color="000000" w:fill="000000"/>
                <w:fitText w:val="410" w:id="-1435748601"/>
                <w14:textFill>
                  <w14:solidFill>
                    <w14:srgbClr w14:val="000000">
                      <w14:alpha w14:val="100000"/>
                    </w14:srgbClr>
                  </w14:solidFill>
                </w14:textFill>
              </w:rPr>
              <w:t>|||</w:t>
            </w:r>
            <w:r w:rsidRPr="00650CB8">
              <w:rPr>
                <w:rFonts w:ascii="Arial Narrow" w:hAnsi="Arial Narrow"/>
                <w:iCs/>
                <w:color w:val="000000"/>
                <w:spacing w:val="3"/>
                <w:sz w:val="20"/>
                <w:szCs w:val="20"/>
                <w:shd w:val="solid" w:color="000000" w:fill="000000"/>
                <w:fitText w:val="410" w:id="-1435748601"/>
                <w14:textFill>
                  <w14:solidFill>
                    <w14:srgbClr w14:val="000000">
                      <w14:alpha w14:val="100000"/>
                    </w14:srgbClr>
                  </w14:solidFill>
                </w14:textFill>
              </w:rPr>
              <w:t>|</w:t>
            </w:r>
            <w:r w:rsidR="00270CED" w:rsidRPr="001F281D">
              <w:rPr>
                <w:rFonts w:ascii="Arial Narrow" w:hAnsi="Arial Narrow"/>
                <w:iCs/>
                <w:sz w:val="20"/>
                <w:szCs w:val="20"/>
              </w:rPr>
              <w:t>%</w:t>
            </w:r>
          </w:p>
        </w:tc>
        <w:tc>
          <w:tcPr>
            <w:tcW w:w="1649" w:type="dxa"/>
            <w:tcBorders>
              <w:top w:val="single" w:sz="4" w:space="0" w:color="auto"/>
              <w:left w:val="single" w:sz="4" w:space="0" w:color="auto"/>
              <w:bottom w:val="single" w:sz="4" w:space="0" w:color="auto"/>
              <w:right w:val="single" w:sz="4" w:space="0" w:color="auto"/>
            </w:tcBorders>
            <w:vAlign w:val="center"/>
          </w:tcPr>
          <w:p w14:paraId="53D55804" w14:textId="2B4E5589" w:rsidR="00270CED" w:rsidRPr="001F281D" w:rsidRDefault="00650CB8" w:rsidP="00270CED">
            <w:pPr>
              <w:keepNext/>
              <w:jc w:val="center"/>
              <w:rPr>
                <w:rFonts w:ascii="Arial Narrow" w:hAnsi="Arial Narrow"/>
                <w:iCs/>
                <w:sz w:val="20"/>
                <w:szCs w:val="20"/>
              </w:rPr>
            </w:pPr>
            <w:r w:rsidRPr="00650CB8">
              <w:rPr>
                <w:rFonts w:ascii="Arial Narrow" w:hAnsi="Arial Narrow"/>
                <w:iCs/>
                <w:color w:val="000000"/>
                <w:spacing w:val="79"/>
                <w:sz w:val="20"/>
                <w:szCs w:val="20"/>
                <w:shd w:val="solid" w:color="000000" w:fill="000000"/>
                <w:fitText w:val="410" w:id="-1435748600"/>
                <w14:textFill>
                  <w14:solidFill>
                    <w14:srgbClr w14:val="000000">
                      <w14:alpha w14:val="100000"/>
                    </w14:srgbClr>
                  </w14:solidFill>
                </w14:textFill>
              </w:rPr>
              <w:t>|||</w:t>
            </w:r>
            <w:r w:rsidRPr="00650CB8">
              <w:rPr>
                <w:rFonts w:ascii="Arial Narrow" w:hAnsi="Arial Narrow"/>
                <w:iCs/>
                <w:color w:val="000000"/>
                <w:spacing w:val="3"/>
                <w:sz w:val="20"/>
                <w:szCs w:val="20"/>
                <w:shd w:val="solid" w:color="000000" w:fill="000000"/>
                <w:fitText w:val="410" w:id="-1435748600"/>
                <w14:textFill>
                  <w14:solidFill>
                    <w14:srgbClr w14:val="000000">
                      <w14:alpha w14:val="100000"/>
                    </w14:srgbClr>
                  </w14:solidFill>
                </w14:textFill>
              </w:rPr>
              <w:t>|</w:t>
            </w:r>
            <w:r w:rsidR="00270CED" w:rsidRPr="001F281D">
              <w:rPr>
                <w:rFonts w:ascii="Arial Narrow" w:hAnsi="Arial Narrow"/>
                <w:iCs/>
                <w:sz w:val="20"/>
                <w:szCs w:val="20"/>
              </w:rPr>
              <w:t>%</w:t>
            </w:r>
          </w:p>
        </w:tc>
        <w:tc>
          <w:tcPr>
            <w:tcW w:w="1649" w:type="dxa"/>
            <w:tcBorders>
              <w:top w:val="single" w:sz="4" w:space="0" w:color="auto"/>
              <w:left w:val="single" w:sz="4" w:space="0" w:color="auto"/>
              <w:bottom w:val="single" w:sz="4" w:space="0" w:color="auto"/>
              <w:right w:val="single" w:sz="4" w:space="0" w:color="auto"/>
            </w:tcBorders>
            <w:vAlign w:val="center"/>
          </w:tcPr>
          <w:p w14:paraId="566FE20E" w14:textId="045D094D" w:rsidR="00270CED" w:rsidRPr="001F281D" w:rsidRDefault="00270CED" w:rsidP="00270CED">
            <w:pPr>
              <w:keepNext/>
              <w:jc w:val="center"/>
              <w:rPr>
                <w:rFonts w:ascii="Arial Narrow" w:hAnsi="Arial Narrow"/>
                <w:iCs/>
                <w:sz w:val="20"/>
                <w:szCs w:val="20"/>
              </w:rPr>
            </w:pPr>
            <w:r w:rsidRPr="001F281D">
              <w:rPr>
                <w:rFonts w:ascii="Arial Narrow" w:hAnsi="Arial Narrow"/>
                <w:iCs/>
                <w:sz w:val="20"/>
                <w:szCs w:val="20"/>
              </w:rPr>
              <w:t>140 mg: $</w:t>
            </w:r>
            <w:r w:rsidR="00650CB8" w:rsidRPr="00650CB8">
              <w:rPr>
                <w:rFonts w:ascii="Arial Narrow" w:hAnsi="Arial Narrow"/>
                <w:iCs/>
                <w:color w:val="000000"/>
                <w:spacing w:val="76"/>
                <w:sz w:val="20"/>
                <w:szCs w:val="20"/>
                <w:shd w:val="solid" w:color="000000" w:fill="000000"/>
                <w:fitText w:val="400" w:id="-1435748599"/>
                <w14:textFill>
                  <w14:solidFill>
                    <w14:srgbClr w14:val="000000">
                      <w14:alpha w14:val="100000"/>
                    </w14:srgbClr>
                  </w14:solidFill>
                </w14:textFill>
              </w:rPr>
              <w:t>|||</w:t>
            </w:r>
            <w:r w:rsidR="00650CB8" w:rsidRPr="00650CB8">
              <w:rPr>
                <w:rFonts w:ascii="Arial Narrow" w:hAnsi="Arial Narrow"/>
                <w:iCs/>
                <w:color w:val="000000"/>
                <w:spacing w:val="2"/>
                <w:sz w:val="20"/>
                <w:szCs w:val="20"/>
                <w:shd w:val="solid" w:color="000000" w:fill="000000"/>
                <w:fitText w:val="400" w:id="-1435748599"/>
                <w14:textFill>
                  <w14:solidFill>
                    <w14:srgbClr w14:val="000000">
                      <w14:alpha w14:val="100000"/>
                    </w14:srgbClr>
                  </w14:solidFill>
                </w14:textFill>
              </w:rPr>
              <w:t>|</w:t>
            </w:r>
          </w:p>
          <w:p w14:paraId="3A9E7961" w14:textId="0403A0CB" w:rsidR="00270CED" w:rsidRPr="001F281D" w:rsidRDefault="00270CED" w:rsidP="00270CED">
            <w:pPr>
              <w:keepNext/>
              <w:jc w:val="center"/>
              <w:rPr>
                <w:rFonts w:ascii="Arial Narrow" w:hAnsi="Arial Narrow"/>
                <w:iCs/>
                <w:sz w:val="20"/>
                <w:szCs w:val="20"/>
              </w:rPr>
            </w:pPr>
            <w:r w:rsidRPr="001F281D">
              <w:rPr>
                <w:rFonts w:ascii="Arial Narrow" w:hAnsi="Arial Narrow"/>
                <w:iCs/>
                <w:sz w:val="20"/>
                <w:szCs w:val="20"/>
              </w:rPr>
              <w:t>420 mg: $</w:t>
            </w:r>
            <w:r w:rsidR="00650CB8" w:rsidRPr="00650CB8">
              <w:rPr>
                <w:rFonts w:ascii="Arial Narrow" w:hAnsi="Arial Narrow"/>
                <w:iCs/>
                <w:color w:val="000000"/>
                <w:spacing w:val="76"/>
                <w:sz w:val="20"/>
                <w:szCs w:val="20"/>
                <w:shd w:val="solid" w:color="000000" w:fill="000000"/>
                <w:fitText w:val="400" w:id="-1435748598"/>
                <w14:textFill>
                  <w14:solidFill>
                    <w14:srgbClr w14:val="000000">
                      <w14:alpha w14:val="100000"/>
                    </w14:srgbClr>
                  </w14:solidFill>
                </w14:textFill>
              </w:rPr>
              <w:t>|||</w:t>
            </w:r>
            <w:r w:rsidR="00650CB8" w:rsidRPr="00650CB8">
              <w:rPr>
                <w:rFonts w:ascii="Arial Narrow" w:hAnsi="Arial Narrow"/>
                <w:iCs/>
                <w:color w:val="000000"/>
                <w:spacing w:val="2"/>
                <w:sz w:val="20"/>
                <w:szCs w:val="20"/>
                <w:shd w:val="solid" w:color="000000" w:fill="000000"/>
                <w:fitText w:val="400" w:id="-1435748598"/>
                <w14:textFill>
                  <w14:solidFill>
                    <w14:srgbClr w14:val="000000">
                      <w14:alpha w14:val="100000"/>
                    </w14:srgbClr>
                  </w14:solidFill>
                </w14:textFill>
              </w:rPr>
              <w:t>|</w:t>
            </w:r>
          </w:p>
        </w:tc>
      </w:tr>
      <w:tr w:rsidR="004C5508" w:rsidRPr="001F281D" w14:paraId="626732E2" w14:textId="77777777" w:rsidTr="00367788">
        <w:tc>
          <w:tcPr>
            <w:tcW w:w="13950" w:type="dxa"/>
            <w:gridSpan w:val="8"/>
            <w:tcBorders>
              <w:top w:val="single" w:sz="4" w:space="0" w:color="auto"/>
              <w:left w:val="single" w:sz="4" w:space="0" w:color="auto"/>
              <w:bottom w:val="single" w:sz="4" w:space="0" w:color="auto"/>
              <w:right w:val="single" w:sz="4" w:space="0" w:color="auto"/>
            </w:tcBorders>
            <w:hideMark/>
          </w:tcPr>
          <w:p w14:paraId="7183A53E" w14:textId="77777777" w:rsidR="00367788" w:rsidRPr="001F281D" w:rsidRDefault="00367788">
            <w:pPr>
              <w:keepNext/>
              <w:jc w:val="left"/>
              <w:rPr>
                <w:rFonts w:ascii="Arial Narrow" w:hAnsi="Arial Narrow"/>
                <w:b/>
                <w:bCs/>
                <w:iCs/>
                <w:sz w:val="20"/>
                <w:szCs w:val="20"/>
              </w:rPr>
            </w:pPr>
            <w:r w:rsidRPr="001F281D">
              <w:rPr>
                <w:rFonts w:ascii="Arial Narrow" w:hAnsi="Arial Narrow"/>
                <w:b/>
                <w:bCs/>
                <w:iCs/>
                <w:sz w:val="20"/>
                <w:szCs w:val="20"/>
              </w:rPr>
              <w:t>Discount rate adjustments (base case 5%)</w:t>
            </w:r>
          </w:p>
        </w:tc>
      </w:tr>
      <w:tr w:rsidR="004C5508" w:rsidRPr="001F281D" w14:paraId="239387C5" w14:textId="77777777" w:rsidTr="00367788">
        <w:tc>
          <w:tcPr>
            <w:tcW w:w="2406" w:type="dxa"/>
            <w:tcBorders>
              <w:top w:val="single" w:sz="4" w:space="0" w:color="auto"/>
              <w:left w:val="single" w:sz="4" w:space="0" w:color="auto"/>
              <w:bottom w:val="single" w:sz="4" w:space="0" w:color="auto"/>
              <w:right w:val="single" w:sz="4" w:space="0" w:color="auto"/>
            </w:tcBorders>
            <w:vAlign w:val="center"/>
            <w:hideMark/>
          </w:tcPr>
          <w:p w14:paraId="2C17EF94" w14:textId="77777777" w:rsidR="00367788" w:rsidRPr="001F281D" w:rsidRDefault="00367788">
            <w:pPr>
              <w:keepNext/>
              <w:jc w:val="left"/>
              <w:rPr>
                <w:rFonts w:ascii="Arial Narrow" w:hAnsi="Arial Narrow"/>
                <w:iCs/>
                <w:sz w:val="20"/>
                <w:szCs w:val="20"/>
              </w:rPr>
            </w:pPr>
            <w:r w:rsidRPr="001F281D">
              <w:rPr>
                <w:rFonts w:ascii="Arial Narrow" w:hAnsi="Arial Narrow"/>
                <w:iCs/>
                <w:sz w:val="20"/>
                <w:szCs w:val="20"/>
              </w:rPr>
              <w:t>3.5%; price based on base case estimates</w:t>
            </w:r>
          </w:p>
        </w:tc>
        <w:tc>
          <w:tcPr>
            <w:tcW w:w="1650" w:type="dxa"/>
            <w:tcBorders>
              <w:top w:val="single" w:sz="4" w:space="0" w:color="auto"/>
              <w:left w:val="single" w:sz="4" w:space="0" w:color="auto"/>
              <w:bottom w:val="single" w:sz="4" w:space="0" w:color="auto"/>
              <w:right w:val="single" w:sz="4" w:space="0" w:color="auto"/>
            </w:tcBorders>
            <w:vAlign w:val="center"/>
            <w:hideMark/>
          </w:tcPr>
          <w:p w14:paraId="2D4ED4B0" w14:textId="76FE5ED5" w:rsidR="00367788" w:rsidRPr="001F281D" w:rsidRDefault="00367788">
            <w:pPr>
              <w:keepNext/>
              <w:jc w:val="center"/>
              <w:rPr>
                <w:rFonts w:ascii="Arial Narrow" w:hAnsi="Arial Narrow"/>
                <w:iCs/>
                <w:sz w:val="20"/>
                <w:szCs w:val="20"/>
              </w:rPr>
            </w:pPr>
            <w:r w:rsidRPr="001F281D">
              <w:rPr>
                <w:rFonts w:ascii="Arial Narrow" w:hAnsi="Arial Narrow"/>
                <w:iCs/>
                <w:sz w:val="20"/>
                <w:szCs w:val="20"/>
              </w:rPr>
              <w:t>$</w:t>
            </w:r>
            <w:r w:rsidR="00650CB8" w:rsidRPr="00650CB8">
              <w:rPr>
                <w:rFonts w:ascii="Arial Narrow" w:hAnsi="Arial Narrow"/>
                <w:iCs/>
                <w:color w:val="000000"/>
                <w:spacing w:val="56"/>
                <w:sz w:val="20"/>
                <w:szCs w:val="20"/>
                <w:shd w:val="solid" w:color="000000" w:fill="000000"/>
                <w:fitText w:val="340" w:id="-1435748597"/>
                <w14:textFill>
                  <w14:solidFill>
                    <w14:srgbClr w14:val="000000">
                      <w14:alpha w14:val="100000"/>
                    </w14:srgbClr>
                  </w14:solidFill>
                </w14:textFill>
              </w:rPr>
              <w:t>|||</w:t>
            </w:r>
            <w:r w:rsidR="00650CB8" w:rsidRPr="00650CB8">
              <w:rPr>
                <w:rFonts w:ascii="Arial Narrow" w:hAnsi="Arial Narrow"/>
                <w:iCs/>
                <w:color w:val="000000"/>
                <w:spacing w:val="2"/>
                <w:sz w:val="20"/>
                <w:szCs w:val="20"/>
                <w:shd w:val="solid" w:color="000000" w:fill="000000"/>
                <w:fitText w:val="340" w:id="-1435748597"/>
                <w14:textFill>
                  <w14:solidFill>
                    <w14:srgbClr w14:val="000000">
                      <w14:alpha w14:val="100000"/>
                    </w14:srgbClr>
                  </w14:solidFill>
                </w14:textFill>
              </w:rPr>
              <w:t>|</w:t>
            </w:r>
          </w:p>
        </w:tc>
        <w:tc>
          <w:tcPr>
            <w:tcW w:w="1649" w:type="dxa"/>
            <w:tcBorders>
              <w:top w:val="single" w:sz="4" w:space="0" w:color="auto"/>
              <w:left w:val="single" w:sz="4" w:space="0" w:color="auto"/>
              <w:bottom w:val="single" w:sz="4" w:space="0" w:color="auto"/>
              <w:right w:val="single" w:sz="4" w:space="0" w:color="auto"/>
            </w:tcBorders>
            <w:vAlign w:val="center"/>
            <w:hideMark/>
          </w:tcPr>
          <w:p w14:paraId="44422832" w14:textId="77777777" w:rsidR="00367788" w:rsidRPr="001F281D" w:rsidRDefault="00367788">
            <w:pPr>
              <w:keepNext/>
              <w:jc w:val="center"/>
              <w:rPr>
                <w:rFonts w:ascii="Arial Narrow" w:hAnsi="Arial Narrow"/>
                <w:iCs/>
                <w:sz w:val="20"/>
                <w:szCs w:val="20"/>
              </w:rPr>
            </w:pPr>
            <w:r w:rsidRPr="001F281D">
              <w:rPr>
                <w:rFonts w:ascii="Arial Narrow" w:hAnsi="Arial Narrow"/>
                <w:iCs/>
                <w:sz w:val="20"/>
                <w:szCs w:val="20"/>
              </w:rPr>
              <w:t>0.3653</w:t>
            </w:r>
          </w:p>
        </w:tc>
        <w:tc>
          <w:tcPr>
            <w:tcW w:w="1649" w:type="dxa"/>
            <w:tcBorders>
              <w:top w:val="single" w:sz="4" w:space="0" w:color="auto"/>
              <w:left w:val="single" w:sz="4" w:space="0" w:color="auto"/>
              <w:bottom w:val="single" w:sz="4" w:space="0" w:color="auto"/>
              <w:right w:val="single" w:sz="4" w:space="0" w:color="auto"/>
            </w:tcBorders>
            <w:vAlign w:val="center"/>
            <w:hideMark/>
          </w:tcPr>
          <w:p w14:paraId="390CF236" w14:textId="68BCDE1B" w:rsidR="00367788" w:rsidRPr="001F281D" w:rsidRDefault="00367788">
            <w:pPr>
              <w:keepNext/>
              <w:jc w:val="center"/>
              <w:rPr>
                <w:rFonts w:ascii="Arial Narrow" w:hAnsi="Arial Narrow"/>
                <w:iCs/>
                <w:sz w:val="20"/>
                <w:szCs w:val="20"/>
              </w:rPr>
            </w:pPr>
            <w:r w:rsidRPr="001F281D">
              <w:rPr>
                <w:rFonts w:ascii="Arial Narrow" w:hAnsi="Arial Narrow"/>
                <w:iCs/>
                <w:sz w:val="20"/>
                <w:szCs w:val="20"/>
              </w:rPr>
              <w:t>$</w:t>
            </w:r>
            <w:r w:rsidR="00650CB8" w:rsidRPr="00650CB8">
              <w:rPr>
                <w:rFonts w:ascii="Arial Narrow" w:hAnsi="Arial Narrow"/>
                <w:iCs/>
                <w:color w:val="000000"/>
                <w:spacing w:val="79"/>
                <w:sz w:val="20"/>
                <w:szCs w:val="20"/>
                <w:shd w:val="solid" w:color="000000" w:fill="000000"/>
                <w:fitText w:val="410" w:id="-1435748596"/>
                <w14:textFill>
                  <w14:solidFill>
                    <w14:srgbClr w14:val="000000">
                      <w14:alpha w14:val="100000"/>
                    </w14:srgbClr>
                  </w14:solidFill>
                </w14:textFill>
              </w:rPr>
              <w:t>|||</w:t>
            </w:r>
            <w:r w:rsidR="00650CB8" w:rsidRPr="00650CB8">
              <w:rPr>
                <w:rFonts w:ascii="Arial Narrow" w:hAnsi="Arial Narrow"/>
                <w:iCs/>
                <w:color w:val="000000"/>
                <w:spacing w:val="3"/>
                <w:sz w:val="20"/>
                <w:szCs w:val="20"/>
                <w:shd w:val="solid" w:color="000000" w:fill="000000"/>
                <w:fitText w:val="410" w:id="-1435748596"/>
                <w14:textFill>
                  <w14:solidFill>
                    <w14:srgbClr w14:val="000000">
                      <w14:alpha w14:val="100000"/>
                    </w14:srgbClr>
                  </w14:solidFill>
                </w14:textFill>
              </w:rPr>
              <w:t>|</w:t>
            </w:r>
            <w:r w:rsidR="00E968BB">
              <w:rPr>
                <w:rFonts w:ascii="Arial Narrow" w:hAnsi="Arial Narrow"/>
                <w:iCs/>
                <w:sz w:val="20"/>
                <w:szCs w:val="20"/>
                <w:vertAlign w:val="superscript"/>
              </w:rPr>
              <w:t>1</w:t>
            </w:r>
          </w:p>
        </w:tc>
        <w:tc>
          <w:tcPr>
            <w:tcW w:w="1649" w:type="dxa"/>
            <w:tcBorders>
              <w:top w:val="single" w:sz="4" w:space="0" w:color="auto"/>
              <w:left w:val="single" w:sz="4" w:space="0" w:color="auto"/>
              <w:bottom w:val="single" w:sz="4" w:space="0" w:color="auto"/>
              <w:right w:val="single" w:sz="4" w:space="0" w:color="auto"/>
            </w:tcBorders>
            <w:vAlign w:val="center"/>
            <w:hideMark/>
          </w:tcPr>
          <w:p w14:paraId="40B4D89C" w14:textId="456EFDB5" w:rsidR="00367788" w:rsidRPr="001F281D" w:rsidRDefault="00367788">
            <w:pPr>
              <w:keepNext/>
              <w:jc w:val="center"/>
              <w:rPr>
                <w:rFonts w:ascii="Arial Narrow" w:hAnsi="Arial Narrow"/>
                <w:iCs/>
                <w:sz w:val="20"/>
                <w:szCs w:val="20"/>
              </w:rPr>
            </w:pPr>
            <w:r w:rsidRPr="001F281D">
              <w:rPr>
                <w:rFonts w:ascii="Arial Narrow" w:hAnsi="Arial Narrow"/>
                <w:iCs/>
                <w:sz w:val="20"/>
                <w:szCs w:val="20"/>
              </w:rPr>
              <w:t>$</w:t>
            </w:r>
            <w:r w:rsidR="00650CB8" w:rsidRPr="00650CB8">
              <w:rPr>
                <w:rFonts w:ascii="Arial Narrow" w:hAnsi="Arial Narrow"/>
                <w:iCs/>
                <w:color w:val="000000"/>
                <w:spacing w:val="49"/>
                <w:sz w:val="20"/>
                <w:szCs w:val="20"/>
                <w:shd w:val="solid" w:color="000000" w:fill="000000"/>
                <w:fitText w:val="320" w:id="-1435748595"/>
                <w14:textFill>
                  <w14:solidFill>
                    <w14:srgbClr w14:val="000000">
                      <w14:alpha w14:val="100000"/>
                    </w14:srgbClr>
                  </w14:solidFill>
                </w14:textFill>
              </w:rPr>
              <w:t>|||</w:t>
            </w:r>
            <w:r w:rsidR="00650CB8" w:rsidRPr="00650CB8">
              <w:rPr>
                <w:rFonts w:ascii="Arial Narrow" w:hAnsi="Arial Narrow"/>
                <w:iCs/>
                <w:color w:val="000000"/>
                <w:spacing w:val="3"/>
                <w:sz w:val="20"/>
                <w:szCs w:val="20"/>
                <w:shd w:val="solid" w:color="000000" w:fill="000000"/>
                <w:fitText w:val="320" w:id="-1435748595"/>
                <w14:textFill>
                  <w14:solidFill>
                    <w14:srgbClr w14:val="000000">
                      <w14:alpha w14:val="100000"/>
                    </w14:srgbClr>
                  </w14:solidFill>
                </w14:textFill>
              </w:rPr>
              <w:t>|</w:t>
            </w:r>
          </w:p>
        </w:tc>
        <w:tc>
          <w:tcPr>
            <w:tcW w:w="1649" w:type="dxa"/>
            <w:tcBorders>
              <w:top w:val="single" w:sz="4" w:space="0" w:color="auto"/>
              <w:left w:val="single" w:sz="4" w:space="0" w:color="auto"/>
              <w:bottom w:val="single" w:sz="4" w:space="0" w:color="auto"/>
              <w:right w:val="single" w:sz="4" w:space="0" w:color="auto"/>
            </w:tcBorders>
            <w:vAlign w:val="center"/>
            <w:hideMark/>
          </w:tcPr>
          <w:p w14:paraId="74E6AE16" w14:textId="1DAD7C39" w:rsidR="00367788" w:rsidRPr="001F281D" w:rsidRDefault="00650CB8">
            <w:pPr>
              <w:keepNext/>
              <w:jc w:val="center"/>
              <w:rPr>
                <w:rFonts w:ascii="Arial Narrow" w:hAnsi="Arial Narrow"/>
                <w:iCs/>
                <w:sz w:val="20"/>
                <w:szCs w:val="20"/>
              </w:rPr>
            </w:pPr>
            <w:r w:rsidRPr="00650CB8">
              <w:rPr>
                <w:rFonts w:ascii="Arial Narrow" w:hAnsi="Arial Narrow"/>
                <w:iCs/>
                <w:color w:val="000000"/>
                <w:spacing w:val="79"/>
                <w:sz w:val="20"/>
                <w:szCs w:val="20"/>
                <w:shd w:val="solid" w:color="000000" w:fill="000000"/>
                <w:fitText w:val="410" w:id="-1435748594"/>
                <w14:textFill>
                  <w14:solidFill>
                    <w14:srgbClr w14:val="000000">
                      <w14:alpha w14:val="100000"/>
                    </w14:srgbClr>
                  </w14:solidFill>
                </w14:textFill>
              </w:rPr>
              <w:t>|||</w:t>
            </w:r>
            <w:r w:rsidRPr="00650CB8">
              <w:rPr>
                <w:rFonts w:ascii="Arial Narrow" w:hAnsi="Arial Narrow"/>
                <w:iCs/>
                <w:color w:val="000000"/>
                <w:spacing w:val="3"/>
                <w:sz w:val="20"/>
                <w:szCs w:val="20"/>
                <w:shd w:val="solid" w:color="000000" w:fill="000000"/>
                <w:fitText w:val="410" w:id="-1435748594"/>
                <w14:textFill>
                  <w14:solidFill>
                    <w14:srgbClr w14:val="000000">
                      <w14:alpha w14:val="100000"/>
                    </w14:srgbClr>
                  </w14:solidFill>
                </w14:textFill>
              </w:rPr>
              <w:t>|</w:t>
            </w:r>
            <w:r w:rsidR="00367788" w:rsidRPr="001F281D">
              <w:rPr>
                <w:rFonts w:ascii="Arial Narrow" w:hAnsi="Arial Narrow"/>
                <w:iCs/>
                <w:sz w:val="20"/>
                <w:szCs w:val="20"/>
              </w:rPr>
              <w:t>%</w:t>
            </w:r>
          </w:p>
        </w:tc>
        <w:tc>
          <w:tcPr>
            <w:tcW w:w="1649" w:type="dxa"/>
            <w:tcBorders>
              <w:top w:val="single" w:sz="4" w:space="0" w:color="auto"/>
              <w:left w:val="single" w:sz="4" w:space="0" w:color="auto"/>
              <w:bottom w:val="single" w:sz="4" w:space="0" w:color="auto"/>
              <w:right w:val="single" w:sz="4" w:space="0" w:color="auto"/>
            </w:tcBorders>
            <w:vAlign w:val="center"/>
            <w:hideMark/>
          </w:tcPr>
          <w:p w14:paraId="50B184E4" w14:textId="261D34FE" w:rsidR="00367788" w:rsidRPr="001F281D" w:rsidRDefault="00650CB8">
            <w:pPr>
              <w:keepNext/>
              <w:jc w:val="center"/>
              <w:rPr>
                <w:rFonts w:ascii="Arial Narrow" w:hAnsi="Arial Narrow"/>
                <w:iCs/>
                <w:sz w:val="20"/>
                <w:szCs w:val="20"/>
              </w:rPr>
            </w:pPr>
            <w:r w:rsidRPr="00650CB8">
              <w:rPr>
                <w:rFonts w:ascii="Arial Narrow" w:hAnsi="Arial Narrow"/>
                <w:iCs/>
                <w:color w:val="000000"/>
                <w:spacing w:val="79"/>
                <w:sz w:val="20"/>
                <w:szCs w:val="20"/>
                <w:shd w:val="solid" w:color="000000" w:fill="000000"/>
                <w:fitText w:val="410" w:id="-1435748593"/>
                <w14:textFill>
                  <w14:solidFill>
                    <w14:srgbClr w14:val="000000">
                      <w14:alpha w14:val="100000"/>
                    </w14:srgbClr>
                  </w14:solidFill>
                </w14:textFill>
              </w:rPr>
              <w:t>|||</w:t>
            </w:r>
            <w:r w:rsidRPr="00650CB8">
              <w:rPr>
                <w:rFonts w:ascii="Arial Narrow" w:hAnsi="Arial Narrow"/>
                <w:iCs/>
                <w:color w:val="000000"/>
                <w:spacing w:val="3"/>
                <w:sz w:val="20"/>
                <w:szCs w:val="20"/>
                <w:shd w:val="solid" w:color="000000" w:fill="000000"/>
                <w:fitText w:val="410" w:id="-1435748593"/>
                <w14:textFill>
                  <w14:solidFill>
                    <w14:srgbClr w14:val="000000">
                      <w14:alpha w14:val="100000"/>
                    </w14:srgbClr>
                  </w14:solidFill>
                </w14:textFill>
              </w:rPr>
              <w:t>|</w:t>
            </w:r>
            <w:r w:rsidR="00367788" w:rsidRPr="001F281D">
              <w:rPr>
                <w:rFonts w:ascii="Arial Narrow" w:hAnsi="Arial Narrow"/>
                <w:iCs/>
                <w:sz w:val="20"/>
                <w:szCs w:val="20"/>
              </w:rPr>
              <w:t>%</w:t>
            </w:r>
          </w:p>
        </w:tc>
        <w:tc>
          <w:tcPr>
            <w:tcW w:w="1649" w:type="dxa"/>
            <w:tcBorders>
              <w:top w:val="single" w:sz="4" w:space="0" w:color="auto"/>
              <w:left w:val="single" w:sz="4" w:space="0" w:color="auto"/>
              <w:bottom w:val="single" w:sz="4" w:space="0" w:color="auto"/>
              <w:right w:val="single" w:sz="4" w:space="0" w:color="auto"/>
            </w:tcBorders>
            <w:vAlign w:val="center"/>
            <w:hideMark/>
          </w:tcPr>
          <w:p w14:paraId="45440541" w14:textId="455F6CB6" w:rsidR="00367788" w:rsidRPr="001F281D" w:rsidRDefault="00367788">
            <w:pPr>
              <w:keepNext/>
              <w:jc w:val="center"/>
              <w:rPr>
                <w:rFonts w:ascii="Arial Narrow" w:hAnsi="Arial Narrow"/>
                <w:iCs/>
                <w:sz w:val="20"/>
                <w:szCs w:val="20"/>
              </w:rPr>
            </w:pPr>
            <w:r w:rsidRPr="001F281D">
              <w:rPr>
                <w:rFonts w:ascii="Arial Narrow" w:hAnsi="Arial Narrow"/>
                <w:iCs/>
                <w:sz w:val="20"/>
                <w:szCs w:val="20"/>
              </w:rPr>
              <w:t>140 mg: $</w:t>
            </w:r>
            <w:r w:rsidR="00650CB8" w:rsidRPr="00650CB8">
              <w:rPr>
                <w:rFonts w:ascii="Arial Narrow" w:hAnsi="Arial Narrow"/>
                <w:iCs/>
                <w:color w:val="000000"/>
                <w:spacing w:val="76"/>
                <w:sz w:val="20"/>
                <w:szCs w:val="20"/>
                <w:shd w:val="solid" w:color="000000" w:fill="000000"/>
                <w:fitText w:val="400" w:id="-1435748592"/>
                <w14:textFill>
                  <w14:solidFill>
                    <w14:srgbClr w14:val="000000">
                      <w14:alpha w14:val="100000"/>
                    </w14:srgbClr>
                  </w14:solidFill>
                </w14:textFill>
              </w:rPr>
              <w:t>|||</w:t>
            </w:r>
            <w:r w:rsidR="00650CB8" w:rsidRPr="00650CB8">
              <w:rPr>
                <w:rFonts w:ascii="Arial Narrow" w:hAnsi="Arial Narrow"/>
                <w:iCs/>
                <w:color w:val="000000"/>
                <w:spacing w:val="2"/>
                <w:sz w:val="20"/>
                <w:szCs w:val="20"/>
                <w:shd w:val="solid" w:color="000000" w:fill="000000"/>
                <w:fitText w:val="400" w:id="-1435748592"/>
                <w14:textFill>
                  <w14:solidFill>
                    <w14:srgbClr w14:val="000000">
                      <w14:alpha w14:val="100000"/>
                    </w14:srgbClr>
                  </w14:solidFill>
                </w14:textFill>
              </w:rPr>
              <w:t>|</w:t>
            </w:r>
          </w:p>
          <w:p w14:paraId="5D8A7411" w14:textId="152384D8" w:rsidR="00367788" w:rsidRPr="001F281D" w:rsidRDefault="00367788">
            <w:pPr>
              <w:keepNext/>
              <w:jc w:val="center"/>
              <w:rPr>
                <w:rFonts w:ascii="Arial Narrow" w:hAnsi="Arial Narrow"/>
                <w:iCs/>
                <w:sz w:val="20"/>
                <w:szCs w:val="20"/>
              </w:rPr>
            </w:pPr>
            <w:r w:rsidRPr="001F281D">
              <w:rPr>
                <w:rFonts w:ascii="Arial Narrow" w:hAnsi="Arial Narrow"/>
                <w:iCs/>
                <w:sz w:val="20"/>
                <w:szCs w:val="20"/>
              </w:rPr>
              <w:t>420 mg: $</w:t>
            </w:r>
            <w:r w:rsidR="00650CB8" w:rsidRPr="00650CB8">
              <w:rPr>
                <w:rFonts w:ascii="Arial Narrow" w:hAnsi="Arial Narrow"/>
                <w:iCs/>
                <w:color w:val="000000"/>
                <w:spacing w:val="76"/>
                <w:sz w:val="20"/>
                <w:szCs w:val="20"/>
                <w:shd w:val="solid" w:color="000000" w:fill="000000"/>
                <w:fitText w:val="400" w:id="-1435748608"/>
                <w14:textFill>
                  <w14:solidFill>
                    <w14:srgbClr w14:val="000000">
                      <w14:alpha w14:val="100000"/>
                    </w14:srgbClr>
                  </w14:solidFill>
                </w14:textFill>
              </w:rPr>
              <w:t>|||</w:t>
            </w:r>
            <w:r w:rsidR="00650CB8" w:rsidRPr="00650CB8">
              <w:rPr>
                <w:rFonts w:ascii="Arial Narrow" w:hAnsi="Arial Narrow"/>
                <w:iCs/>
                <w:color w:val="000000"/>
                <w:spacing w:val="2"/>
                <w:sz w:val="20"/>
                <w:szCs w:val="20"/>
                <w:shd w:val="solid" w:color="000000" w:fill="000000"/>
                <w:fitText w:val="400" w:id="-1435748608"/>
                <w14:textFill>
                  <w14:solidFill>
                    <w14:srgbClr w14:val="000000">
                      <w14:alpha w14:val="100000"/>
                    </w14:srgbClr>
                  </w14:solidFill>
                </w14:textFill>
              </w:rPr>
              <w:t>|</w:t>
            </w:r>
          </w:p>
        </w:tc>
      </w:tr>
      <w:tr w:rsidR="004C5508" w:rsidRPr="001F281D" w14:paraId="35CD84CD" w14:textId="77777777" w:rsidTr="00270CED">
        <w:trPr>
          <w:trHeight w:val="464"/>
        </w:trPr>
        <w:tc>
          <w:tcPr>
            <w:tcW w:w="2406" w:type="dxa"/>
            <w:tcBorders>
              <w:top w:val="single" w:sz="4" w:space="0" w:color="auto"/>
              <w:left w:val="single" w:sz="4" w:space="0" w:color="auto"/>
              <w:bottom w:val="single" w:sz="4" w:space="0" w:color="auto"/>
              <w:right w:val="single" w:sz="4" w:space="0" w:color="auto"/>
            </w:tcBorders>
            <w:vAlign w:val="center"/>
            <w:hideMark/>
          </w:tcPr>
          <w:p w14:paraId="58691B37" w14:textId="77777777" w:rsidR="00367788" w:rsidRPr="001F281D" w:rsidRDefault="00367788">
            <w:pPr>
              <w:keepNext/>
              <w:jc w:val="left"/>
              <w:rPr>
                <w:rFonts w:ascii="Arial Narrow" w:hAnsi="Arial Narrow"/>
                <w:iCs/>
                <w:sz w:val="20"/>
                <w:szCs w:val="20"/>
              </w:rPr>
            </w:pPr>
            <w:r w:rsidRPr="001F281D">
              <w:rPr>
                <w:rFonts w:ascii="Arial Narrow" w:hAnsi="Arial Narrow"/>
                <w:iCs/>
                <w:sz w:val="20"/>
                <w:szCs w:val="20"/>
              </w:rPr>
              <w:t>0%; price based on base case estimates</w:t>
            </w:r>
          </w:p>
        </w:tc>
        <w:tc>
          <w:tcPr>
            <w:tcW w:w="1650" w:type="dxa"/>
            <w:tcBorders>
              <w:top w:val="single" w:sz="4" w:space="0" w:color="auto"/>
              <w:left w:val="single" w:sz="4" w:space="0" w:color="auto"/>
              <w:bottom w:val="single" w:sz="4" w:space="0" w:color="auto"/>
              <w:right w:val="single" w:sz="4" w:space="0" w:color="auto"/>
            </w:tcBorders>
            <w:vAlign w:val="center"/>
            <w:hideMark/>
          </w:tcPr>
          <w:p w14:paraId="5345F13C" w14:textId="04D3F47A" w:rsidR="00367788" w:rsidRPr="001F281D" w:rsidRDefault="00367788">
            <w:pPr>
              <w:keepNext/>
              <w:jc w:val="center"/>
              <w:rPr>
                <w:rFonts w:ascii="Arial Narrow" w:hAnsi="Arial Narrow"/>
                <w:iCs/>
                <w:sz w:val="20"/>
                <w:szCs w:val="20"/>
              </w:rPr>
            </w:pPr>
            <w:r w:rsidRPr="001F281D">
              <w:rPr>
                <w:rFonts w:ascii="Arial Narrow" w:hAnsi="Arial Narrow"/>
                <w:iCs/>
                <w:sz w:val="20"/>
                <w:szCs w:val="20"/>
              </w:rPr>
              <w:t>$</w:t>
            </w:r>
            <w:r w:rsidR="00650CB8" w:rsidRPr="00650CB8">
              <w:rPr>
                <w:rFonts w:ascii="Arial Narrow" w:hAnsi="Arial Narrow"/>
                <w:iCs/>
                <w:color w:val="000000"/>
                <w:spacing w:val="56"/>
                <w:sz w:val="20"/>
                <w:szCs w:val="20"/>
                <w:shd w:val="solid" w:color="000000" w:fill="000000"/>
                <w:fitText w:val="340" w:id="-1435748607"/>
                <w14:textFill>
                  <w14:solidFill>
                    <w14:srgbClr w14:val="000000">
                      <w14:alpha w14:val="100000"/>
                    </w14:srgbClr>
                  </w14:solidFill>
                </w14:textFill>
              </w:rPr>
              <w:t>|||</w:t>
            </w:r>
            <w:r w:rsidR="00650CB8" w:rsidRPr="00650CB8">
              <w:rPr>
                <w:rFonts w:ascii="Arial Narrow" w:hAnsi="Arial Narrow"/>
                <w:iCs/>
                <w:color w:val="000000"/>
                <w:spacing w:val="2"/>
                <w:sz w:val="20"/>
                <w:szCs w:val="20"/>
                <w:shd w:val="solid" w:color="000000" w:fill="000000"/>
                <w:fitText w:val="340" w:id="-1435748607"/>
                <w14:textFill>
                  <w14:solidFill>
                    <w14:srgbClr w14:val="000000">
                      <w14:alpha w14:val="100000"/>
                    </w14:srgbClr>
                  </w14:solidFill>
                </w14:textFill>
              </w:rPr>
              <w:t>|</w:t>
            </w:r>
          </w:p>
        </w:tc>
        <w:tc>
          <w:tcPr>
            <w:tcW w:w="1649" w:type="dxa"/>
            <w:tcBorders>
              <w:top w:val="single" w:sz="4" w:space="0" w:color="auto"/>
              <w:left w:val="single" w:sz="4" w:space="0" w:color="auto"/>
              <w:bottom w:val="single" w:sz="4" w:space="0" w:color="auto"/>
              <w:right w:val="single" w:sz="4" w:space="0" w:color="auto"/>
            </w:tcBorders>
            <w:vAlign w:val="center"/>
            <w:hideMark/>
          </w:tcPr>
          <w:p w14:paraId="3D4465FC" w14:textId="77777777" w:rsidR="00367788" w:rsidRPr="001F281D" w:rsidRDefault="00367788">
            <w:pPr>
              <w:keepNext/>
              <w:jc w:val="center"/>
              <w:rPr>
                <w:rFonts w:ascii="Arial Narrow" w:hAnsi="Arial Narrow"/>
                <w:iCs/>
                <w:sz w:val="20"/>
                <w:szCs w:val="20"/>
              </w:rPr>
            </w:pPr>
            <w:r w:rsidRPr="001F281D">
              <w:rPr>
                <w:rFonts w:ascii="Arial Narrow" w:hAnsi="Arial Narrow"/>
                <w:iCs/>
                <w:sz w:val="20"/>
                <w:szCs w:val="20"/>
              </w:rPr>
              <w:t>0.6215</w:t>
            </w:r>
          </w:p>
        </w:tc>
        <w:tc>
          <w:tcPr>
            <w:tcW w:w="1649" w:type="dxa"/>
            <w:tcBorders>
              <w:top w:val="single" w:sz="4" w:space="0" w:color="auto"/>
              <w:left w:val="single" w:sz="4" w:space="0" w:color="auto"/>
              <w:bottom w:val="single" w:sz="4" w:space="0" w:color="auto"/>
              <w:right w:val="single" w:sz="4" w:space="0" w:color="auto"/>
            </w:tcBorders>
            <w:vAlign w:val="center"/>
            <w:hideMark/>
          </w:tcPr>
          <w:p w14:paraId="04095090" w14:textId="3D107D1E" w:rsidR="00367788" w:rsidRPr="001F281D" w:rsidRDefault="00367788">
            <w:pPr>
              <w:keepNext/>
              <w:jc w:val="center"/>
              <w:rPr>
                <w:rFonts w:ascii="Arial Narrow" w:hAnsi="Arial Narrow"/>
                <w:iCs/>
                <w:sz w:val="20"/>
                <w:szCs w:val="20"/>
              </w:rPr>
            </w:pPr>
            <w:r w:rsidRPr="001F281D">
              <w:rPr>
                <w:rFonts w:ascii="Arial Narrow" w:hAnsi="Arial Narrow"/>
                <w:iCs/>
                <w:sz w:val="20"/>
                <w:szCs w:val="20"/>
              </w:rPr>
              <w:t>$</w:t>
            </w:r>
            <w:r w:rsidR="00650CB8" w:rsidRPr="00650CB8">
              <w:rPr>
                <w:rFonts w:ascii="Arial Narrow" w:hAnsi="Arial Narrow"/>
                <w:iCs/>
                <w:color w:val="000000"/>
                <w:spacing w:val="79"/>
                <w:sz w:val="20"/>
                <w:szCs w:val="20"/>
                <w:shd w:val="solid" w:color="000000" w:fill="000000"/>
                <w:fitText w:val="410" w:id="-1435748606"/>
                <w14:textFill>
                  <w14:solidFill>
                    <w14:srgbClr w14:val="000000">
                      <w14:alpha w14:val="100000"/>
                    </w14:srgbClr>
                  </w14:solidFill>
                </w14:textFill>
              </w:rPr>
              <w:t>|||</w:t>
            </w:r>
            <w:r w:rsidR="00650CB8" w:rsidRPr="00650CB8">
              <w:rPr>
                <w:rFonts w:ascii="Arial Narrow" w:hAnsi="Arial Narrow"/>
                <w:iCs/>
                <w:color w:val="000000"/>
                <w:spacing w:val="3"/>
                <w:sz w:val="20"/>
                <w:szCs w:val="20"/>
                <w:shd w:val="solid" w:color="000000" w:fill="000000"/>
                <w:fitText w:val="410" w:id="-1435748606"/>
                <w14:textFill>
                  <w14:solidFill>
                    <w14:srgbClr w14:val="000000">
                      <w14:alpha w14:val="100000"/>
                    </w14:srgbClr>
                  </w14:solidFill>
                </w14:textFill>
              </w:rPr>
              <w:t>|</w:t>
            </w:r>
            <w:r w:rsidR="00E968BB">
              <w:rPr>
                <w:rFonts w:ascii="Arial Narrow" w:hAnsi="Arial Narrow"/>
                <w:iCs/>
                <w:sz w:val="20"/>
                <w:szCs w:val="20"/>
                <w:vertAlign w:val="superscript"/>
              </w:rPr>
              <w:t>2</w:t>
            </w:r>
          </w:p>
        </w:tc>
        <w:tc>
          <w:tcPr>
            <w:tcW w:w="1649" w:type="dxa"/>
            <w:tcBorders>
              <w:top w:val="single" w:sz="4" w:space="0" w:color="auto"/>
              <w:left w:val="single" w:sz="4" w:space="0" w:color="auto"/>
              <w:bottom w:val="single" w:sz="4" w:space="0" w:color="auto"/>
              <w:right w:val="single" w:sz="4" w:space="0" w:color="auto"/>
            </w:tcBorders>
            <w:vAlign w:val="center"/>
            <w:hideMark/>
          </w:tcPr>
          <w:p w14:paraId="746459E2" w14:textId="3CA3EBA0" w:rsidR="00367788" w:rsidRPr="001F281D" w:rsidRDefault="00367788">
            <w:pPr>
              <w:keepNext/>
              <w:jc w:val="center"/>
              <w:rPr>
                <w:rFonts w:ascii="Arial Narrow" w:hAnsi="Arial Narrow"/>
                <w:iCs/>
                <w:sz w:val="20"/>
                <w:szCs w:val="20"/>
              </w:rPr>
            </w:pPr>
            <w:r w:rsidRPr="001F281D">
              <w:rPr>
                <w:rFonts w:ascii="Arial Narrow" w:hAnsi="Arial Narrow"/>
                <w:iCs/>
                <w:sz w:val="20"/>
                <w:szCs w:val="20"/>
              </w:rPr>
              <w:t>$</w:t>
            </w:r>
            <w:r w:rsidR="00650CB8" w:rsidRPr="00650CB8">
              <w:rPr>
                <w:rFonts w:ascii="Arial Narrow" w:hAnsi="Arial Narrow"/>
                <w:iCs/>
                <w:color w:val="000000"/>
                <w:spacing w:val="46"/>
                <w:sz w:val="20"/>
                <w:szCs w:val="20"/>
                <w:shd w:val="solid" w:color="000000" w:fill="000000"/>
                <w:fitText w:val="310" w:id="-1435748605"/>
                <w14:textFill>
                  <w14:solidFill>
                    <w14:srgbClr w14:val="000000">
                      <w14:alpha w14:val="100000"/>
                    </w14:srgbClr>
                  </w14:solidFill>
                </w14:textFill>
              </w:rPr>
              <w:t>|||</w:t>
            </w:r>
            <w:r w:rsidR="00650CB8" w:rsidRPr="00650CB8">
              <w:rPr>
                <w:rFonts w:ascii="Arial Narrow" w:hAnsi="Arial Narrow"/>
                <w:iCs/>
                <w:color w:val="000000"/>
                <w:spacing w:val="2"/>
                <w:sz w:val="20"/>
                <w:szCs w:val="20"/>
                <w:shd w:val="solid" w:color="000000" w:fill="000000"/>
                <w:fitText w:val="310" w:id="-1435748605"/>
                <w14:textFill>
                  <w14:solidFill>
                    <w14:srgbClr w14:val="000000">
                      <w14:alpha w14:val="100000"/>
                    </w14:srgbClr>
                  </w14:solidFill>
                </w14:textFill>
              </w:rPr>
              <w:t>|</w:t>
            </w:r>
          </w:p>
        </w:tc>
        <w:tc>
          <w:tcPr>
            <w:tcW w:w="1649" w:type="dxa"/>
            <w:tcBorders>
              <w:top w:val="single" w:sz="4" w:space="0" w:color="auto"/>
              <w:left w:val="single" w:sz="4" w:space="0" w:color="auto"/>
              <w:bottom w:val="single" w:sz="4" w:space="0" w:color="auto"/>
              <w:right w:val="single" w:sz="4" w:space="0" w:color="auto"/>
            </w:tcBorders>
            <w:vAlign w:val="center"/>
            <w:hideMark/>
          </w:tcPr>
          <w:p w14:paraId="48D92E6F" w14:textId="450FCA9B" w:rsidR="00367788" w:rsidRPr="001F281D" w:rsidRDefault="00650CB8">
            <w:pPr>
              <w:keepNext/>
              <w:jc w:val="center"/>
              <w:rPr>
                <w:rFonts w:ascii="Arial Narrow" w:hAnsi="Arial Narrow"/>
                <w:iCs/>
                <w:sz w:val="20"/>
                <w:szCs w:val="20"/>
              </w:rPr>
            </w:pPr>
            <w:r w:rsidRPr="00650CB8">
              <w:rPr>
                <w:rFonts w:ascii="Arial Narrow" w:hAnsi="Arial Narrow"/>
                <w:iCs/>
                <w:color w:val="000000"/>
                <w:spacing w:val="76"/>
                <w:sz w:val="20"/>
                <w:szCs w:val="20"/>
                <w:shd w:val="solid" w:color="000000" w:fill="000000"/>
                <w:fitText w:val="400" w:id="-1435748604"/>
                <w14:textFill>
                  <w14:solidFill>
                    <w14:srgbClr w14:val="000000">
                      <w14:alpha w14:val="100000"/>
                    </w14:srgbClr>
                  </w14:solidFill>
                </w14:textFill>
              </w:rPr>
              <w:t>|||</w:t>
            </w:r>
            <w:r w:rsidRPr="00650CB8">
              <w:rPr>
                <w:rFonts w:ascii="Arial Narrow" w:hAnsi="Arial Narrow"/>
                <w:iCs/>
                <w:color w:val="000000"/>
                <w:spacing w:val="2"/>
                <w:sz w:val="20"/>
                <w:szCs w:val="20"/>
                <w:shd w:val="solid" w:color="000000" w:fill="000000"/>
                <w:fitText w:val="400" w:id="-1435748604"/>
                <w14:textFill>
                  <w14:solidFill>
                    <w14:srgbClr w14:val="000000">
                      <w14:alpha w14:val="100000"/>
                    </w14:srgbClr>
                  </w14:solidFill>
                </w14:textFill>
              </w:rPr>
              <w:t>|</w:t>
            </w:r>
            <w:r w:rsidR="00367788" w:rsidRPr="001F281D">
              <w:rPr>
                <w:rFonts w:ascii="Arial Narrow" w:hAnsi="Arial Narrow"/>
                <w:iCs/>
                <w:sz w:val="20"/>
                <w:szCs w:val="20"/>
              </w:rPr>
              <w:t>%</w:t>
            </w:r>
          </w:p>
        </w:tc>
        <w:tc>
          <w:tcPr>
            <w:tcW w:w="1649" w:type="dxa"/>
            <w:tcBorders>
              <w:top w:val="single" w:sz="4" w:space="0" w:color="auto"/>
              <w:left w:val="single" w:sz="4" w:space="0" w:color="auto"/>
              <w:bottom w:val="single" w:sz="4" w:space="0" w:color="auto"/>
              <w:right w:val="single" w:sz="4" w:space="0" w:color="auto"/>
            </w:tcBorders>
            <w:vAlign w:val="center"/>
            <w:hideMark/>
          </w:tcPr>
          <w:p w14:paraId="4ED73190" w14:textId="5F716CB0" w:rsidR="00367788" w:rsidRPr="001F281D" w:rsidRDefault="00650CB8">
            <w:pPr>
              <w:keepNext/>
              <w:jc w:val="center"/>
              <w:rPr>
                <w:rFonts w:ascii="Arial Narrow" w:hAnsi="Arial Narrow"/>
                <w:iCs/>
                <w:sz w:val="20"/>
                <w:szCs w:val="20"/>
              </w:rPr>
            </w:pPr>
            <w:r w:rsidRPr="00650CB8">
              <w:rPr>
                <w:rFonts w:ascii="Arial Narrow" w:hAnsi="Arial Narrow"/>
                <w:iCs/>
                <w:color w:val="000000"/>
                <w:spacing w:val="76"/>
                <w:sz w:val="20"/>
                <w:szCs w:val="20"/>
                <w:shd w:val="solid" w:color="000000" w:fill="000000"/>
                <w:fitText w:val="400" w:id="-1435748603"/>
                <w14:textFill>
                  <w14:solidFill>
                    <w14:srgbClr w14:val="000000">
                      <w14:alpha w14:val="100000"/>
                    </w14:srgbClr>
                  </w14:solidFill>
                </w14:textFill>
              </w:rPr>
              <w:t>|||</w:t>
            </w:r>
            <w:r w:rsidRPr="00650CB8">
              <w:rPr>
                <w:rFonts w:ascii="Arial Narrow" w:hAnsi="Arial Narrow"/>
                <w:iCs/>
                <w:color w:val="000000"/>
                <w:spacing w:val="2"/>
                <w:sz w:val="20"/>
                <w:szCs w:val="20"/>
                <w:shd w:val="solid" w:color="000000" w:fill="000000"/>
                <w:fitText w:val="400" w:id="-1435748603"/>
                <w14:textFill>
                  <w14:solidFill>
                    <w14:srgbClr w14:val="000000">
                      <w14:alpha w14:val="100000"/>
                    </w14:srgbClr>
                  </w14:solidFill>
                </w14:textFill>
              </w:rPr>
              <w:t>|</w:t>
            </w:r>
            <w:r w:rsidR="00367788" w:rsidRPr="001F281D">
              <w:rPr>
                <w:rFonts w:ascii="Arial Narrow" w:hAnsi="Arial Narrow"/>
                <w:iCs/>
                <w:sz w:val="20"/>
                <w:szCs w:val="20"/>
              </w:rPr>
              <w:t>%</w:t>
            </w:r>
          </w:p>
        </w:tc>
        <w:tc>
          <w:tcPr>
            <w:tcW w:w="1649" w:type="dxa"/>
            <w:tcBorders>
              <w:top w:val="single" w:sz="4" w:space="0" w:color="auto"/>
              <w:left w:val="single" w:sz="4" w:space="0" w:color="auto"/>
              <w:bottom w:val="single" w:sz="4" w:space="0" w:color="auto"/>
              <w:right w:val="single" w:sz="4" w:space="0" w:color="auto"/>
            </w:tcBorders>
            <w:vAlign w:val="center"/>
            <w:hideMark/>
          </w:tcPr>
          <w:p w14:paraId="309547F7" w14:textId="19FF6DEC" w:rsidR="00367788" w:rsidRPr="001F281D" w:rsidRDefault="00367788">
            <w:pPr>
              <w:keepNext/>
              <w:jc w:val="center"/>
              <w:rPr>
                <w:rFonts w:ascii="Arial Narrow" w:hAnsi="Arial Narrow"/>
                <w:iCs/>
                <w:sz w:val="20"/>
                <w:szCs w:val="20"/>
              </w:rPr>
            </w:pPr>
            <w:r w:rsidRPr="001F281D">
              <w:rPr>
                <w:rFonts w:ascii="Arial Narrow" w:hAnsi="Arial Narrow"/>
                <w:iCs/>
                <w:sz w:val="20"/>
                <w:szCs w:val="20"/>
              </w:rPr>
              <w:t>140 mg: $</w:t>
            </w:r>
            <w:r w:rsidR="00650CB8" w:rsidRPr="00650CB8">
              <w:rPr>
                <w:rFonts w:ascii="Arial Narrow" w:hAnsi="Arial Narrow"/>
                <w:iCs/>
                <w:color w:val="000000"/>
                <w:spacing w:val="73"/>
                <w:sz w:val="20"/>
                <w:szCs w:val="20"/>
                <w:shd w:val="solid" w:color="000000" w:fill="000000"/>
                <w:fitText w:val="390" w:id="-1435748602"/>
                <w14:textFill>
                  <w14:solidFill>
                    <w14:srgbClr w14:val="000000">
                      <w14:alpha w14:val="100000"/>
                    </w14:srgbClr>
                  </w14:solidFill>
                </w14:textFill>
              </w:rPr>
              <w:t>|||</w:t>
            </w:r>
            <w:r w:rsidR="00650CB8" w:rsidRPr="00650CB8">
              <w:rPr>
                <w:rFonts w:ascii="Arial Narrow" w:hAnsi="Arial Narrow"/>
                <w:iCs/>
                <w:color w:val="000000"/>
                <w:spacing w:val="1"/>
                <w:sz w:val="20"/>
                <w:szCs w:val="20"/>
                <w:shd w:val="solid" w:color="000000" w:fill="000000"/>
                <w:fitText w:val="390" w:id="-1435748602"/>
                <w14:textFill>
                  <w14:solidFill>
                    <w14:srgbClr w14:val="000000">
                      <w14:alpha w14:val="100000"/>
                    </w14:srgbClr>
                  </w14:solidFill>
                </w14:textFill>
              </w:rPr>
              <w:t>|</w:t>
            </w:r>
          </w:p>
          <w:p w14:paraId="69F6A2B9" w14:textId="04E500B4" w:rsidR="00367788" w:rsidRPr="001F281D" w:rsidRDefault="00367788">
            <w:pPr>
              <w:keepNext/>
              <w:jc w:val="center"/>
              <w:rPr>
                <w:rFonts w:ascii="Arial Narrow" w:hAnsi="Arial Narrow"/>
                <w:iCs/>
                <w:sz w:val="20"/>
                <w:szCs w:val="20"/>
              </w:rPr>
            </w:pPr>
            <w:r w:rsidRPr="001F281D">
              <w:rPr>
                <w:rFonts w:ascii="Arial Narrow" w:hAnsi="Arial Narrow"/>
                <w:iCs/>
                <w:sz w:val="20"/>
                <w:szCs w:val="20"/>
              </w:rPr>
              <w:t>420 mg: $</w:t>
            </w:r>
            <w:r w:rsidR="00650CB8" w:rsidRPr="00650CB8">
              <w:rPr>
                <w:rFonts w:ascii="Arial Narrow" w:hAnsi="Arial Narrow"/>
                <w:iCs/>
                <w:color w:val="000000"/>
                <w:spacing w:val="73"/>
                <w:sz w:val="20"/>
                <w:szCs w:val="20"/>
                <w:shd w:val="solid" w:color="000000" w:fill="000000"/>
                <w:fitText w:val="390" w:id="-1435748601"/>
                <w14:textFill>
                  <w14:solidFill>
                    <w14:srgbClr w14:val="000000">
                      <w14:alpha w14:val="100000"/>
                    </w14:srgbClr>
                  </w14:solidFill>
                </w14:textFill>
              </w:rPr>
              <w:t>|||</w:t>
            </w:r>
            <w:r w:rsidR="00650CB8" w:rsidRPr="00650CB8">
              <w:rPr>
                <w:rFonts w:ascii="Arial Narrow" w:hAnsi="Arial Narrow"/>
                <w:iCs/>
                <w:color w:val="000000"/>
                <w:spacing w:val="1"/>
                <w:sz w:val="20"/>
                <w:szCs w:val="20"/>
                <w:shd w:val="solid" w:color="000000" w:fill="000000"/>
                <w:fitText w:val="390" w:id="-1435748601"/>
                <w14:textFill>
                  <w14:solidFill>
                    <w14:srgbClr w14:val="000000">
                      <w14:alpha w14:val="100000"/>
                    </w14:srgbClr>
                  </w14:solidFill>
                </w14:textFill>
              </w:rPr>
              <w:t>|</w:t>
            </w:r>
          </w:p>
        </w:tc>
      </w:tr>
    </w:tbl>
    <w:p w14:paraId="4A73FBF0" w14:textId="0D020FCD" w:rsidR="00367788" w:rsidRPr="001F281D" w:rsidRDefault="00367788" w:rsidP="00367788">
      <w:pPr>
        <w:pStyle w:val="TableFigureFooter"/>
        <w:keepNext/>
        <w:rPr>
          <w:iCs/>
        </w:rPr>
      </w:pPr>
      <w:r w:rsidRPr="001F281D">
        <w:rPr>
          <w:iCs/>
          <w:szCs w:val="18"/>
        </w:rPr>
        <w:t xml:space="preserve">Source: Calculated for the ESC advice using the Excel “goal seek” function with the </w:t>
      </w:r>
      <w:r w:rsidRPr="001F281D">
        <w:rPr>
          <w:iCs/>
        </w:rPr>
        <w:t>Economic model_Mar22.xlsx spreadsheet provided with the submission</w:t>
      </w:r>
    </w:p>
    <w:p w14:paraId="5E94F95B" w14:textId="77777777" w:rsidR="00367788" w:rsidRPr="001F281D" w:rsidRDefault="00367788" w:rsidP="00367788">
      <w:pPr>
        <w:pStyle w:val="TableFigureFooter"/>
        <w:rPr>
          <w:iCs/>
        </w:rPr>
      </w:pPr>
      <w:r w:rsidRPr="001F281D">
        <w:rPr>
          <w:iCs/>
        </w:rPr>
        <w:t>Abbreviations: DPMQ, dispensed price for maximum quantity; ICER, incremental cost effectiveness ratio; LDL-C, low density lipoprotein cholesterol; QALY, quality adjusted life year</w:t>
      </w:r>
    </w:p>
    <w:p w14:paraId="142F09BA" w14:textId="77777777" w:rsidR="00367788" w:rsidRPr="001F281D" w:rsidRDefault="00367788" w:rsidP="00367788">
      <w:pPr>
        <w:pStyle w:val="TableFigureFooter"/>
        <w:rPr>
          <w:iCs/>
        </w:rPr>
      </w:pPr>
      <w:r w:rsidRPr="001F281D">
        <w:rPr>
          <w:iCs/>
          <w:vertAlign w:val="superscript"/>
        </w:rPr>
        <w:t>a</w:t>
      </w:r>
      <w:r w:rsidRPr="001F281D">
        <w:rPr>
          <w:iCs/>
        </w:rPr>
        <w:t xml:space="preserve"> Evolocumab price is the effective DPMQ for evolocumab 420 mg, with the effective DPMQ calculated for the 140 mg dose strength by adjusting for the 28 day supply (versus one month for the 420 mg dose strength) using the formula: 420 mg DPMQ x 12 / 365.25 x 28. </w:t>
      </w:r>
    </w:p>
    <w:p w14:paraId="6B94ED19" w14:textId="77777777" w:rsidR="00367788" w:rsidRPr="001F281D" w:rsidRDefault="00367788" w:rsidP="00367788">
      <w:pPr>
        <w:pStyle w:val="TableFigureFooter"/>
        <w:rPr>
          <w:iCs/>
        </w:rPr>
      </w:pPr>
      <w:r w:rsidRPr="001F281D">
        <w:rPr>
          <w:iCs/>
          <w:vertAlign w:val="superscript"/>
        </w:rPr>
        <w:t xml:space="preserve">b </w:t>
      </w:r>
      <w:r w:rsidRPr="001F281D">
        <w:rPr>
          <w:iCs/>
        </w:rPr>
        <w:t>The weighted rebate for the new population is calculated by using an 80%/20% split between the 140 mg and 420 mg dose strengths, respectively.</w:t>
      </w:r>
    </w:p>
    <w:p w14:paraId="4D71CDC0" w14:textId="7C31F8B9" w:rsidR="00367788" w:rsidRDefault="00367788" w:rsidP="000364AB">
      <w:pPr>
        <w:pStyle w:val="TableFigureFooter"/>
        <w:rPr>
          <w:iCs/>
        </w:rPr>
      </w:pPr>
      <w:r w:rsidRPr="001F281D">
        <w:rPr>
          <w:iCs/>
          <w:vertAlign w:val="superscript"/>
        </w:rPr>
        <w:lastRenderedPageBreak/>
        <w:t xml:space="preserve">c </w:t>
      </w:r>
      <w:r w:rsidRPr="001F281D">
        <w:rPr>
          <w:iCs/>
        </w:rPr>
        <w:t>Calculated using the proportions for new and existing populations as estimated in the submission (</w:t>
      </w:r>
      <w:r w:rsidR="00650CB8" w:rsidRPr="00650CB8">
        <w:rPr>
          <w:iCs/>
          <w:color w:val="000000"/>
          <w:spacing w:val="15"/>
          <w:shd w:val="solid" w:color="000000" w:fill="000000"/>
          <w:fitText w:val="420" w:id="-1435748600"/>
          <w14:textFill>
            <w14:solidFill>
              <w14:srgbClr w14:val="000000">
                <w14:alpha w14:val="100000"/>
              </w14:srgbClr>
            </w14:solidFill>
          </w14:textFill>
        </w:rPr>
        <w:t>|||  ||</w:t>
      </w:r>
      <w:r w:rsidR="00650CB8" w:rsidRPr="00650CB8">
        <w:rPr>
          <w:iCs/>
          <w:color w:val="000000"/>
          <w:spacing w:val="3"/>
          <w:shd w:val="solid" w:color="000000" w:fill="000000"/>
          <w:fitText w:val="420" w:id="-1435748600"/>
          <w14:textFill>
            <w14:solidFill>
              <w14:srgbClr w14:val="000000">
                <w14:alpha w14:val="100000"/>
              </w14:srgbClr>
            </w14:solidFill>
          </w14:textFill>
        </w:rPr>
        <w:t>|</w:t>
      </w:r>
      <w:r w:rsidRPr="001F281D">
        <w:rPr>
          <w:iCs/>
        </w:rPr>
        <w:t xml:space="preserve">% patients with LDL-C between 1.8 and 2.6; </w:t>
      </w:r>
      <w:r w:rsidR="00650CB8" w:rsidRPr="00650CB8">
        <w:rPr>
          <w:iCs/>
          <w:color w:val="000000"/>
          <w:spacing w:val="16"/>
          <w:shd w:val="solid" w:color="000000" w:fill="000000"/>
          <w:fitText w:val="430" w:id="-1435748599"/>
          <w14:textFill>
            <w14:solidFill>
              <w14:srgbClr w14:val="000000">
                <w14:alpha w14:val="100000"/>
              </w14:srgbClr>
            </w14:solidFill>
          </w14:textFill>
        </w:rPr>
        <w:t>|||  ||</w:t>
      </w:r>
      <w:r w:rsidR="00650CB8" w:rsidRPr="00650CB8">
        <w:rPr>
          <w:iCs/>
          <w:color w:val="000000"/>
          <w:spacing w:val="6"/>
          <w:shd w:val="solid" w:color="000000" w:fill="000000"/>
          <w:fitText w:val="430" w:id="-1435748599"/>
          <w14:textFill>
            <w14:solidFill>
              <w14:srgbClr w14:val="000000">
                <w14:alpha w14:val="100000"/>
              </w14:srgbClr>
            </w14:solidFill>
          </w14:textFill>
        </w:rPr>
        <w:t>|</w:t>
      </w:r>
      <w:r w:rsidRPr="001F281D">
        <w:rPr>
          <w:iCs/>
        </w:rPr>
        <w:t>% for patients with LDL-C &gt;</w:t>
      </w:r>
      <w:r w:rsidR="000364AB" w:rsidRPr="001F281D">
        <w:rPr>
          <w:iCs/>
        </w:rPr>
        <w:t> </w:t>
      </w:r>
      <w:r w:rsidRPr="001F281D">
        <w:rPr>
          <w:iCs/>
        </w:rPr>
        <w:t xml:space="preserve">2.6 mmol/L). The rebate on published DPMQ for the existing population is </w:t>
      </w:r>
      <w:r w:rsidR="00650CB8" w:rsidRPr="00650CB8">
        <w:rPr>
          <w:iCs/>
          <w:color w:val="000000"/>
          <w:spacing w:val="16"/>
          <w:shd w:val="solid" w:color="000000" w:fill="000000"/>
          <w:fitText w:val="430" w:id="-1435748598"/>
          <w14:textFill>
            <w14:solidFill>
              <w14:srgbClr w14:val="000000">
                <w14:alpha w14:val="100000"/>
              </w14:srgbClr>
            </w14:solidFill>
          </w14:textFill>
        </w:rPr>
        <w:t>|||  ||</w:t>
      </w:r>
      <w:r w:rsidR="00650CB8" w:rsidRPr="00650CB8">
        <w:rPr>
          <w:iCs/>
          <w:color w:val="000000"/>
          <w:spacing w:val="6"/>
          <w:shd w:val="solid" w:color="000000" w:fill="000000"/>
          <w:fitText w:val="430" w:id="-1435748598"/>
          <w14:textFill>
            <w14:solidFill>
              <w14:srgbClr w14:val="000000">
                <w14:alpha w14:val="100000"/>
              </w14:srgbClr>
            </w14:solidFill>
          </w14:textFill>
        </w:rPr>
        <w:t>|</w:t>
      </w:r>
      <w:r w:rsidRPr="001F281D">
        <w:rPr>
          <w:iCs/>
        </w:rPr>
        <w:t>% as presented in the submission.</w:t>
      </w:r>
    </w:p>
    <w:p w14:paraId="6FFBE315" w14:textId="77777777" w:rsidR="00E968BB" w:rsidRPr="00D86F1E" w:rsidRDefault="00E968BB" w:rsidP="00E968BB">
      <w:pPr>
        <w:pStyle w:val="TableFigureFooter"/>
        <w:keepNext/>
        <w:spacing w:after="0"/>
        <w:contextualSpacing w:val="0"/>
        <w:rPr>
          <w:i/>
        </w:rPr>
      </w:pPr>
      <w:r w:rsidRPr="00D86F1E">
        <w:rPr>
          <w:i/>
        </w:rPr>
        <w:t>The redacted values correspond to the following ranges:</w:t>
      </w:r>
    </w:p>
    <w:p w14:paraId="2D437F16" w14:textId="1AC9E69E" w:rsidR="00E968BB" w:rsidRPr="00281DAB" w:rsidRDefault="00E968BB" w:rsidP="00E968BB">
      <w:pPr>
        <w:pStyle w:val="TableFigureFooter"/>
        <w:keepNext/>
        <w:spacing w:after="0"/>
        <w:contextualSpacing w:val="0"/>
      </w:pPr>
      <w:r w:rsidRPr="00D86F1E">
        <w:rPr>
          <w:i/>
          <w:szCs w:val="18"/>
          <w:vertAlign w:val="superscript"/>
        </w:rPr>
        <w:t>1</w:t>
      </w:r>
      <w:r w:rsidRPr="00D86F1E">
        <w:rPr>
          <w:i/>
          <w:szCs w:val="18"/>
        </w:rPr>
        <w:t xml:space="preserve"> </w:t>
      </w:r>
      <w:r w:rsidRPr="00E968BB">
        <w:rPr>
          <w:i/>
          <w:szCs w:val="18"/>
        </w:rPr>
        <w:t>$25,000 to &lt; $35,000</w:t>
      </w:r>
    </w:p>
    <w:p w14:paraId="116F3C8C" w14:textId="74310622" w:rsidR="00E968BB" w:rsidRPr="00D86F1E" w:rsidRDefault="00E968BB" w:rsidP="00E968BB">
      <w:pPr>
        <w:jc w:val="left"/>
        <w:rPr>
          <w:rFonts w:ascii="Arial Narrow" w:hAnsi="Arial Narrow"/>
          <w:i/>
          <w:sz w:val="18"/>
          <w:szCs w:val="18"/>
        </w:rPr>
      </w:pPr>
      <w:r w:rsidRPr="00D86F1E">
        <w:rPr>
          <w:rFonts w:ascii="Arial Narrow" w:hAnsi="Arial Narrow"/>
          <w:i/>
          <w:sz w:val="18"/>
          <w:szCs w:val="18"/>
          <w:vertAlign w:val="superscript"/>
        </w:rPr>
        <w:t>2</w:t>
      </w:r>
      <w:r w:rsidRPr="00D86F1E">
        <w:rPr>
          <w:rFonts w:ascii="Arial Narrow" w:hAnsi="Arial Narrow"/>
          <w:i/>
          <w:sz w:val="18"/>
          <w:szCs w:val="18"/>
        </w:rPr>
        <w:t xml:space="preserve"> </w:t>
      </w:r>
      <w:r w:rsidRPr="00E968BB">
        <w:rPr>
          <w:rFonts w:ascii="Arial Narrow" w:hAnsi="Arial Narrow"/>
          <w:i/>
          <w:sz w:val="18"/>
          <w:szCs w:val="18"/>
        </w:rPr>
        <w:t>$15,000 to &lt; $25,000</w:t>
      </w:r>
      <w:r>
        <w:rPr>
          <w:rFonts w:ascii="Arial Narrow" w:hAnsi="Arial Narrow"/>
          <w:i/>
          <w:sz w:val="18"/>
          <w:szCs w:val="18"/>
        </w:rPr>
        <w:br/>
      </w:r>
    </w:p>
    <w:p w14:paraId="79437CFB" w14:textId="31910B97" w:rsidR="001E2F24" w:rsidRDefault="005110D1" w:rsidP="005110D1">
      <w:pPr>
        <w:pStyle w:val="ExecSumBodyText"/>
      </w:pPr>
      <w:r w:rsidRPr="00FF4735">
        <w:t xml:space="preserve">The price required to obtain an ICER of </w:t>
      </w:r>
      <w:r w:rsidR="00FA278B" w:rsidRPr="00FA278B">
        <w:t>$25,000 to &lt; $35,000</w:t>
      </w:r>
      <w:r w:rsidRPr="00FF4735">
        <w:t xml:space="preserve"> is sensitive to the average baseline </w:t>
      </w:r>
      <w:r w:rsidR="00C5262A" w:rsidRPr="00FF4735">
        <w:t xml:space="preserve">LDL-C </w:t>
      </w:r>
      <w:r w:rsidRPr="00FF4735">
        <w:t xml:space="preserve">level of patients with </w:t>
      </w:r>
      <w:r w:rsidR="00C5262A" w:rsidRPr="00FF4735">
        <w:t xml:space="preserve">LDL-C </w:t>
      </w:r>
      <w:r w:rsidRPr="00FF4735">
        <w:t>between 1.8 and 2.6 mmol/L</w:t>
      </w:r>
      <w:r w:rsidR="00367788">
        <w:t xml:space="preserve"> </w:t>
      </w:r>
      <w:r w:rsidR="00367788" w:rsidRPr="001F281D">
        <w:rPr>
          <w:iCs/>
        </w:rPr>
        <w:t>and the discount rate</w:t>
      </w:r>
      <w:r w:rsidRPr="00FF4735">
        <w:t>.</w:t>
      </w:r>
    </w:p>
    <w:p w14:paraId="472842D7" w14:textId="6ACD2C0D" w:rsidR="00C25D9C" w:rsidRDefault="00C25D9C" w:rsidP="00A40F69">
      <w:pPr>
        <w:pStyle w:val="3-SubsectionHeading"/>
      </w:pPr>
      <w:bookmarkStart w:id="52" w:name="_Toc22897646"/>
      <w:bookmarkStart w:id="53" w:name="_Toc103773802"/>
      <w:r w:rsidRPr="002C2775">
        <w:t>Drug cost/patient/year</w:t>
      </w:r>
      <w:bookmarkEnd w:id="52"/>
      <w:bookmarkEnd w:id="53"/>
    </w:p>
    <w:p w14:paraId="228BC1FA" w14:textId="614D0FE0" w:rsidR="0011218F" w:rsidRDefault="0011218F" w:rsidP="00F94660">
      <w:pPr>
        <w:pStyle w:val="ListParagraph"/>
        <w:numPr>
          <w:ilvl w:val="1"/>
          <w:numId w:val="1"/>
        </w:numPr>
      </w:pPr>
      <w:r w:rsidRPr="00604408">
        <w:t xml:space="preserve">The drug cost per patient for evolocumab </w:t>
      </w:r>
      <w:r w:rsidR="00D72B88">
        <w:t xml:space="preserve">in the new patient population </w:t>
      </w:r>
      <w:r w:rsidRPr="00604408">
        <w:t xml:space="preserve">is summarised in </w:t>
      </w:r>
      <w:r w:rsidR="006F4A9F">
        <w:fldChar w:fldCharType="begin"/>
      </w:r>
      <w:r w:rsidR="006F4A9F">
        <w:instrText xml:space="preserve"> REF _Ref102472812 \h </w:instrText>
      </w:r>
      <w:r w:rsidR="006F4A9F">
        <w:fldChar w:fldCharType="separate"/>
      </w:r>
      <w:r w:rsidR="00EB7F7C">
        <w:t xml:space="preserve">Table </w:t>
      </w:r>
      <w:r w:rsidR="00EB7F7C">
        <w:rPr>
          <w:noProof/>
        </w:rPr>
        <w:t>16</w:t>
      </w:r>
      <w:r w:rsidR="006F4A9F">
        <w:fldChar w:fldCharType="end"/>
      </w:r>
      <w:r w:rsidRPr="00604408">
        <w:t xml:space="preserve">. </w:t>
      </w:r>
    </w:p>
    <w:p w14:paraId="669D6351" w14:textId="4D61E312" w:rsidR="0011218F" w:rsidRDefault="0011218F" w:rsidP="00F94660">
      <w:pPr>
        <w:pStyle w:val="TableHeading"/>
        <w:keepLines/>
        <w:spacing w:after="0"/>
      </w:pPr>
      <w:bookmarkStart w:id="54" w:name="_Ref102472812"/>
      <w:r>
        <w:t xml:space="preserve">Table </w:t>
      </w:r>
      <w:fldSimple w:instr=" SEQ Table \* ARABIC ">
        <w:r w:rsidR="00EB7F7C">
          <w:rPr>
            <w:noProof/>
          </w:rPr>
          <w:t>16</w:t>
        </w:r>
      </w:fldSimple>
      <w:bookmarkEnd w:id="54"/>
      <w:r>
        <w:t xml:space="preserve">: Drug cost per patient for evolocumab </w:t>
      </w:r>
    </w:p>
    <w:tbl>
      <w:tblPr>
        <w:tblStyle w:val="TableGrid"/>
        <w:tblW w:w="0" w:type="auto"/>
        <w:tblInd w:w="-5" w:type="dxa"/>
        <w:tblLook w:val="04A0" w:firstRow="1" w:lastRow="0" w:firstColumn="1" w:lastColumn="0" w:noHBand="0" w:noVBand="1"/>
      </w:tblPr>
      <w:tblGrid>
        <w:gridCol w:w="1721"/>
        <w:gridCol w:w="1253"/>
        <w:gridCol w:w="1253"/>
        <w:gridCol w:w="2396"/>
        <w:gridCol w:w="1199"/>
        <w:gridCol w:w="1200"/>
      </w:tblGrid>
      <w:tr w:rsidR="0011218F" w:rsidRPr="00415351" w14:paraId="6460855F" w14:textId="77777777" w:rsidTr="00BF34B1">
        <w:tc>
          <w:tcPr>
            <w:tcW w:w="1721" w:type="dxa"/>
            <w:vAlign w:val="center"/>
          </w:tcPr>
          <w:p w14:paraId="3EF80FEA" w14:textId="77777777" w:rsidR="0011218F" w:rsidRPr="00415351" w:rsidRDefault="0011218F" w:rsidP="00F94660">
            <w:pPr>
              <w:pStyle w:val="BodyText"/>
              <w:keepNext/>
              <w:keepLines/>
              <w:spacing w:after="0"/>
              <w:rPr>
                <w:rFonts w:ascii="Arial Narrow" w:hAnsi="Arial Narrow"/>
                <w:sz w:val="20"/>
              </w:rPr>
            </w:pPr>
          </w:p>
        </w:tc>
        <w:tc>
          <w:tcPr>
            <w:tcW w:w="2506" w:type="dxa"/>
            <w:gridSpan w:val="2"/>
            <w:vAlign w:val="center"/>
          </w:tcPr>
          <w:p w14:paraId="4D8756A7" w14:textId="77777777" w:rsidR="0011218F" w:rsidRPr="00415351" w:rsidRDefault="0011218F" w:rsidP="00F94660">
            <w:pPr>
              <w:pStyle w:val="BodyText"/>
              <w:keepNext/>
              <w:keepLines/>
              <w:spacing w:after="0"/>
              <w:jc w:val="center"/>
              <w:rPr>
                <w:rFonts w:ascii="Arial Narrow" w:hAnsi="Arial Narrow"/>
                <w:b/>
                <w:sz w:val="20"/>
              </w:rPr>
            </w:pPr>
            <w:r w:rsidRPr="00415351">
              <w:rPr>
                <w:rFonts w:ascii="Arial Narrow" w:hAnsi="Arial Narrow"/>
                <w:b/>
                <w:sz w:val="20"/>
              </w:rPr>
              <w:t>FOURIER trial</w:t>
            </w:r>
          </w:p>
        </w:tc>
        <w:tc>
          <w:tcPr>
            <w:tcW w:w="2396" w:type="dxa"/>
            <w:vAlign w:val="center"/>
          </w:tcPr>
          <w:p w14:paraId="5C142BEB" w14:textId="77777777" w:rsidR="0011218F" w:rsidRPr="00415351" w:rsidRDefault="0011218F" w:rsidP="00F94660">
            <w:pPr>
              <w:pStyle w:val="BodyText"/>
              <w:keepNext/>
              <w:keepLines/>
              <w:spacing w:after="0"/>
              <w:jc w:val="center"/>
              <w:rPr>
                <w:rFonts w:ascii="Arial Narrow" w:hAnsi="Arial Narrow"/>
                <w:b/>
                <w:sz w:val="20"/>
              </w:rPr>
            </w:pPr>
            <w:r w:rsidRPr="00415351">
              <w:rPr>
                <w:rFonts w:ascii="Arial Narrow" w:hAnsi="Arial Narrow"/>
                <w:b/>
                <w:sz w:val="20"/>
              </w:rPr>
              <w:t>Economic analysis</w:t>
            </w:r>
          </w:p>
        </w:tc>
        <w:tc>
          <w:tcPr>
            <w:tcW w:w="2399" w:type="dxa"/>
            <w:gridSpan w:val="2"/>
            <w:vAlign w:val="center"/>
          </w:tcPr>
          <w:p w14:paraId="0CE5BBC1" w14:textId="77777777" w:rsidR="0011218F" w:rsidRPr="00415351" w:rsidRDefault="0011218F" w:rsidP="00F94660">
            <w:pPr>
              <w:pStyle w:val="BodyText"/>
              <w:keepNext/>
              <w:keepLines/>
              <w:spacing w:after="0"/>
              <w:jc w:val="center"/>
              <w:rPr>
                <w:rFonts w:ascii="Arial Narrow" w:hAnsi="Arial Narrow"/>
                <w:b/>
                <w:sz w:val="20"/>
              </w:rPr>
            </w:pPr>
            <w:r w:rsidRPr="00415351">
              <w:rPr>
                <w:rFonts w:ascii="Arial Narrow" w:hAnsi="Arial Narrow"/>
                <w:b/>
                <w:sz w:val="20"/>
              </w:rPr>
              <w:t>Financial estimates</w:t>
            </w:r>
          </w:p>
        </w:tc>
      </w:tr>
      <w:tr w:rsidR="0011218F" w:rsidRPr="00415351" w14:paraId="4BD46340" w14:textId="77777777" w:rsidTr="00BF34B1">
        <w:tc>
          <w:tcPr>
            <w:tcW w:w="1721" w:type="dxa"/>
            <w:vAlign w:val="center"/>
          </w:tcPr>
          <w:p w14:paraId="65E9786F" w14:textId="77777777" w:rsidR="0011218F" w:rsidRPr="002D4D30" w:rsidRDefault="0011218F" w:rsidP="00F94660">
            <w:pPr>
              <w:pStyle w:val="BodyText"/>
              <w:keepNext/>
              <w:keepLines/>
              <w:spacing w:after="0"/>
              <w:rPr>
                <w:rFonts w:ascii="Arial Narrow" w:hAnsi="Arial Narrow"/>
                <w:b/>
                <w:sz w:val="20"/>
              </w:rPr>
            </w:pPr>
            <w:r w:rsidRPr="002D4D30">
              <w:rPr>
                <w:rFonts w:ascii="Arial Narrow" w:hAnsi="Arial Narrow"/>
                <w:b/>
                <w:sz w:val="20"/>
              </w:rPr>
              <w:t>Treatment regimen</w:t>
            </w:r>
          </w:p>
        </w:tc>
        <w:tc>
          <w:tcPr>
            <w:tcW w:w="1253" w:type="dxa"/>
            <w:vAlign w:val="center"/>
          </w:tcPr>
          <w:p w14:paraId="48BE1BE1" w14:textId="77777777" w:rsidR="0011218F" w:rsidRPr="002D4D30" w:rsidRDefault="0011218F" w:rsidP="00F94660">
            <w:pPr>
              <w:pStyle w:val="BodyText"/>
              <w:keepNext/>
              <w:keepLines/>
              <w:spacing w:after="0"/>
              <w:jc w:val="center"/>
              <w:rPr>
                <w:rFonts w:ascii="Arial Narrow" w:hAnsi="Arial Narrow"/>
                <w:b/>
                <w:sz w:val="20"/>
              </w:rPr>
            </w:pPr>
            <w:r w:rsidRPr="002D4D30">
              <w:rPr>
                <w:rFonts w:ascii="Arial Narrow" w:hAnsi="Arial Narrow"/>
                <w:b/>
                <w:sz w:val="20"/>
              </w:rPr>
              <w:t xml:space="preserve">Evolocumab 140 mg fortnightly </w:t>
            </w:r>
          </w:p>
        </w:tc>
        <w:tc>
          <w:tcPr>
            <w:tcW w:w="1253" w:type="dxa"/>
            <w:vAlign w:val="center"/>
          </w:tcPr>
          <w:p w14:paraId="4040739C" w14:textId="77777777" w:rsidR="0011218F" w:rsidRPr="002D4D30" w:rsidRDefault="0011218F" w:rsidP="00F94660">
            <w:pPr>
              <w:pStyle w:val="BodyText"/>
              <w:keepNext/>
              <w:keepLines/>
              <w:spacing w:after="0"/>
              <w:jc w:val="center"/>
              <w:rPr>
                <w:rFonts w:ascii="Arial Narrow" w:hAnsi="Arial Narrow"/>
                <w:b/>
                <w:sz w:val="20"/>
              </w:rPr>
            </w:pPr>
            <w:r w:rsidRPr="002D4D30">
              <w:rPr>
                <w:rFonts w:ascii="Arial Narrow" w:hAnsi="Arial Narrow"/>
                <w:b/>
                <w:sz w:val="20"/>
              </w:rPr>
              <w:t>Evolocumab 420 mg monthly</w:t>
            </w:r>
          </w:p>
        </w:tc>
        <w:tc>
          <w:tcPr>
            <w:tcW w:w="2396" w:type="dxa"/>
            <w:vAlign w:val="center"/>
          </w:tcPr>
          <w:p w14:paraId="039FFE98" w14:textId="77777777" w:rsidR="0011218F" w:rsidRPr="002D4D30" w:rsidRDefault="0011218F" w:rsidP="00F94660">
            <w:pPr>
              <w:pStyle w:val="BodyText"/>
              <w:keepNext/>
              <w:keepLines/>
              <w:spacing w:after="0"/>
              <w:jc w:val="center"/>
              <w:rPr>
                <w:rFonts w:ascii="Arial Narrow" w:hAnsi="Arial Narrow"/>
                <w:b/>
                <w:sz w:val="20"/>
              </w:rPr>
            </w:pPr>
            <w:r w:rsidRPr="002D4D30">
              <w:rPr>
                <w:rFonts w:ascii="Arial Narrow" w:hAnsi="Arial Narrow"/>
                <w:b/>
                <w:sz w:val="20"/>
              </w:rPr>
              <w:t>Evolocumab 140 mg fortnightly or 420 mg monthly</w:t>
            </w:r>
          </w:p>
        </w:tc>
        <w:tc>
          <w:tcPr>
            <w:tcW w:w="1199" w:type="dxa"/>
            <w:vAlign w:val="center"/>
          </w:tcPr>
          <w:p w14:paraId="2BF6B54F" w14:textId="77777777" w:rsidR="0011218F" w:rsidRPr="002D4D30" w:rsidRDefault="0011218F" w:rsidP="00F94660">
            <w:pPr>
              <w:pStyle w:val="BodyText"/>
              <w:keepNext/>
              <w:keepLines/>
              <w:spacing w:after="0"/>
              <w:jc w:val="center"/>
              <w:rPr>
                <w:rFonts w:ascii="Arial Narrow" w:hAnsi="Arial Narrow"/>
                <w:b/>
                <w:sz w:val="20"/>
              </w:rPr>
            </w:pPr>
            <w:r w:rsidRPr="002D4D30">
              <w:rPr>
                <w:rFonts w:ascii="Arial Narrow" w:hAnsi="Arial Narrow"/>
                <w:b/>
                <w:sz w:val="20"/>
              </w:rPr>
              <w:t xml:space="preserve">Evolocumab 140 mg fortnightly </w:t>
            </w:r>
          </w:p>
        </w:tc>
        <w:tc>
          <w:tcPr>
            <w:tcW w:w="1200" w:type="dxa"/>
            <w:vAlign w:val="center"/>
          </w:tcPr>
          <w:p w14:paraId="329651FF" w14:textId="77777777" w:rsidR="0011218F" w:rsidRPr="002D4D30" w:rsidRDefault="0011218F" w:rsidP="00F94660">
            <w:pPr>
              <w:pStyle w:val="BodyText"/>
              <w:keepNext/>
              <w:keepLines/>
              <w:spacing w:after="0"/>
              <w:jc w:val="center"/>
              <w:rPr>
                <w:rFonts w:ascii="Arial Narrow" w:hAnsi="Arial Narrow"/>
                <w:b/>
                <w:sz w:val="20"/>
              </w:rPr>
            </w:pPr>
            <w:r w:rsidRPr="002D4D30">
              <w:rPr>
                <w:rFonts w:ascii="Arial Narrow" w:hAnsi="Arial Narrow"/>
                <w:b/>
                <w:sz w:val="20"/>
              </w:rPr>
              <w:t>Evolocumab 420 mg monthly</w:t>
            </w:r>
          </w:p>
        </w:tc>
      </w:tr>
      <w:tr w:rsidR="0011218F" w:rsidRPr="00415351" w14:paraId="645BFD83" w14:textId="77777777" w:rsidTr="00BF34B1">
        <w:tc>
          <w:tcPr>
            <w:tcW w:w="1721" w:type="dxa"/>
            <w:vAlign w:val="center"/>
          </w:tcPr>
          <w:p w14:paraId="2DF07042" w14:textId="77777777" w:rsidR="0011218F" w:rsidRDefault="0011218F" w:rsidP="00F94660">
            <w:pPr>
              <w:pStyle w:val="BodyText"/>
              <w:keepNext/>
              <w:keepLines/>
              <w:spacing w:after="0"/>
              <w:rPr>
                <w:rFonts w:ascii="Arial Narrow" w:hAnsi="Arial Narrow"/>
                <w:sz w:val="20"/>
              </w:rPr>
            </w:pPr>
            <w:r>
              <w:rPr>
                <w:rFonts w:ascii="Arial Narrow" w:hAnsi="Arial Narrow"/>
                <w:sz w:val="20"/>
              </w:rPr>
              <w:t>Compliance</w:t>
            </w:r>
          </w:p>
        </w:tc>
        <w:tc>
          <w:tcPr>
            <w:tcW w:w="2506" w:type="dxa"/>
            <w:gridSpan w:val="2"/>
            <w:vAlign w:val="center"/>
          </w:tcPr>
          <w:p w14:paraId="7C0F5DED" w14:textId="4DC00AED" w:rsidR="0011218F" w:rsidRPr="00415351" w:rsidRDefault="004B3B1B" w:rsidP="00F94660">
            <w:pPr>
              <w:pStyle w:val="BodyText"/>
              <w:keepNext/>
              <w:keepLines/>
              <w:spacing w:after="0"/>
              <w:jc w:val="center"/>
              <w:rPr>
                <w:rFonts w:ascii="Arial Narrow" w:hAnsi="Arial Narrow"/>
                <w:sz w:val="20"/>
              </w:rPr>
            </w:pPr>
            <w:r>
              <w:rPr>
                <w:rFonts w:ascii="Arial Narrow" w:hAnsi="Arial Narrow"/>
                <w:sz w:val="20"/>
              </w:rPr>
              <w:t>-</w:t>
            </w:r>
          </w:p>
        </w:tc>
        <w:tc>
          <w:tcPr>
            <w:tcW w:w="2396" w:type="dxa"/>
            <w:vAlign w:val="center"/>
          </w:tcPr>
          <w:p w14:paraId="74935803" w14:textId="17EF61F5" w:rsidR="0011218F" w:rsidRPr="008F619A" w:rsidRDefault="004B3B1B" w:rsidP="00F94660">
            <w:pPr>
              <w:pStyle w:val="BodyText"/>
              <w:keepNext/>
              <w:keepLines/>
              <w:spacing w:after="0"/>
              <w:jc w:val="center"/>
              <w:rPr>
                <w:rFonts w:ascii="Arial Narrow" w:hAnsi="Arial Narrow"/>
                <w:sz w:val="20"/>
                <w:vertAlign w:val="superscript"/>
              </w:rPr>
            </w:pPr>
            <w:r>
              <w:rPr>
                <w:rFonts w:ascii="Arial Narrow" w:hAnsi="Arial Narrow"/>
                <w:sz w:val="20"/>
              </w:rPr>
              <w:t>-</w:t>
            </w:r>
          </w:p>
        </w:tc>
        <w:tc>
          <w:tcPr>
            <w:tcW w:w="2399" w:type="dxa"/>
            <w:gridSpan w:val="2"/>
            <w:vAlign w:val="center"/>
          </w:tcPr>
          <w:p w14:paraId="53A4624D" w14:textId="63B75C95" w:rsidR="0011218F" w:rsidRPr="00DF20F0" w:rsidRDefault="0011218F" w:rsidP="00F94660">
            <w:pPr>
              <w:pStyle w:val="BodyText"/>
              <w:keepNext/>
              <w:keepLines/>
              <w:spacing w:after="0"/>
              <w:jc w:val="center"/>
              <w:rPr>
                <w:rFonts w:ascii="Arial Narrow" w:hAnsi="Arial Narrow"/>
                <w:sz w:val="20"/>
                <w:vertAlign w:val="superscript"/>
              </w:rPr>
            </w:pPr>
            <w:r>
              <w:rPr>
                <w:rFonts w:ascii="Arial Narrow" w:hAnsi="Arial Narrow"/>
                <w:sz w:val="20"/>
              </w:rPr>
              <w:t>8</w:t>
            </w:r>
            <w:r w:rsidR="000743E5">
              <w:rPr>
                <w:rFonts w:ascii="Arial Narrow" w:hAnsi="Arial Narrow"/>
                <w:sz w:val="20"/>
              </w:rPr>
              <w:t>5</w:t>
            </w:r>
            <w:r>
              <w:rPr>
                <w:rFonts w:ascii="Arial Narrow" w:hAnsi="Arial Narrow"/>
                <w:sz w:val="20"/>
              </w:rPr>
              <w:t>%</w:t>
            </w:r>
            <w:r w:rsidR="000743E5">
              <w:rPr>
                <w:rFonts w:ascii="Arial Narrow" w:hAnsi="Arial Narrow"/>
                <w:sz w:val="20"/>
              </w:rPr>
              <w:t xml:space="preserve"> </w:t>
            </w:r>
            <w:r w:rsidR="000743E5">
              <w:rPr>
                <w:rFonts w:ascii="Arial Narrow" w:hAnsi="Arial Narrow"/>
                <w:sz w:val="20"/>
                <w:vertAlign w:val="superscript"/>
              </w:rPr>
              <w:t>b</w:t>
            </w:r>
          </w:p>
        </w:tc>
      </w:tr>
      <w:tr w:rsidR="0011218F" w:rsidRPr="00415351" w14:paraId="06B1A2F2" w14:textId="77777777" w:rsidTr="00BF34B1">
        <w:tc>
          <w:tcPr>
            <w:tcW w:w="1721" w:type="dxa"/>
            <w:vAlign w:val="center"/>
          </w:tcPr>
          <w:p w14:paraId="381966C1" w14:textId="77777777" w:rsidR="0011218F" w:rsidRDefault="0011218F" w:rsidP="00F94660">
            <w:pPr>
              <w:pStyle w:val="BodyText"/>
              <w:keepNext/>
              <w:keepLines/>
              <w:spacing w:after="0"/>
              <w:rPr>
                <w:rFonts w:ascii="Arial Narrow" w:hAnsi="Arial Narrow"/>
                <w:sz w:val="20"/>
              </w:rPr>
            </w:pPr>
            <w:r>
              <w:rPr>
                <w:rFonts w:ascii="Arial Narrow" w:hAnsi="Arial Narrow"/>
                <w:sz w:val="20"/>
              </w:rPr>
              <w:t>Persistence</w:t>
            </w:r>
          </w:p>
        </w:tc>
        <w:tc>
          <w:tcPr>
            <w:tcW w:w="2506" w:type="dxa"/>
            <w:gridSpan w:val="2"/>
            <w:vAlign w:val="center"/>
          </w:tcPr>
          <w:p w14:paraId="4187BDA0" w14:textId="0442AD49" w:rsidR="0011218F" w:rsidRPr="000743E5" w:rsidRDefault="0011218F" w:rsidP="00F94660">
            <w:pPr>
              <w:pStyle w:val="BodyText"/>
              <w:keepNext/>
              <w:keepLines/>
              <w:spacing w:after="0"/>
              <w:jc w:val="center"/>
              <w:rPr>
                <w:rFonts w:ascii="Arial Narrow" w:hAnsi="Arial Narrow"/>
                <w:sz w:val="20"/>
              </w:rPr>
            </w:pPr>
            <w:r>
              <w:rPr>
                <w:rFonts w:ascii="Arial Narrow" w:hAnsi="Arial Narrow"/>
                <w:sz w:val="20"/>
              </w:rPr>
              <w:t>88%</w:t>
            </w:r>
            <w:r w:rsidR="000743E5">
              <w:rPr>
                <w:rFonts w:ascii="Arial Narrow" w:hAnsi="Arial Narrow"/>
                <w:sz w:val="20"/>
              </w:rPr>
              <w:t xml:space="preserve"> </w:t>
            </w:r>
            <w:r w:rsidR="000743E5">
              <w:rPr>
                <w:rFonts w:ascii="Arial Narrow" w:hAnsi="Arial Narrow"/>
                <w:sz w:val="20"/>
                <w:vertAlign w:val="superscript"/>
              </w:rPr>
              <w:t>a</w:t>
            </w:r>
          </w:p>
        </w:tc>
        <w:tc>
          <w:tcPr>
            <w:tcW w:w="2396" w:type="dxa"/>
            <w:vAlign w:val="center"/>
          </w:tcPr>
          <w:p w14:paraId="0F826FDB" w14:textId="60DFADBC" w:rsidR="0011218F" w:rsidRPr="00DF20F0" w:rsidRDefault="00EB0416" w:rsidP="00F94660">
            <w:pPr>
              <w:pStyle w:val="BodyText"/>
              <w:keepNext/>
              <w:keepLines/>
              <w:spacing w:after="0"/>
              <w:jc w:val="center"/>
              <w:rPr>
                <w:rFonts w:ascii="Arial Narrow" w:hAnsi="Arial Narrow"/>
                <w:sz w:val="20"/>
                <w:vertAlign w:val="superscript"/>
              </w:rPr>
            </w:pPr>
            <w:r>
              <w:rPr>
                <w:rFonts w:ascii="Arial Narrow" w:hAnsi="Arial Narrow"/>
                <w:sz w:val="20"/>
              </w:rPr>
              <w:t xml:space="preserve">99% </w:t>
            </w:r>
            <w:r w:rsidR="0011218F">
              <w:rPr>
                <w:rFonts w:ascii="Arial Narrow" w:hAnsi="Arial Narrow"/>
                <w:sz w:val="20"/>
                <w:vertAlign w:val="superscript"/>
              </w:rPr>
              <w:t>c</w:t>
            </w:r>
          </w:p>
        </w:tc>
        <w:tc>
          <w:tcPr>
            <w:tcW w:w="2399" w:type="dxa"/>
            <w:gridSpan w:val="2"/>
            <w:vAlign w:val="center"/>
          </w:tcPr>
          <w:p w14:paraId="1A09D809" w14:textId="77777777" w:rsidR="0011218F" w:rsidRPr="00415351" w:rsidRDefault="0011218F" w:rsidP="00F94660">
            <w:pPr>
              <w:pStyle w:val="BodyText"/>
              <w:keepNext/>
              <w:keepLines/>
              <w:spacing w:after="0"/>
              <w:jc w:val="center"/>
              <w:rPr>
                <w:rFonts w:ascii="Arial Narrow" w:hAnsi="Arial Narrow"/>
                <w:sz w:val="20"/>
              </w:rPr>
            </w:pPr>
            <w:r>
              <w:rPr>
                <w:rFonts w:ascii="Arial Narrow" w:hAnsi="Arial Narrow"/>
                <w:sz w:val="20"/>
              </w:rPr>
              <w:t>-</w:t>
            </w:r>
          </w:p>
        </w:tc>
      </w:tr>
      <w:tr w:rsidR="0011218F" w:rsidRPr="00415351" w14:paraId="1EFD7120" w14:textId="77777777" w:rsidTr="00BF34B1">
        <w:tc>
          <w:tcPr>
            <w:tcW w:w="1721" w:type="dxa"/>
            <w:vAlign w:val="center"/>
          </w:tcPr>
          <w:p w14:paraId="67C4D0F0" w14:textId="77777777" w:rsidR="0011218F" w:rsidRPr="00415351" w:rsidRDefault="0011218F" w:rsidP="00F94660">
            <w:pPr>
              <w:pStyle w:val="BodyText"/>
              <w:keepNext/>
              <w:keepLines/>
              <w:spacing w:after="0"/>
              <w:rPr>
                <w:rFonts w:ascii="Arial Narrow" w:hAnsi="Arial Narrow"/>
                <w:sz w:val="20"/>
              </w:rPr>
            </w:pPr>
            <w:r>
              <w:rPr>
                <w:rFonts w:ascii="Arial Narrow" w:hAnsi="Arial Narrow"/>
                <w:sz w:val="20"/>
              </w:rPr>
              <w:t>Adherence</w:t>
            </w:r>
          </w:p>
        </w:tc>
        <w:tc>
          <w:tcPr>
            <w:tcW w:w="2506" w:type="dxa"/>
            <w:gridSpan w:val="2"/>
            <w:vAlign w:val="center"/>
          </w:tcPr>
          <w:p w14:paraId="04907BC8" w14:textId="77777777" w:rsidR="0011218F" w:rsidRPr="00415351" w:rsidRDefault="0011218F" w:rsidP="00F94660">
            <w:pPr>
              <w:pStyle w:val="BodyText"/>
              <w:keepNext/>
              <w:keepLines/>
              <w:spacing w:after="0"/>
              <w:jc w:val="center"/>
              <w:rPr>
                <w:rFonts w:ascii="Arial Narrow" w:hAnsi="Arial Narrow"/>
                <w:sz w:val="20"/>
              </w:rPr>
            </w:pPr>
            <w:r>
              <w:rPr>
                <w:rFonts w:ascii="Arial Narrow" w:hAnsi="Arial Narrow"/>
                <w:sz w:val="20"/>
              </w:rPr>
              <w:t>Not reported</w:t>
            </w:r>
          </w:p>
        </w:tc>
        <w:tc>
          <w:tcPr>
            <w:tcW w:w="2396" w:type="dxa"/>
            <w:vAlign w:val="center"/>
          </w:tcPr>
          <w:p w14:paraId="35E94D0C" w14:textId="62BDEAB3" w:rsidR="0011218F" w:rsidRPr="00415351" w:rsidRDefault="0011218F" w:rsidP="00F94660">
            <w:pPr>
              <w:pStyle w:val="BodyText"/>
              <w:keepNext/>
              <w:keepLines/>
              <w:spacing w:after="0"/>
              <w:jc w:val="center"/>
              <w:rPr>
                <w:rFonts w:ascii="Arial Narrow" w:hAnsi="Arial Narrow"/>
                <w:sz w:val="20"/>
              </w:rPr>
            </w:pPr>
            <w:r>
              <w:rPr>
                <w:rFonts w:ascii="Arial Narrow" w:hAnsi="Arial Narrow"/>
                <w:sz w:val="20"/>
              </w:rPr>
              <w:t>88%</w:t>
            </w:r>
            <w:r w:rsidR="002B3AE3">
              <w:rPr>
                <w:rFonts w:ascii="Arial Narrow" w:hAnsi="Arial Narrow"/>
                <w:sz w:val="20"/>
              </w:rPr>
              <w:t xml:space="preserve"> </w:t>
            </w:r>
            <w:r w:rsidRPr="00DF20F0">
              <w:rPr>
                <w:rFonts w:ascii="Arial Narrow" w:hAnsi="Arial Narrow"/>
                <w:sz w:val="20"/>
                <w:vertAlign w:val="superscript"/>
              </w:rPr>
              <w:t>a</w:t>
            </w:r>
          </w:p>
        </w:tc>
        <w:tc>
          <w:tcPr>
            <w:tcW w:w="2399" w:type="dxa"/>
            <w:gridSpan w:val="2"/>
            <w:vAlign w:val="center"/>
          </w:tcPr>
          <w:p w14:paraId="523D9156" w14:textId="77777777" w:rsidR="0011218F" w:rsidRPr="00415351" w:rsidRDefault="0011218F" w:rsidP="00F94660">
            <w:pPr>
              <w:pStyle w:val="BodyText"/>
              <w:keepNext/>
              <w:keepLines/>
              <w:spacing w:after="0"/>
              <w:jc w:val="center"/>
              <w:rPr>
                <w:rFonts w:ascii="Arial Narrow" w:hAnsi="Arial Narrow"/>
                <w:sz w:val="20"/>
              </w:rPr>
            </w:pPr>
            <w:r>
              <w:rPr>
                <w:rFonts w:ascii="Arial Narrow" w:hAnsi="Arial Narrow"/>
                <w:sz w:val="20"/>
              </w:rPr>
              <w:t>-</w:t>
            </w:r>
          </w:p>
        </w:tc>
      </w:tr>
      <w:tr w:rsidR="0011218F" w:rsidRPr="00415351" w14:paraId="26975305" w14:textId="77777777" w:rsidTr="00BF34B1">
        <w:tc>
          <w:tcPr>
            <w:tcW w:w="1721" w:type="dxa"/>
            <w:vAlign w:val="center"/>
          </w:tcPr>
          <w:p w14:paraId="7BE9AD24" w14:textId="77777777" w:rsidR="0011218F" w:rsidRPr="00415351" w:rsidRDefault="0011218F" w:rsidP="00F94660">
            <w:pPr>
              <w:pStyle w:val="BodyText"/>
              <w:keepNext/>
              <w:keepLines/>
              <w:spacing w:after="0"/>
              <w:rPr>
                <w:rFonts w:ascii="Arial Narrow" w:hAnsi="Arial Narrow"/>
                <w:sz w:val="20"/>
              </w:rPr>
            </w:pPr>
            <w:r>
              <w:rPr>
                <w:rFonts w:ascii="Arial Narrow" w:hAnsi="Arial Narrow"/>
                <w:sz w:val="20"/>
              </w:rPr>
              <w:t>Scripts/year</w:t>
            </w:r>
          </w:p>
        </w:tc>
        <w:tc>
          <w:tcPr>
            <w:tcW w:w="2506" w:type="dxa"/>
            <w:gridSpan w:val="2"/>
            <w:vAlign w:val="center"/>
          </w:tcPr>
          <w:p w14:paraId="4EA43A15" w14:textId="77777777" w:rsidR="0011218F" w:rsidRPr="00415351" w:rsidRDefault="0011218F" w:rsidP="00F94660">
            <w:pPr>
              <w:pStyle w:val="BodyText"/>
              <w:keepNext/>
              <w:keepLines/>
              <w:spacing w:after="0"/>
              <w:jc w:val="center"/>
              <w:rPr>
                <w:rFonts w:ascii="Arial Narrow" w:hAnsi="Arial Narrow"/>
                <w:sz w:val="20"/>
              </w:rPr>
            </w:pPr>
            <w:r>
              <w:rPr>
                <w:rFonts w:ascii="Arial Narrow" w:hAnsi="Arial Narrow"/>
                <w:sz w:val="20"/>
              </w:rPr>
              <w:t>-</w:t>
            </w:r>
          </w:p>
        </w:tc>
        <w:tc>
          <w:tcPr>
            <w:tcW w:w="2396" w:type="dxa"/>
            <w:vAlign w:val="center"/>
          </w:tcPr>
          <w:p w14:paraId="0D552926" w14:textId="2AE1B011" w:rsidR="0011218F" w:rsidRPr="00DF20F0" w:rsidRDefault="0011218F" w:rsidP="00F94660">
            <w:pPr>
              <w:pStyle w:val="BodyText"/>
              <w:keepNext/>
              <w:keepLines/>
              <w:spacing w:after="0"/>
              <w:jc w:val="center"/>
              <w:rPr>
                <w:rFonts w:ascii="Arial Narrow" w:hAnsi="Arial Narrow"/>
                <w:sz w:val="20"/>
                <w:vertAlign w:val="superscript"/>
              </w:rPr>
            </w:pPr>
            <w:r>
              <w:rPr>
                <w:rFonts w:ascii="Arial Narrow" w:hAnsi="Arial Narrow"/>
                <w:sz w:val="20"/>
              </w:rPr>
              <w:t>10.56</w:t>
            </w:r>
            <w:r w:rsidR="002B3AE3">
              <w:rPr>
                <w:rFonts w:ascii="Arial Narrow" w:hAnsi="Arial Narrow"/>
                <w:sz w:val="20"/>
              </w:rPr>
              <w:t xml:space="preserve"> </w:t>
            </w:r>
            <w:r>
              <w:rPr>
                <w:rFonts w:ascii="Arial Narrow" w:hAnsi="Arial Narrow"/>
                <w:sz w:val="20"/>
                <w:vertAlign w:val="superscript"/>
              </w:rPr>
              <w:t>d</w:t>
            </w:r>
          </w:p>
        </w:tc>
        <w:tc>
          <w:tcPr>
            <w:tcW w:w="1199" w:type="dxa"/>
            <w:vAlign w:val="center"/>
          </w:tcPr>
          <w:p w14:paraId="17185167" w14:textId="2F2C4A41" w:rsidR="0011218F" w:rsidRPr="00DF20F0" w:rsidRDefault="0011218F" w:rsidP="00F94660">
            <w:pPr>
              <w:pStyle w:val="BodyText"/>
              <w:keepNext/>
              <w:keepLines/>
              <w:spacing w:after="0"/>
              <w:jc w:val="center"/>
              <w:rPr>
                <w:rFonts w:ascii="Arial Narrow" w:hAnsi="Arial Narrow"/>
                <w:sz w:val="20"/>
                <w:vertAlign w:val="superscript"/>
              </w:rPr>
            </w:pPr>
            <w:r>
              <w:rPr>
                <w:rFonts w:ascii="Arial Narrow" w:hAnsi="Arial Narrow"/>
                <w:sz w:val="20"/>
              </w:rPr>
              <w:t>11.</w:t>
            </w:r>
            <w:r w:rsidR="001B5DAB">
              <w:rPr>
                <w:rFonts w:ascii="Arial Narrow" w:hAnsi="Arial Narrow"/>
                <w:sz w:val="20"/>
              </w:rPr>
              <w:t>05</w:t>
            </w:r>
            <w:r w:rsidR="002B3AE3">
              <w:rPr>
                <w:rFonts w:ascii="Arial Narrow" w:hAnsi="Arial Narrow"/>
                <w:sz w:val="20"/>
              </w:rPr>
              <w:t xml:space="preserve"> </w:t>
            </w:r>
            <w:r>
              <w:rPr>
                <w:rFonts w:ascii="Arial Narrow" w:hAnsi="Arial Narrow"/>
                <w:sz w:val="20"/>
                <w:vertAlign w:val="superscript"/>
              </w:rPr>
              <w:t>e</w:t>
            </w:r>
          </w:p>
        </w:tc>
        <w:tc>
          <w:tcPr>
            <w:tcW w:w="1200" w:type="dxa"/>
            <w:vAlign w:val="center"/>
          </w:tcPr>
          <w:p w14:paraId="1AF7918B" w14:textId="51295D6E" w:rsidR="0011218F" w:rsidRPr="00DF20F0" w:rsidRDefault="0011218F" w:rsidP="00F94660">
            <w:pPr>
              <w:pStyle w:val="BodyText"/>
              <w:keepNext/>
              <w:keepLines/>
              <w:spacing w:after="0"/>
              <w:jc w:val="center"/>
              <w:rPr>
                <w:rFonts w:ascii="Arial Narrow" w:hAnsi="Arial Narrow"/>
                <w:sz w:val="20"/>
                <w:vertAlign w:val="superscript"/>
              </w:rPr>
            </w:pPr>
            <w:r>
              <w:rPr>
                <w:rFonts w:ascii="Arial Narrow" w:hAnsi="Arial Narrow"/>
                <w:sz w:val="20"/>
              </w:rPr>
              <w:t>10.</w:t>
            </w:r>
            <w:r w:rsidR="001B5DAB">
              <w:rPr>
                <w:rFonts w:ascii="Arial Narrow" w:hAnsi="Arial Narrow"/>
                <w:sz w:val="20"/>
              </w:rPr>
              <w:t>20</w:t>
            </w:r>
            <w:r w:rsidR="002B3AE3">
              <w:rPr>
                <w:rFonts w:ascii="Arial Narrow" w:hAnsi="Arial Narrow"/>
                <w:sz w:val="20"/>
              </w:rPr>
              <w:t xml:space="preserve"> </w:t>
            </w:r>
            <w:r>
              <w:rPr>
                <w:rFonts w:ascii="Arial Narrow" w:hAnsi="Arial Narrow"/>
                <w:sz w:val="20"/>
                <w:vertAlign w:val="superscript"/>
              </w:rPr>
              <w:t>f</w:t>
            </w:r>
          </w:p>
        </w:tc>
      </w:tr>
      <w:tr w:rsidR="0011218F" w:rsidRPr="00415351" w14:paraId="087F8281" w14:textId="77777777" w:rsidTr="00BF34B1">
        <w:tc>
          <w:tcPr>
            <w:tcW w:w="1721" w:type="dxa"/>
            <w:vAlign w:val="center"/>
          </w:tcPr>
          <w:p w14:paraId="1658B246" w14:textId="77777777" w:rsidR="0011218F" w:rsidRPr="00415351" w:rsidRDefault="0011218F" w:rsidP="00F94660">
            <w:pPr>
              <w:pStyle w:val="BodyText"/>
              <w:keepNext/>
              <w:keepLines/>
              <w:spacing w:after="0"/>
              <w:rPr>
                <w:rFonts w:ascii="Arial Narrow" w:hAnsi="Arial Narrow"/>
                <w:sz w:val="20"/>
              </w:rPr>
            </w:pPr>
            <w:r>
              <w:rPr>
                <w:rFonts w:ascii="Arial Narrow" w:hAnsi="Arial Narrow"/>
                <w:sz w:val="20"/>
              </w:rPr>
              <w:t>Cost/patient/script</w:t>
            </w:r>
          </w:p>
        </w:tc>
        <w:tc>
          <w:tcPr>
            <w:tcW w:w="2506" w:type="dxa"/>
            <w:gridSpan w:val="2"/>
            <w:vAlign w:val="center"/>
          </w:tcPr>
          <w:p w14:paraId="63BBD788" w14:textId="77777777" w:rsidR="0011218F" w:rsidRPr="00415351" w:rsidRDefault="0011218F" w:rsidP="00F94660">
            <w:pPr>
              <w:pStyle w:val="BodyText"/>
              <w:keepNext/>
              <w:keepLines/>
              <w:spacing w:after="0"/>
              <w:jc w:val="center"/>
              <w:rPr>
                <w:rFonts w:ascii="Arial Narrow" w:hAnsi="Arial Narrow"/>
                <w:sz w:val="20"/>
              </w:rPr>
            </w:pPr>
            <w:r>
              <w:rPr>
                <w:rFonts w:ascii="Arial Narrow" w:hAnsi="Arial Narrow"/>
                <w:sz w:val="20"/>
              </w:rPr>
              <w:t>-</w:t>
            </w:r>
          </w:p>
        </w:tc>
        <w:tc>
          <w:tcPr>
            <w:tcW w:w="2396" w:type="dxa"/>
            <w:vAlign w:val="center"/>
          </w:tcPr>
          <w:p w14:paraId="38486DC6" w14:textId="6ADD522A" w:rsidR="0011218F" w:rsidRPr="00415351" w:rsidRDefault="000C44A4" w:rsidP="00F94660">
            <w:pPr>
              <w:pStyle w:val="BodyText"/>
              <w:keepNext/>
              <w:keepLines/>
              <w:spacing w:after="0"/>
              <w:jc w:val="center"/>
              <w:rPr>
                <w:rFonts w:ascii="Arial Narrow" w:hAnsi="Arial Narrow"/>
                <w:sz w:val="20"/>
              </w:rPr>
            </w:pPr>
            <w:r>
              <w:rPr>
                <w:rFonts w:ascii="Arial Narrow" w:hAnsi="Arial Narrow"/>
                <w:sz w:val="20"/>
              </w:rPr>
              <w:t>$</w:t>
            </w:r>
            <w:r w:rsidR="00650CB8" w:rsidRPr="00650CB8">
              <w:rPr>
                <w:rFonts w:ascii="Arial Narrow" w:hAnsi="Arial Narrow"/>
                <w:color w:val="000000"/>
                <w:sz w:val="20"/>
                <w:shd w:val="solid" w:color="000000" w:fill="000000"/>
                <w14:textFill>
                  <w14:solidFill>
                    <w14:srgbClr w14:val="000000">
                      <w14:alpha w14:val="100000"/>
                    </w14:srgbClr>
                  </w14:solidFill>
                </w14:textFill>
              </w:rPr>
              <w:t>|</w:t>
            </w:r>
          </w:p>
        </w:tc>
        <w:tc>
          <w:tcPr>
            <w:tcW w:w="1199" w:type="dxa"/>
            <w:vAlign w:val="center"/>
          </w:tcPr>
          <w:p w14:paraId="4DA817F3" w14:textId="2CDF06A8" w:rsidR="0011218F" w:rsidRPr="00DF20F0" w:rsidRDefault="0011218F" w:rsidP="00F94660">
            <w:pPr>
              <w:pStyle w:val="BodyText"/>
              <w:keepNext/>
              <w:keepLines/>
              <w:spacing w:after="0"/>
              <w:jc w:val="center"/>
              <w:rPr>
                <w:rFonts w:ascii="Arial Narrow" w:hAnsi="Arial Narrow"/>
                <w:sz w:val="20"/>
                <w:vertAlign w:val="superscript"/>
              </w:rPr>
            </w:pPr>
            <w:r>
              <w:rPr>
                <w:rFonts w:ascii="Arial Narrow" w:hAnsi="Arial Narrow"/>
                <w:sz w:val="20"/>
              </w:rPr>
              <w:t>$</w:t>
            </w:r>
            <w:r w:rsidR="00650CB8" w:rsidRPr="00650CB8">
              <w:rPr>
                <w:rFonts w:ascii="Arial Narrow" w:hAnsi="Arial Narrow"/>
                <w:color w:val="000000"/>
                <w:spacing w:val="36"/>
                <w:sz w:val="20"/>
                <w:shd w:val="solid" w:color="000000" w:fill="000000"/>
                <w:fitText w:val="440" w:id="-1435748597"/>
                <w14:textFill>
                  <w14:solidFill>
                    <w14:srgbClr w14:val="000000">
                      <w14:alpha w14:val="100000"/>
                    </w14:srgbClr>
                  </w14:solidFill>
                </w14:textFill>
              </w:rPr>
              <w:t>|||||</w:t>
            </w:r>
            <w:r w:rsidR="00650CB8" w:rsidRPr="00650CB8">
              <w:rPr>
                <w:rFonts w:ascii="Arial Narrow" w:hAnsi="Arial Narrow"/>
                <w:color w:val="000000"/>
                <w:spacing w:val="5"/>
                <w:sz w:val="20"/>
                <w:shd w:val="solid" w:color="000000" w:fill="000000"/>
                <w:fitText w:val="440" w:id="-1435748597"/>
                <w14:textFill>
                  <w14:solidFill>
                    <w14:srgbClr w14:val="000000">
                      <w14:alpha w14:val="100000"/>
                    </w14:srgbClr>
                  </w14:solidFill>
                </w14:textFill>
              </w:rPr>
              <w:t>|</w:t>
            </w:r>
            <w:r w:rsidR="00EA0EBC">
              <w:rPr>
                <w:rFonts w:ascii="Arial Narrow" w:hAnsi="Arial Narrow"/>
                <w:sz w:val="20"/>
              </w:rPr>
              <w:t xml:space="preserve"> </w:t>
            </w:r>
            <w:r>
              <w:rPr>
                <w:rFonts w:ascii="Arial Narrow" w:hAnsi="Arial Narrow"/>
                <w:sz w:val="20"/>
                <w:vertAlign w:val="superscript"/>
              </w:rPr>
              <w:t>g</w:t>
            </w:r>
          </w:p>
        </w:tc>
        <w:tc>
          <w:tcPr>
            <w:tcW w:w="1200" w:type="dxa"/>
            <w:vAlign w:val="center"/>
          </w:tcPr>
          <w:p w14:paraId="44ABA902" w14:textId="3251D95F" w:rsidR="0011218F" w:rsidRPr="00DF20F0" w:rsidRDefault="0011218F" w:rsidP="00F94660">
            <w:pPr>
              <w:pStyle w:val="BodyText"/>
              <w:keepNext/>
              <w:keepLines/>
              <w:spacing w:after="0"/>
              <w:jc w:val="center"/>
              <w:rPr>
                <w:rFonts w:ascii="Arial Narrow" w:hAnsi="Arial Narrow"/>
                <w:sz w:val="20"/>
                <w:vertAlign w:val="superscript"/>
              </w:rPr>
            </w:pPr>
            <w:r>
              <w:rPr>
                <w:rFonts w:ascii="Arial Narrow" w:hAnsi="Arial Narrow"/>
                <w:sz w:val="20"/>
              </w:rPr>
              <w:t>$</w:t>
            </w:r>
            <w:r w:rsidR="00650CB8" w:rsidRPr="00650CB8">
              <w:rPr>
                <w:rFonts w:ascii="Arial Narrow" w:hAnsi="Arial Narrow"/>
                <w:color w:val="000000"/>
                <w:spacing w:val="36"/>
                <w:sz w:val="20"/>
                <w:shd w:val="solid" w:color="000000" w:fill="000000"/>
                <w:fitText w:val="440" w:id="-1435748596"/>
                <w14:textFill>
                  <w14:solidFill>
                    <w14:srgbClr w14:val="000000">
                      <w14:alpha w14:val="100000"/>
                    </w14:srgbClr>
                  </w14:solidFill>
                </w14:textFill>
              </w:rPr>
              <w:t>|||||</w:t>
            </w:r>
            <w:r w:rsidR="00650CB8" w:rsidRPr="00650CB8">
              <w:rPr>
                <w:rFonts w:ascii="Arial Narrow" w:hAnsi="Arial Narrow"/>
                <w:color w:val="000000"/>
                <w:spacing w:val="5"/>
                <w:sz w:val="20"/>
                <w:shd w:val="solid" w:color="000000" w:fill="000000"/>
                <w:fitText w:val="440" w:id="-1435748596"/>
                <w14:textFill>
                  <w14:solidFill>
                    <w14:srgbClr w14:val="000000">
                      <w14:alpha w14:val="100000"/>
                    </w14:srgbClr>
                  </w14:solidFill>
                </w14:textFill>
              </w:rPr>
              <w:t>|</w:t>
            </w:r>
            <w:r w:rsidR="00EA0EBC">
              <w:rPr>
                <w:rFonts w:ascii="Arial Narrow" w:hAnsi="Arial Narrow"/>
                <w:sz w:val="20"/>
              </w:rPr>
              <w:t xml:space="preserve"> </w:t>
            </w:r>
            <w:r>
              <w:rPr>
                <w:rFonts w:ascii="Arial Narrow" w:hAnsi="Arial Narrow"/>
                <w:sz w:val="20"/>
                <w:vertAlign w:val="superscript"/>
              </w:rPr>
              <w:t>g</w:t>
            </w:r>
          </w:p>
        </w:tc>
      </w:tr>
      <w:tr w:rsidR="0011218F" w:rsidRPr="00415351" w14:paraId="06A8FEE3" w14:textId="77777777" w:rsidTr="00BF34B1">
        <w:tc>
          <w:tcPr>
            <w:tcW w:w="1721" w:type="dxa"/>
            <w:vAlign w:val="center"/>
          </w:tcPr>
          <w:p w14:paraId="1EBE3B00" w14:textId="77777777" w:rsidR="0011218F" w:rsidRDefault="0011218F" w:rsidP="00F94660">
            <w:pPr>
              <w:pStyle w:val="BodyText"/>
              <w:keepNext/>
              <w:keepLines/>
              <w:spacing w:after="0"/>
              <w:rPr>
                <w:rFonts w:ascii="Arial Narrow" w:hAnsi="Arial Narrow"/>
                <w:sz w:val="20"/>
              </w:rPr>
            </w:pPr>
            <w:r>
              <w:rPr>
                <w:rFonts w:ascii="Arial Narrow" w:hAnsi="Arial Narrow"/>
                <w:sz w:val="20"/>
              </w:rPr>
              <w:t>Cost/patient/month</w:t>
            </w:r>
          </w:p>
        </w:tc>
        <w:tc>
          <w:tcPr>
            <w:tcW w:w="2506" w:type="dxa"/>
            <w:gridSpan w:val="2"/>
            <w:vAlign w:val="center"/>
          </w:tcPr>
          <w:p w14:paraId="02EA21F5" w14:textId="77777777" w:rsidR="0011218F" w:rsidRDefault="0011218F" w:rsidP="00F94660">
            <w:pPr>
              <w:pStyle w:val="BodyText"/>
              <w:keepNext/>
              <w:keepLines/>
              <w:spacing w:after="0"/>
              <w:jc w:val="center"/>
              <w:rPr>
                <w:rFonts w:ascii="Arial Narrow" w:hAnsi="Arial Narrow"/>
                <w:sz w:val="20"/>
              </w:rPr>
            </w:pPr>
            <w:r>
              <w:rPr>
                <w:rFonts w:ascii="Arial Narrow" w:hAnsi="Arial Narrow"/>
                <w:sz w:val="20"/>
              </w:rPr>
              <w:t>-</w:t>
            </w:r>
          </w:p>
        </w:tc>
        <w:tc>
          <w:tcPr>
            <w:tcW w:w="2396" w:type="dxa"/>
            <w:vAlign w:val="center"/>
          </w:tcPr>
          <w:p w14:paraId="6B2554E5" w14:textId="79E34666" w:rsidR="0011218F" w:rsidRPr="00DF20F0" w:rsidRDefault="0011218F" w:rsidP="00F94660">
            <w:pPr>
              <w:pStyle w:val="BodyText"/>
              <w:keepNext/>
              <w:keepLines/>
              <w:spacing w:after="0"/>
              <w:jc w:val="center"/>
              <w:rPr>
                <w:rFonts w:ascii="Arial Narrow" w:hAnsi="Arial Narrow"/>
                <w:sz w:val="20"/>
                <w:vertAlign w:val="superscript"/>
              </w:rPr>
            </w:pPr>
            <w:r w:rsidRPr="00305353">
              <w:rPr>
                <w:rFonts w:ascii="Arial Narrow" w:hAnsi="Arial Narrow"/>
                <w:sz w:val="20"/>
              </w:rPr>
              <w:t>$</w:t>
            </w:r>
            <w:r w:rsidR="00650CB8" w:rsidRPr="00650CB8">
              <w:rPr>
                <w:rFonts w:ascii="Arial Narrow" w:hAnsi="Arial Narrow"/>
                <w:color w:val="000000"/>
                <w:sz w:val="20"/>
                <w:shd w:val="solid" w:color="000000" w:fill="000000"/>
                <w14:textFill>
                  <w14:solidFill>
                    <w14:srgbClr w14:val="000000">
                      <w14:alpha w14:val="100000"/>
                    </w14:srgbClr>
                  </w14:solidFill>
                </w14:textFill>
              </w:rPr>
              <w:t>|</w:t>
            </w:r>
            <w:r w:rsidR="002B3AE3">
              <w:rPr>
                <w:rFonts w:ascii="Arial Narrow" w:hAnsi="Arial Narrow"/>
                <w:sz w:val="20"/>
              </w:rPr>
              <w:t xml:space="preserve"> </w:t>
            </w:r>
            <w:r w:rsidRPr="00305353">
              <w:rPr>
                <w:rFonts w:ascii="Arial Narrow" w:hAnsi="Arial Narrow"/>
                <w:sz w:val="20"/>
                <w:vertAlign w:val="superscript"/>
              </w:rPr>
              <w:t>h</w:t>
            </w:r>
          </w:p>
        </w:tc>
        <w:tc>
          <w:tcPr>
            <w:tcW w:w="1199" w:type="dxa"/>
            <w:vAlign w:val="center"/>
          </w:tcPr>
          <w:p w14:paraId="1236CB6F" w14:textId="77777777" w:rsidR="0011218F" w:rsidRDefault="0011218F" w:rsidP="00F94660">
            <w:pPr>
              <w:pStyle w:val="BodyText"/>
              <w:keepNext/>
              <w:keepLines/>
              <w:spacing w:after="0"/>
              <w:jc w:val="center"/>
              <w:rPr>
                <w:rFonts w:ascii="Arial Narrow" w:hAnsi="Arial Narrow"/>
                <w:sz w:val="20"/>
              </w:rPr>
            </w:pPr>
            <w:r>
              <w:rPr>
                <w:rFonts w:ascii="Arial Narrow" w:hAnsi="Arial Narrow"/>
                <w:sz w:val="20"/>
              </w:rPr>
              <w:t>-</w:t>
            </w:r>
          </w:p>
        </w:tc>
        <w:tc>
          <w:tcPr>
            <w:tcW w:w="1200" w:type="dxa"/>
            <w:vAlign w:val="center"/>
          </w:tcPr>
          <w:p w14:paraId="5B271DA4" w14:textId="77777777" w:rsidR="0011218F" w:rsidRDefault="0011218F" w:rsidP="00F94660">
            <w:pPr>
              <w:pStyle w:val="BodyText"/>
              <w:keepNext/>
              <w:keepLines/>
              <w:spacing w:after="0"/>
              <w:jc w:val="center"/>
              <w:rPr>
                <w:rFonts w:ascii="Arial Narrow" w:hAnsi="Arial Narrow"/>
                <w:sz w:val="20"/>
              </w:rPr>
            </w:pPr>
            <w:r>
              <w:rPr>
                <w:rFonts w:ascii="Arial Narrow" w:hAnsi="Arial Narrow"/>
                <w:sz w:val="20"/>
              </w:rPr>
              <w:t>-</w:t>
            </w:r>
          </w:p>
        </w:tc>
      </w:tr>
      <w:tr w:rsidR="0011218F" w:rsidRPr="00415351" w14:paraId="2690440B" w14:textId="77777777" w:rsidTr="00BF34B1">
        <w:tc>
          <w:tcPr>
            <w:tcW w:w="1721" w:type="dxa"/>
            <w:vAlign w:val="center"/>
          </w:tcPr>
          <w:p w14:paraId="1C4709EE" w14:textId="3E404670" w:rsidR="0011218F" w:rsidRDefault="0011218F" w:rsidP="00F94660">
            <w:pPr>
              <w:pStyle w:val="BodyText"/>
              <w:keepNext/>
              <w:keepLines/>
              <w:spacing w:after="0"/>
              <w:rPr>
                <w:rFonts w:ascii="Arial Narrow" w:hAnsi="Arial Narrow"/>
                <w:sz w:val="20"/>
              </w:rPr>
            </w:pPr>
            <w:r>
              <w:rPr>
                <w:rFonts w:ascii="Arial Narrow" w:hAnsi="Arial Narrow"/>
                <w:sz w:val="20"/>
              </w:rPr>
              <w:t>Fortnightly/monthly dosing split</w:t>
            </w:r>
          </w:p>
        </w:tc>
        <w:tc>
          <w:tcPr>
            <w:tcW w:w="2506" w:type="dxa"/>
            <w:gridSpan w:val="2"/>
            <w:vAlign w:val="center"/>
          </w:tcPr>
          <w:p w14:paraId="6C54C387" w14:textId="77777777" w:rsidR="0011218F" w:rsidRPr="00415351" w:rsidRDefault="0011218F" w:rsidP="00F94660">
            <w:pPr>
              <w:pStyle w:val="BodyText"/>
              <w:keepNext/>
              <w:keepLines/>
              <w:spacing w:after="0"/>
              <w:jc w:val="center"/>
              <w:rPr>
                <w:rFonts w:ascii="Arial Narrow" w:hAnsi="Arial Narrow"/>
                <w:sz w:val="20"/>
              </w:rPr>
            </w:pPr>
            <w:r>
              <w:rPr>
                <w:rFonts w:ascii="Arial Narrow" w:hAnsi="Arial Narrow"/>
                <w:sz w:val="20"/>
              </w:rPr>
              <w:t>Not reported</w:t>
            </w:r>
          </w:p>
        </w:tc>
        <w:tc>
          <w:tcPr>
            <w:tcW w:w="2396" w:type="dxa"/>
            <w:vAlign w:val="center"/>
          </w:tcPr>
          <w:p w14:paraId="0ADE0A9B" w14:textId="77777777" w:rsidR="0011218F" w:rsidRDefault="0011218F" w:rsidP="00F94660">
            <w:pPr>
              <w:pStyle w:val="BodyText"/>
              <w:keepNext/>
              <w:keepLines/>
              <w:spacing w:after="0"/>
              <w:jc w:val="center"/>
              <w:rPr>
                <w:rFonts w:ascii="Arial Narrow" w:hAnsi="Arial Narrow"/>
                <w:sz w:val="20"/>
              </w:rPr>
            </w:pPr>
            <w:r>
              <w:rPr>
                <w:rFonts w:ascii="Arial Narrow" w:hAnsi="Arial Narrow"/>
                <w:sz w:val="20"/>
              </w:rPr>
              <w:t>Not estimated</w:t>
            </w:r>
          </w:p>
        </w:tc>
        <w:tc>
          <w:tcPr>
            <w:tcW w:w="1199" w:type="dxa"/>
            <w:vAlign w:val="center"/>
          </w:tcPr>
          <w:p w14:paraId="034999D4" w14:textId="4309A8A1" w:rsidR="0011218F" w:rsidRPr="00DF20F0" w:rsidRDefault="00305353" w:rsidP="00F94660">
            <w:pPr>
              <w:pStyle w:val="BodyText"/>
              <w:keepNext/>
              <w:keepLines/>
              <w:spacing w:after="0"/>
              <w:jc w:val="center"/>
              <w:rPr>
                <w:rFonts w:ascii="Arial Narrow" w:hAnsi="Arial Narrow"/>
                <w:sz w:val="20"/>
                <w:vertAlign w:val="superscript"/>
              </w:rPr>
            </w:pPr>
            <w:r>
              <w:rPr>
                <w:rFonts w:ascii="Arial Narrow" w:hAnsi="Arial Narrow"/>
                <w:sz w:val="20"/>
              </w:rPr>
              <w:t>80</w:t>
            </w:r>
            <w:r w:rsidR="0011218F">
              <w:rPr>
                <w:rFonts w:ascii="Arial Narrow" w:hAnsi="Arial Narrow"/>
                <w:sz w:val="20"/>
              </w:rPr>
              <w:t>%</w:t>
            </w:r>
            <w:r w:rsidR="00EA0EBC">
              <w:rPr>
                <w:rFonts w:ascii="Arial Narrow" w:hAnsi="Arial Narrow"/>
                <w:sz w:val="20"/>
              </w:rPr>
              <w:t xml:space="preserve"> </w:t>
            </w:r>
            <w:r w:rsidR="0011218F">
              <w:rPr>
                <w:rFonts w:ascii="Arial Narrow" w:hAnsi="Arial Narrow"/>
                <w:sz w:val="20"/>
                <w:vertAlign w:val="superscript"/>
              </w:rPr>
              <w:t>i</w:t>
            </w:r>
          </w:p>
        </w:tc>
        <w:tc>
          <w:tcPr>
            <w:tcW w:w="1200" w:type="dxa"/>
            <w:vAlign w:val="center"/>
          </w:tcPr>
          <w:p w14:paraId="399F125D" w14:textId="649713B5" w:rsidR="0011218F" w:rsidRPr="00DF20F0" w:rsidRDefault="00305353" w:rsidP="00F94660">
            <w:pPr>
              <w:pStyle w:val="BodyText"/>
              <w:keepNext/>
              <w:keepLines/>
              <w:spacing w:after="0"/>
              <w:jc w:val="center"/>
              <w:rPr>
                <w:rFonts w:ascii="Arial Narrow" w:hAnsi="Arial Narrow"/>
                <w:sz w:val="20"/>
                <w:vertAlign w:val="superscript"/>
              </w:rPr>
            </w:pPr>
            <w:r>
              <w:rPr>
                <w:rFonts w:ascii="Arial Narrow" w:hAnsi="Arial Narrow"/>
                <w:sz w:val="20"/>
              </w:rPr>
              <w:t>20</w:t>
            </w:r>
            <w:r w:rsidR="0011218F">
              <w:rPr>
                <w:rFonts w:ascii="Arial Narrow" w:hAnsi="Arial Narrow"/>
                <w:sz w:val="20"/>
              </w:rPr>
              <w:t>%</w:t>
            </w:r>
            <w:r w:rsidR="00EA0EBC">
              <w:rPr>
                <w:rFonts w:ascii="Arial Narrow" w:hAnsi="Arial Narrow"/>
                <w:sz w:val="20"/>
              </w:rPr>
              <w:t xml:space="preserve"> </w:t>
            </w:r>
            <w:r w:rsidR="0011218F">
              <w:rPr>
                <w:rFonts w:ascii="Arial Narrow" w:hAnsi="Arial Narrow"/>
                <w:sz w:val="20"/>
                <w:vertAlign w:val="superscript"/>
              </w:rPr>
              <w:t>i</w:t>
            </w:r>
          </w:p>
        </w:tc>
      </w:tr>
      <w:tr w:rsidR="0011218F" w:rsidRPr="00415351" w14:paraId="24EEC9E0" w14:textId="77777777" w:rsidTr="00BF34B1">
        <w:tc>
          <w:tcPr>
            <w:tcW w:w="1721" w:type="dxa"/>
            <w:vAlign w:val="center"/>
          </w:tcPr>
          <w:p w14:paraId="078F24B4" w14:textId="77777777" w:rsidR="0011218F" w:rsidRPr="00415351" w:rsidRDefault="0011218F" w:rsidP="007531AD">
            <w:pPr>
              <w:pStyle w:val="BodyText"/>
              <w:spacing w:after="0"/>
              <w:rPr>
                <w:rFonts w:ascii="Arial Narrow" w:hAnsi="Arial Narrow"/>
                <w:sz w:val="20"/>
              </w:rPr>
            </w:pPr>
            <w:r>
              <w:rPr>
                <w:rFonts w:ascii="Arial Narrow" w:hAnsi="Arial Narrow"/>
                <w:sz w:val="20"/>
              </w:rPr>
              <w:t>Cost/patient/year</w:t>
            </w:r>
          </w:p>
        </w:tc>
        <w:tc>
          <w:tcPr>
            <w:tcW w:w="2506" w:type="dxa"/>
            <w:gridSpan w:val="2"/>
            <w:vAlign w:val="center"/>
          </w:tcPr>
          <w:p w14:paraId="197FC48A" w14:textId="77777777" w:rsidR="0011218F" w:rsidRPr="00415351" w:rsidRDefault="0011218F" w:rsidP="007531AD">
            <w:pPr>
              <w:pStyle w:val="BodyText"/>
              <w:spacing w:after="0"/>
              <w:jc w:val="center"/>
              <w:rPr>
                <w:rFonts w:ascii="Arial Narrow" w:hAnsi="Arial Narrow"/>
                <w:sz w:val="20"/>
              </w:rPr>
            </w:pPr>
            <w:r>
              <w:rPr>
                <w:rFonts w:ascii="Arial Narrow" w:hAnsi="Arial Narrow"/>
                <w:sz w:val="20"/>
              </w:rPr>
              <w:t>-</w:t>
            </w:r>
          </w:p>
        </w:tc>
        <w:tc>
          <w:tcPr>
            <w:tcW w:w="2396" w:type="dxa"/>
            <w:vAlign w:val="center"/>
          </w:tcPr>
          <w:p w14:paraId="55A3AFFB" w14:textId="545BBE34" w:rsidR="0011218F" w:rsidRPr="00BB397D" w:rsidRDefault="0011218F" w:rsidP="007531AD">
            <w:pPr>
              <w:pStyle w:val="BodyText"/>
              <w:spacing w:after="0"/>
              <w:jc w:val="center"/>
              <w:rPr>
                <w:rFonts w:ascii="Arial Narrow" w:hAnsi="Arial Narrow"/>
                <w:sz w:val="20"/>
              </w:rPr>
            </w:pPr>
            <w:r>
              <w:rPr>
                <w:rFonts w:ascii="Arial Narrow" w:hAnsi="Arial Narrow"/>
                <w:sz w:val="20"/>
              </w:rPr>
              <w:t>$</w:t>
            </w:r>
            <w:r w:rsidR="00650CB8" w:rsidRPr="00650CB8">
              <w:rPr>
                <w:rFonts w:ascii="Arial Narrow" w:hAnsi="Arial Narrow"/>
                <w:color w:val="000000"/>
                <w:sz w:val="20"/>
                <w:shd w:val="solid" w:color="000000" w:fill="000000"/>
                <w14:textFill>
                  <w14:solidFill>
                    <w14:srgbClr w14:val="000000">
                      <w14:alpha w14:val="100000"/>
                    </w14:srgbClr>
                  </w14:solidFill>
                </w14:textFill>
              </w:rPr>
              <w:t>|</w:t>
            </w:r>
            <w:r w:rsidR="002B3AE3">
              <w:rPr>
                <w:rFonts w:ascii="Arial Narrow" w:hAnsi="Arial Narrow"/>
                <w:sz w:val="20"/>
              </w:rPr>
              <w:t xml:space="preserve"> </w:t>
            </w:r>
            <w:r>
              <w:rPr>
                <w:rFonts w:ascii="Arial Narrow" w:hAnsi="Arial Narrow"/>
                <w:sz w:val="20"/>
                <w:vertAlign w:val="superscript"/>
              </w:rPr>
              <w:t>j</w:t>
            </w:r>
            <w:r>
              <w:rPr>
                <w:rFonts w:ascii="Arial Narrow" w:hAnsi="Arial Narrow"/>
                <w:sz w:val="20"/>
              </w:rPr>
              <w:t xml:space="preserve"> </w:t>
            </w:r>
          </w:p>
        </w:tc>
        <w:tc>
          <w:tcPr>
            <w:tcW w:w="2399" w:type="dxa"/>
            <w:gridSpan w:val="2"/>
            <w:vAlign w:val="center"/>
          </w:tcPr>
          <w:p w14:paraId="03A325D3" w14:textId="541F65E6" w:rsidR="0011218F" w:rsidRPr="00BB397D" w:rsidRDefault="0011218F" w:rsidP="007531AD">
            <w:pPr>
              <w:pStyle w:val="BodyText"/>
              <w:spacing w:after="0"/>
              <w:jc w:val="center"/>
              <w:rPr>
                <w:rFonts w:ascii="Arial Narrow" w:hAnsi="Arial Narrow"/>
                <w:sz w:val="20"/>
                <w:vertAlign w:val="superscript"/>
              </w:rPr>
            </w:pPr>
            <w:r>
              <w:rPr>
                <w:rFonts w:ascii="Arial Narrow" w:hAnsi="Arial Narrow"/>
                <w:sz w:val="20"/>
              </w:rPr>
              <w:t>$</w:t>
            </w:r>
            <w:r w:rsidR="00650CB8" w:rsidRPr="00650CB8">
              <w:rPr>
                <w:rFonts w:ascii="Arial Narrow" w:hAnsi="Arial Narrow"/>
                <w:color w:val="000000"/>
                <w:sz w:val="20"/>
                <w:shd w:val="solid" w:color="000000" w:fill="000000"/>
                <w14:textFill>
                  <w14:solidFill>
                    <w14:srgbClr w14:val="000000">
                      <w14:alpha w14:val="100000"/>
                    </w14:srgbClr>
                  </w14:solidFill>
                </w14:textFill>
              </w:rPr>
              <w:t>|</w:t>
            </w:r>
          </w:p>
        </w:tc>
      </w:tr>
    </w:tbl>
    <w:p w14:paraId="77C34F05" w14:textId="529E0EEC" w:rsidR="0011218F" w:rsidRDefault="0011218F" w:rsidP="00293F12">
      <w:pPr>
        <w:pStyle w:val="TableFigureFooter"/>
      </w:pPr>
      <w:r>
        <w:rPr>
          <w:vertAlign w:val="superscript"/>
        </w:rPr>
        <w:t>a</w:t>
      </w:r>
      <w:r>
        <w:t xml:space="preserve"> </w:t>
      </w:r>
      <w:r w:rsidR="000743E5">
        <w:t>Based on proportion of patients discontinuing treatment in the FOURIER trial</w:t>
      </w:r>
    </w:p>
    <w:p w14:paraId="1ABB58F2" w14:textId="597C43DB" w:rsidR="0011218F" w:rsidRDefault="0011218F" w:rsidP="00293F12">
      <w:pPr>
        <w:pStyle w:val="TableFigureFooter"/>
      </w:pPr>
      <w:r>
        <w:rPr>
          <w:vertAlign w:val="superscript"/>
        </w:rPr>
        <w:t>b</w:t>
      </w:r>
      <w:r>
        <w:t xml:space="preserve"> </w:t>
      </w:r>
      <w:r w:rsidR="00D6160E" w:rsidRPr="00D6160E">
        <w:t>Based on rate reported in review of statin therapies, as recommended by PBAC in November 2019 (</w:t>
      </w:r>
      <w:r w:rsidR="006F4A9F">
        <w:t>p</w:t>
      </w:r>
      <w:r w:rsidR="00D6160E" w:rsidRPr="00D6160E">
        <w:t>ara 4.30, evolocumab PSD, November 2019 PBAC meeting).</w:t>
      </w:r>
    </w:p>
    <w:p w14:paraId="20500592" w14:textId="3C5F2232" w:rsidR="0011218F" w:rsidRPr="00DF20F0" w:rsidRDefault="0011218F" w:rsidP="00293F12">
      <w:pPr>
        <w:pStyle w:val="TableFigureFooter"/>
      </w:pPr>
      <w:r>
        <w:rPr>
          <w:vertAlign w:val="superscript"/>
        </w:rPr>
        <w:t>c</w:t>
      </w:r>
      <w:r>
        <w:t xml:space="preserve"> Assumed</w:t>
      </w:r>
      <w:r w:rsidR="0024624E">
        <w:t xml:space="preserve"> 1% probability of stopping treatment each month in the first four years of treatment</w:t>
      </w:r>
    </w:p>
    <w:p w14:paraId="38F27AB8" w14:textId="77777777" w:rsidR="0011218F" w:rsidRDefault="0011218F" w:rsidP="00293F12">
      <w:pPr>
        <w:pStyle w:val="TableFigureFooter"/>
      </w:pPr>
      <w:r>
        <w:rPr>
          <w:vertAlign w:val="superscript"/>
        </w:rPr>
        <w:t>d</w:t>
      </w:r>
      <w:r>
        <w:t xml:space="preserve"> Based on assumed adherence rate (88%) and number of treatment cycles per year in the model (12)</w:t>
      </w:r>
    </w:p>
    <w:p w14:paraId="495AC607" w14:textId="49DF8F87" w:rsidR="0011218F" w:rsidRDefault="0011218F" w:rsidP="00293F12">
      <w:pPr>
        <w:pStyle w:val="TableFigureFooter"/>
      </w:pPr>
      <w:r>
        <w:rPr>
          <w:vertAlign w:val="superscript"/>
        </w:rPr>
        <w:t>e</w:t>
      </w:r>
      <w:r>
        <w:t xml:space="preserve"> Based on assumed compliance rate (8</w:t>
      </w:r>
      <w:r w:rsidR="001B5DAB">
        <w:t>5</w:t>
      </w:r>
      <w:r>
        <w:t xml:space="preserve">%) and 13.04 scripts per patient per year </w:t>
      </w:r>
    </w:p>
    <w:p w14:paraId="3A6BC493" w14:textId="1E92ABC6" w:rsidR="0011218F" w:rsidRDefault="0011218F" w:rsidP="00293F12">
      <w:pPr>
        <w:pStyle w:val="TableFigureFooter"/>
      </w:pPr>
      <w:r>
        <w:rPr>
          <w:vertAlign w:val="superscript"/>
        </w:rPr>
        <w:t>f</w:t>
      </w:r>
      <w:r>
        <w:t xml:space="preserve"> Based on assumed compliance rate (8</w:t>
      </w:r>
      <w:r w:rsidR="001B5DAB">
        <w:t>5</w:t>
      </w:r>
      <w:r>
        <w:t>%) and 12 scripts per patient per year</w:t>
      </w:r>
    </w:p>
    <w:p w14:paraId="5361008F" w14:textId="4A01E0B4" w:rsidR="0011218F" w:rsidRDefault="0011218F" w:rsidP="00293F12">
      <w:pPr>
        <w:pStyle w:val="TableFigureFooter"/>
      </w:pPr>
      <w:r>
        <w:rPr>
          <w:vertAlign w:val="superscript"/>
        </w:rPr>
        <w:t>g</w:t>
      </w:r>
      <w:r>
        <w:t xml:space="preserve"> Effective </w:t>
      </w:r>
      <w:r w:rsidR="00D72B88">
        <w:t xml:space="preserve">DPMQ </w:t>
      </w:r>
      <w:r>
        <w:t xml:space="preserve">based on </w:t>
      </w:r>
      <w:r w:rsidR="00650CB8" w:rsidRPr="00650CB8">
        <w:rPr>
          <w:color w:val="000000"/>
          <w:spacing w:val="15"/>
          <w:shd w:val="solid" w:color="000000" w:fill="000000"/>
          <w:fitText w:val="420" w:id="-1435748595"/>
          <w14:textFill>
            <w14:solidFill>
              <w14:srgbClr w14:val="000000">
                <w14:alpha w14:val="100000"/>
              </w14:srgbClr>
            </w14:solidFill>
          </w14:textFill>
        </w:rPr>
        <w:t>|||  ||</w:t>
      </w:r>
      <w:r w:rsidR="00650CB8" w:rsidRPr="00650CB8">
        <w:rPr>
          <w:color w:val="000000"/>
          <w:spacing w:val="3"/>
          <w:shd w:val="solid" w:color="000000" w:fill="000000"/>
          <w:fitText w:val="420" w:id="-1435748595"/>
          <w14:textFill>
            <w14:solidFill>
              <w14:srgbClr w14:val="000000">
                <w14:alpha w14:val="100000"/>
              </w14:srgbClr>
            </w14:solidFill>
          </w14:textFill>
        </w:rPr>
        <w:t>|</w:t>
      </w:r>
      <w:r>
        <w:t xml:space="preserve">% rebate on government expenditure proposed in the </w:t>
      </w:r>
      <w:r w:rsidR="00804FEC">
        <w:t>s</w:t>
      </w:r>
      <w:r>
        <w:t>ubmission</w:t>
      </w:r>
      <w:r w:rsidR="00804FEC">
        <w:t xml:space="preserve"> for new population</w:t>
      </w:r>
    </w:p>
    <w:p w14:paraId="4B5F60E4" w14:textId="58D581D9" w:rsidR="0011218F" w:rsidRDefault="0011218F" w:rsidP="00293F12">
      <w:pPr>
        <w:pStyle w:val="TableFigureFooter"/>
      </w:pPr>
      <w:r>
        <w:rPr>
          <w:vertAlign w:val="superscript"/>
        </w:rPr>
        <w:t xml:space="preserve">h </w:t>
      </w:r>
      <w:r w:rsidRPr="00046DD1">
        <w:t xml:space="preserve">Effective </w:t>
      </w:r>
      <w:r w:rsidR="00D72B88">
        <w:t>DPMQ</w:t>
      </w:r>
      <w:r w:rsidR="00D72B88" w:rsidRPr="00046DD1">
        <w:t xml:space="preserve"> </w:t>
      </w:r>
      <w:r w:rsidRPr="00046DD1">
        <w:t>per script: $</w:t>
      </w:r>
      <w:r w:rsidR="00650CB8" w:rsidRPr="00650CB8">
        <w:rPr>
          <w:color w:val="000000"/>
          <w:spacing w:val="16"/>
          <w:shd w:val="solid" w:color="000000" w:fill="000000"/>
          <w:fitText w:val="430" w:id="-1435748594"/>
          <w14:textFill>
            <w14:solidFill>
              <w14:srgbClr w14:val="000000">
                <w14:alpha w14:val="100000"/>
              </w14:srgbClr>
            </w14:solidFill>
          </w14:textFill>
        </w:rPr>
        <w:t>|||  ||</w:t>
      </w:r>
      <w:r w:rsidR="00650CB8" w:rsidRPr="00650CB8">
        <w:rPr>
          <w:color w:val="000000"/>
          <w:spacing w:val="6"/>
          <w:shd w:val="solid" w:color="000000" w:fill="000000"/>
          <w:fitText w:val="430" w:id="-1435748594"/>
          <w14:textFill>
            <w14:solidFill>
              <w14:srgbClr w14:val="000000">
                <w14:alpha w14:val="100000"/>
              </w14:srgbClr>
            </w14:solidFill>
          </w14:textFill>
        </w:rPr>
        <w:t>|</w:t>
      </w:r>
      <w:r w:rsidRPr="00046DD1">
        <w:t>. Adjusted to monthly estimate $</w:t>
      </w:r>
      <w:r w:rsidR="00650CB8" w:rsidRPr="00650CB8">
        <w:rPr>
          <w:color w:val="000000"/>
          <w:spacing w:val="16"/>
          <w:shd w:val="solid" w:color="000000" w:fill="000000"/>
          <w:fitText w:val="430" w:id="-1435748593"/>
          <w14:textFill>
            <w14:solidFill>
              <w14:srgbClr w14:val="000000">
                <w14:alpha w14:val="100000"/>
              </w14:srgbClr>
            </w14:solidFill>
          </w14:textFill>
        </w:rPr>
        <w:t>|||  ||</w:t>
      </w:r>
      <w:r w:rsidR="00650CB8" w:rsidRPr="00650CB8">
        <w:rPr>
          <w:color w:val="000000"/>
          <w:spacing w:val="6"/>
          <w:shd w:val="solid" w:color="000000" w:fill="000000"/>
          <w:fitText w:val="430" w:id="-1435748593"/>
          <w14:textFill>
            <w14:solidFill>
              <w14:srgbClr w14:val="000000">
                <w14:alpha w14:val="100000"/>
              </w14:srgbClr>
            </w14:solidFill>
          </w14:textFill>
        </w:rPr>
        <w:t>|</w:t>
      </w:r>
      <w:r w:rsidRPr="000658FE">
        <w:t>/</w:t>
      </w:r>
      <w:r w:rsidR="00181647" w:rsidRPr="000658FE">
        <w:t>30</w:t>
      </w:r>
      <w:r w:rsidRPr="00046DD1">
        <w:t xml:space="preserve"> (script duration in days) x 365.25/12 (days per month)</w:t>
      </w:r>
    </w:p>
    <w:p w14:paraId="2514D6BC" w14:textId="77777777" w:rsidR="0011218F" w:rsidRDefault="0011218F" w:rsidP="00293F12">
      <w:pPr>
        <w:pStyle w:val="TableFigureFooter"/>
      </w:pPr>
      <w:r>
        <w:rPr>
          <w:vertAlign w:val="superscript"/>
        </w:rPr>
        <w:t>i</w:t>
      </w:r>
      <w:r>
        <w:t xml:space="preserve"> Assumed</w:t>
      </w:r>
    </w:p>
    <w:p w14:paraId="2B7E9DD9" w14:textId="0B048BC9" w:rsidR="0011218F" w:rsidRDefault="0011218F" w:rsidP="00293F12">
      <w:pPr>
        <w:pStyle w:val="TableFigureFooter"/>
      </w:pPr>
      <w:r>
        <w:rPr>
          <w:vertAlign w:val="superscript"/>
        </w:rPr>
        <w:t>j</w:t>
      </w:r>
      <w:r>
        <w:t xml:space="preserve"> Based on estimated scripts/year (10.56) and cost/patient/</w:t>
      </w:r>
      <w:r w:rsidR="000C44A4">
        <w:t>script</w:t>
      </w:r>
      <w:r>
        <w:t xml:space="preserve"> ($</w:t>
      </w:r>
      <w:r w:rsidR="00650CB8" w:rsidRPr="00650CB8">
        <w:rPr>
          <w:color w:val="000000"/>
          <w:spacing w:val="16"/>
          <w:shd w:val="solid" w:color="000000" w:fill="000000"/>
          <w:fitText w:val="430" w:id="-1435748592"/>
          <w14:textFill>
            <w14:solidFill>
              <w14:srgbClr w14:val="000000">
                <w14:alpha w14:val="100000"/>
              </w14:srgbClr>
            </w14:solidFill>
          </w14:textFill>
        </w:rPr>
        <w:t>|||  ||</w:t>
      </w:r>
      <w:r w:rsidR="00650CB8" w:rsidRPr="00650CB8">
        <w:rPr>
          <w:color w:val="000000"/>
          <w:spacing w:val="6"/>
          <w:shd w:val="solid" w:color="000000" w:fill="000000"/>
          <w:fitText w:val="430" w:id="-1435748592"/>
          <w14:textFill>
            <w14:solidFill>
              <w14:srgbClr w14:val="000000">
                <w14:alpha w14:val="100000"/>
              </w14:srgbClr>
            </w14:solidFill>
          </w14:textFill>
        </w:rPr>
        <w:t>|</w:t>
      </w:r>
      <w:r>
        <w:t>)</w:t>
      </w:r>
    </w:p>
    <w:p w14:paraId="337A6679" w14:textId="1BE77026" w:rsidR="0011218F" w:rsidRPr="00BB397D" w:rsidRDefault="0011218F" w:rsidP="00293F12">
      <w:pPr>
        <w:pStyle w:val="TableFigureFooter"/>
      </w:pPr>
      <w:r>
        <w:rPr>
          <w:vertAlign w:val="superscript"/>
        </w:rPr>
        <w:t>k</w:t>
      </w:r>
      <w:r>
        <w:t xml:space="preserve"> Based on scripts/year for fortnightly dose (11.</w:t>
      </w:r>
      <w:r w:rsidR="00FE5E99">
        <w:t>05</w:t>
      </w:r>
      <w:r>
        <w:t>) and corresponding cost per script ($</w:t>
      </w:r>
      <w:r w:rsidR="00650CB8" w:rsidRPr="00650CB8">
        <w:rPr>
          <w:color w:val="000000"/>
          <w:spacing w:val="16"/>
          <w:shd w:val="solid" w:color="000000" w:fill="000000"/>
          <w:fitText w:val="430" w:id="-1435748608"/>
          <w14:textFill>
            <w14:solidFill>
              <w14:srgbClr w14:val="000000">
                <w14:alpha w14:val="100000"/>
              </w14:srgbClr>
            </w14:solidFill>
          </w14:textFill>
        </w:rPr>
        <w:t>|||  ||</w:t>
      </w:r>
      <w:r w:rsidR="00650CB8" w:rsidRPr="00650CB8">
        <w:rPr>
          <w:color w:val="000000"/>
          <w:spacing w:val="6"/>
          <w:shd w:val="solid" w:color="000000" w:fill="000000"/>
          <w:fitText w:val="430" w:id="-1435748608"/>
          <w14:textFill>
            <w14:solidFill>
              <w14:srgbClr w14:val="000000">
                <w14:alpha w14:val="100000"/>
              </w14:srgbClr>
            </w14:solidFill>
          </w14:textFill>
        </w:rPr>
        <w:t>|</w:t>
      </w:r>
      <w:r>
        <w:t>); scripts/year for monthly dose (10.</w:t>
      </w:r>
      <w:r w:rsidR="00FE5E99">
        <w:t>20</w:t>
      </w:r>
      <w:r>
        <w:t>) and corresponding cost per script ($</w:t>
      </w:r>
      <w:r w:rsidR="00650CB8" w:rsidRPr="00650CB8">
        <w:rPr>
          <w:color w:val="000000"/>
          <w:spacing w:val="16"/>
          <w:shd w:val="solid" w:color="000000" w:fill="000000"/>
          <w:fitText w:val="430" w:id="-1435748607"/>
          <w14:textFill>
            <w14:solidFill>
              <w14:srgbClr w14:val="000000">
                <w14:alpha w14:val="100000"/>
              </w14:srgbClr>
            </w14:solidFill>
          </w14:textFill>
        </w:rPr>
        <w:t>|||  ||</w:t>
      </w:r>
      <w:r w:rsidR="00650CB8" w:rsidRPr="00650CB8">
        <w:rPr>
          <w:color w:val="000000"/>
          <w:spacing w:val="6"/>
          <w:shd w:val="solid" w:color="000000" w:fill="000000"/>
          <w:fitText w:val="430" w:id="-1435748607"/>
          <w14:textFill>
            <w14:solidFill>
              <w14:srgbClr w14:val="000000">
                <w14:alpha w14:val="100000"/>
              </w14:srgbClr>
            </w14:solidFill>
          </w14:textFill>
        </w:rPr>
        <w:t>|</w:t>
      </w:r>
      <w:r>
        <w:t>); weighted by assumed fortnightly/monthly dosing split (</w:t>
      </w:r>
      <w:r w:rsidR="00BC0E58">
        <w:t>80</w:t>
      </w:r>
      <w:r>
        <w:t xml:space="preserve">% and </w:t>
      </w:r>
      <w:r w:rsidR="00BC0E58">
        <w:t>20</w:t>
      </w:r>
      <w:r>
        <w:t>% respectively)</w:t>
      </w:r>
    </w:p>
    <w:p w14:paraId="1C03B242" w14:textId="77777777" w:rsidR="000F4B43" w:rsidRPr="00B36948" w:rsidRDefault="000F4B43" w:rsidP="00B36948">
      <w:pPr>
        <w:pStyle w:val="3-SubsectionHeading"/>
        <w:spacing w:before="240"/>
      </w:pPr>
      <w:r w:rsidRPr="00B36948">
        <w:t>Estimated PBS usage &amp; financial implications</w:t>
      </w:r>
    </w:p>
    <w:p w14:paraId="54DA45DF" w14:textId="2848EB3A" w:rsidR="000F4B43" w:rsidRPr="00B36948" w:rsidRDefault="000F4B43" w:rsidP="00B36948">
      <w:pPr>
        <w:pStyle w:val="ExecSumBodyText"/>
        <w:numPr>
          <w:ilvl w:val="1"/>
          <w:numId w:val="1"/>
        </w:numPr>
      </w:pPr>
      <w:r w:rsidRPr="00B36948">
        <w:t xml:space="preserve">This submission </w:t>
      </w:r>
      <w:r w:rsidR="00C86303" w:rsidRPr="00B36948">
        <w:t>was</w:t>
      </w:r>
      <w:r w:rsidRPr="00B36948">
        <w:t xml:space="preserve"> considered by DUSC. The submission used an epidemiological approach to estimate the eligible patient population with FH and non-FH with ASCVD who have LDL-C levels between 1.8 and 2.6 mmol/L despite optimised treatment with statins and ezetimibe. The submission did not estimate the total financial impact of the new and existing patient population based on the submission’s proposed weighted effective price. Key inputs are summarised in </w:t>
      </w:r>
      <w:r w:rsidRPr="00B36948">
        <w:fldChar w:fldCharType="begin"/>
      </w:r>
      <w:r w:rsidRPr="00B36948">
        <w:instrText xml:space="preserve"> REF _Ref102473226 \h  \* MERGEFORMAT </w:instrText>
      </w:r>
      <w:r w:rsidRPr="00B36948">
        <w:fldChar w:fldCharType="separate"/>
      </w:r>
      <w:r w:rsidR="00EB7F7C" w:rsidRPr="00B36948">
        <w:t xml:space="preserve">Table </w:t>
      </w:r>
      <w:r w:rsidR="00EB7F7C" w:rsidRPr="00B36948">
        <w:rPr>
          <w:noProof/>
        </w:rPr>
        <w:t>17</w:t>
      </w:r>
      <w:r w:rsidRPr="00B36948">
        <w:fldChar w:fldCharType="end"/>
      </w:r>
      <w:r w:rsidRPr="00B36948">
        <w:t>.</w:t>
      </w:r>
      <w:r w:rsidR="009D3E9A">
        <w:t xml:space="preserve"> The estimates in this section have not been updated to reflect the reduced price offered in the pre-PBAC response.</w:t>
      </w:r>
    </w:p>
    <w:p w14:paraId="54B7692E" w14:textId="3A9721D8" w:rsidR="000F4B43" w:rsidRPr="00B36948" w:rsidRDefault="00B36948" w:rsidP="00B36948">
      <w:pPr>
        <w:pStyle w:val="ExecSumBodyText"/>
        <w:numPr>
          <w:ilvl w:val="1"/>
          <w:numId w:val="1"/>
        </w:numPr>
      </w:pPr>
      <w:r>
        <w:lastRenderedPageBreak/>
        <w:t>DUSC noted that t</w:t>
      </w:r>
      <w:r w:rsidR="000F4B43" w:rsidRPr="00B36948">
        <w:t xml:space="preserve">he submission did not incorporate estimates of changed utilisation with the introduction of GP prescribing as proposed in the restriction. The sponsor </w:t>
      </w:r>
      <w:r>
        <w:t xml:space="preserve">had </w:t>
      </w:r>
      <w:r w:rsidR="000F4B43" w:rsidRPr="00B36948">
        <w:t>previously argued that there would be no additional financial impact beyond the existing financial estimates and RSA, as the financial estimates and patient numbers of the current RSA were calculated based on the assumption that GPs would be able to initiate treatment in consultation with a specialist physician (Para 2.3, evolocumab PSD, November 2020 PBAC meeting).</w:t>
      </w:r>
    </w:p>
    <w:p w14:paraId="1B4AFC81" w14:textId="52FA28CB" w:rsidR="000F4B43" w:rsidRPr="00B36948" w:rsidRDefault="000F4B43" w:rsidP="00B36948">
      <w:pPr>
        <w:pStyle w:val="TableHeading"/>
        <w:widowControl w:val="0"/>
        <w:spacing w:after="0"/>
      </w:pPr>
      <w:bookmarkStart w:id="55" w:name="_Ref102473226"/>
      <w:r w:rsidRPr="00B36948">
        <w:t xml:space="preserve">Table </w:t>
      </w:r>
      <w:fldSimple w:instr=" SEQ Table \* ARABIC ">
        <w:r w:rsidR="00EB7F7C" w:rsidRPr="00B36948">
          <w:rPr>
            <w:noProof/>
          </w:rPr>
          <w:t>17</w:t>
        </w:r>
      </w:fldSimple>
      <w:bookmarkEnd w:id="55"/>
      <w:r w:rsidRPr="00B36948">
        <w:t>: Key inputs for financial estimates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7: Key inputs for financial estimates"/>
      </w:tblPr>
      <w:tblGrid>
        <w:gridCol w:w="1276"/>
        <w:gridCol w:w="1134"/>
        <w:gridCol w:w="3549"/>
        <w:gridCol w:w="3058"/>
      </w:tblGrid>
      <w:tr w:rsidR="000F4B43" w:rsidRPr="00B36948" w14:paraId="44A73262" w14:textId="77777777" w:rsidTr="000F4B43">
        <w:trPr>
          <w:tblHeader/>
        </w:trPr>
        <w:tc>
          <w:tcPr>
            <w:tcW w:w="1276" w:type="dxa"/>
            <w:tcMar>
              <w:left w:w="28" w:type="dxa"/>
              <w:right w:w="28" w:type="dxa"/>
            </w:tcMar>
            <w:vAlign w:val="center"/>
          </w:tcPr>
          <w:p w14:paraId="26C59ED5" w14:textId="77777777" w:rsidR="000F4B43" w:rsidRPr="00B36948" w:rsidRDefault="000F4B43" w:rsidP="00B36948">
            <w:pPr>
              <w:pStyle w:val="Tabletext0"/>
              <w:keepNext/>
              <w:rPr>
                <w:b/>
              </w:rPr>
            </w:pPr>
            <w:r w:rsidRPr="00B36948">
              <w:rPr>
                <w:b/>
              </w:rPr>
              <w:t>Data</w:t>
            </w:r>
          </w:p>
        </w:tc>
        <w:tc>
          <w:tcPr>
            <w:tcW w:w="1134" w:type="dxa"/>
            <w:tcMar>
              <w:left w:w="28" w:type="dxa"/>
              <w:right w:w="28" w:type="dxa"/>
            </w:tcMar>
            <w:vAlign w:val="center"/>
          </w:tcPr>
          <w:p w14:paraId="066B0D2D" w14:textId="77777777" w:rsidR="000F4B43" w:rsidRPr="00B36948" w:rsidRDefault="000F4B43" w:rsidP="00B36948">
            <w:pPr>
              <w:pStyle w:val="Tabletext0"/>
              <w:keepNext/>
              <w:jc w:val="center"/>
              <w:rPr>
                <w:b/>
              </w:rPr>
            </w:pPr>
            <w:r w:rsidRPr="00B36948">
              <w:rPr>
                <w:b/>
              </w:rPr>
              <w:t>Value</w:t>
            </w:r>
          </w:p>
        </w:tc>
        <w:tc>
          <w:tcPr>
            <w:tcW w:w="3549" w:type="dxa"/>
            <w:tcMar>
              <w:left w:w="28" w:type="dxa"/>
              <w:right w:w="28" w:type="dxa"/>
            </w:tcMar>
            <w:vAlign w:val="center"/>
          </w:tcPr>
          <w:p w14:paraId="53E528E0" w14:textId="77777777" w:rsidR="000F4B43" w:rsidRPr="00B36948" w:rsidRDefault="000F4B43" w:rsidP="00B36948">
            <w:pPr>
              <w:pStyle w:val="Tabletext0"/>
              <w:keepNext/>
              <w:jc w:val="center"/>
              <w:rPr>
                <w:b/>
              </w:rPr>
            </w:pPr>
            <w:r w:rsidRPr="00B36948">
              <w:rPr>
                <w:b/>
              </w:rPr>
              <w:t>Source</w:t>
            </w:r>
          </w:p>
        </w:tc>
        <w:tc>
          <w:tcPr>
            <w:tcW w:w="3058" w:type="dxa"/>
            <w:tcMar>
              <w:left w:w="28" w:type="dxa"/>
              <w:right w:w="28" w:type="dxa"/>
            </w:tcMar>
            <w:vAlign w:val="center"/>
          </w:tcPr>
          <w:p w14:paraId="195DF5B0" w14:textId="77777777" w:rsidR="000F4B43" w:rsidRPr="00B36948" w:rsidRDefault="000F4B43" w:rsidP="00B36948">
            <w:pPr>
              <w:pStyle w:val="Tabletext0"/>
              <w:keepNext/>
              <w:jc w:val="center"/>
              <w:rPr>
                <w:b/>
              </w:rPr>
            </w:pPr>
            <w:r w:rsidRPr="00B36948">
              <w:rPr>
                <w:b/>
              </w:rPr>
              <w:t>Comment</w:t>
            </w:r>
          </w:p>
        </w:tc>
      </w:tr>
      <w:tr w:rsidR="000F4B43" w:rsidRPr="00B36948" w14:paraId="32314A5E" w14:textId="77777777" w:rsidTr="000F4B43">
        <w:tc>
          <w:tcPr>
            <w:tcW w:w="9017" w:type="dxa"/>
            <w:gridSpan w:val="4"/>
            <w:tcMar>
              <w:left w:w="28" w:type="dxa"/>
              <w:right w:w="28" w:type="dxa"/>
            </w:tcMar>
            <w:vAlign w:val="center"/>
          </w:tcPr>
          <w:p w14:paraId="5D44C473" w14:textId="77777777" w:rsidR="000F4B43" w:rsidRPr="00B36948" w:rsidRDefault="000F4B43" w:rsidP="00B36948">
            <w:pPr>
              <w:pStyle w:val="Tabletext0"/>
              <w:keepNext/>
            </w:pPr>
            <w:r w:rsidRPr="00B36948">
              <w:rPr>
                <w:b/>
              </w:rPr>
              <w:t>Non-familial hypercholesterolaemia population estimates</w:t>
            </w:r>
          </w:p>
        </w:tc>
      </w:tr>
      <w:tr w:rsidR="000F4B43" w:rsidRPr="00B36948" w14:paraId="02758117" w14:textId="77777777" w:rsidTr="000F4B43">
        <w:tc>
          <w:tcPr>
            <w:tcW w:w="1276" w:type="dxa"/>
            <w:tcMar>
              <w:left w:w="28" w:type="dxa"/>
              <w:right w:w="28" w:type="dxa"/>
            </w:tcMar>
            <w:vAlign w:val="center"/>
          </w:tcPr>
          <w:p w14:paraId="27FEC2C7" w14:textId="77777777" w:rsidR="000F4B43" w:rsidRPr="00B36948" w:rsidRDefault="000F4B43" w:rsidP="00B36948">
            <w:pPr>
              <w:pStyle w:val="Tabletext0"/>
            </w:pPr>
            <w:r w:rsidRPr="00B36948">
              <w:t>Patients using ezetimibe with or without statins</w:t>
            </w:r>
          </w:p>
        </w:tc>
        <w:tc>
          <w:tcPr>
            <w:tcW w:w="1134" w:type="dxa"/>
            <w:tcMar>
              <w:left w:w="28" w:type="dxa"/>
              <w:right w:w="28" w:type="dxa"/>
            </w:tcMar>
            <w:vAlign w:val="center"/>
          </w:tcPr>
          <w:p w14:paraId="738322D5" w14:textId="77777777" w:rsidR="000F4B43" w:rsidRPr="00B36948" w:rsidRDefault="000F4B43" w:rsidP="00B36948">
            <w:pPr>
              <w:pStyle w:val="Tabletext0"/>
            </w:pPr>
            <w:r w:rsidRPr="00B36948">
              <w:t>362,810 (2018), 5% annual growth</w:t>
            </w:r>
          </w:p>
        </w:tc>
        <w:tc>
          <w:tcPr>
            <w:tcW w:w="3549" w:type="dxa"/>
            <w:tcMar>
              <w:left w:w="28" w:type="dxa"/>
              <w:right w:w="28" w:type="dxa"/>
            </w:tcMar>
            <w:vAlign w:val="center"/>
          </w:tcPr>
          <w:p w14:paraId="08DC3DB8" w14:textId="77777777" w:rsidR="000F4B43" w:rsidRPr="00B36948" w:rsidRDefault="000F4B43" w:rsidP="00B36948">
            <w:pPr>
              <w:pStyle w:val="Tabletext0"/>
            </w:pPr>
            <w:r w:rsidRPr="00B36948">
              <w:t xml:space="preserve">Based on a DUSC secretariat analysis (Table 8, evolocumab PSD, November 2019 PBAC meeting) of a 10% Medicare sample of ezetimibe, and ezetimibe/statin combinations. </w:t>
            </w:r>
          </w:p>
        </w:tc>
        <w:tc>
          <w:tcPr>
            <w:tcW w:w="3058" w:type="dxa"/>
            <w:tcMar>
              <w:left w:w="28" w:type="dxa"/>
              <w:right w:w="28" w:type="dxa"/>
            </w:tcMar>
            <w:vAlign w:val="center"/>
          </w:tcPr>
          <w:p w14:paraId="04386489" w14:textId="77777777" w:rsidR="000F4B43" w:rsidRPr="00B36948" w:rsidRDefault="000F4B43" w:rsidP="00B36948">
            <w:pPr>
              <w:pStyle w:val="Tabletext0"/>
            </w:pPr>
            <w:r w:rsidRPr="00B36948">
              <w:t>Assumption remains from previous submissions that all patients eligible for evolocumab must be currently treated with ezetimibe.</w:t>
            </w:r>
          </w:p>
        </w:tc>
      </w:tr>
      <w:tr w:rsidR="000F4B43" w:rsidRPr="00B36948" w14:paraId="0E6DD757" w14:textId="77777777" w:rsidTr="000F4B43">
        <w:trPr>
          <w:trHeight w:val="534"/>
        </w:trPr>
        <w:tc>
          <w:tcPr>
            <w:tcW w:w="1276" w:type="dxa"/>
            <w:tcMar>
              <w:left w:w="28" w:type="dxa"/>
              <w:right w:w="28" w:type="dxa"/>
            </w:tcMar>
            <w:vAlign w:val="center"/>
          </w:tcPr>
          <w:p w14:paraId="70E5EE00" w14:textId="77777777" w:rsidR="000F4B43" w:rsidRPr="00B36948" w:rsidRDefault="000F4B43" w:rsidP="00B36948">
            <w:pPr>
              <w:pStyle w:val="Tabletext0"/>
            </w:pPr>
            <w:r w:rsidRPr="00B36948">
              <w:t>Ezetimibe patients with symptomatic ASCVD</w:t>
            </w:r>
          </w:p>
        </w:tc>
        <w:tc>
          <w:tcPr>
            <w:tcW w:w="1134" w:type="dxa"/>
            <w:tcMar>
              <w:left w:w="28" w:type="dxa"/>
              <w:right w:w="28" w:type="dxa"/>
            </w:tcMar>
            <w:vAlign w:val="center"/>
          </w:tcPr>
          <w:p w14:paraId="3FE85B02" w14:textId="77777777" w:rsidR="000F4B43" w:rsidRPr="00B36948" w:rsidRDefault="000F4B43" w:rsidP="00B36948">
            <w:pPr>
              <w:pStyle w:val="Tabletext0"/>
              <w:jc w:val="center"/>
            </w:pPr>
            <w:r w:rsidRPr="00B36948">
              <w:t>69%</w:t>
            </w:r>
          </w:p>
        </w:tc>
        <w:tc>
          <w:tcPr>
            <w:tcW w:w="3549" w:type="dxa"/>
            <w:tcMar>
              <w:left w:w="28" w:type="dxa"/>
              <w:right w:w="28" w:type="dxa"/>
            </w:tcMar>
            <w:vAlign w:val="center"/>
          </w:tcPr>
          <w:p w14:paraId="4FF82096" w14:textId="77777777" w:rsidR="000F4B43" w:rsidRPr="00B36948" w:rsidRDefault="000F4B43" w:rsidP="00B36948">
            <w:pPr>
              <w:pStyle w:val="Tabletext0"/>
            </w:pPr>
            <w:r w:rsidRPr="00B36948">
              <w:t>10% Medicare sample of ezetimibe utilisation (all formulations) in 2018 categorised by streamlined authority code.</w:t>
            </w:r>
          </w:p>
        </w:tc>
        <w:tc>
          <w:tcPr>
            <w:tcW w:w="3058" w:type="dxa"/>
            <w:tcMar>
              <w:left w:w="28" w:type="dxa"/>
              <w:right w:w="28" w:type="dxa"/>
            </w:tcMar>
            <w:vAlign w:val="center"/>
          </w:tcPr>
          <w:p w14:paraId="7D06F18E" w14:textId="77777777" w:rsidR="000F4B43" w:rsidRPr="00B36948" w:rsidRDefault="000F4B43" w:rsidP="00B36948">
            <w:pPr>
              <w:pStyle w:val="Tabletext0"/>
            </w:pPr>
            <w:r w:rsidRPr="00B36948">
              <w:t>Unchanged from July and November 2019 submissions.</w:t>
            </w:r>
          </w:p>
        </w:tc>
      </w:tr>
      <w:tr w:rsidR="000F4B43" w:rsidRPr="00B36948" w14:paraId="70D00633" w14:textId="77777777" w:rsidTr="000F4B43">
        <w:tc>
          <w:tcPr>
            <w:tcW w:w="1276" w:type="dxa"/>
            <w:tcMar>
              <w:left w:w="28" w:type="dxa"/>
              <w:right w:w="28" w:type="dxa"/>
            </w:tcMar>
            <w:vAlign w:val="center"/>
          </w:tcPr>
          <w:p w14:paraId="26EAD6BC" w14:textId="77777777" w:rsidR="000F4B43" w:rsidRPr="00B36948" w:rsidRDefault="000F4B43" w:rsidP="00B36948">
            <w:pPr>
              <w:pStyle w:val="Tabletext0"/>
            </w:pPr>
            <w:r w:rsidRPr="00B36948">
              <w:t>Without underlying FH</w:t>
            </w:r>
          </w:p>
        </w:tc>
        <w:tc>
          <w:tcPr>
            <w:tcW w:w="1134" w:type="dxa"/>
            <w:tcMar>
              <w:left w:w="28" w:type="dxa"/>
              <w:right w:w="28" w:type="dxa"/>
            </w:tcMar>
            <w:vAlign w:val="center"/>
          </w:tcPr>
          <w:p w14:paraId="1A3CB1A2" w14:textId="77777777" w:rsidR="000F4B43" w:rsidRPr="00B36948" w:rsidRDefault="000F4B43" w:rsidP="00B36948">
            <w:pPr>
              <w:pStyle w:val="Tabletext0"/>
              <w:jc w:val="center"/>
            </w:pPr>
            <w:r w:rsidRPr="00B36948">
              <w:t>96%</w:t>
            </w:r>
          </w:p>
        </w:tc>
        <w:tc>
          <w:tcPr>
            <w:tcW w:w="3549" w:type="dxa"/>
            <w:tcMar>
              <w:left w:w="28" w:type="dxa"/>
              <w:right w:w="28" w:type="dxa"/>
            </w:tcMar>
            <w:vAlign w:val="center"/>
          </w:tcPr>
          <w:p w14:paraId="25774455" w14:textId="77777777" w:rsidR="000F4B43" w:rsidRPr="00B36948" w:rsidRDefault="000F4B43" w:rsidP="00B36948">
            <w:pPr>
              <w:pStyle w:val="Tabletext0"/>
            </w:pPr>
            <w:r w:rsidRPr="00B36948">
              <w:t>The submission stated that the population was assumed to be reduced by 4% (to avoid double counting of FH patients)</w:t>
            </w:r>
          </w:p>
        </w:tc>
        <w:tc>
          <w:tcPr>
            <w:tcW w:w="3058" w:type="dxa"/>
            <w:tcMar>
              <w:left w:w="28" w:type="dxa"/>
              <w:right w:w="28" w:type="dxa"/>
            </w:tcMar>
            <w:vAlign w:val="center"/>
          </w:tcPr>
          <w:p w14:paraId="6B85385C" w14:textId="77777777" w:rsidR="000F4B43" w:rsidRPr="00B36948" w:rsidRDefault="000F4B43" w:rsidP="00B36948">
            <w:pPr>
              <w:pStyle w:val="Tabletext0"/>
            </w:pPr>
            <w:r w:rsidRPr="00B36948">
              <w:t>The source of this estimate was unclear.</w:t>
            </w:r>
          </w:p>
        </w:tc>
      </w:tr>
      <w:tr w:rsidR="000F4B43" w:rsidRPr="00B36948" w14:paraId="177C7FD6" w14:textId="77777777" w:rsidTr="000F4B43">
        <w:tc>
          <w:tcPr>
            <w:tcW w:w="1276" w:type="dxa"/>
            <w:tcMar>
              <w:left w:w="28" w:type="dxa"/>
              <w:right w:w="28" w:type="dxa"/>
            </w:tcMar>
            <w:vAlign w:val="center"/>
          </w:tcPr>
          <w:p w14:paraId="778AB834" w14:textId="77777777" w:rsidR="000F4B43" w:rsidRPr="00B36948" w:rsidRDefault="000F4B43" w:rsidP="00B36948">
            <w:pPr>
              <w:pStyle w:val="Tabletext0"/>
            </w:pPr>
            <w:r w:rsidRPr="00B36948">
              <w:t>At least one high risk factor</w:t>
            </w:r>
          </w:p>
        </w:tc>
        <w:tc>
          <w:tcPr>
            <w:tcW w:w="1134" w:type="dxa"/>
            <w:tcMar>
              <w:left w:w="28" w:type="dxa"/>
              <w:right w:w="28" w:type="dxa"/>
            </w:tcMar>
            <w:vAlign w:val="center"/>
          </w:tcPr>
          <w:p w14:paraId="1FC98F77" w14:textId="77777777" w:rsidR="000F4B43" w:rsidRPr="00B36948" w:rsidRDefault="000F4B43" w:rsidP="00B36948">
            <w:pPr>
              <w:pStyle w:val="Tabletext0"/>
              <w:jc w:val="center"/>
            </w:pPr>
            <w:r w:rsidRPr="00B36948">
              <w:t>53%</w:t>
            </w:r>
          </w:p>
        </w:tc>
        <w:tc>
          <w:tcPr>
            <w:tcW w:w="3549" w:type="dxa"/>
            <w:tcMar>
              <w:left w:w="28" w:type="dxa"/>
              <w:right w:w="28" w:type="dxa"/>
            </w:tcMar>
            <w:vAlign w:val="center"/>
          </w:tcPr>
          <w:p w14:paraId="1291835A" w14:textId="77777777" w:rsidR="000F4B43" w:rsidRPr="00B36948" w:rsidRDefault="000F4B43" w:rsidP="00B36948">
            <w:pPr>
              <w:pStyle w:val="Tabletext0"/>
            </w:pPr>
            <w:r w:rsidRPr="00B36948">
              <w:t>Proportion of patients enrolled in FOURIER trial with at least one of the clinical eligibility factors from the current PBS restriction.</w:t>
            </w:r>
          </w:p>
        </w:tc>
        <w:tc>
          <w:tcPr>
            <w:tcW w:w="3058" w:type="dxa"/>
            <w:tcMar>
              <w:left w:w="28" w:type="dxa"/>
              <w:right w:w="28" w:type="dxa"/>
            </w:tcMar>
            <w:vAlign w:val="center"/>
          </w:tcPr>
          <w:p w14:paraId="7368D33B" w14:textId="77777777" w:rsidR="000F4B43" w:rsidRPr="00B36948" w:rsidRDefault="000F4B43" w:rsidP="00B36948">
            <w:pPr>
              <w:pStyle w:val="Tabletext0"/>
            </w:pPr>
            <w:r w:rsidRPr="00B36948">
              <w:t>Rounded up from 52.8% estimated from FOURIER.</w:t>
            </w:r>
          </w:p>
        </w:tc>
      </w:tr>
      <w:tr w:rsidR="000F4B43" w:rsidRPr="00B36948" w14:paraId="0B6BEBC8" w14:textId="77777777" w:rsidTr="000F4B43">
        <w:tc>
          <w:tcPr>
            <w:tcW w:w="1276" w:type="dxa"/>
            <w:tcMar>
              <w:left w:w="28" w:type="dxa"/>
              <w:right w:w="28" w:type="dxa"/>
            </w:tcMar>
            <w:vAlign w:val="center"/>
          </w:tcPr>
          <w:p w14:paraId="1E4102E5" w14:textId="77777777" w:rsidR="000F4B43" w:rsidRPr="00B36948" w:rsidRDefault="000F4B43" w:rsidP="00B36948">
            <w:pPr>
              <w:pStyle w:val="Tabletext0"/>
            </w:pPr>
            <w:r w:rsidRPr="00B36948">
              <w:t>On ezetimibe for at least 3 months</w:t>
            </w:r>
          </w:p>
        </w:tc>
        <w:tc>
          <w:tcPr>
            <w:tcW w:w="1134" w:type="dxa"/>
            <w:tcMar>
              <w:left w:w="28" w:type="dxa"/>
              <w:right w:w="28" w:type="dxa"/>
            </w:tcMar>
            <w:vAlign w:val="center"/>
          </w:tcPr>
          <w:p w14:paraId="3F18CFFA" w14:textId="77777777" w:rsidR="000F4B43" w:rsidRPr="00B36948" w:rsidRDefault="000F4B43" w:rsidP="00B36948">
            <w:pPr>
              <w:pStyle w:val="Tabletext0"/>
              <w:jc w:val="center"/>
            </w:pPr>
            <w:r w:rsidRPr="00B36948">
              <w:t>80.1%</w:t>
            </w:r>
          </w:p>
        </w:tc>
        <w:tc>
          <w:tcPr>
            <w:tcW w:w="3549" w:type="dxa"/>
            <w:tcMar>
              <w:left w:w="28" w:type="dxa"/>
              <w:right w:w="28" w:type="dxa"/>
            </w:tcMar>
            <w:vAlign w:val="center"/>
          </w:tcPr>
          <w:p w14:paraId="35EF79EB" w14:textId="77777777" w:rsidR="000F4B43" w:rsidRPr="00B36948" w:rsidRDefault="000F4B43" w:rsidP="00B36948">
            <w:pPr>
              <w:pStyle w:val="Tabletext0"/>
            </w:pPr>
            <w:r w:rsidRPr="00B36948">
              <w:t>DUSC secretariat analysis (Table 8, evolocumab PSD, November 2019 PBAC meeting) of time on therapy for patients initiating ezetimibe ± statins from 2017 – 2019 using 10% Medicare sample.</w:t>
            </w:r>
          </w:p>
        </w:tc>
        <w:tc>
          <w:tcPr>
            <w:tcW w:w="3058" w:type="dxa"/>
            <w:tcMar>
              <w:left w:w="28" w:type="dxa"/>
              <w:right w:w="28" w:type="dxa"/>
            </w:tcMar>
            <w:vAlign w:val="center"/>
          </w:tcPr>
          <w:p w14:paraId="3F250CE1" w14:textId="77777777" w:rsidR="000F4B43" w:rsidRPr="00B36948" w:rsidRDefault="000F4B43" w:rsidP="00B36948">
            <w:pPr>
              <w:pStyle w:val="Tabletext0"/>
            </w:pPr>
            <w:r w:rsidRPr="00B36948">
              <w:t>-</w:t>
            </w:r>
          </w:p>
        </w:tc>
      </w:tr>
      <w:tr w:rsidR="000F4B43" w:rsidRPr="00B36948" w14:paraId="77C15143" w14:textId="77777777" w:rsidTr="000F4B43">
        <w:tc>
          <w:tcPr>
            <w:tcW w:w="1276" w:type="dxa"/>
            <w:tcMar>
              <w:left w:w="28" w:type="dxa"/>
              <w:right w:w="28" w:type="dxa"/>
            </w:tcMar>
            <w:vAlign w:val="center"/>
          </w:tcPr>
          <w:p w14:paraId="46411B8B" w14:textId="77777777" w:rsidR="000F4B43" w:rsidRPr="00B36948" w:rsidRDefault="000F4B43" w:rsidP="00B36948">
            <w:pPr>
              <w:pStyle w:val="Tabletext0"/>
            </w:pPr>
            <w:r w:rsidRPr="00B36948">
              <w:t>Ezetimibe patients with LDL-C &gt; 1.8 and ≤ 2.6 mmol/L</w:t>
            </w:r>
          </w:p>
        </w:tc>
        <w:tc>
          <w:tcPr>
            <w:tcW w:w="1134" w:type="dxa"/>
            <w:tcMar>
              <w:left w:w="28" w:type="dxa"/>
              <w:right w:w="28" w:type="dxa"/>
            </w:tcMar>
            <w:vAlign w:val="center"/>
          </w:tcPr>
          <w:p w14:paraId="4ACA6CB3" w14:textId="77777777" w:rsidR="000F4B43" w:rsidRPr="00B36948" w:rsidRDefault="000F4B43" w:rsidP="00B36948">
            <w:pPr>
              <w:pStyle w:val="Tabletext0"/>
              <w:jc w:val="center"/>
            </w:pPr>
            <w:r w:rsidRPr="00B36948">
              <w:t>30%</w:t>
            </w:r>
          </w:p>
        </w:tc>
        <w:tc>
          <w:tcPr>
            <w:tcW w:w="3549" w:type="dxa"/>
            <w:tcMar>
              <w:left w:w="28" w:type="dxa"/>
              <w:right w:w="28" w:type="dxa"/>
            </w:tcMar>
            <w:vAlign w:val="center"/>
          </w:tcPr>
          <w:p w14:paraId="52B8FAA0" w14:textId="77777777" w:rsidR="000F4B43" w:rsidRPr="00B36948" w:rsidRDefault="000F4B43" w:rsidP="00B36948">
            <w:pPr>
              <w:pStyle w:val="Tabletext0"/>
            </w:pPr>
            <w:r w:rsidRPr="00B36948">
              <w:t>Based on a sponsor-commissioned analysis of GP consultation records from IQVIA database: patients with prior record of MI, ‘Other CHD’, stroke or PAD treated with ezetimibe ± statin with most recent LDL-C measurement between 1.8 and 2.6 mmol/L</w:t>
            </w:r>
          </w:p>
        </w:tc>
        <w:tc>
          <w:tcPr>
            <w:tcW w:w="3058" w:type="dxa"/>
            <w:tcMar>
              <w:left w:w="28" w:type="dxa"/>
              <w:right w:w="28" w:type="dxa"/>
            </w:tcMar>
            <w:vAlign w:val="center"/>
          </w:tcPr>
          <w:p w14:paraId="1D739FAC" w14:textId="77777777" w:rsidR="000F4B43" w:rsidRPr="00B36948" w:rsidRDefault="000F4B43" w:rsidP="00B36948">
            <w:pPr>
              <w:pStyle w:val="Tabletext0"/>
            </w:pPr>
            <w:r w:rsidRPr="00B36948">
              <w:t>Methods of analysis and details of the included patient population were poorly documented in the submission. Based on subset of only 331 patients.</w:t>
            </w:r>
          </w:p>
        </w:tc>
      </w:tr>
      <w:tr w:rsidR="000F4B43" w:rsidRPr="00B36948" w14:paraId="0CA32078" w14:textId="77777777" w:rsidTr="000F4B43">
        <w:tc>
          <w:tcPr>
            <w:tcW w:w="9017" w:type="dxa"/>
            <w:gridSpan w:val="4"/>
            <w:tcMar>
              <w:left w:w="28" w:type="dxa"/>
              <w:right w:w="28" w:type="dxa"/>
            </w:tcMar>
            <w:vAlign w:val="center"/>
          </w:tcPr>
          <w:p w14:paraId="4E5777FE" w14:textId="77777777" w:rsidR="000F4B43" w:rsidRPr="00B36948" w:rsidRDefault="000F4B43" w:rsidP="00B36948">
            <w:pPr>
              <w:pStyle w:val="Tabletext0"/>
              <w:keepNext/>
            </w:pPr>
            <w:r w:rsidRPr="00B36948">
              <w:rPr>
                <w:b/>
              </w:rPr>
              <w:lastRenderedPageBreak/>
              <w:t>Familial hypercholesterolaemia population estimates</w:t>
            </w:r>
          </w:p>
        </w:tc>
      </w:tr>
      <w:tr w:rsidR="000F4B43" w:rsidRPr="00B36948" w14:paraId="6D9868A7" w14:textId="77777777" w:rsidTr="000F4B43">
        <w:tc>
          <w:tcPr>
            <w:tcW w:w="1276" w:type="dxa"/>
            <w:tcMar>
              <w:left w:w="28" w:type="dxa"/>
              <w:right w:w="28" w:type="dxa"/>
            </w:tcMar>
            <w:vAlign w:val="center"/>
          </w:tcPr>
          <w:p w14:paraId="69216339" w14:textId="77777777" w:rsidR="000F4B43" w:rsidRPr="00B36948" w:rsidRDefault="000F4B43" w:rsidP="00B36948">
            <w:pPr>
              <w:pStyle w:val="Tabletext0"/>
              <w:keepNext/>
            </w:pPr>
            <w:r w:rsidRPr="00B36948">
              <w:t xml:space="preserve">FH prevalence </w:t>
            </w:r>
          </w:p>
        </w:tc>
        <w:tc>
          <w:tcPr>
            <w:tcW w:w="1134" w:type="dxa"/>
            <w:tcMar>
              <w:left w:w="28" w:type="dxa"/>
              <w:right w:w="28" w:type="dxa"/>
            </w:tcMar>
            <w:vAlign w:val="center"/>
          </w:tcPr>
          <w:p w14:paraId="40E8746C" w14:textId="77777777" w:rsidR="000F4B43" w:rsidRPr="00B36948" w:rsidRDefault="000F4B43" w:rsidP="00B36948">
            <w:pPr>
              <w:pStyle w:val="Tabletext0"/>
              <w:keepNext/>
              <w:jc w:val="center"/>
            </w:pPr>
            <w:r w:rsidRPr="00B36948">
              <w:t>1:353 (0.283%)</w:t>
            </w:r>
          </w:p>
        </w:tc>
        <w:tc>
          <w:tcPr>
            <w:tcW w:w="3549" w:type="dxa"/>
            <w:tcMar>
              <w:left w:w="28" w:type="dxa"/>
              <w:right w:w="28" w:type="dxa"/>
            </w:tcMar>
            <w:vAlign w:val="center"/>
          </w:tcPr>
          <w:p w14:paraId="30C73099" w14:textId="77777777" w:rsidR="000F4B43" w:rsidRPr="00B36948" w:rsidRDefault="000F4B43" w:rsidP="00B36948">
            <w:pPr>
              <w:pStyle w:val="Tabletext0"/>
              <w:keepNext/>
            </w:pPr>
            <w:r w:rsidRPr="00B36948">
              <w:t xml:space="preserve">Watts et al. (2015). Based on adult Australian patients with a phenotypic diagnosis of familial hypercholesterolaemia. </w:t>
            </w:r>
          </w:p>
        </w:tc>
        <w:tc>
          <w:tcPr>
            <w:tcW w:w="3058" w:type="dxa"/>
            <w:tcMar>
              <w:left w:w="28" w:type="dxa"/>
              <w:right w:w="28" w:type="dxa"/>
            </w:tcMar>
            <w:vAlign w:val="center"/>
          </w:tcPr>
          <w:p w14:paraId="64A01D7E" w14:textId="77777777" w:rsidR="000F4B43" w:rsidRPr="00B36948" w:rsidRDefault="000F4B43" w:rsidP="00B36948">
            <w:pPr>
              <w:pStyle w:val="Tabletext0"/>
              <w:keepNext/>
            </w:pPr>
            <w:r w:rsidRPr="00B36948">
              <w:t>Unchanged from previous submissions</w:t>
            </w:r>
          </w:p>
        </w:tc>
      </w:tr>
      <w:tr w:rsidR="000F4B43" w:rsidRPr="00B36948" w14:paraId="21A02D3E" w14:textId="77777777" w:rsidTr="000F4B43">
        <w:tc>
          <w:tcPr>
            <w:tcW w:w="1276" w:type="dxa"/>
            <w:tcMar>
              <w:left w:w="28" w:type="dxa"/>
              <w:right w:w="28" w:type="dxa"/>
            </w:tcMar>
            <w:vAlign w:val="center"/>
          </w:tcPr>
          <w:p w14:paraId="0AF3AE81" w14:textId="77777777" w:rsidR="000F4B43" w:rsidRPr="00B36948" w:rsidRDefault="000F4B43" w:rsidP="00B36948">
            <w:pPr>
              <w:pStyle w:val="Tabletext0"/>
              <w:keepNext/>
            </w:pPr>
            <w:r w:rsidRPr="00B36948">
              <w:t>FH diagnosis rate</w:t>
            </w:r>
          </w:p>
        </w:tc>
        <w:tc>
          <w:tcPr>
            <w:tcW w:w="1134" w:type="dxa"/>
            <w:tcMar>
              <w:left w:w="28" w:type="dxa"/>
              <w:right w:w="28" w:type="dxa"/>
            </w:tcMar>
            <w:vAlign w:val="center"/>
          </w:tcPr>
          <w:p w14:paraId="417A4AA1" w14:textId="77777777" w:rsidR="000F4B43" w:rsidRPr="00B36948" w:rsidRDefault="000F4B43" w:rsidP="00B36948">
            <w:pPr>
              <w:pStyle w:val="Tabletext0"/>
              <w:keepNext/>
              <w:jc w:val="center"/>
            </w:pPr>
            <w:r w:rsidRPr="00B36948">
              <w:t>Yr 1: 70%</w:t>
            </w:r>
          </w:p>
          <w:p w14:paraId="0B8DCC12" w14:textId="77777777" w:rsidR="000F4B43" w:rsidRPr="00B36948" w:rsidRDefault="000F4B43" w:rsidP="00B36948">
            <w:pPr>
              <w:pStyle w:val="Tabletext0"/>
              <w:keepNext/>
              <w:jc w:val="center"/>
            </w:pPr>
            <w:r w:rsidRPr="00B36948">
              <w:t>Yrs 2-6: 75%</w:t>
            </w:r>
          </w:p>
        </w:tc>
        <w:tc>
          <w:tcPr>
            <w:tcW w:w="3549" w:type="dxa"/>
            <w:tcMar>
              <w:left w:w="28" w:type="dxa"/>
              <w:right w:w="28" w:type="dxa"/>
            </w:tcMar>
            <w:vAlign w:val="center"/>
          </w:tcPr>
          <w:p w14:paraId="59DA9040" w14:textId="77777777" w:rsidR="000F4B43" w:rsidRPr="00B36948" w:rsidRDefault="000F4B43" w:rsidP="00B36948">
            <w:pPr>
              <w:pStyle w:val="Tabletext0"/>
              <w:keepNext/>
            </w:pPr>
            <w:r w:rsidRPr="00B36948">
              <w:t>Assumption, based on published epidemiology estimates, accepted previously by PBAC (originally 35% in 2018, increasing to 75% in 2023).</w:t>
            </w:r>
          </w:p>
        </w:tc>
        <w:tc>
          <w:tcPr>
            <w:tcW w:w="3058" w:type="dxa"/>
            <w:tcMar>
              <w:left w:w="28" w:type="dxa"/>
              <w:right w:w="28" w:type="dxa"/>
            </w:tcMar>
            <w:vAlign w:val="center"/>
          </w:tcPr>
          <w:p w14:paraId="30DCCC8E" w14:textId="77777777" w:rsidR="000F4B43" w:rsidRPr="00B36948" w:rsidRDefault="000F4B43" w:rsidP="00B36948">
            <w:pPr>
              <w:pStyle w:val="Tabletext0"/>
              <w:keepNext/>
            </w:pPr>
            <w:r w:rsidRPr="00B36948">
              <w:t>It is unclear whether the assumptions of diagnosis originally estimated from 2018 to 2023, would continue to apply at a constant rate from 2023 onwards.</w:t>
            </w:r>
          </w:p>
        </w:tc>
      </w:tr>
      <w:tr w:rsidR="000F4B43" w:rsidRPr="00B36948" w14:paraId="029E6B21" w14:textId="77777777" w:rsidTr="000F4B43">
        <w:tc>
          <w:tcPr>
            <w:tcW w:w="1276" w:type="dxa"/>
            <w:tcMar>
              <w:left w:w="28" w:type="dxa"/>
              <w:right w:w="28" w:type="dxa"/>
            </w:tcMar>
            <w:vAlign w:val="center"/>
          </w:tcPr>
          <w:p w14:paraId="18F46C35" w14:textId="77777777" w:rsidR="000F4B43" w:rsidRPr="00B36948" w:rsidRDefault="000F4B43" w:rsidP="00B36948">
            <w:pPr>
              <w:pStyle w:val="Tabletext0"/>
              <w:keepNext/>
            </w:pPr>
            <w:r w:rsidRPr="00B36948">
              <w:t>Proportion of FH patients with symptomatic ASCVD</w:t>
            </w:r>
          </w:p>
        </w:tc>
        <w:tc>
          <w:tcPr>
            <w:tcW w:w="1134" w:type="dxa"/>
            <w:tcMar>
              <w:left w:w="28" w:type="dxa"/>
              <w:right w:w="28" w:type="dxa"/>
            </w:tcMar>
            <w:vAlign w:val="center"/>
          </w:tcPr>
          <w:p w14:paraId="73E7E812" w14:textId="77777777" w:rsidR="000F4B43" w:rsidRPr="00B36948" w:rsidRDefault="000F4B43" w:rsidP="00B36948">
            <w:pPr>
              <w:pStyle w:val="Tabletext0"/>
              <w:keepNext/>
              <w:jc w:val="center"/>
            </w:pPr>
            <w:r w:rsidRPr="00B36948">
              <w:t>40%</w:t>
            </w:r>
          </w:p>
        </w:tc>
        <w:tc>
          <w:tcPr>
            <w:tcW w:w="3549" w:type="dxa"/>
            <w:tcMar>
              <w:left w:w="28" w:type="dxa"/>
              <w:right w:w="28" w:type="dxa"/>
            </w:tcMar>
            <w:vAlign w:val="center"/>
          </w:tcPr>
          <w:p w14:paraId="22BEEAEF" w14:textId="77777777" w:rsidR="000F4B43" w:rsidRPr="00B36948" w:rsidRDefault="000F4B43" w:rsidP="00B36948">
            <w:pPr>
              <w:pStyle w:val="Tabletext0"/>
              <w:keepNext/>
            </w:pPr>
            <w:r w:rsidRPr="00B36948">
              <w:t>Assumption based on the proportion of adults aged ≥ 25 years with FH in the AusDiab cohort with symptomatic CV disease (51%) reported by Watts et al. (2015) and adjusted to apply to total Australian population.</w:t>
            </w:r>
          </w:p>
        </w:tc>
        <w:tc>
          <w:tcPr>
            <w:tcW w:w="3058" w:type="dxa"/>
            <w:tcMar>
              <w:left w:w="28" w:type="dxa"/>
              <w:right w:w="28" w:type="dxa"/>
            </w:tcMar>
            <w:vAlign w:val="center"/>
          </w:tcPr>
          <w:p w14:paraId="114797FC" w14:textId="77777777" w:rsidR="000F4B43" w:rsidRPr="00B36948" w:rsidRDefault="000F4B43" w:rsidP="00B36948">
            <w:pPr>
              <w:pStyle w:val="Tabletext0"/>
              <w:keepNext/>
            </w:pPr>
            <w:r w:rsidRPr="00B36948">
              <w:t xml:space="preserve">Given the Australian population in the first step of the financial estimates was revised from total population to those aged 25 years or older, it is no longer appropriate to apply this adjusted proportion, and the 51% proportion should have been applied. </w:t>
            </w:r>
          </w:p>
        </w:tc>
      </w:tr>
      <w:tr w:rsidR="000F4B43" w:rsidRPr="00B36948" w14:paraId="5080D6A6" w14:textId="77777777" w:rsidTr="000F4B43">
        <w:tc>
          <w:tcPr>
            <w:tcW w:w="1276" w:type="dxa"/>
            <w:tcMar>
              <w:left w:w="28" w:type="dxa"/>
              <w:right w:w="28" w:type="dxa"/>
            </w:tcMar>
            <w:vAlign w:val="center"/>
          </w:tcPr>
          <w:p w14:paraId="12807688" w14:textId="77777777" w:rsidR="000F4B43" w:rsidRPr="00B36948" w:rsidRDefault="000F4B43" w:rsidP="00B36948">
            <w:pPr>
              <w:pStyle w:val="Tabletext0"/>
            </w:pPr>
            <w:r w:rsidRPr="00B36948">
              <w:t>Percentage with LDL-C &gt; 1.8 and ≤ 2.6 mmol/L</w:t>
            </w:r>
          </w:p>
        </w:tc>
        <w:tc>
          <w:tcPr>
            <w:tcW w:w="1134" w:type="dxa"/>
            <w:tcMar>
              <w:left w:w="28" w:type="dxa"/>
              <w:right w:w="28" w:type="dxa"/>
            </w:tcMar>
            <w:vAlign w:val="center"/>
          </w:tcPr>
          <w:p w14:paraId="654FF2F5" w14:textId="77777777" w:rsidR="000F4B43" w:rsidRPr="00B36948" w:rsidRDefault="000F4B43" w:rsidP="00B36948">
            <w:pPr>
              <w:pStyle w:val="Tabletext0"/>
              <w:jc w:val="center"/>
            </w:pPr>
            <w:r w:rsidRPr="00B36948">
              <w:t>10%</w:t>
            </w:r>
          </w:p>
        </w:tc>
        <w:tc>
          <w:tcPr>
            <w:tcW w:w="3549" w:type="dxa"/>
            <w:tcMar>
              <w:left w:w="28" w:type="dxa"/>
              <w:right w:w="28" w:type="dxa"/>
            </w:tcMar>
            <w:vAlign w:val="center"/>
          </w:tcPr>
          <w:p w14:paraId="472890A6" w14:textId="77777777" w:rsidR="000F4B43" w:rsidRPr="00B36948" w:rsidRDefault="000F4B43" w:rsidP="00B36948">
            <w:pPr>
              <w:pStyle w:val="Tabletext0"/>
            </w:pPr>
            <w:r w:rsidRPr="00B36948">
              <w:t>The submission noted that 90% of patients in the RUTHERFORD-2 trial had a baseline LDL</w:t>
            </w:r>
            <w:r w:rsidRPr="00B36948">
              <w:noBreakHyphen/>
              <w:t xml:space="preserve">C &gt; 2.6 mmol/L, therefore the remaining 10% of patients were assumed to have LDL-C between 1.8 and 2.6 mmol/L. </w:t>
            </w:r>
          </w:p>
        </w:tc>
        <w:tc>
          <w:tcPr>
            <w:tcW w:w="3058" w:type="dxa"/>
            <w:tcMar>
              <w:left w:w="28" w:type="dxa"/>
              <w:right w:w="28" w:type="dxa"/>
            </w:tcMar>
            <w:vAlign w:val="center"/>
          </w:tcPr>
          <w:p w14:paraId="7A41FC81" w14:textId="77777777" w:rsidR="000F4B43" w:rsidRPr="00B36948" w:rsidRDefault="000F4B43" w:rsidP="00B36948">
            <w:pPr>
              <w:pStyle w:val="Tabletext0"/>
            </w:pPr>
            <w:r w:rsidRPr="00B36948">
              <w:t>The RUTHERFORD-2 trial only recruited patients with LDL-C above 2.6 mmol/L, and the minimum recorded LDL-C was 2.35 mmol/L.</w:t>
            </w:r>
          </w:p>
        </w:tc>
      </w:tr>
      <w:tr w:rsidR="000F4B43" w:rsidRPr="00B36948" w14:paraId="11A2516C" w14:textId="77777777" w:rsidTr="000F4B43">
        <w:tc>
          <w:tcPr>
            <w:tcW w:w="9017" w:type="dxa"/>
            <w:gridSpan w:val="4"/>
            <w:tcMar>
              <w:left w:w="28" w:type="dxa"/>
              <w:right w:w="28" w:type="dxa"/>
            </w:tcMar>
            <w:vAlign w:val="center"/>
          </w:tcPr>
          <w:p w14:paraId="79B78CD2" w14:textId="77777777" w:rsidR="000F4B43" w:rsidRPr="00B36948" w:rsidRDefault="000F4B43" w:rsidP="00B36948">
            <w:pPr>
              <w:pStyle w:val="Tabletext0"/>
              <w:keepNext/>
              <w:rPr>
                <w:b/>
              </w:rPr>
            </w:pPr>
            <w:r w:rsidRPr="00B36948">
              <w:rPr>
                <w:b/>
              </w:rPr>
              <w:t>Utilisation estimates</w:t>
            </w:r>
          </w:p>
        </w:tc>
      </w:tr>
      <w:tr w:rsidR="000F4B43" w:rsidRPr="00B36948" w14:paraId="41FDAC13" w14:textId="77777777" w:rsidTr="000F4B43">
        <w:tc>
          <w:tcPr>
            <w:tcW w:w="1276" w:type="dxa"/>
            <w:tcMar>
              <w:left w:w="28" w:type="dxa"/>
              <w:right w:w="28" w:type="dxa"/>
            </w:tcMar>
            <w:vAlign w:val="center"/>
          </w:tcPr>
          <w:p w14:paraId="1B1A5CE6" w14:textId="77777777" w:rsidR="000F4B43" w:rsidRPr="00B36948" w:rsidRDefault="000F4B43" w:rsidP="00B36948">
            <w:pPr>
              <w:pStyle w:val="Tabletext0"/>
              <w:keepNext/>
              <w:rPr>
                <w:rFonts w:eastAsia="SimSun"/>
                <w:snapToGrid w:val="0"/>
                <w:lang w:eastAsia="zh-CN"/>
              </w:rPr>
            </w:pPr>
            <w:r w:rsidRPr="00B36948">
              <w:t>Uptake rate</w:t>
            </w:r>
          </w:p>
        </w:tc>
        <w:tc>
          <w:tcPr>
            <w:tcW w:w="1134" w:type="dxa"/>
            <w:tcMar>
              <w:left w:w="28" w:type="dxa"/>
              <w:right w:w="28" w:type="dxa"/>
            </w:tcMar>
            <w:vAlign w:val="center"/>
          </w:tcPr>
          <w:p w14:paraId="5D6AB407" w14:textId="74505808" w:rsidR="000F4B43" w:rsidRPr="00B36948" w:rsidRDefault="000F4B43" w:rsidP="00B36948">
            <w:pPr>
              <w:pStyle w:val="Tabletext0"/>
              <w:keepNext/>
              <w:jc w:val="center"/>
            </w:pPr>
            <w:r w:rsidRPr="00B36948">
              <w:t xml:space="preserve">Yr 1: </w:t>
            </w:r>
            <w:r w:rsidR="00650CB8" w:rsidRPr="00650CB8">
              <w:rPr>
                <w:color w:val="000000"/>
                <w:spacing w:val="66"/>
                <w:shd w:val="solid" w:color="000000" w:fill="000000"/>
                <w:fitText w:val="370" w:id="-1435748606"/>
                <w14:textFill>
                  <w14:solidFill>
                    <w14:srgbClr w14:val="000000">
                      <w14:alpha w14:val="100000"/>
                    </w14:srgbClr>
                  </w14:solidFill>
                </w14:textFill>
              </w:rPr>
              <w:t>|||</w:t>
            </w:r>
            <w:r w:rsidR="00650CB8" w:rsidRPr="00650CB8">
              <w:rPr>
                <w:color w:val="000000"/>
                <w:spacing w:val="2"/>
                <w:shd w:val="solid" w:color="000000" w:fill="000000"/>
                <w:fitText w:val="370" w:id="-1435748606"/>
                <w14:textFill>
                  <w14:solidFill>
                    <w14:srgbClr w14:val="000000">
                      <w14:alpha w14:val="100000"/>
                    </w14:srgbClr>
                  </w14:solidFill>
                </w14:textFill>
              </w:rPr>
              <w:t>|</w:t>
            </w:r>
            <w:r w:rsidRPr="00B36948">
              <w:t>%</w:t>
            </w:r>
          </w:p>
          <w:p w14:paraId="61894D87" w14:textId="4B85CE5D" w:rsidR="000F4B43" w:rsidRPr="00B36948" w:rsidRDefault="000F4B43" w:rsidP="00B36948">
            <w:pPr>
              <w:pStyle w:val="Tabletext0"/>
              <w:keepNext/>
              <w:jc w:val="center"/>
            </w:pPr>
            <w:r w:rsidRPr="00B36948">
              <w:t xml:space="preserve">Yr 2: </w:t>
            </w:r>
            <w:r w:rsidR="00650CB8" w:rsidRPr="00650CB8">
              <w:rPr>
                <w:color w:val="000000"/>
                <w:spacing w:val="66"/>
                <w:shd w:val="solid" w:color="000000" w:fill="000000"/>
                <w:fitText w:val="370" w:id="-1435748605"/>
                <w14:textFill>
                  <w14:solidFill>
                    <w14:srgbClr w14:val="000000">
                      <w14:alpha w14:val="100000"/>
                    </w14:srgbClr>
                  </w14:solidFill>
                </w14:textFill>
              </w:rPr>
              <w:t>|||</w:t>
            </w:r>
            <w:r w:rsidR="00650CB8" w:rsidRPr="00650CB8">
              <w:rPr>
                <w:color w:val="000000"/>
                <w:spacing w:val="2"/>
                <w:shd w:val="solid" w:color="000000" w:fill="000000"/>
                <w:fitText w:val="370" w:id="-1435748605"/>
                <w14:textFill>
                  <w14:solidFill>
                    <w14:srgbClr w14:val="000000">
                      <w14:alpha w14:val="100000"/>
                    </w14:srgbClr>
                  </w14:solidFill>
                </w14:textFill>
              </w:rPr>
              <w:t>|</w:t>
            </w:r>
            <w:r w:rsidRPr="00B36948">
              <w:t>%</w:t>
            </w:r>
          </w:p>
          <w:p w14:paraId="6B701DD7" w14:textId="35A94A0E" w:rsidR="000F4B43" w:rsidRPr="00B36948" w:rsidRDefault="000F4B43" w:rsidP="00B36948">
            <w:pPr>
              <w:pStyle w:val="Tabletext0"/>
              <w:keepNext/>
              <w:jc w:val="center"/>
            </w:pPr>
            <w:r w:rsidRPr="00B36948">
              <w:t xml:space="preserve">Yrs 3-6: </w:t>
            </w:r>
            <w:r w:rsidR="00650CB8" w:rsidRPr="00650CB8">
              <w:rPr>
                <w:color w:val="000000"/>
                <w:spacing w:val="66"/>
                <w:shd w:val="solid" w:color="000000" w:fill="000000"/>
                <w:fitText w:val="370" w:id="-1435748604"/>
                <w14:textFill>
                  <w14:solidFill>
                    <w14:srgbClr w14:val="000000">
                      <w14:alpha w14:val="100000"/>
                    </w14:srgbClr>
                  </w14:solidFill>
                </w14:textFill>
              </w:rPr>
              <w:t>|||</w:t>
            </w:r>
            <w:r w:rsidR="00650CB8" w:rsidRPr="00650CB8">
              <w:rPr>
                <w:color w:val="000000"/>
                <w:spacing w:val="2"/>
                <w:shd w:val="solid" w:color="000000" w:fill="000000"/>
                <w:fitText w:val="370" w:id="-1435748604"/>
                <w14:textFill>
                  <w14:solidFill>
                    <w14:srgbClr w14:val="000000">
                      <w14:alpha w14:val="100000"/>
                    </w14:srgbClr>
                  </w14:solidFill>
                </w14:textFill>
              </w:rPr>
              <w:t>|</w:t>
            </w:r>
            <w:r w:rsidRPr="00B36948">
              <w:t>%</w:t>
            </w:r>
          </w:p>
        </w:tc>
        <w:tc>
          <w:tcPr>
            <w:tcW w:w="3549" w:type="dxa"/>
            <w:tcMar>
              <w:left w:w="28" w:type="dxa"/>
              <w:right w:w="28" w:type="dxa"/>
            </w:tcMar>
            <w:vAlign w:val="center"/>
          </w:tcPr>
          <w:p w14:paraId="4735AD3A" w14:textId="66DE224B" w:rsidR="000F4B43" w:rsidRPr="00B36948" w:rsidRDefault="000F4B43" w:rsidP="00B36948">
            <w:pPr>
              <w:pStyle w:val="Tabletext0"/>
              <w:keepNext/>
            </w:pPr>
            <w:r w:rsidRPr="00B36948">
              <w:t>Maximum uptake is a weighted average based on the distribution of 331 patients with LDL-C between 1.8 and 2.6 mmol/L (plus selected disease characteristics and record of recent ezetimibe ± statin use) from IQVIA GP dataset and assumed uptake (</w:t>
            </w:r>
            <w:r w:rsidR="00650CB8" w:rsidRPr="00650CB8">
              <w:rPr>
                <w:color w:val="000000"/>
                <w:spacing w:val="48"/>
                <w:shd w:val="solid" w:color="000000" w:fill="000000"/>
                <w:fitText w:val="500" w:id="-1435748603"/>
                <w14:textFill>
                  <w14:solidFill>
                    <w14:srgbClr w14:val="000000">
                      <w14:alpha w14:val="100000"/>
                    </w14:srgbClr>
                  </w14:solidFill>
                </w14:textFill>
              </w:rPr>
              <w:t>|||||</w:t>
            </w:r>
            <w:r w:rsidR="00650CB8" w:rsidRPr="00650CB8">
              <w:rPr>
                <w:color w:val="000000"/>
                <w:spacing w:val="5"/>
                <w:shd w:val="solid" w:color="000000" w:fill="000000"/>
                <w:fitText w:val="500" w:id="-1435748603"/>
                <w14:textFill>
                  <w14:solidFill>
                    <w14:srgbClr w14:val="000000">
                      <w14:alpha w14:val="100000"/>
                    </w14:srgbClr>
                  </w14:solidFill>
                </w14:textFill>
              </w:rPr>
              <w:t>|</w:t>
            </w:r>
            <w:r w:rsidRPr="00B36948">
              <w:t xml:space="preserve">% for LDL-C 1.8 mmol/L, increasing to and </w:t>
            </w:r>
            <w:r w:rsidR="00650CB8" w:rsidRPr="00650CB8">
              <w:rPr>
                <w:color w:val="000000"/>
                <w:spacing w:val="48"/>
                <w:shd w:val="solid" w:color="000000" w:fill="000000"/>
                <w:fitText w:val="500" w:id="-1435748602"/>
                <w14:textFill>
                  <w14:solidFill>
                    <w14:srgbClr w14:val="000000">
                      <w14:alpha w14:val="100000"/>
                    </w14:srgbClr>
                  </w14:solidFill>
                </w14:textFill>
              </w:rPr>
              <w:t>|||||</w:t>
            </w:r>
            <w:r w:rsidR="00650CB8" w:rsidRPr="00650CB8">
              <w:rPr>
                <w:color w:val="000000"/>
                <w:spacing w:val="5"/>
                <w:shd w:val="solid" w:color="000000" w:fill="000000"/>
                <w:fitText w:val="500" w:id="-1435748602"/>
                <w14:textFill>
                  <w14:solidFill>
                    <w14:srgbClr w14:val="000000">
                      <w14:alpha w14:val="100000"/>
                    </w14:srgbClr>
                  </w14:solidFill>
                </w14:textFill>
              </w:rPr>
              <w:t>|</w:t>
            </w:r>
            <w:r w:rsidRPr="00B36948">
              <w:t>% for LDL-C 2.6 mmol/L). Uptake in Years 1 and 2 assumed.</w:t>
            </w:r>
          </w:p>
        </w:tc>
        <w:tc>
          <w:tcPr>
            <w:tcW w:w="3058" w:type="dxa"/>
            <w:tcMar>
              <w:left w:w="28" w:type="dxa"/>
              <w:right w:w="28" w:type="dxa"/>
            </w:tcMar>
            <w:vAlign w:val="center"/>
          </w:tcPr>
          <w:p w14:paraId="7143681A" w14:textId="310A30A3" w:rsidR="000F4B43" w:rsidRPr="00B36948" w:rsidRDefault="000F4B43" w:rsidP="00B36948">
            <w:pPr>
              <w:pStyle w:val="Tabletext0"/>
              <w:keepNext/>
            </w:pPr>
            <w:r w:rsidRPr="00B36948">
              <w:t xml:space="preserve">Uptake assumptions were highly uncertain and maximum uptake was derived from the distribution of a very small number of patients. In the November 2019 submission, uptake for patients with LDL-C between 2.6 and 3.3 mmol/L ranged from </w:t>
            </w:r>
            <w:r w:rsidR="00650CB8" w:rsidRPr="00650CB8">
              <w:rPr>
                <w:color w:val="000000"/>
                <w:spacing w:val="48"/>
                <w:shd w:val="solid" w:color="000000" w:fill="000000"/>
                <w:fitText w:val="500" w:id="-1435748601"/>
                <w14:textFill>
                  <w14:solidFill>
                    <w14:srgbClr w14:val="000000">
                      <w14:alpha w14:val="100000"/>
                    </w14:srgbClr>
                  </w14:solidFill>
                </w14:textFill>
              </w:rPr>
              <w:t>|||||</w:t>
            </w:r>
            <w:r w:rsidR="00650CB8" w:rsidRPr="00650CB8">
              <w:rPr>
                <w:color w:val="000000"/>
                <w:spacing w:val="5"/>
                <w:shd w:val="solid" w:color="000000" w:fill="000000"/>
                <w:fitText w:val="500" w:id="-1435748601"/>
                <w14:textFill>
                  <w14:solidFill>
                    <w14:srgbClr w14:val="000000">
                      <w14:alpha w14:val="100000"/>
                    </w14:srgbClr>
                  </w14:solidFill>
                </w14:textFill>
              </w:rPr>
              <w:t>|</w:t>
            </w:r>
            <w:r w:rsidRPr="00B36948">
              <w:t xml:space="preserve">% to </w:t>
            </w:r>
            <w:r w:rsidR="00650CB8" w:rsidRPr="00650CB8">
              <w:rPr>
                <w:color w:val="000000"/>
                <w:spacing w:val="48"/>
                <w:shd w:val="solid" w:color="000000" w:fill="000000"/>
                <w:fitText w:val="500" w:id="-1435748600"/>
                <w14:textFill>
                  <w14:solidFill>
                    <w14:srgbClr w14:val="000000">
                      <w14:alpha w14:val="100000"/>
                    </w14:srgbClr>
                  </w14:solidFill>
                </w14:textFill>
              </w:rPr>
              <w:t>|||||</w:t>
            </w:r>
            <w:r w:rsidR="00650CB8" w:rsidRPr="00650CB8">
              <w:rPr>
                <w:color w:val="000000"/>
                <w:spacing w:val="5"/>
                <w:shd w:val="solid" w:color="000000" w:fill="000000"/>
                <w:fitText w:val="500" w:id="-1435748600"/>
                <w14:textFill>
                  <w14:solidFill>
                    <w14:srgbClr w14:val="000000">
                      <w14:alpha w14:val="100000"/>
                    </w14:srgbClr>
                  </w14:solidFill>
                </w14:textFill>
              </w:rPr>
              <w:t>|</w:t>
            </w:r>
            <w:r w:rsidRPr="00B36948">
              <w:t xml:space="preserve">% for non-FH patients, and from </w:t>
            </w:r>
            <w:r w:rsidR="00650CB8" w:rsidRPr="00650CB8">
              <w:rPr>
                <w:color w:val="000000"/>
                <w:spacing w:val="48"/>
                <w:shd w:val="solid" w:color="000000" w:fill="000000"/>
                <w:fitText w:val="500" w:id="-1435748599"/>
                <w14:textFill>
                  <w14:solidFill>
                    <w14:srgbClr w14:val="000000">
                      <w14:alpha w14:val="100000"/>
                    </w14:srgbClr>
                  </w14:solidFill>
                </w14:textFill>
              </w:rPr>
              <w:t>|||||</w:t>
            </w:r>
            <w:r w:rsidR="00650CB8" w:rsidRPr="00650CB8">
              <w:rPr>
                <w:color w:val="000000"/>
                <w:spacing w:val="5"/>
                <w:shd w:val="solid" w:color="000000" w:fill="000000"/>
                <w:fitText w:val="500" w:id="-1435748599"/>
                <w14:textFill>
                  <w14:solidFill>
                    <w14:srgbClr w14:val="000000">
                      <w14:alpha w14:val="100000"/>
                    </w14:srgbClr>
                  </w14:solidFill>
                </w14:textFill>
              </w:rPr>
              <w:t>|</w:t>
            </w:r>
            <w:r w:rsidRPr="00B36948">
              <w:t xml:space="preserve">% to </w:t>
            </w:r>
            <w:r w:rsidR="00650CB8" w:rsidRPr="00650CB8">
              <w:rPr>
                <w:color w:val="000000"/>
                <w:spacing w:val="48"/>
                <w:shd w:val="solid" w:color="000000" w:fill="000000"/>
                <w:fitText w:val="500" w:id="-1435748598"/>
                <w14:textFill>
                  <w14:solidFill>
                    <w14:srgbClr w14:val="000000">
                      <w14:alpha w14:val="100000"/>
                    </w14:srgbClr>
                  </w14:solidFill>
                </w14:textFill>
              </w:rPr>
              <w:t>|||||</w:t>
            </w:r>
            <w:r w:rsidR="00650CB8" w:rsidRPr="00650CB8">
              <w:rPr>
                <w:color w:val="000000"/>
                <w:spacing w:val="5"/>
                <w:shd w:val="solid" w:color="000000" w:fill="000000"/>
                <w:fitText w:val="500" w:id="-1435748598"/>
                <w14:textFill>
                  <w14:solidFill>
                    <w14:srgbClr w14:val="000000">
                      <w14:alpha w14:val="100000"/>
                    </w14:srgbClr>
                  </w14:solidFill>
                </w14:textFill>
              </w:rPr>
              <w:t>|</w:t>
            </w:r>
            <w:r w:rsidRPr="00B36948">
              <w:t>% for FH patients.</w:t>
            </w:r>
          </w:p>
        </w:tc>
      </w:tr>
      <w:tr w:rsidR="000F4B43" w:rsidRPr="00B36948" w14:paraId="0A6DD164" w14:textId="77777777" w:rsidTr="000F4B43">
        <w:tc>
          <w:tcPr>
            <w:tcW w:w="1276" w:type="dxa"/>
            <w:tcMar>
              <w:left w:w="28" w:type="dxa"/>
              <w:right w:w="28" w:type="dxa"/>
            </w:tcMar>
            <w:vAlign w:val="center"/>
          </w:tcPr>
          <w:p w14:paraId="3BBF2DD8" w14:textId="77777777" w:rsidR="000F4B43" w:rsidRPr="00B36948" w:rsidRDefault="000F4B43" w:rsidP="00B36948">
            <w:pPr>
              <w:pStyle w:val="Tabletext0"/>
              <w:keepNext/>
            </w:pPr>
            <w:r w:rsidRPr="00B36948">
              <w:rPr>
                <w:rFonts w:eastAsia="SimSun"/>
                <w:snapToGrid w:val="0"/>
                <w:lang w:eastAsia="zh-CN"/>
              </w:rPr>
              <w:t>Treatment compliance</w:t>
            </w:r>
          </w:p>
        </w:tc>
        <w:tc>
          <w:tcPr>
            <w:tcW w:w="1134" w:type="dxa"/>
            <w:tcMar>
              <w:left w:w="28" w:type="dxa"/>
              <w:right w:w="28" w:type="dxa"/>
            </w:tcMar>
            <w:vAlign w:val="center"/>
          </w:tcPr>
          <w:p w14:paraId="304E8240" w14:textId="77777777" w:rsidR="000F4B43" w:rsidRPr="00B36948" w:rsidRDefault="000F4B43" w:rsidP="00B36948">
            <w:pPr>
              <w:pStyle w:val="Tabletext0"/>
              <w:keepNext/>
              <w:jc w:val="center"/>
            </w:pPr>
            <w:r w:rsidRPr="00B36948">
              <w:t>85%</w:t>
            </w:r>
          </w:p>
        </w:tc>
        <w:tc>
          <w:tcPr>
            <w:tcW w:w="3549" w:type="dxa"/>
            <w:tcMar>
              <w:left w:w="28" w:type="dxa"/>
              <w:right w:w="28" w:type="dxa"/>
            </w:tcMar>
            <w:vAlign w:val="center"/>
          </w:tcPr>
          <w:p w14:paraId="4EE78F5D" w14:textId="77777777" w:rsidR="000F4B43" w:rsidRPr="00B36948" w:rsidRDefault="000F4B43" w:rsidP="00B36948">
            <w:pPr>
              <w:pStyle w:val="Tabletext0"/>
              <w:keepNext/>
            </w:pPr>
            <w:r w:rsidRPr="00B36948">
              <w:t>Based on rate reported in review of statin therapies, as recommended by PBAC in November 2019 (para 4.30, evolocumab PSD, November 2019 PBAC meeting).</w:t>
            </w:r>
          </w:p>
        </w:tc>
        <w:tc>
          <w:tcPr>
            <w:tcW w:w="3058" w:type="dxa"/>
            <w:tcMar>
              <w:left w:w="28" w:type="dxa"/>
              <w:right w:w="28" w:type="dxa"/>
            </w:tcMar>
            <w:vAlign w:val="center"/>
          </w:tcPr>
          <w:p w14:paraId="2473D2E1" w14:textId="77777777" w:rsidR="000F4B43" w:rsidRPr="00B36948" w:rsidRDefault="000F4B43" w:rsidP="00B36948">
            <w:pPr>
              <w:pStyle w:val="Tabletext0"/>
              <w:keepNext/>
            </w:pPr>
            <w:r w:rsidRPr="00B36948">
              <w:t>This estimate was changed from 88% in the November 2019 submission, as trial-based estimates of treatment compliance were considered unlikely to be generalisable to clinical practice.</w:t>
            </w:r>
          </w:p>
        </w:tc>
      </w:tr>
    </w:tbl>
    <w:p w14:paraId="3206A007" w14:textId="77777777" w:rsidR="000F4B43" w:rsidRPr="00B36948" w:rsidRDefault="000F4B43" w:rsidP="00B36948">
      <w:pPr>
        <w:pStyle w:val="TableFigureFooter"/>
      </w:pPr>
      <w:r w:rsidRPr="00B36948">
        <w:t>Source: Table 4.1-1, p35 of the submission; ‘Financial Analysis_Mar22’ Excel spreadsheet; Table 4.5, evolocumab commentary, July 2019 PBAC meeting.</w:t>
      </w:r>
    </w:p>
    <w:p w14:paraId="4335F6F2" w14:textId="3FCD3583" w:rsidR="000F4B43" w:rsidRDefault="000F4B43" w:rsidP="00B36948">
      <w:pPr>
        <w:pStyle w:val="TableFigureFooter"/>
      </w:pPr>
      <w:r w:rsidRPr="00B36948">
        <w:t>Abbreviations: ASCVD, atherosclerotic cardiovascular disease; CAD, coronary artery disease; DPMQ, dispensed price for maximum quantity; FH, familiar hypercholesterolaemia; MI, myocardial infarction; PAD, peripheral arterial disease; PSD, public summary document.</w:t>
      </w:r>
    </w:p>
    <w:p w14:paraId="3E8AA8A6" w14:textId="77777777" w:rsidR="00985590" w:rsidRPr="00B36948" w:rsidRDefault="00985590" w:rsidP="00B36948">
      <w:pPr>
        <w:pStyle w:val="TableFigureFooter"/>
      </w:pPr>
    </w:p>
    <w:p w14:paraId="084F89EB" w14:textId="6D14133D" w:rsidR="000F4B43" w:rsidRPr="00B36948" w:rsidRDefault="000F4B43" w:rsidP="00B36948">
      <w:pPr>
        <w:pStyle w:val="ExecSumBodyText"/>
        <w:numPr>
          <w:ilvl w:val="1"/>
          <w:numId w:val="1"/>
        </w:numPr>
      </w:pPr>
      <w:r w:rsidRPr="00B36948">
        <w:t xml:space="preserve">The estimated uptake from non-FH patients with LDL-C in the proposed range between 1.8 and 2.6 mmol/L is summarised in </w:t>
      </w:r>
      <w:r w:rsidRPr="00B36948">
        <w:fldChar w:fldCharType="begin"/>
      </w:r>
      <w:r w:rsidRPr="00B36948">
        <w:instrText xml:space="preserve"> REF _Ref102486235 \h  \* MERGEFORMAT </w:instrText>
      </w:r>
      <w:r w:rsidRPr="00B36948">
        <w:fldChar w:fldCharType="separate"/>
      </w:r>
      <w:r w:rsidR="00EB7F7C" w:rsidRPr="00B36948">
        <w:t xml:space="preserve">Table </w:t>
      </w:r>
      <w:r w:rsidR="00EB7F7C" w:rsidRPr="00B36948">
        <w:rPr>
          <w:noProof/>
        </w:rPr>
        <w:t>18</w:t>
      </w:r>
      <w:r w:rsidRPr="00B36948">
        <w:fldChar w:fldCharType="end"/>
      </w:r>
      <w:r w:rsidRPr="00B36948">
        <w:t xml:space="preserve"> below.</w:t>
      </w:r>
    </w:p>
    <w:p w14:paraId="6E6AB457" w14:textId="34FC1344" w:rsidR="000F4B43" w:rsidRPr="00B36948" w:rsidRDefault="000F4B43" w:rsidP="00B36948">
      <w:pPr>
        <w:pStyle w:val="TableHeading"/>
        <w:spacing w:after="0"/>
        <w:jc w:val="both"/>
      </w:pPr>
      <w:bookmarkStart w:id="56" w:name="_Ref102486235"/>
      <w:r w:rsidRPr="00B36948">
        <w:lastRenderedPageBreak/>
        <w:t xml:space="preserve">Table </w:t>
      </w:r>
      <w:fldSimple w:instr=" SEQ Table \* ARABIC ">
        <w:r w:rsidR="00EB7F7C" w:rsidRPr="00B36948">
          <w:rPr>
            <w:noProof/>
          </w:rPr>
          <w:t>18</w:t>
        </w:r>
      </w:fldSimple>
      <w:bookmarkEnd w:id="56"/>
      <w:r w:rsidRPr="00B36948">
        <w:t>: Estimated utilisation and cost of evolocumab to the PBS/RPBS for patients with non-FH and ASCVD and additional risk factors, with LDL-C between 1.8 and 2.6 mmol/L despite optimised treatment with statins and ezetimibe</w:t>
      </w:r>
    </w:p>
    <w:tbl>
      <w:tblPr>
        <w:tblW w:w="51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8: Estimated utilisation and cost of evolocumab to the PBS/RPBS for patients with non-FH and ASCVD and additional risk factors, with LDL-C between 1.8 and 2.6 mmol/L despite optimised treatment with statins and ezetimibe"/>
      </w:tblPr>
      <w:tblGrid>
        <w:gridCol w:w="2556"/>
        <w:gridCol w:w="1132"/>
        <w:gridCol w:w="1133"/>
        <w:gridCol w:w="1131"/>
        <w:gridCol w:w="1135"/>
        <w:gridCol w:w="1131"/>
        <w:gridCol w:w="1133"/>
      </w:tblGrid>
      <w:tr w:rsidR="009C0E0F" w:rsidRPr="00B36948" w14:paraId="78E2D013" w14:textId="77777777" w:rsidTr="009C0E0F">
        <w:trPr>
          <w:cantSplit/>
          <w:tblHeader/>
        </w:trPr>
        <w:tc>
          <w:tcPr>
            <w:tcW w:w="1366" w:type="pct"/>
            <w:tcBorders>
              <w:left w:val="single" w:sz="4" w:space="0" w:color="auto"/>
              <w:bottom w:val="single" w:sz="4" w:space="0" w:color="auto"/>
            </w:tcBorders>
            <w:shd w:val="clear" w:color="auto" w:fill="auto"/>
            <w:vAlign w:val="center"/>
          </w:tcPr>
          <w:p w14:paraId="0E9561BF" w14:textId="77777777" w:rsidR="000F4B43" w:rsidRPr="00B36948" w:rsidRDefault="000F4B43" w:rsidP="00B36948">
            <w:pPr>
              <w:keepNext/>
              <w:rPr>
                <w:rFonts w:ascii="Arial Narrow" w:eastAsia="Calibri" w:hAnsi="Arial Narrow" w:cs="Times New Roman"/>
                <w:sz w:val="20"/>
                <w:szCs w:val="20"/>
              </w:rPr>
            </w:pPr>
          </w:p>
        </w:tc>
        <w:tc>
          <w:tcPr>
            <w:tcW w:w="605" w:type="pct"/>
            <w:tcBorders>
              <w:bottom w:val="single" w:sz="4" w:space="0" w:color="auto"/>
            </w:tcBorders>
            <w:shd w:val="clear" w:color="auto" w:fill="auto"/>
            <w:vAlign w:val="center"/>
          </w:tcPr>
          <w:p w14:paraId="13D3A4D8" w14:textId="77777777" w:rsidR="000F4B43" w:rsidRPr="00B36948" w:rsidRDefault="000F4B43" w:rsidP="00B36948">
            <w:pPr>
              <w:keepNext/>
              <w:jc w:val="center"/>
              <w:rPr>
                <w:rFonts w:ascii="Arial Narrow" w:eastAsia="Calibri" w:hAnsi="Arial Narrow" w:cs="Times New Roman"/>
                <w:b/>
                <w:bCs/>
                <w:sz w:val="20"/>
                <w:szCs w:val="20"/>
              </w:rPr>
            </w:pPr>
            <w:r w:rsidRPr="00B36948">
              <w:rPr>
                <w:rFonts w:ascii="Arial Narrow" w:eastAsia="Calibri" w:hAnsi="Arial Narrow" w:cs="Times New Roman"/>
                <w:b/>
                <w:bCs/>
                <w:sz w:val="20"/>
                <w:szCs w:val="20"/>
              </w:rPr>
              <w:t>Year 1</w:t>
            </w:r>
          </w:p>
        </w:tc>
        <w:tc>
          <w:tcPr>
            <w:tcW w:w="606" w:type="pct"/>
            <w:tcBorders>
              <w:bottom w:val="single" w:sz="4" w:space="0" w:color="auto"/>
            </w:tcBorders>
            <w:shd w:val="clear" w:color="auto" w:fill="auto"/>
            <w:vAlign w:val="center"/>
          </w:tcPr>
          <w:p w14:paraId="3967BEBF" w14:textId="77777777" w:rsidR="000F4B43" w:rsidRPr="00B36948" w:rsidRDefault="000F4B43" w:rsidP="00B36948">
            <w:pPr>
              <w:keepNext/>
              <w:jc w:val="center"/>
              <w:rPr>
                <w:rFonts w:ascii="Arial Narrow" w:eastAsia="Calibri" w:hAnsi="Arial Narrow" w:cs="Times New Roman"/>
                <w:b/>
                <w:bCs/>
                <w:sz w:val="20"/>
                <w:szCs w:val="20"/>
              </w:rPr>
            </w:pPr>
            <w:r w:rsidRPr="00B36948">
              <w:rPr>
                <w:rFonts w:ascii="Arial Narrow" w:eastAsia="Calibri" w:hAnsi="Arial Narrow" w:cs="Times New Roman"/>
                <w:b/>
                <w:bCs/>
                <w:sz w:val="20"/>
                <w:szCs w:val="20"/>
              </w:rPr>
              <w:t>Year 2</w:t>
            </w:r>
          </w:p>
        </w:tc>
        <w:tc>
          <w:tcPr>
            <w:tcW w:w="605" w:type="pct"/>
            <w:tcBorders>
              <w:bottom w:val="single" w:sz="4" w:space="0" w:color="auto"/>
            </w:tcBorders>
            <w:shd w:val="clear" w:color="auto" w:fill="auto"/>
            <w:vAlign w:val="center"/>
          </w:tcPr>
          <w:p w14:paraId="5C0D7BC7" w14:textId="77777777" w:rsidR="000F4B43" w:rsidRPr="00B36948" w:rsidRDefault="000F4B43" w:rsidP="00B36948">
            <w:pPr>
              <w:keepNext/>
              <w:jc w:val="center"/>
              <w:rPr>
                <w:rFonts w:ascii="Arial Narrow" w:eastAsia="Calibri" w:hAnsi="Arial Narrow" w:cs="Times New Roman"/>
                <w:b/>
                <w:bCs/>
                <w:sz w:val="20"/>
                <w:szCs w:val="20"/>
              </w:rPr>
            </w:pPr>
            <w:r w:rsidRPr="00B36948">
              <w:rPr>
                <w:rFonts w:ascii="Arial Narrow" w:eastAsia="Calibri" w:hAnsi="Arial Narrow" w:cs="Times New Roman"/>
                <w:b/>
                <w:bCs/>
                <w:sz w:val="20"/>
                <w:szCs w:val="20"/>
              </w:rPr>
              <w:t>Year 3</w:t>
            </w:r>
          </w:p>
        </w:tc>
        <w:tc>
          <w:tcPr>
            <w:tcW w:w="607" w:type="pct"/>
            <w:tcBorders>
              <w:bottom w:val="single" w:sz="4" w:space="0" w:color="auto"/>
            </w:tcBorders>
            <w:shd w:val="clear" w:color="auto" w:fill="auto"/>
            <w:vAlign w:val="center"/>
          </w:tcPr>
          <w:p w14:paraId="0C526BB2" w14:textId="77777777" w:rsidR="000F4B43" w:rsidRPr="00B36948" w:rsidRDefault="000F4B43" w:rsidP="00B36948">
            <w:pPr>
              <w:keepNext/>
              <w:jc w:val="center"/>
              <w:rPr>
                <w:rFonts w:ascii="Arial Narrow" w:eastAsia="Calibri" w:hAnsi="Arial Narrow" w:cs="Times New Roman"/>
                <w:b/>
                <w:bCs/>
                <w:sz w:val="20"/>
                <w:szCs w:val="20"/>
              </w:rPr>
            </w:pPr>
            <w:r w:rsidRPr="00B36948">
              <w:rPr>
                <w:rFonts w:ascii="Arial Narrow" w:eastAsia="Calibri" w:hAnsi="Arial Narrow" w:cs="Times New Roman"/>
                <w:b/>
                <w:bCs/>
                <w:sz w:val="20"/>
                <w:szCs w:val="20"/>
              </w:rPr>
              <w:t>Year 4</w:t>
            </w:r>
          </w:p>
        </w:tc>
        <w:tc>
          <w:tcPr>
            <w:tcW w:w="605" w:type="pct"/>
            <w:tcBorders>
              <w:bottom w:val="single" w:sz="4" w:space="0" w:color="auto"/>
              <w:right w:val="single" w:sz="4" w:space="0" w:color="auto"/>
            </w:tcBorders>
            <w:shd w:val="clear" w:color="auto" w:fill="auto"/>
            <w:vAlign w:val="center"/>
          </w:tcPr>
          <w:p w14:paraId="50FA3C71" w14:textId="77777777" w:rsidR="000F4B43" w:rsidRPr="00B36948" w:rsidRDefault="000F4B43" w:rsidP="00B36948">
            <w:pPr>
              <w:keepNext/>
              <w:jc w:val="center"/>
              <w:rPr>
                <w:rFonts w:ascii="Arial Narrow" w:eastAsia="Calibri" w:hAnsi="Arial Narrow" w:cs="Times New Roman"/>
                <w:b/>
                <w:bCs/>
                <w:sz w:val="20"/>
                <w:szCs w:val="20"/>
              </w:rPr>
            </w:pPr>
            <w:r w:rsidRPr="00B36948">
              <w:rPr>
                <w:rFonts w:ascii="Arial Narrow" w:eastAsia="Calibri" w:hAnsi="Arial Narrow" w:cs="Times New Roman"/>
                <w:b/>
                <w:bCs/>
                <w:sz w:val="20"/>
                <w:szCs w:val="20"/>
              </w:rPr>
              <w:t xml:space="preserve">Year 5 </w:t>
            </w:r>
          </w:p>
        </w:tc>
        <w:tc>
          <w:tcPr>
            <w:tcW w:w="606" w:type="pct"/>
            <w:tcBorders>
              <w:bottom w:val="single" w:sz="4" w:space="0" w:color="auto"/>
              <w:right w:val="single" w:sz="4" w:space="0" w:color="auto"/>
            </w:tcBorders>
            <w:vAlign w:val="center"/>
          </w:tcPr>
          <w:p w14:paraId="2AED9E68" w14:textId="77777777" w:rsidR="000F4B43" w:rsidRPr="00B36948" w:rsidRDefault="000F4B43" w:rsidP="00B36948">
            <w:pPr>
              <w:keepNext/>
              <w:jc w:val="center"/>
              <w:rPr>
                <w:rFonts w:ascii="Arial Narrow" w:eastAsia="Calibri" w:hAnsi="Arial Narrow" w:cs="Times New Roman"/>
                <w:b/>
                <w:bCs/>
                <w:sz w:val="20"/>
                <w:szCs w:val="20"/>
              </w:rPr>
            </w:pPr>
            <w:r w:rsidRPr="00B36948">
              <w:rPr>
                <w:rFonts w:ascii="Arial Narrow" w:eastAsia="Calibri" w:hAnsi="Arial Narrow" w:cs="Times New Roman"/>
                <w:b/>
                <w:bCs/>
                <w:sz w:val="20"/>
                <w:szCs w:val="20"/>
              </w:rPr>
              <w:t xml:space="preserve">Year 6 </w:t>
            </w:r>
          </w:p>
        </w:tc>
      </w:tr>
      <w:tr w:rsidR="009C0E0F" w:rsidRPr="00B36948" w14:paraId="56AA2895" w14:textId="77777777" w:rsidTr="009C0E0F">
        <w:trPr>
          <w:cantSplit/>
        </w:trPr>
        <w:tc>
          <w:tcPr>
            <w:tcW w:w="1366" w:type="pct"/>
            <w:tcBorders>
              <w:left w:val="single" w:sz="4" w:space="0" w:color="auto"/>
              <w:bottom w:val="single" w:sz="4" w:space="0" w:color="auto"/>
            </w:tcBorders>
            <w:shd w:val="clear" w:color="auto" w:fill="auto"/>
            <w:vAlign w:val="center"/>
          </w:tcPr>
          <w:p w14:paraId="30555001" w14:textId="77777777" w:rsidR="000F4B43" w:rsidRPr="00B36948" w:rsidRDefault="000F4B43" w:rsidP="00B36948">
            <w:pPr>
              <w:keepNext/>
              <w:jc w:val="left"/>
              <w:rPr>
                <w:rFonts w:ascii="Arial Narrow" w:eastAsia="Calibri" w:hAnsi="Arial Narrow" w:cs="Times New Roman"/>
                <w:sz w:val="20"/>
                <w:szCs w:val="20"/>
              </w:rPr>
            </w:pPr>
            <w:r w:rsidRPr="00B36948">
              <w:rPr>
                <w:rFonts w:ascii="Arial Narrow" w:eastAsia="Calibri" w:hAnsi="Arial Narrow" w:cs="Times New Roman"/>
                <w:sz w:val="20"/>
                <w:szCs w:val="20"/>
              </w:rPr>
              <w:t>Patients using ezetimibe ± statins</w:t>
            </w:r>
          </w:p>
        </w:tc>
        <w:tc>
          <w:tcPr>
            <w:tcW w:w="605" w:type="pct"/>
            <w:shd w:val="clear" w:color="auto" w:fill="auto"/>
            <w:vAlign w:val="center"/>
          </w:tcPr>
          <w:p w14:paraId="53EB0DCE" w14:textId="02967627" w:rsidR="000F4B43" w:rsidRPr="009C0E0F" w:rsidRDefault="00650CB8" w:rsidP="00B36948">
            <w:pPr>
              <w:keepNext/>
              <w:jc w:val="center"/>
              <w:rPr>
                <w:rFonts w:ascii="Arial Narrow" w:hAnsi="Arial Narrow"/>
                <w:sz w:val="20"/>
                <w:szCs w:val="20"/>
                <w:highlight w:val="darkGray"/>
                <w:vertAlign w:val="superscript"/>
              </w:rPr>
            </w:pPr>
            <w:r w:rsidRPr="00650CB8">
              <w:rPr>
                <w:rFonts w:ascii="Arial Narrow" w:hAnsi="Arial Narrow"/>
                <w:color w:val="000000"/>
                <w:spacing w:val="49"/>
                <w:sz w:val="20"/>
                <w:szCs w:val="20"/>
                <w:shd w:val="solid" w:color="000000" w:fill="000000"/>
                <w:fitText w:val="320" w:id="-1435748597"/>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597"/>
                <w14:textFill>
                  <w14:solidFill>
                    <w14:srgbClr w14:val="000000">
                      <w14:alpha w14:val="100000"/>
                    </w14:srgbClr>
                  </w14:solidFill>
                </w14:textFill>
              </w:rPr>
              <w:t>|</w:t>
            </w:r>
            <w:r w:rsidR="009C0E0F" w:rsidRPr="009C0E0F">
              <w:rPr>
                <w:rFonts w:ascii="Arial Narrow" w:hAnsi="Arial Narrow"/>
                <w:sz w:val="20"/>
                <w:szCs w:val="20"/>
                <w:vertAlign w:val="superscript"/>
              </w:rPr>
              <w:t>1</w:t>
            </w:r>
          </w:p>
        </w:tc>
        <w:tc>
          <w:tcPr>
            <w:tcW w:w="606" w:type="pct"/>
            <w:shd w:val="clear" w:color="auto" w:fill="auto"/>
            <w:vAlign w:val="center"/>
          </w:tcPr>
          <w:p w14:paraId="7B7D70B3" w14:textId="1D201A2A"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596"/>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596"/>
                <w14:textFill>
                  <w14:solidFill>
                    <w14:srgbClr w14:val="000000">
                      <w14:alpha w14:val="100000"/>
                    </w14:srgbClr>
                  </w14:solidFill>
                </w14:textFill>
              </w:rPr>
              <w:t>|</w:t>
            </w:r>
            <w:r w:rsidR="009C0E0F" w:rsidRPr="009C0E0F">
              <w:rPr>
                <w:rFonts w:ascii="Arial Narrow" w:hAnsi="Arial Narrow"/>
                <w:sz w:val="20"/>
                <w:szCs w:val="20"/>
                <w:vertAlign w:val="superscript"/>
              </w:rPr>
              <w:t>1</w:t>
            </w:r>
          </w:p>
        </w:tc>
        <w:tc>
          <w:tcPr>
            <w:tcW w:w="605" w:type="pct"/>
            <w:shd w:val="clear" w:color="auto" w:fill="auto"/>
            <w:vAlign w:val="center"/>
          </w:tcPr>
          <w:p w14:paraId="16596D34" w14:textId="274A2EDB"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595"/>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595"/>
                <w14:textFill>
                  <w14:solidFill>
                    <w14:srgbClr w14:val="000000">
                      <w14:alpha w14:val="100000"/>
                    </w14:srgbClr>
                  </w14:solidFill>
                </w14:textFill>
              </w:rPr>
              <w:t>|</w:t>
            </w:r>
            <w:r w:rsidR="009C0E0F" w:rsidRPr="009C0E0F">
              <w:rPr>
                <w:rFonts w:ascii="Arial Narrow" w:hAnsi="Arial Narrow"/>
                <w:sz w:val="20"/>
                <w:szCs w:val="20"/>
                <w:vertAlign w:val="superscript"/>
              </w:rPr>
              <w:t>1</w:t>
            </w:r>
          </w:p>
        </w:tc>
        <w:tc>
          <w:tcPr>
            <w:tcW w:w="607" w:type="pct"/>
            <w:shd w:val="clear" w:color="auto" w:fill="auto"/>
            <w:vAlign w:val="center"/>
          </w:tcPr>
          <w:p w14:paraId="7FBF2633" w14:textId="4AE420DA"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594"/>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594"/>
                <w14:textFill>
                  <w14:solidFill>
                    <w14:srgbClr w14:val="000000">
                      <w14:alpha w14:val="100000"/>
                    </w14:srgbClr>
                  </w14:solidFill>
                </w14:textFill>
              </w:rPr>
              <w:t>|</w:t>
            </w:r>
            <w:r w:rsidR="009C0E0F">
              <w:rPr>
                <w:rFonts w:ascii="Arial Narrow" w:hAnsi="Arial Narrow"/>
                <w:sz w:val="20"/>
                <w:szCs w:val="20"/>
                <w:vertAlign w:val="superscript"/>
              </w:rPr>
              <w:t>2</w:t>
            </w:r>
          </w:p>
        </w:tc>
        <w:tc>
          <w:tcPr>
            <w:tcW w:w="605" w:type="pct"/>
            <w:tcBorders>
              <w:right w:val="single" w:sz="4" w:space="0" w:color="auto"/>
            </w:tcBorders>
            <w:shd w:val="clear" w:color="auto" w:fill="auto"/>
            <w:vAlign w:val="center"/>
          </w:tcPr>
          <w:p w14:paraId="63296936" w14:textId="75F7E008"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593"/>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593"/>
                <w14:textFill>
                  <w14:solidFill>
                    <w14:srgbClr w14:val="000000">
                      <w14:alpha w14:val="100000"/>
                    </w14:srgbClr>
                  </w14:solidFill>
                </w14:textFill>
              </w:rPr>
              <w:t>|</w:t>
            </w:r>
            <w:r w:rsidR="009C0E0F">
              <w:rPr>
                <w:rFonts w:ascii="Arial Narrow" w:hAnsi="Arial Narrow"/>
                <w:sz w:val="20"/>
                <w:szCs w:val="20"/>
                <w:vertAlign w:val="superscript"/>
              </w:rPr>
              <w:t>2</w:t>
            </w:r>
          </w:p>
        </w:tc>
        <w:tc>
          <w:tcPr>
            <w:tcW w:w="606" w:type="pct"/>
            <w:tcBorders>
              <w:right w:val="single" w:sz="4" w:space="0" w:color="auto"/>
            </w:tcBorders>
            <w:vAlign w:val="center"/>
          </w:tcPr>
          <w:p w14:paraId="46B63208" w14:textId="6D433C9D"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592"/>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592"/>
                <w14:textFill>
                  <w14:solidFill>
                    <w14:srgbClr w14:val="000000">
                      <w14:alpha w14:val="100000"/>
                    </w14:srgbClr>
                  </w14:solidFill>
                </w14:textFill>
              </w:rPr>
              <w:t>|</w:t>
            </w:r>
            <w:r w:rsidR="009C0E0F">
              <w:rPr>
                <w:rFonts w:ascii="Arial Narrow" w:hAnsi="Arial Narrow"/>
                <w:sz w:val="20"/>
                <w:szCs w:val="20"/>
                <w:vertAlign w:val="superscript"/>
              </w:rPr>
              <w:t>2</w:t>
            </w:r>
          </w:p>
        </w:tc>
      </w:tr>
      <w:tr w:rsidR="009C0E0F" w:rsidRPr="00B36948" w14:paraId="3A19B2C2" w14:textId="77777777" w:rsidTr="009C0E0F">
        <w:trPr>
          <w:cantSplit/>
        </w:trPr>
        <w:tc>
          <w:tcPr>
            <w:tcW w:w="1366" w:type="pct"/>
            <w:tcBorders>
              <w:left w:val="single" w:sz="4" w:space="0" w:color="auto"/>
              <w:bottom w:val="single" w:sz="4" w:space="0" w:color="auto"/>
            </w:tcBorders>
            <w:shd w:val="clear" w:color="auto" w:fill="auto"/>
            <w:vAlign w:val="center"/>
          </w:tcPr>
          <w:p w14:paraId="58E3C780" w14:textId="77777777" w:rsidR="000F4B43" w:rsidRPr="00B36948" w:rsidRDefault="000F4B43" w:rsidP="00B36948">
            <w:pPr>
              <w:keepNext/>
              <w:jc w:val="left"/>
              <w:rPr>
                <w:rFonts w:ascii="Arial Narrow" w:eastAsia="Calibri" w:hAnsi="Arial Narrow" w:cs="Times New Roman"/>
                <w:sz w:val="20"/>
                <w:szCs w:val="20"/>
              </w:rPr>
            </w:pPr>
            <w:r w:rsidRPr="00B36948">
              <w:rPr>
                <w:rFonts w:ascii="Arial Narrow" w:eastAsia="Calibri" w:hAnsi="Arial Narrow" w:cs="Times New Roman"/>
                <w:sz w:val="20"/>
                <w:szCs w:val="20"/>
              </w:rPr>
              <w:t>With symptomatic ASCVD (69%)</w:t>
            </w:r>
          </w:p>
        </w:tc>
        <w:tc>
          <w:tcPr>
            <w:tcW w:w="605" w:type="pct"/>
            <w:shd w:val="clear" w:color="auto" w:fill="auto"/>
            <w:vAlign w:val="center"/>
          </w:tcPr>
          <w:p w14:paraId="35695E81" w14:textId="7C46FCE7"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608"/>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608"/>
                <w14:textFill>
                  <w14:solidFill>
                    <w14:srgbClr w14:val="000000">
                      <w14:alpha w14:val="100000"/>
                    </w14:srgbClr>
                  </w14:solidFill>
                </w14:textFill>
              </w:rPr>
              <w:t>|</w:t>
            </w:r>
            <w:r w:rsidR="009C0E0F">
              <w:rPr>
                <w:rFonts w:ascii="Arial Narrow" w:hAnsi="Arial Narrow"/>
                <w:sz w:val="20"/>
                <w:szCs w:val="20"/>
                <w:vertAlign w:val="superscript"/>
              </w:rPr>
              <w:t>3</w:t>
            </w:r>
          </w:p>
        </w:tc>
        <w:tc>
          <w:tcPr>
            <w:tcW w:w="606" w:type="pct"/>
            <w:shd w:val="clear" w:color="auto" w:fill="auto"/>
            <w:vAlign w:val="center"/>
          </w:tcPr>
          <w:p w14:paraId="265B4F02" w14:textId="3942547A"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607"/>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607"/>
                <w14:textFill>
                  <w14:solidFill>
                    <w14:srgbClr w14:val="000000">
                      <w14:alpha w14:val="100000"/>
                    </w14:srgbClr>
                  </w14:solidFill>
                </w14:textFill>
              </w:rPr>
              <w:t>|</w:t>
            </w:r>
            <w:r w:rsidR="009C0E0F">
              <w:rPr>
                <w:rFonts w:ascii="Arial Narrow" w:hAnsi="Arial Narrow"/>
                <w:sz w:val="20"/>
                <w:szCs w:val="20"/>
                <w:vertAlign w:val="superscript"/>
              </w:rPr>
              <w:t>3</w:t>
            </w:r>
          </w:p>
        </w:tc>
        <w:tc>
          <w:tcPr>
            <w:tcW w:w="605" w:type="pct"/>
            <w:shd w:val="clear" w:color="auto" w:fill="auto"/>
            <w:vAlign w:val="center"/>
          </w:tcPr>
          <w:p w14:paraId="17F2D8E5" w14:textId="44CA2D7B"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606"/>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606"/>
                <w14:textFill>
                  <w14:solidFill>
                    <w14:srgbClr w14:val="000000">
                      <w14:alpha w14:val="100000"/>
                    </w14:srgbClr>
                  </w14:solidFill>
                </w14:textFill>
              </w:rPr>
              <w:t>|</w:t>
            </w:r>
            <w:r w:rsidR="009C0E0F">
              <w:rPr>
                <w:rFonts w:ascii="Arial Narrow" w:hAnsi="Arial Narrow"/>
                <w:sz w:val="20"/>
                <w:szCs w:val="20"/>
                <w:vertAlign w:val="superscript"/>
              </w:rPr>
              <w:t>3</w:t>
            </w:r>
          </w:p>
        </w:tc>
        <w:tc>
          <w:tcPr>
            <w:tcW w:w="607" w:type="pct"/>
            <w:shd w:val="clear" w:color="auto" w:fill="auto"/>
            <w:vAlign w:val="center"/>
          </w:tcPr>
          <w:p w14:paraId="5A778283" w14:textId="3556544A"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605"/>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605"/>
                <w14:textFill>
                  <w14:solidFill>
                    <w14:srgbClr w14:val="000000">
                      <w14:alpha w14:val="100000"/>
                    </w14:srgbClr>
                  </w14:solidFill>
                </w14:textFill>
              </w:rPr>
              <w:t>|</w:t>
            </w:r>
            <w:r w:rsidR="009C0E0F">
              <w:rPr>
                <w:rFonts w:ascii="Arial Narrow" w:hAnsi="Arial Narrow"/>
                <w:sz w:val="20"/>
                <w:szCs w:val="20"/>
                <w:vertAlign w:val="superscript"/>
              </w:rPr>
              <w:t>3</w:t>
            </w:r>
          </w:p>
        </w:tc>
        <w:tc>
          <w:tcPr>
            <w:tcW w:w="605" w:type="pct"/>
            <w:tcBorders>
              <w:right w:val="single" w:sz="4" w:space="0" w:color="auto"/>
            </w:tcBorders>
            <w:shd w:val="clear" w:color="auto" w:fill="auto"/>
            <w:vAlign w:val="center"/>
          </w:tcPr>
          <w:p w14:paraId="35D6B3B5" w14:textId="6E4677E8"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604"/>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604"/>
                <w14:textFill>
                  <w14:solidFill>
                    <w14:srgbClr w14:val="000000">
                      <w14:alpha w14:val="100000"/>
                    </w14:srgbClr>
                  </w14:solidFill>
                </w14:textFill>
              </w:rPr>
              <w:t>|</w:t>
            </w:r>
            <w:r w:rsidR="009C0E0F">
              <w:rPr>
                <w:rFonts w:ascii="Arial Narrow" w:hAnsi="Arial Narrow"/>
                <w:sz w:val="20"/>
                <w:szCs w:val="20"/>
                <w:vertAlign w:val="superscript"/>
              </w:rPr>
              <w:t>3</w:t>
            </w:r>
          </w:p>
        </w:tc>
        <w:tc>
          <w:tcPr>
            <w:tcW w:w="606" w:type="pct"/>
            <w:tcBorders>
              <w:right w:val="single" w:sz="4" w:space="0" w:color="auto"/>
            </w:tcBorders>
            <w:vAlign w:val="center"/>
          </w:tcPr>
          <w:p w14:paraId="08B8F19C" w14:textId="443A93A8"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603"/>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603"/>
                <w14:textFill>
                  <w14:solidFill>
                    <w14:srgbClr w14:val="000000">
                      <w14:alpha w14:val="100000"/>
                    </w14:srgbClr>
                  </w14:solidFill>
                </w14:textFill>
              </w:rPr>
              <w:t>|</w:t>
            </w:r>
            <w:r w:rsidR="009C0E0F">
              <w:rPr>
                <w:rFonts w:ascii="Arial Narrow" w:hAnsi="Arial Narrow"/>
                <w:sz w:val="20"/>
                <w:szCs w:val="20"/>
                <w:vertAlign w:val="superscript"/>
              </w:rPr>
              <w:t>3</w:t>
            </w:r>
          </w:p>
        </w:tc>
      </w:tr>
      <w:tr w:rsidR="009C0E0F" w:rsidRPr="00B36948" w14:paraId="159E1FD1" w14:textId="77777777" w:rsidTr="009C0E0F">
        <w:trPr>
          <w:cantSplit/>
        </w:trPr>
        <w:tc>
          <w:tcPr>
            <w:tcW w:w="1366" w:type="pct"/>
            <w:tcBorders>
              <w:left w:val="single" w:sz="4" w:space="0" w:color="auto"/>
              <w:bottom w:val="single" w:sz="4" w:space="0" w:color="auto"/>
            </w:tcBorders>
            <w:shd w:val="clear" w:color="auto" w:fill="auto"/>
            <w:vAlign w:val="center"/>
          </w:tcPr>
          <w:p w14:paraId="06EB8217" w14:textId="77777777" w:rsidR="000F4B43" w:rsidRPr="00B36948" w:rsidRDefault="000F4B43" w:rsidP="00B36948">
            <w:pPr>
              <w:keepNext/>
              <w:jc w:val="left"/>
              <w:rPr>
                <w:rFonts w:ascii="Arial Narrow" w:eastAsia="Calibri" w:hAnsi="Arial Narrow" w:cs="Times New Roman"/>
                <w:sz w:val="20"/>
                <w:szCs w:val="20"/>
              </w:rPr>
            </w:pPr>
            <w:r w:rsidRPr="00B36948">
              <w:rPr>
                <w:rFonts w:ascii="Arial Narrow" w:eastAsia="Calibri" w:hAnsi="Arial Narrow" w:cs="Times New Roman"/>
                <w:sz w:val="20"/>
                <w:szCs w:val="20"/>
              </w:rPr>
              <w:t>With non-FH (96%)</w:t>
            </w:r>
          </w:p>
        </w:tc>
        <w:tc>
          <w:tcPr>
            <w:tcW w:w="605" w:type="pct"/>
            <w:shd w:val="clear" w:color="auto" w:fill="auto"/>
            <w:vAlign w:val="center"/>
          </w:tcPr>
          <w:p w14:paraId="13EA5605" w14:textId="44748724" w:rsidR="000F4B43" w:rsidRPr="009C0E0F" w:rsidRDefault="00650CB8" w:rsidP="00B36948">
            <w:pPr>
              <w:keepNext/>
              <w:jc w:val="center"/>
              <w:rPr>
                <w:rFonts w:ascii="Arial Narrow" w:hAnsi="Arial Narrow"/>
                <w:sz w:val="20"/>
                <w:szCs w:val="20"/>
                <w:highlight w:val="darkGray"/>
                <w:vertAlign w:val="superscript"/>
              </w:rPr>
            </w:pPr>
            <w:r w:rsidRPr="00650CB8">
              <w:rPr>
                <w:rFonts w:ascii="Arial Narrow" w:hAnsi="Arial Narrow"/>
                <w:color w:val="000000"/>
                <w:spacing w:val="49"/>
                <w:sz w:val="20"/>
                <w:szCs w:val="20"/>
                <w:shd w:val="solid" w:color="000000" w:fill="000000"/>
                <w:fitText w:val="320" w:id="-1435748602"/>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602"/>
                <w14:textFill>
                  <w14:solidFill>
                    <w14:srgbClr w14:val="000000">
                      <w14:alpha w14:val="100000"/>
                    </w14:srgbClr>
                  </w14:solidFill>
                </w14:textFill>
              </w:rPr>
              <w:t>|</w:t>
            </w:r>
            <w:r w:rsidR="009C0E0F" w:rsidRPr="009C0E0F">
              <w:rPr>
                <w:rFonts w:ascii="Arial Narrow" w:hAnsi="Arial Narrow"/>
                <w:sz w:val="20"/>
                <w:szCs w:val="20"/>
                <w:vertAlign w:val="superscript"/>
              </w:rPr>
              <w:t>4</w:t>
            </w:r>
          </w:p>
        </w:tc>
        <w:tc>
          <w:tcPr>
            <w:tcW w:w="606" w:type="pct"/>
            <w:shd w:val="clear" w:color="auto" w:fill="auto"/>
            <w:vAlign w:val="center"/>
          </w:tcPr>
          <w:p w14:paraId="1FF2B0FF" w14:textId="40C83278"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601"/>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601"/>
                <w14:textFill>
                  <w14:solidFill>
                    <w14:srgbClr w14:val="000000">
                      <w14:alpha w14:val="100000"/>
                    </w14:srgbClr>
                  </w14:solidFill>
                </w14:textFill>
              </w:rPr>
              <w:t>|</w:t>
            </w:r>
            <w:r w:rsidR="009C0E0F">
              <w:rPr>
                <w:rFonts w:ascii="Arial Narrow" w:hAnsi="Arial Narrow"/>
                <w:sz w:val="20"/>
                <w:szCs w:val="20"/>
                <w:vertAlign w:val="superscript"/>
              </w:rPr>
              <w:t>3</w:t>
            </w:r>
          </w:p>
        </w:tc>
        <w:tc>
          <w:tcPr>
            <w:tcW w:w="605" w:type="pct"/>
            <w:shd w:val="clear" w:color="auto" w:fill="auto"/>
            <w:vAlign w:val="center"/>
          </w:tcPr>
          <w:p w14:paraId="3C7CDC70" w14:textId="5C04820E"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600"/>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600"/>
                <w14:textFill>
                  <w14:solidFill>
                    <w14:srgbClr w14:val="000000">
                      <w14:alpha w14:val="100000"/>
                    </w14:srgbClr>
                  </w14:solidFill>
                </w14:textFill>
              </w:rPr>
              <w:t>|</w:t>
            </w:r>
            <w:r w:rsidR="009C0E0F">
              <w:rPr>
                <w:rFonts w:ascii="Arial Narrow" w:hAnsi="Arial Narrow"/>
                <w:sz w:val="20"/>
                <w:szCs w:val="20"/>
                <w:vertAlign w:val="superscript"/>
              </w:rPr>
              <w:t>3</w:t>
            </w:r>
          </w:p>
        </w:tc>
        <w:tc>
          <w:tcPr>
            <w:tcW w:w="607" w:type="pct"/>
            <w:shd w:val="clear" w:color="auto" w:fill="auto"/>
            <w:vAlign w:val="center"/>
          </w:tcPr>
          <w:p w14:paraId="1D217833" w14:textId="656B893D"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599"/>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599"/>
                <w14:textFill>
                  <w14:solidFill>
                    <w14:srgbClr w14:val="000000">
                      <w14:alpha w14:val="100000"/>
                    </w14:srgbClr>
                  </w14:solidFill>
                </w14:textFill>
              </w:rPr>
              <w:t>|</w:t>
            </w:r>
            <w:r w:rsidR="009C0E0F">
              <w:rPr>
                <w:rFonts w:ascii="Arial Narrow" w:hAnsi="Arial Narrow"/>
                <w:sz w:val="20"/>
                <w:szCs w:val="20"/>
                <w:vertAlign w:val="superscript"/>
              </w:rPr>
              <w:t>3</w:t>
            </w:r>
          </w:p>
        </w:tc>
        <w:tc>
          <w:tcPr>
            <w:tcW w:w="605" w:type="pct"/>
            <w:tcBorders>
              <w:right w:val="single" w:sz="4" w:space="0" w:color="auto"/>
            </w:tcBorders>
            <w:shd w:val="clear" w:color="auto" w:fill="auto"/>
            <w:vAlign w:val="center"/>
          </w:tcPr>
          <w:p w14:paraId="280D0941" w14:textId="21AA80AC"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598"/>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598"/>
                <w14:textFill>
                  <w14:solidFill>
                    <w14:srgbClr w14:val="000000">
                      <w14:alpha w14:val="100000"/>
                    </w14:srgbClr>
                  </w14:solidFill>
                </w14:textFill>
              </w:rPr>
              <w:t>|</w:t>
            </w:r>
            <w:r w:rsidR="009C0E0F">
              <w:rPr>
                <w:rFonts w:ascii="Arial Narrow" w:hAnsi="Arial Narrow"/>
                <w:sz w:val="20"/>
                <w:szCs w:val="20"/>
                <w:vertAlign w:val="superscript"/>
              </w:rPr>
              <w:t>3</w:t>
            </w:r>
          </w:p>
        </w:tc>
        <w:tc>
          <w:tcPr>
            <w:tcW w:w="606" w:type="pct"/>
            <w:tcBorders>
              <w:right w:val="single" w:sz="4" w:space="0" w:color="auto"/>
            </w:tcBorders>
            <w:vAlign w:val="center"/>
          </w:tcPr>
          <w:p w14:paraId="1728DC75" w14:textId="6714C6F2"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597"/>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597"/>
                <w14:textFill>
                  <w14:solidFill>
                    <w14:srgbClr w14:val="000000">
                      <w14:alpha w14:val="100000"/>
                    </w14:srgbClr>
                  </w14:solidFill>
                </w14:textFill>
              </w:rPr>
              <w:t>|</w:t>
            </w:r>
            <w:r w:rsidR="009C0E0F">
              <w:rPr>
                <w:rFonts w:ascii="Arial Narrow" w:hAnsi="Arial Narrow"/>
                <w:sz w:val="20"/>
                <w:szCs w:val="20"/>
                <w:vertAlign w:val="superscript"/>
              </w:rPr>
              <w:t>3</w:t>
            </w:r>
          </w:p>
        </w:tc>
      </w:tr>
      <w:tr w:rsidR="009C0E0F" w:rsidRPr="00B36948" w14:paraId="63F2D951" w14:textId="77777777" w:rsidTr="009C0E0F">
        <w:trPr>
          <w:cantSplit/>
        </w:trPr>
        <w:tc>
          <w:tcPr>
            <w:tcW w:w="1366" w:type="pct"/>
            <w:tcBorders>
              <w:left w:val="single" w:sz="4" w:space="0" w:color="auto"/>
            </w:tcBorders>
            <w:shd w:val="clear" w:color="auto" w:fill="auto"/>
            <w:vAlign w:val="bottom"/>
          </w:tcPr>
          <w:p w14:paraId="6E3747F3" w14:textId="77777777" w:rsidR="000F4B43" w:rsidRPr="00B36948" w:rsidRDefault="000F4B43" w:rsidP="00B36948">
            <w:pPr>
              <w:keepNext/>
              <w:jc w:val="left"/>
              <w:rPr>
                <w:rFonts w:ascii="Arial Narrow" w:hAnsi="Arial Narrow"/>
                <w:sz w:val="20"/>
                <w:szCs w:val="20"/>
                <w:vertAlign w:val="superscript"/>
              </w:rPr>
            </w:pPr>
            <w:r w:rsidRPr="00B36948">
              <w:rPr>
                <w:rFonts w:ascii="Arial Narrow" w:hAnsi="Arial Narrow"/>
                <w:sz w:val="20"/>
                <w:szCs w:val="20"/>
              </w:rPr>
              <w:t>With ≥ 1 risk factor (53.0%)</w:t>
            </w:r>
          </w:p>
        </w:tc>
        <w:tc>
          <w:tcPr>
            <w:tcW w:w="605" w:type="pct"/>
            <w:shd w:val="clear" w:color="auto" w:fill="auto"/>
            <w:vAlign w:val="center"/>
          </w:tcPr>
          <w:p w14:paraId="59D029DD" w14:textId="7605C942" w:rsidR="000F4B43" w:rsidRPr="009C0E0F" w:rsidRDefault="00650CB8" w:rsidP="00B36948">
            <w:pPr>
              <w:keepNext/>
              <w:jc w:val="center"/>
              <w:rPr>
                <w:rFonts w:ascii="Arial Narrow" w:hAnsi="Arial Narrow"/>
                <w:sz w:val="20"/>
                <w:szCs w:val="20"/>
                <w:highlight w:val="darkGray"/>
                <w:vertAlign w:val="superscript"/>
              </w:rPr>
            </w:pPr>
            <w:r w:rsidRPr="00650CB8">
              <w:rPr>
                <w:rFonts w:ascii="Arial Narrow" w:hAnsi="Arial Narrow"/>
                <w:color w:val="000000"/>
                <w:spacing w:val="49"/>
                <w:sz w:val="20"/>
                <w:szCs w:val="20"/>
                <w:shd w:val="solid" w:color="000000" w:fill="000000"/>
                <w:fitText w:val="320" w:id="-1435748596"/>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596"/>
                <w14:textFill>
                  <w14:solidFill>
                    <w14:srgbClr w14:val="000000">
                      <w14:alpha w14:val="100000"/>
                    </w14:srgbClr>
                  </w14:solidFill>
                </w14:textFill>
              </w:rPr>
              <w:t>|</w:t>
            </w:r>
            <w:r w:rsidR="00C655B2">
              <w:rPr>
                <w:rFonts w:ascii="Arial Narrow" w:hAnsi="Arial Narrow"/>
                <w:sz w:val="20"/>
                <w:szCs w:val="20"/>
                <w:vertAlign w:val="superscript"/>
              </w:rPr>
              <w:t>5</w:t>
            </w:r>
          </w:p>
        </w:tc>
        <w:tc>
          <w:tcPr>
            <w:tcW w:w="606" w:type="pct"/>
            <w:shd w:val="clear" w:color="auto" w:fill="auto"/>
            <w:vAlign w:val="center"/>
          </w:tcPr>
          <w:p w14:paraId="21E2F567" w14:textId="43BD9FCA"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595"/>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595"/>
                <w14:textFill>
                  <w14:solidFill>
                    <w14:srgbClr w14:val="000000">
                      <w14:alpha w14:val="100000"/>
                    </w14:srgbClr>
                  </w14:solidFill>
                </w14:textFill>
              </w:rPr>
              <w:t>|</w:t>
            </w:r>
            <w:r w:rsidR="00C655B2">
              <w:rPr>
                <w:rFonts w:ascii="Arial Narrow" w:hAnsi="Arial Narrow"/>
                <w:sz w:val="20"/>
                <w:szCs w:val="20"/>
                <w:vertAlign w:val="superscript"/>
              </w:rPr>
              <w:t>5</w:t>
            </w:r>
          </w:p>
        </w:tc>
        <w:tc>
          <w:tcPr>
            <w:tcW w:w="605" w:type="pct"/>
            <w:shd w:val="clear" w:color="auto" w:fill="auto"/>
            <w:vAlign w:val="center"/>
          </w:tcPr>
          <w:p w14:paraId="1AED3C66" w14:textId="0092C26D"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594"/>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594"/>
                <w14:textFill>
                  <w14:solidFill>
                    <w14:srgbClr w14:val="000000">
                      <w14:alpha w14:val="100000"/>
                    </w14:srgbClr>
                  </w14:solidFill>
                </w14:textFill>
              </w:rPr>
              <w:t>|</w:t>
            </w:r>
            <w:r w:rsidR="00C655B2">
              <w:rPr>
                <w:rFonts w:ascii="Arial Narrow" w:hAnsi="Arial Narrow"/>
                <w:sz w:val="20"/>
                <w:szCs w:val="20"/>
                <w:vertAlign w:val="superscript"/>
              </w:rPr>
              <w:t>5</w:t>
            </w:r>
          </w:p>
        </w:tc>
        <w:tc>
          <w:tcPr>
            <w:tcW w:w="607" w:type="pct"/>
            <w:shd w:val="clear" w:color="auto" w:fill="auto"/>
            <w:vAlign w:val="center"/>
          </w:tcPr>
          <w:p w14:paraId="1A32CF94" w14:textId="10768F55"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593"/>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593"/>
                <w14:textFill>
                  <w14:solidFill>
                    <w14:srgbClr w14:val="000000">
                      <w14:alpha w14:val="100000"/>
                    </w14:srgbClr>
                  </w14:solidFill>
                </w14:textFill>
              </w:rPr>
              <w:t>|</w:t>
            </w:r>
            <w:r w:rsidR="00C655B2">
              <w:rPr>
                <w:rFonts w:ascii="Arial Narrow" w:hAnsi="Arial Narrow"/>
                <w:sz w:val="20"/>
                <w:szCs w:val="20"/>
                <w:vertAlign w:val="superscript"/>
              </w:rPr>
              <w:t>5</w:t>
            </w:r>
          </w:p>
        </w:tc>
        <w:tc>
          <w:tcPr>
            <w:tcW w:w="605" w:type="pct"/>
            <w:tcBorders>
              <w:right w:val="single" w:sz="4" w:space="0" w:color="auto"/>
            </w:tcBorders>
            <w:shd w:val="clear" w:color="auto" w:fill="auto"/>
            <w:vAlign w:val="center"/>
          </w:tcPr>
          <w:p w14:paraId="2A520EEC" w14:textId="1CCEC3EB"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592"/>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592"/>
                <w14:textFill>
                  <w14:solidFill>
                    <w14:srgbClr w14:val="000000">
                      <w14:alpha w14:val="100000"/>
                    </w14:srgbClr>
                  </w14:solidFill>
                </w14:textFill>
              </w:rPr>
              <w:t>|</w:t>
            </w:r>
            <w:r w:rsidR="00C655B2">
              <w:rPr>
                <w:rFonts w:ascii="Arial Narrow" w:hAnsi="Arial Narrow"/>
                <w:sz w:val="20"/>
                <w:szCs w:val="20"/>
                <w:vertAlign w:val="superscript"/>
              </w:rPr>
              <w:t>5</w:t>
            </w:r>
          </w:p>
        </w:tc>
        <w:tc>
          <w:tcPr>
            <w:tcW w:w="606" w:type="pct"/>
            <w:tcBorders>
              <w:right w:val="single" w:sz="4" w:space="0" w:color="auto"/>
            </w:tcBorders>
            <w:vAlign w:val="center"/>
          </w:tcPr>
          <w:p w14:paraId="29134961" w14:textId="1A46A2DC"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608"/>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608"/>
                <w14:textFill>
                  <w14:solidFill>
                    <w14:srgbClr w14:val="000000">
                      <w14:alpha w14:val="100000"/>
                    </w14:srgbClr>
                  </w14:solidFill>
                </w14:textFill>
              </w:rPr>
              <w:t>|</w:t>
            </w:r>
            <w:r w:rsidR="00C655B2">
              <w:rPr>
                <w:rFonts w:ascii="Arial Narrow" w:hAnsi="Arial Narrow"/>
                <w:sz w:val="20"/>
                <w:szCs w:val="20"/>
                <w:vertAlign w:val="superscript"/>
              </w:rPr>
              <w:t>5</w:t>
            </w:r>
          </w:p>
        </w:tc>
      </w:tr>
      <w:tr w:rsidR="009C0E0F" w:rsidRPr="00B36948" w14:paraId="1916C2D5" w14:textId="77777777" w:rsidTr="009C0E0F">
        <w:trPr>
          <w:cantSplit/>
        </w:trPr>
        <w:tc>
          <w:tcPr>
            <w:tcW w:w="1366" w:type="pct"/>
            <w:tcBorders>
              <w:left w:val="single" w:sz="4" w:space="0" w:color="auto"/>
            </w:tcBorders>
            <w:shd w:val="clear" w:color="auto" w:fill="auto"/>
            <w:vAlign w:val="bottom"/>
          </w:tcPr>
          <w:p w14:paraId="7687D269" w14:textId="77777777" w:rsidR="000F4B43" w:rsidRPr="00B36948" w:rsidRDefault="000F4B43" w:rsidP="00B36948">
            <w:pPr>
              <w:keepNext/>
              <w:jc w:val="left"/>
              <w:rPr>
                <w:rFonts w:ascii="Arial Narrow" w:eastAsia="Calibri" w:hAnsi="Arial Narrow" w:cs="Times New Roman"/>
                <w:sz w:val="20"/>
                <w:szCs w:val="20"/>
              </w:rPr>
            </w:pPr>
            <w:r w:rsidRPr="00B36948">
              <w:rPr>
                <w:rFonts w:ascii="Arial Narrow" w:eastAsia="Calibri" w:hAnsi="Arial Narrow" w:cs="Times New Roman"/>
                <w:sz w:val="20"/>
                <w:szCs w:val="20"/>
              </w:rPr>
              <w:t xml:space="preserve">On ezetimibe </w:t>
            </w:r>
            <w:r w:rsidRPr="00B36948">
              <w:rPr>
                <w:rFonts w:ascii="Arial Narrow" w:hAnsi="Arial Narrow"/>
                <w:sz w:val="20"/>
                <w:szCs w:val="20"/>
              </w:rPr>
              <w:t>≥ 3mths</w:t>
            </w:r>
            <w:r w:rsidRPr="00B36948">
              <w:rPr>
                <w:rFonts w:ascii="Arial Narrow" w:eastAsia="Calibri" w:hAnsi="Arial Narrow" w:cs="Times New Roman"/>
                <w:sz w:val="20"/>
                <w:szCs w:val="20"/>
              </w:rPr>
              <w:t xml:space="preserve"> (80.1%)</w:t>
            </w:r>
          </w:p>
        </w:tc>
        <w:tc>
          <w:tcPr>
            <w:tcW w:w="605" w:type="pct"/>
            <w:shd w:val="clear" w:color="auto" w:fill="auto"/>
            <w:vAlign w:val="center"/>
          </w:tcPr>
          <w:p w14:paraId="53A00C1E" w14:textId="75235680"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607"/>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607"/>
                <w14:textFill>
                  <w14:solidFill>
                    <w14:srgbClr w14:val="000000">
                      <w14:alpha w14:val="100000"/>
                    </w14:srgbClr>
                  </w14:solidFill>
                </w14:textFill>
              </w:rPr>
              <w:t>|</w:t>
            </w:r>
            <w:r w:rsidR="00C655B2">
              <w:rPr>
                <w:rFonts w:ascii="Arial Narrow" w:hAnsi="Arial Narrow"/>
                <w:sz w:val="20"/>
                <w:szCs w:val="20"/>
                <w:vertAlign w:val="superscript"/>
              </w:rPr>
              <w:t>5</w:t>
            </w:r>
          </w:p>
        </w:tc>
        <w:tc>
          <w:tcPr>
            <w:tcW w:w="606" w:type="pct"/>
            <w:shd w:val="clear" w:color="auto" w:fill="auto"/>
            <w:vAlign w:val="center"/>
          </w:tcPr>
          <w:p w14:paraId="3DFDAC0C" w14:textId="363BCF92"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606"/>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606"/>
                <w14:textFill>
                  <w14:solidFill>
                    <w14:srgbClr w14:val="000000">
                      <w14:alpha w14:val="100000"/>
                    </w14:srgbClr>
                  </w14:solidFill>
                </w14:textFill>
              </w:rPr>
              <w:t>|</w:t>
            </w:r>
            <w:r w:rsidR="00C655B2">
              <w:rPr>
                <w:rFonts w:ascii="Arial Narrow" w:hAnsi="Arial Narrow"/>
                <w:sz w:val="20"/>
                <w:szCs w:val="20"/>
                <w:vertAlign w:val="superscript"/>
              </w:rPr>
              <w:t>5</w:t>
            </w:r>
          </w:p>
        </w:tc>
        <w:tc>
          <w:tcPr>
            <w:tcW w:w="605" w:type="pct"/>
            <w:shd w:val="clear" w:color="auto" w:fill="auto"/>
            <w:vAlign w:val="center"/>
          </w:tcPr>
          <w:p w14:paraId="47BE1755" w14:textId="59A3E80A"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605"/>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605"/>
                <w14:textFill>
                  <w14:solidFill>
                    <w14:srgbClr w14:val="000000">
                      <w14:alpha w14:val="100000"/>
                    </w14:srgbClr>
                  </w14:solidFill>
                </w14:textFill>
              </w:rPr>
              <w:t>|</w:t>
            </w:r>
            <w:r w:rsidR="00C655B2">
              <w:rPr>
                <w:rFonts w:ascii="Arial Narrow" w:hAnsi="Arial Narrow"/>
                <w:sz w:val="20"/>
                <w:szCs w:val="20"/>
                <w:vertAlign w:val="superscript"/>
              </w:rPr>
              <w:t>5</w:t>
            </w:r>
          </w:p>
        </w:tc>
        <w:tc>
          <w:tcPr>
            <w:tcW w:w="607" w:type="pct"/>
            <w:shd w:val="clear" w:color="auto" w:fill="auto"/>
            <w:vAlign w:val="center"/>
          </w:tcPr>
          <w:p w14:paraId="629202F3" w14:textId="0CD6CA55"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604"/>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604"/>
                <w14:textFill>
                  <w14:solidFill>
                    <w14:srgbClr w14:val="000000">
                      <w14:alpha w14:val="100000"/>
                    </w14:srgbClr>
                  </w14:solidFill>
                </w14:textFill>
              </w:rPr>
              <w:t>|</w:t>
            </w:r>
            <w:r w:rsidR="00C655B2">
              <w:rPr>
                <w:rFonts w:ascii="Arial Narrow" w:hAnsi="Arial Narrow"/>
                <w:sz w:val="20"/>
                <w:szCs w:val="20"/>
                <w:vertAlign w:val="superscript"/>
              </w:rPr>
              <w:t>5</w:t>
            </w:r>
          </w:p>
        </w:tc>
        <w:tc>
          <w:tcPr>
            <w:tcW w:w="605" w:type="pct"/>
            <w:tcBorders>
              <w:right w:val="single" w:sz="4" w:space="0" w:color="auto"/>
            </w:tcBorders>
            <w:shd w:val="clear" w:color="auto" w:fill="auto"/>
            <w:vAlign w:val="center"/>
          </w:tcPr>
          <w:p w14:paraId="168813C6" w14:textId="3456842C"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603"/>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603"/>
                <w14:textFill>
                  <w14:solidFill>
                    <w14:srgbClr w14:val="000000">
                      <w14:alpha w14:val="100000"/>
                    </w14:srgbClr>
                  </w14:solidFill>
                </w14:textFill>
              </w:rPr>
              <w:t>|</w:t>
            </w:r>
            <w:r w:rsidR="00C655B2">
              <w:rPr>
                <w:rFonts w:ascii="Arial Narrow" w:hAnsi="Arial Narrow"/>
                <w:sz w:val="20"/>
                <w:szCs w:val="20"/>
                <w:vertAlign w:val="superscript"/>
              </w:rPr>
              <w:t>5</w:t>
            </w:r>
          </w:p>
        </w:tc>
        <w:tc>
          <w:tcPr>
            <w:tcW w:w="606" w:type="pct"/>
            <w:tcBorders>
              <w:right w:val="single" w:sz="4" w:space="0" w:color="auto"/>
            </w:tcBorders>
            <w:vAlign w:val="center"/>
          </w:tcPr>
          <w:p w14:paraId="7D6B5131" w14:textId="19F08155"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602"/>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602"/>
                <w14:textFill>
                  <w14:solidFill>
                    <w14:srgbClr w14:val="000000">
                      <w14:alpha w14:val="100000"/>
                    </w14:srgbClr>
                  </w14:solidFill>
                </w14:textFill>
              </w:rPr>
              <w:t>|</w:t>
            </w:r>
            <w:r w:rsidR="00C655B2">
              <w:rPr>
                <w:rFonts w:ascii="Arial Narrow" w:hAnsi="Arial Narrow"/>
                <w:sz w:val="20"/>
                <w:szCs w:val="20"/>
                <w:vertAlign w:val="superscript"/>
              </w:rPr>
              <w:t>5</w:t>
            </w:r>
          </w:p>
        </w:tc>
      </w:tr>
      <w:tr w:rsidR="009C0E0F" w:rsidRPr="00B36948" w14:paraId="5B87D3C3" w14:textId="77777777" w:rsidTr="009C0E0F">
        <w:trPr>
          <w:cantSplit/>
        </w:trPr>
        <w:tc>
          <w:tcPr>
            <w:tcW w:w="1366" w:type="pct"/>
            <w:tcBorders>
              <w:left w:val="single" w:sz="4" w:space="0" w:color="auto"/>
            </w:tcBorders>
            <w:shd w:val="clear" w:color="auto" w:fill="auto"/>
            <w:vAlign w:val="center"/>
          </w:tcPr>
          <w:p w14:paraId="193D2CF0" w14:textId="77777777" w:rsidR="000F4B43" w:rsidRPr="00B36948" w:rsidRDefault="000F4B43" w:rsidP="00B36948">
            <w:pPr>
              <w:keepNext/>
              <w:jc w:val="left"/>
              <w:rPr>
                <w:rFonts w:ascii="Arial Narrow" w:hAnsi="Arial Narrow"/>
                <w:b/>
                <w:bCs/>
                <w:sz w:val="20"/>
                <w:szCs w:val="20"/>
              </w:rPr>
            </w:pPr>
            <w:r w:rsidRPr="00B36948">
              <w:rPr>
                <w:rFonts w:ascii="Arial Narrow" w:hAnsi="Arial Narrow"/>
                <w:b/>
                <w:bCs/>
                <w:sz w:val="20"/>
                <w:szCs w:val="20"/>
              </w:rPr>
              <w:t>Eligible patients (with LDL-C &gt; 1.8 ≤ 2.6 mmol/L) (30%)</w:t>
            </w:r>
          </w:p>
        </w:tc>
        <w:tc>
          <w:tcPr>
            <w:tcW w:w="605" w:type="pct"/>
            <w:shd w:val="clear" w:color="auto" w:fill="auto"/>
            <w:vAlign w:val="center"/>
          </w:tcPr>
          <w:p w14:paraId="5AF1B892" w14:textId="072A0EF2" w:rsidR="000F4B43" w:rsidRPr="000B568A" w:rsidRDefault="00650CB8" w:rsidP="00B36948">
            <w:pPr>
              <w:keepNext/>
              <w:jc w:val="center"/>
              <w:rPr>
                <w:rFonts w:ascii="Arial Narrow" w:hAnsi="Arial Narrow"/>
                <w:b/>
                <w:bCs/>
                <w:sz w:val="20"/>
                <w:szCs w:val="20"/>
                <w:highlight w:val="darkGray"/>
              </w:rPr>
            </w:pPr>
            <w:r w:rsidRPr="00650CB8">
              <w:rPr>
                <w:rFonts w:ascii="Arial Narrow" w:hAnsi="Arial Narrow"/>
                <w:b/>
                <w:bCs/>
                <w:color w:val="000000"/>
                <w:spacing w:val="198"/>
                <w:sz w:val="20"/>
                <w:szCs w:val="20"/>
                <w:shd w:val="solid" w:color="000000" w:fill="000000"/>
                <w:fitText w:val="290" w:id="-1435748601"/>
                <w14:textFill>
                  <w14:solidFill>
                    <w14:srgbClr w14:val="000000">
                      <w14:alpha w14:val="100000"/>
                    </w14:srgbClr>
                  </w14:solidFill>
                </w14:textFill>
              </w:rPr>
              <w:t>|</w:t>
            </w:r>
            <w:r w:rsidRPr="00650CB8">
              <w:rPr>
                <w:rFonts w:ascii="Arial Narrow" w:hAnsi="Arial Narrow"/>
                <w:b/>
                <w:bCs/>
                <w:color w:val="000000"/>
                <w:spacing w:val="1"/>
                <w:sz w:val="20"/>
                <w:szCs w:val="20"/>
                <w:shd w:val="solid" w:color="000000" w:fill="000000"/>
                <w:fitText w:val="290" w:id="-1435748601"/>
                <w14:textFill>
                  <w14:solidFill>
                    <w14:srgbClr w14:val="000000">
                      <w14:alpha w14:val="100000"/>
                    </w14:srgbClr>
                  </w14:solidFill>
                </w14:textFill>
              </w:rPr>
              <w:t>|</w:t>
            </w:r>
            <w:r w:rsidR="00C655B2">
              <w:rPr>
                <w:rFonts w:ascii="Arial Narrow" w:hAnsi="Arial Narrow"/>
                <w:sz w:val="20"/>
                <w:szCs w:val="20"/>
                <w:vertAlign w:val="superscript"/>
              </w:rPr>
              <w:t>6</w:t>
            </w:r>
          </w:p>
        </w:tc>
        <w:tc>
          <w:tcPr>
            <w:tcW w:w="606" w:type="pct"/>
            <w:shd w:val="clear" w:color="auto" w:fill="auto"/>
            <w:vAlign w:val="center"/>
          </w:tcPr>
          <w:p w14:paraId="06429A86" w14:textId="7940A559" w:rsidR="000F4B43" w:rsidRPr="000B568A" w:rsidRDefault="00650CB8" w:rsidP="00B36948">
            <w:pPr>
              <w:keepNext/>
              <w:jc w:val="center"/>
              <w:rPr>
                <w:rFonts w:ascii="Arial Narrow" w:hAnsi="Arial Narrow"/>
                <w:b/>
                <w:bCs/>
                <w:sz w:val="20"/>
                <w:szCs w:val="20"/>
                <w:highlight w:val="darkGray"/>
              </w:rPr>
            </w:pPr>
            <w:r w:rsidRPr="00650CB8">
              <w:rPr>
                <w:rFonts w:ascii="Arial Narrow" w:hAnsi="Arial Narrow"/>
                <w:b/>
                <w:bCs/>
                <w:color w:val="000000"/>
                <w:spacing w:val="198"/>
                <w:sz w:val="20"/>
                <w:szCs w:val="20"/>
                <w:shd w:val="solid" w:color="000000" w:fill="000000"/>
                <w:fitText w:val="290" w:id="-1435748600"/>
                <w14:textFill>
                  <w14:solidFill>
                    <w14:srgbClr w14:val="000000">
                      <w14:alpha w14:val="100000"/>
                    </w14:srgbClr>
                  </w14:solidFill>
                </w14:textFill>
              </w:rPr>
              <w:t>|</w:t>
            </w:r>
            <w:r w:rsidRPr="00650CB8">
              <w:rPr>
                <w:rFonts w:ascii="Arial Narrow" w:hAnsi="Arial Narrow"/>
                <w:b/>
                <w:bCs/>
                <w:color w:val="000000"/>
                <w:spacing w:val="1"/>
                <w:sz w:val="20"/>
                <w:szCs w:val="20"/>
                <w:shd w:val="solid" w:color="000000" w:fill="000000"/>
                <w:fitText w:val="290" w:id="-1435748600"/>
                <w14:textFill>
                  <w14:solidFill>
                    <w14:srgbClr w14:val="000000">
                      <w14:alpha w14:val="100000"/>
                    </w14:srgbClr>
                  </w14:solidFill>
                </w14:textFill>
              </w:rPr>
              <w:t>|</w:t>
            </w:r>
            <w:r w:rsidR="00C655B2">
              <w:rPr>
                <w:rFonts w:ascii="Arial Narrow" w:hAnsi="Arial Narrow"/>
                <w:sz w:val="20"/>
                <w:szCs w:val="20"/>
                <w:vertAlign w:val="superscript"/>
              </w:rPr>
              <w:t>6</w:t>
            </w:r>
          </w:p>
        </w:tc>
        <w:tc>
          <w:tcPr>
            <w:tcW w:w="605" w:type="pct"/>
            <w:shd w:val="clear" w:color="auto" w:fill="auto"/>
            <w:vAlign w:val="center"/>
          </w:tcPr>
          <w:p w14:paraId="442EC638" w14:textId="21E6C58D" w:rsidR="000F4B43" w:rsidRPr="000B568A" w:rsidRDefault="00650CB8" w:rsidP="00B36948">
            <w:pPr>
              <w:keepNext/>
              <w:jc w:val="center"/>
              <w:rPr>
                <w:rFonts w:ascii="Arial Narrow" w:hAnsi="Arial Narrow"/>
                <w:b/>
                <w:bCs/>
                <w:sz w:val="20"/>
                <w:szCs w:val="20"/>
                <w:highlight w:val="darkGray"/>
              </w:rPr>
            </w:pPr>
            <w:r w:rsidRPr="00650CB8">
              <w:rPr>
                <w:rFonts w:ascii="Arial Narrow" w:hAnsi="Arial Narrow"/>
                <w:b/>
                <w:bCs/>
                <w:color w:val="000000"/>
                <w:spacing w:val="198"/>
                <w:sz w:val="20"/>
                <w:szCs w:val="20"/>
                <w:shd w:val="solid" w:color="000000" w:fill="000000"/>
                <w:fitText w:val="290" w:id="-1435748599"/>
                <w14:textFill>
                  <w14:solidFill>
                    <w14:srgbClr w14:val="000000">
                      <w14:alpha w14:val="100000"/>
                    </w14:srgbClr>
                  </w14:solidFill>
                </w14:textFill>
              </w:rPr>
              <w:t>|</w:t>
            </w:r>
            <w:r w:rsidRPr="00650CB8">
              <w:rPr>
                <w:rFonts w:ascii="Arial Narrow" w:hAnsi="Arial Narrow"/>
                <w:b/>
                <w:bCs/>
                <w:color w:val="000000"/>
                <w:spacing w:val="1"/>
                <w:sz w:val="20"/>
                <w:szCs w:val="20"/>
                <w:shd w:val="solid" w:color="000000" w:fill="000000"/>
                <w:fitText w:val="290" w:id="-1435748599"/>
                <w14:textFill>
                  <w14:solidFill>
                    <w14:srgbClr w14:val="000000">
                      <w14:alpha w14:val="100000"/>
                    </w14:srgbClr>
                  </w14:solidFill>
                </w14:textFill>
              </w:rPr>
              <w:t>|</w:t>
            </w:r>
            <w:r w:rsidR="00C655B2">
              <w:rPr>
                <w:rFonts w:ascii="Arial Narrow" w:hAnsi="Arial Narrow"/>
                <w:sz w:val="20"/>
                <w:szCs w:val="20"/>
                <w:vertAlign w:val="superscript"/>
              </w:rPr>
              <w:t>7</w:t>
            </w:r>
          </w:p>
        </w:tc>
        <w:tc>
          <w:tcPr>
            <w:tcW w:w="607" w:type="pct"/>
            <w:shd w:val="clear" w:color="auto" w:fill="auto"/>
            <w:vAlign w:val="center"/>
          </w:tcPr>
          <w:p w14:paraId="51772D62" w14:textId="3270B2ED" w:rsidR="000F4B43" w:rsidRPr="000B568A" w:rsidRDefault="00650CB8" w:rsidP="00B36948">
            <w:pPr>
              <w:keepNext/>
              <w:jc w:val="center"/>
              <w:rPr>
                <w:rFonts w:ascii="Arial Narrow" w:hAnsi="Arial Narrow"/>
                <w:b/>
                <w:bCs/>
                <w:sz w:val="20"/>
                <w:szCs w:val="20"/>
                <w:highlight w:val="darkGray"/>
              </w:rPr>
            </w:pPr>
            <w:r w:rsidRPr="00650CB8">
              <w:rPr>
                <w:rFonts w:ascii="Arial Narrow" w:hAnsi="Arial Narrow"/>
                <w:b/>
                <w:bCs/>
                <w:color w:val="000000"/>
                <w:spacing w:val="198"/>
                <w:sz w:val="20"/>
                <w:szCs w:val="20"/>
                <w:shd w:val="solid" w:color="000000" w:fill="000000"/>
                <w:fitText w:val="290" w:id="-1435748598"/>
                <w14:textFill>
                  <w14:solidFill>
                    <w14:srgbClr w14:val="000000">
                      <w14:alpha w14:val="100000"/>
                    </w14:srgbClr>
                  </w14:solidFill>
                </w14:textFill>
              </w:rPr>
              <w:t>|</w:t>
            </w:r>
            <w:r w:rsidRPr="00650CB8">
              <w:rPr>
                <w:rFonts w:ascii="Arial Narrow" w:hAnsi="Arial Narrow"/>
                <w:b/>
                <w:bCs/>
                <w:color w:val="000000"/>
                <w:spacing w:val="1"/>
                <w:sz w:val="20"/>
                <w:szCs w:val="20"/>
                <w:shd w:val="solid" w:color="000000" w:fill="000000"/>
                <w:fitText w:val="290" w:id="-1435748598"/>
                <w14:textFill>
                  <w14:solidFill>
                    <w14:srgbClr w14:val="000000">
                      <w14:alpha w14:val="100000"/>
                    </w14:srgbClr>
                  </w14:solidFill>
                </w14:textFill>
              </w:rPr>
              <w:t>|</w:t>
            </w:r>
            <w:r w:rsidR="00C655B2">
              <w:rPr>
                <w:rFonts w:ascii="Arial Narrow" w:hAnsi="Arial Narrow"/>
                <w:sz w:val="20"/>
                <w:szCs w:val="20"/>
                <w:vertAlign w:val="superscript"/>
              </w:rPr>
              <w:t>7</w:t>
            </w:r>
          </w:p>
        </w:tc>
        <w:tc>
          <w:tcPr>
            <w:tcW w:w="605" w:type="pct"/>
            <w:tcBorders>
              <w:right w:val="single" w:sz="4" w:space="0" w:color="auto"/>
            </w:tcBorders>
            <w:shd w:val="clear" w:color="auto" w:fill="auto"/>
            <w:vAlign w:val="center"/>
          </w:tcPr>
          <w:p w14:paraId="6414D6AD" w14:textId="451B94F4" w:rsidR="000F4B43" w:rsidRPr="000B568A" w:rsidRDefault="00650CB8" w:rsidP="00B36948">
            <w:pPr>
              <w:keepNext/>
              <w:jc w:val="center"/>
              <w:rPr>
                <w:rFonts w:ascii="Arial Narrow" w:hAnsi="Arial Narrow"/>
                <w:b/>
                <w:bCs/>
                <w:sz w:val="20"/>
                <w:szCs w:val="20"/>
                <w:highlight w:val="darkGray"/>
              </w:rPr>
            </w:pPr>
            <w:r w:rsidRPr="00650CB8">
              <w:rPr>
                <w:rFonts w:ascii="Arial Narrow" w:hAnsi="Arial Narrow"/>
                <w:b/>
                <w:bCs/>
                <w:color w:val="000000"/>
                <w:spacing w:val="198"/>
                <w:sz w:val="20"/>
                <w:szCs w:val="20"/>
                <w:shd w:val="solid" w:color="000000" w:fill="000000"/>
                <w:fitText w:val="290" w:id="-1435748597"/>
                <w14:textFill>
                  <w14:solidFill>
                    <w14:srgbClr w14:val="000000">
                      <w14:alpha w14:val="100000"/>
                    </w14:srgbClr>
                  </w14:solidFill>
                </w14:textFill>
              </w:rPr>
              <w:t>|</w:t>
            </w:r>
            <w:r w:rsidRPr="00650CB8">
              <w:rPr>
                <w:rFonts w:ascii="Arial Narrow" w:hAnsi="Arial Narrow"/>
                <w:b/>
                <w:bCs/>
                <w:color w:val="000000"/>
                <w:spacing w:val="1"/>
                <w:sz w:val="20"/>
                <w:szCs w:val="20"/>
                <w:shd w:val="solid" w:color="000000" w:fill="000000"/>
                <w:fitText w:val="290" w:id="-1435748597"/>
                <w14:textFill>
                  <w14:solidFill>
                    <w14:srgbClr w14:val="000000">
                      <w14:alpha w14:val="100000"/>
                    </w14:srgbClr>
                  </w14:solidFill>
                </w14:textFill>
              </w:rPr>
              <w:t>|</w:t>
            </w:r>
            <w:r w:rsidR="00C655B2">
              <w:rPr>
                <w:rFonts w:ascii="Arial Narrow" w:hAnsi="Arial Narrow"/>
                <w:sz w:val="20"/>
                <w:szCs w:val="20"/>
                <w:vertAlign w:val="superscript"/>
              </w:rPr>
              <w:t>7</w:t>
            </w:r>
          </w:p>
        </w:tc>
        <w:tc>
          <w:tcPr>
            <w:tcW w:w="606" w:type="pct"/>
            <w:tcBorders>
              <w:right w:val="single" w:sz="4" w:space="0" w:color="auto"/>
            </w:tcBorders>
            <w:vAlign w:val="center"/>
          </w:tcPr>
          <w:p w14:paraId="0E7C8F08" w14:textId="192A1648" w:rsidR="000F4B43" w:rsidRPr="000B568A" w:rsidRDefault="00650CB8" w:rsidP="00B36948">
            <w:pPr>
              <w:keepNext/>
              <w:jc w:val="center"/>
              <w:rPr>
                <w:rFonts w:ascii="Arial Narrow" w:hAnsi="Arial Narrow"/>
                <w:b/>
                <w:bCs/>
                <w:sz w:val="20"/>
                <w:szCs w:val="20"/>
                <w:highlight w:val="darkGray"/>
              </w:rPr>
            </w:pPr>
            <w:r w:rsidRPr="00650CB8">
              <w:rPr>
                <w:rFonts w:ascii="Arial Narrow" w:hAnsi="Arial Narrow"/>
                <w:b/>
                <w:bCs/>
                <w:color w:val="000000"/>
                <w:spacing w:val="198"/>
                <w:sz w:val="20"/>
                <w:szCs w:val="20"/>
                <w:shd w:val="solid" w:color="000000" w:fill="000000"/>
                <w:fitText w:val="290" w:id="-1435748596"/>
                <w14:textFill>
                  <w14:solidFill>
                    <w14:srgbClr w14:val="000000">
                      <w14:alpha w14:val="100000"/>
                    </w14:srgbClr>
                  </w14:solidFill>
                </w14:textFill>
              </w:rPr>
              <w:t>|</w:t>
            </w:r>
            <w:r w:rsidRPr="00650CB8">
              <w:rPr>
                <w:rFonts w:ascii="Arial Narrow" w:hAnsi="Arial Narrow"/>
                <w:b/>
                <w:bCs/>
                <w:color w:val="000000"/>
                <w:spacing w:val="1"/>
                <w:sz w:val="20"/>
                <w:szCs w:val="20"/>
                <w:shd w:val="solid" w:color="000000" w:fill="000000"/>
                <w:fitText w:val="290" w:id="-1435748596"/>
                <w14:textFill>
                  <w14:solidFill>
                    <w14:srgbClr w14:val="000000">
                      <w14:alpha w14:val="100000"/>
                    </w14:srgbClr>
                  </w14:solidFill>
                </w14:textFill>
              </w:rPr>
              <w:t>|</w:t>
            </w:r>
            <w:r w:rsidR="00C655B2">
              <w:rPr>
                <w:rFonts w:ascii="Arial Narrow" w:hAnsi="Arial Narrow"/>
                <w:sz w:val="20"/>
                <w:szCs w:val="20"/>
                <w:vertAlign w:val="superscript"/>
              </w:rPr>
              <w:t>7</w:t>
            </w:r>
          </w:p>
        </w:tc>
      </w:tr>
      <w:tr w:rsidR="009C0E0F" w:rsidRPr="00B36948" w14:paraId="6BBFD84B" w14:textId="77777777" w:rsidTr="009C0E0F">
        <w:trPr>
          <w:cantSplit/>
        </w:trPr>
        <w:tc>
          <w:tcPr>
            <w:tcW w:w="1366" w:type="pct"/>
            <w:tcBorders>
              <w:left w:val="single" w:sz="4" w:space="0" w:color="auto"/>
            </w:tcBorders>
            <w:shd w:val="clear" w:color="auto" w:fill="auto"/>
            <w:vAlign w:val="center"/>
          </w:tcPr>
          <w:p w14:paraId="04D3BFFA" w14:textId="77777777" w:rsidR="000F4B43" w:rsidRPr="00B36948" w:rsidRDefault="000F4B43" w:rsidP="00B36948">
            <w:pPr>
              <w:keepNext/>
              <w:jc w:val="left"/>
              <w:rPr>
                <w:rFonts w:ascii="Arial Narrow" w:hAnsi="Arial Narrow"/>
                <w:sz w:val="20"/>
                <w:szCs w:val="20"/>
              </w:rPr>
            </w:pPr>
            <w:r w:rsidRPr="00B36948">
              <w:rPr>
                <w:rFonts w:ascii="Arial Narrow" w:hAnsi="Arial Narrow"/>
                <w:sz w:val="20"/>
                <w:szCs w:val="20"/>
              </w:rPr>
              <w:t>Evolocumab uptake rate</w:t>
            </w:r>
          </w:p>
        </w:tc>
        <w:tc>
          <w:tcPr>
            <w:tcW w:w="605" w:type="pct"/>
            <w:shd w:val="clear" w:color="auto" w:fill="auto"/>
            <w:vAlign w:val="center"/>
          </w:tcPr>
          <w:p w14:paraId="4A788F05" w14:textId="4143495D" w:rsidR="000F4B43" w:rsidRPr="00B36948" w:rsidRDefault="00650CB8" w:rsidP="00B36948">
            <w:pPr>
              <w:keepNext/>
              <w:jc w:val="center"/>
              <w:rPr>
                <w:rFonts w:ascii="Arial Narrow" w:hAnsi="Arial Narrow"/>
                <w:sz w:val="20"/>
                <w:szCs w:val="20"/>
              </w:rPr>
            </w:pPr>
            <w:r w:rsidRPr="00650CB8">
              <w:rPr>
                <w:rFonts w:ascii="Arial Narrow" w:hAnsi="Arial Narrow"/>
                <w:color w:val="000000"/>
                <w:spacing w:val="66"/>
                <w:sz w:val="20"/>
                <w:szCs w:val="20"/>
                <w:shd w:val="solid" w:color="000000" w:fill="000000"/>
                <w:fitText w:val="370" w:id="-1435748595"/>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70" w:id="-1435748595"/>
                <w14:textFill>
                  <w14:solidFill>
                    <w14:srgbClr w14:val="000000">
                      <w14:alpha w14:val="100000"/>
                    </w14:srgbClr>
                  </w14:solidFill>
                </w14:textFill>
              </w:rPr>
              <w:t>|</w:t>
            </w:r>
            <w:r w:rsidR="000F4B43" w:rsidRPr="00B36948">
              <w:rPr>
                <w:rFonts w:ascii="Arial Narrow" w:hAnsi="Arial Narrow"/>
                <w:sz w:val="20"/>
                <w:szCs w:val="20"/>
              </w:rPr>
              <w:t>%</w:t>
            </w:r>
          </w:p>
        </w:tc>
        <w:tc>
          <w:tcPr>
            <w:tcW w:w="606" w:type="pct"/>
            <w:shd w:val="clear" w:color="auto" w:fill="auto"/>
            <w:vAlign w:val="center"/>
          </w:tcPr>
          <w:p w14:paraId="0E138B4F" w14:textId="1176ADB2" w:rsidR="000F4B43" w:rsidRPr="00B36948" w:rsidRDefault="00650CB8" w:rsidP="00B36948">
            <w:pPr>
              <w:keepNext/>
              <w:jc w:val="center"/>
              <w:rPr>
                <w:rFonts w:ascii="Arial Narrow" w:hAnsi="Arial Narrow"/>
                <w:sz w:val="20"/>
                <w:szCs w:val="20"/>
              </w:rPr>
            </w:pPr>
            <w:r w:rsidRPr="00650CB8">
              <w:rPr>
                <w:rFonts w:ascii="Arial Narrow" w:hAnsi="Arial Narrow"/>
                <w:color w:val="000000"/>
                <w:spacing w:val="66"/>
                <w:sz w:val="20"/>
                <w:szCs w:val="20"/>
                <w:shd w:val="solid" w:color="000000" w:fill="000000"/>
                <w:fitText w:val="370" w:id="-1435748594"/>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70" w:id="-1435748594"/>
                <w14:textFill>
                  <w14:solidFill>
                    <w14:srgbClr w14:val="000000">
                      <w14:alpha w14:val="100000"/>
                    </w14:srgbClr>
                  </w14:solidFill>
                </w14:textFill>
              </w:rPr>
              <w:t>|</w:t>
            </w:r>
            <w:r w:rsidR="000F4B43" w:rsidRPr="00B36948">
              <w:rPr>
                <w:rFonts w:ascii="Arial Narrow" w:hAnsi="Arial Narrow"/>
                <w:sz w:val="20"/>
                <w:szCs w:val="20"/>
              </w:rPr>
              <w:t>%</w:t>
            </w:r>
          </w:p>
        </w:tc>
        <w:tc>
          <w:tcPr>
            <w:tcW w:w="605" w:type="pct"/>
            <w:shd w:val="clear" w:color="auto" w:fill="auto"/>
            <w:vAlign w:val="center"/>
          </w:tcPr>
          <w:p w14:paraId="1ED41D09" w14:textId="13AAA8A6" w:rsidR="000F4B43" w:rsidRPr="00B36948" w:rsidRDefault="00650CB8" w:rsidP="00B36948">
            <w:pPr>
              <w:keepNext/>
              <w:jc w:val="center"/>
              <w:rPr>
                <w:rFonts w:ascii="Arial Narrow" w:hAnsi="Arial Narrow"/>
                <w:sz w:val="20"/>
                <w:szCs w:val="20"/>
              </w:rPr>
            </w:pPr>
            <w:r w:rsidRPr="00650CB8">
              <w:rPr>
                <w:rFonts w:ascii="Arial Narrow" w:hAnsi="Arial Narrow"/>
                <w:color w:val="000000"/>
                <w:spacing w:val="66"/>
                <w:sz w:val="20"/>
                <w:szCs w:val="20"/>
                <w:shd w:val="solid" w:color="000000" w:fill="000000"/>
                <w:fitText w:val="370" w:id="-1435748593"/>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70" w:id="-1435748593"/>
                <w14:textFill>
                  <w14:solidFill>
                    <w14:srgbClr w14:val="000000">
                      <w14:alpha w14:val="100000"/>
                    </w14:srgbClr>
                  </w14:solidFill>
                </w14:textFill>
              </w:rPr>
              <w:t>|</w:t>
            </w:r>
            <w:r w:rsidR="000F4B43" w:rsidRPr="00B36948">
              <w:rPr>
                <w:rFonts w:ascii="Arial Narrow" w:hAnsi="Arial Narrow"/>
                <w:sz w:val="20"/>
                <w:szCs w:val="20"/>
              </w:rPr>
              <w:t>%</w:t>
            </w:r>
          </w:p>
        </w:tc>
        <w:tc>
          <w:tcPr>
            <w:tcW w:w="607" w:type="pct"/>
            <w:shd w:val="clear" w:color="auto" w:fill="auto"/>
          </w:tcPr>
          <w:p w14:paraId="4A6A92BF" w14:textId="06CD77F2" w:rsidR="000F4B43" w:rsidRPr="00B36948" w:rsidRDefault="00650CB8" w:rsidP="00B36948">
            <w:pPr>
              <w:keepNext/>
              <w:jc w:val="center"/>
              <w:rPr>
                <w:rFonts w:ascii="Arial Narrow" w:hAnsi="Arial Narrow"/>
                <w:sz w:val="20"/>
                <w:szCs w:val="20"/>
              </w:rPr>
            </w:pPr>
            <w:r w:rsidRPr="00650CB8">
              <w:rPr>
                <w:rFonts w:ascii="Arial Narrow" w:hAnsi="Arial Narrow"/>
                <w:color w:val="000000"/>
                <w:spacing w:val="66"/>
                <w:sz w:val="20"/>
                <w:szCs w:val="20"/>
                <w:shd w:val="solid" w:color="000000" w:fill="000000"/>
                <w:fitText w:val="370" w:id="-1435748592"/>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70" w:id="-1435748592"/>
                <w14:textFill>
                  <w14:solidFill>
                    <w14:srgbClr w14:val="000000">
                      <w14:alpha w14:val="100000"/>
                    </w14:srgbClr>
                  </w14:solidFill>
                </w14:textFill>
              </w:rPr>
              <w:t>|</w:t>
            </w:r>
            <w:r w:rsidR="000F4B43" w:rsidRPr="00B36948">
              <w:rPr>
                <w:rFonts w:ascii="Arial Narrow" w:hAnsi="Arial Narrow"/>
                <w:sz w:val="20"/>
                <w:szCs w:val="20"/>
              </w:rPr>
              <w:t>%</w:t>
            </w:r>
          </w:p>
        </w:tc>
        <w:tc>
          <w:tcPr>
            <w:tcW w:w="605" w:type="pct"/>
            <w:tcBorders>
              <w:right w:val="single" w:sz="4" w:space="0" w:color="auto"/>
            </w:tcBorders>
            <w:shd w:val="clear" w:color="auto" w:fill="auto"/>
          </w:tcPr>
          <w:p w14:paraId="758C973B" w14:textId="75E708BB" w:rsidR="000F4B43" w:rsidRPr="00B36948" w:rsidRDefault="00650CB8" w:rsidP="00B36948">
            <w:pPr>
              <w:keepNext/>
              <w:jc w:val="center"/>
              <w:rPr>
                <w:rFonts w:ascii="Arial Narrow" w:hAnsi="Arial Narrow"/>
                <w:sz w:val="20"/>
                <w:szCs w:val="20"/>
              </w:rPr>
            </w:pPr>
            <w:r w:rsidRPr="00650CB8">
              <w:rPr>
                <w:rFonts w:ascii="Arial Narrow" w:hAnsi="Arial Narrow"/>
                <w:color w:val="000000"/>
                <w:spacing w:val="66"/>
                <w:sz w:val="20"/>
                <w:szCs w:val="20"/>
                <w:shd w:val="solid" w:color="000000" w:fill="000000"/>
                <w:fitText w:val="370" w:id="-1435748608"/>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70" w:id="-1435748608"/>
                <w14:textFill>
                  <w14:solidFill>
                    <w14:srgbClr w14:val="000000">
                      <w14:alpha w14:val="100000"/>
                    </w14:srgbClr>
                  </w14:solidFill>
                </w14:textFill>
              </w:rPr>
              <w:t>|</w:t>
            </w:r>
            <w:r w:rsidR="000F4B43" w:rsidRPr="00B36948">
              <w:rPr>
                <w:rFonts w:ascii="Arial Narrow" w:hAnsi="Arial Narrow"/>
                <w:sz w:val="20"/>
                <w:szCs w:val="20"/>
              </w:rPr>
              <w:t>%</w:t>
            </w:r>
          </w:p>
        </w:tc>
        <w:tc>
          <w:tcPr>
            <w:tcW w:w="606" w:type="pct"/>
            <w:tcBorders>
              <w:right w:val="single" w:sz="4" w:space="0" w:color="auto"/>
            </w:tcBorders>
          </w:tcPr>
          <w:p w14:paraId="2D929737" w14:textId="271B53C9" w:rsidR="000F4B43" w:rsidRPr="00B36948" w:rsidRDefault="00650CB8" w:rsidP="00B36948">
            <w:pPr>
              <w:keepNext/>
              <w:jc w:val="center"/>
              <w:rPr>
                <w:rFonts w:ascii="Arial Narrow" w:hAnsi="Arial Narrow"/>
                <w:sz w:val="20"/>
                <w:szCs w:val="20"/>
              </w:rPr>
            </w:pPr>
            <w:r w:rsidRPr="00650CB8">
              <w:rPr>
                <w:rFonts w:ascii="Arial Narrow" w:hAnsi="Arial Narrow"/>
                <w:color w:val="000000"/>
                <w:spacing w:val="66"/>
                <w:sz w:val="20"/>
                <w:szCs w:val="20"/>
                <w:shd w:val="solid" w:color="000000" w:fill="000000"/>
                <w:fitText w:val="370" w:id="-1435748607"/>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70" w:id="-1435748607"/>
                <w14:textFill>
                  <w14:solidFill>
                    <w14:srgbClr w14:val="000000">
                      <w14:alpha w14:val="100000"/>
                    </w14:srgbClr>
                  </w14:solidFill>
                </w14:textFill>
              </w:rPr>
              <w:t>|</w:t>
            </w:r>
            <w:r w:rsidR="000F4B43" w:rsidRPr="00B36948">
              <w:rPr>
                <w:rFonts w:ascii="Arial Narrow" w:hAnsi="Arial Narrow"/>
                <w:sz w:val="20"/>
                <w:szCs w:val="20"/>
              </w:rPr>
              <w:t>%</w:t>
            </w:r>
          </w:p>
        </w:tc>
      </w:tr>
      <w:tr w:rsidR="009C0E0F" w:rsidRPr="00B36948" w14:paraId="5C7194CD" w14:textId="77777777" w:rsidTr="009C0E0F">
        <w:trPr>
          <w:cantSplit/>
        </w:trPr>
        <w:tc>
          <w:tcPr>
            <w:tcW w:w="1366" w:type="pct"/>
            <w:tcBorders>
              <w:left w:val="single" w:sz="4" w:space="0" w:color="auto"/>
            </w:tcBorders>
            <w:shd w:val="clear" w:color="auto" w:fill="auto"/>
            <w:vAlign w:val="center"/>
          </w:tcPr>
          <w:p w14:paraId="39D9A1BE" w14:textId="77777777" w:rsidR="000F4B43" w:rsidRPr="00B36948" w:rsidRDefault="000F4B43" w:rsidP="00B36948">
            <w:pPr>
              <w:keepNext/>
              <w:jc w:val="left"/>
              <w:rPr>
                <w:rFonts w:ascii="Arial Narrow" w:hAnsi="Arial Narrow"/>
                <w:b/>
                <w:sz w:val="20"/>
                <w:szCs w:val="20"/>
              </w:rPr>
            </w:pPr>
            <w:r w:rsidRPr="00B36948">
              <w:rPr>
                <w:rFonts w:ascii="Arial Narrow" w:hAnsi="Arial Narrow"/>
                <w:b/>
                <w:sz w:val="20"/>
                <w:szCs w:val="20"/>
              </w:rPr>
              <w:t xml:space="preserve">Total non-FH patients treated </w:t>
            </w:r>
          </w:p>
        </w:tc>
        <w:tc>
          <w:tcPr>
            <w:tcW w:w="605" w:type="pct"/>
            <w:shd w:val="clear" w:color="auto" w:fill="auto"/>
            <w:vAlign w:val="center"/>
          </w:tcPr>
          <w:p w14:paraId="6D1ED076" w14:textId="2EC40A84" w:rsidR="000F4B43" w:rsidRPr="000B568A" w:rsidRDefault="00650CB8" w:rsidP="00B36948">
            <w:pPr>
              <w:keepNext/>
              <w:jc w:val="center"/>
              <w:rPr>
                <w:rFonts w:ascii="Arial Narrow" w:hAnsi="Arial Narrow"/>
                <w:b/>
                <w:bCs/>
                <w:sz w:val="20"/>
                <w:szCs w:val="20"/>
                <w:highlight w:val="darkGray"/>
              </w:rPr>
            </w:pPr>
            <w:r w:rsidRPr="00650CB8">
              <w:rPr>
                <w:rFonts w:ascii="Arial Narrow" w:hAnsi="Arial Narrow"/>
                <w:b/>
                <w:bCs/>
                <w:color w:val="000000"/>
                <w:spacing w:val="198"/>
                <w:sz w:val="20"/>
                <w:szCs w:val="20"/>
                <w:shd w:val="solid" w:color="000000" w:fill="000000"/>
                <w:fitText w:val="290" w:id="-1435748606"/>
                <w14:textFill>
                  <w14:solidFill>
                    <w14:srgbClr w14:val="000000">
                      <w14:alpha w14:val="100000"/>
                    </w14:srgbClr>
                  </w14:solidFill>
                </w14:textFill>
              </w:rPr>
              <w:t>|</w:t>
            </w:r>
            <w:r w:rsidRPr="00650CB8">
              <w:rPr>
                <w:rFonts w:ascii="Arial Narrow" w:hAnsi="Arial Narrow"/>
                <w:b/>
                <w:bCs/>
                <w:color w:val="000000"/>
                <w:spacing w:val="1"/>
                <w:sz w:val="20"/>
                <w:szCs w:val="20"/>
                <w:shd w:val="solid" w:color="000000" w:fill="000000"/>
                <w:fitText w:val="290" w:id="-1435748606"/>
                <w14:textFill>
                  <w14:solidFill>
                    <w14:srgbClr w14:val="000000">
                      <w14:alpha w14:val="100000"/>
                    </w14:srgbClr>
                  </w14:solidFill>
                </w14:textFill>
              </w:rPr>
              <w:t>|</w:t>
            </w:r>
            <w:r w:rsidR="00C655B2">
              <w:rPr>
                <w:rFonts w:ascii="Arial Narrow" w:hAnsi="Arial Narrow"/>
                <w:sz w:val="20"/>
                <w:szCs w:val="20"/>
                <w:vertAlign w:val="superscript"/>
              </w:rPr>
              <w:t>8</w:t>
            </w:r>
          </w:p>
        </w:tc>
        <w:tc>
          <w:tcPr>
            <w:tcW w:w="606" w:type="pct"/>
            <w:shd w:val="clear" w:color="auto" w:fill="auto"/>
            <w:vAlign w:val="center"/>
          </w:tcPr>
          <w:p w14:paraId="523021EC" w14:textId="562CCCA3" w:rsidR="000F4B43" w:rsidRPr="000B568A" w:rsidRDefault="00650CB8" w:rsidP="00B36948">
            <w:pPr>
              <w:keepNext/>
              <w:jc w:val="center"/>
              <w:rPr>
                <w:rFonts w:ascii="Arial Narrow" w:hAnsi="Arial Narrow"/>
                <w:b/>
                <w:bCs/>
                <w:sz w:val="20"/>
                <w:szCs w:val="20"/>
                <w:highlight w:val="darkGray"/>
              </w:rPr>
            </w:pPr>
            <w:r w:rsidRPr="00650CB8">
              <w:rPr>
                <w:rFonts w:ascii="Arial Narrow" w:hAnsi="Arial Narrow"/>
                <w:b/>
                <w:bCs/>
                <w:color w:val="000000"/>
                <w:spacing w:val="198"/>
                <w:sz w:val="20"/>
                <w:szCs w:val="20"/>
                <w:shd w:val="solid" w:color="000000" w:fill="000000"/>
                <w:fitText w:val="290" w:id="-1435748605"/>
                <w14:textFill>
                  <w14:solidFill>
                    <w14:srgbClr w14:val="000000">
                      <w14:alpha w14:val="100000"/>
                    </w14:srgbClr>
                  </w14:solidFill>
                </w14:textFill>
              </w:rPr>
              <w:t>|</w:t>
            </w:r>
            <w:r w:rsidRPr="00650CB8">
              <w:rPr>
                <w:rFonts w:ascii="Arial Narrow" w:hAnsi="Arial Narrow"/>
                <w:b/>
                <w:bCs/>
                <w:color w:val="000000"/>
                <w:spacing w:val="1"/>
                <w:sz w:val="20"/>
                <w:szCs w:val="20"/>
                <w:shd w:val="solid" w:color="000000" w:fill="000000"/>
                <w:fitText w:val="290" w:id="-1435748605"/>
                <w14:textFill>
                  <w14:solidFill>
                    <w14:srgbClr w14:val="000000">
                      <w14:alpha w14:val="100000"/>
                    </w14:srgbClr>
                  </w14:solidFill>
                </w14:textFill>
              </w:rPr>
              <w:t>|</w:t>
            </w:r>
            <w:r w:rsidR="00C655B2">
              <w:rPr>
                <w:rFonts w:ascii="Arial Narrow" w:hAnsi="Arial Narrow"/>
                <w:sz w:val="20"/>
                <w:szCs w:val="20"/>
                <w:vertAlign w:val="superscript"/>
              </w:rPr>
              <w:t>9</w:t>
            </w:r>
          </w:p>
        </w:tc>
        <w:tc>
          <w:tcPr>
            <w:tcW w:w="605" w:type="pct"/>
            <w:shd w:val="clear" w:color="auto" w:fill="auto"/>
            <w:vAlign w:val="center"/>
          </w:tcPr>
          <w:p w14:paraId="1B9239AC" w14:textId="5EE28ED2" w:rsidR="000F4B43" w:rsidRPr="009C0E0F" w:rsidRDefault="00650CB8" w:rsidP="00B36948">
            <w:pPr>
              <w:keepNext/>
              <w:jc w:val="center"/>
              <w:rPr>
                <w:rFonts w:ascii="Arial Narrow" w:hAnsi="Arial Narrow"/>
                <w:b/>
                <w:bCs/>
                <w:sz w:val="20"/>
                <w:szCs w:val="20"/>
                <w:highlight w:val="darkGray"/>
                <w:vertAlign w:val="superscript"/>
              </w:rPr>
            </w:pPr>
            <w:r w:rsidRPr="00650CB8">
              <w:rPr>
                <w:rFonts w:ascii="Arial Narrow" w:hAnsi="Arial Narrow"/>
                <w:b/>
                <w:bCs/>
                <w:color w:val="000000"/>
                <w:spacing w:val="45"/>
                <w:sz w:val="20"/>
                <w:szCs w:val="20"/>
                <w:shd w:val="solid" w:color="000000" w:fill="000000"/>
                <w:fitText w:val="320" w:id="-1435748604"/>
                <w14:textFill>
                  <w14:solidFill>
                    <w14:srgbClr w14:val="000000">
                      <w14:alpha w14:val="100000"/>
                    </w14:srgbClr>
                  </w14:solidFill>
                </w14:textFill>
              </w:rPr>
              <w:t>|||</w:t>
            </w:r>
            <w:r w:rsidRPr="00650CB8">
              <w:rPr>
                <w:rFonts w:ascii="Arial Narrow" w:hAnsi="Arial Narrow"/>
                <w:b/>
                <w:bCs/>
                <w:color w:val="000000"/>
                <w:spacing w:val="2"/>
                <w:sz w:val="20"/>
                <w:szCs w:val="20"/>
                <w:shd w:val="solid" w:color="000000" w:fill="000000"/>
                <w:fitText w:val="320" w:id="-1435748604"/>
                <w14:textFill>
                  <w14:solidFill>
                    <w14:srgbClr w14:val="000000">
                      <w14:alpha w14:val="100000"/>
                    </w14:srgbClr>
                  </w14:solidFill>
                </w14:textFill>
              </w:rPr>
              <w:t>|</w:t>
            </w:r>
            <w:r w:rsidR="009C0E0F" w:rsidRPr="009C0E0F">
              <w:rPr>
                <w:rFonts w:ascii="Arial Narrow" w:hAnsi="Arial Narrow"/>
                <w:sz w:val="20"/>
                <w:szCs w:val="20"/>
                <w:vertAlign w:val="superscript"/>
              </w:rPr>
              <w:t>1</w:t>
            </w:r>
            <w:r w:rsidR="00C655B2">
              <w:rPr>
                <w:rFonts w:ascii="Arial Narrow" w:hAnsi="Arial Narrow"/>
                <w:sz w:val="20"/>
                <w:szCs w:val="20"/>
                <w:vertAlign w:val="superscript"/>
              </w:rPr>
              <w:t>0</w:t>
            </w:r>
          </w:p>
        </w:tc>
        <w:tc>
          <w:tcPr>
            <w:tcW w:w="607" w:type="pct"/>
            <w:shd w:val="clear" w:color="auto" w:fill="auto"/>
            <w:vAlign w:val="center"/>
          </w:tcPr>
          <w:p w14:paraId="53BB3447" w14:textId="547D59C3" w:rsidR="000F4B43" w:rsidRPr="000B568A" w:rsidRDefault="00650CB8" w:rsidP="00B36948">
            <w:pPr>
              <w:keepNext/>
              <w:jc w:val="center"/>
              <w:rPr>
                <w:rFonts w:ascii="Arial Narrow" w:hAnsi="Arial Narrow"/>
                <w:b/>
                <w:bCs/>
                <w:sz w:val="20"/>
                <w:szCs w:val="20"/>
                <w:highlight w:val="darkGray"/>
              </w:rPr>
            </w:pPr>
            <w:r w:rsidRPr="00650CB8">
              <w:rPr>
                <w:rFonts w:ascii="Arial Narrow" w:hAnsi="Arial Narrow"/>
                <w:b/>
                <w:bCs/>
                <w:color w:val="000000"/>
                <w:spacing w:val="45"/>
                <w:sz w:val="20"/>
                <w:szCs w:val="20"/>
                <w:shd w:val="solid" w:color="000000" w:fill="000000"/>
                <w:fitText w:val="320" w:id="-1435748603"/>
                <w14:textFill>
                  <w14:solidFill>
                    <w14:srgbClr w14:val="000000">
                      <w14:alpha w14:val="100000"/>
                    </w14:srgbClr>
                  </w14:solidFill>
                </w14:textFill>
              </w:rPr>
              <w:t>|||</w:t>
            </w:r>
            <w:r w:rsidRPr="00650CB8">
              <w:rPr>
                <w:rFonts w:ascii="Arial Narrow" w:hAnsi="Arial Narrow"/>
                <w:b/>
                <w:bCs/>
                <w:color w:val="000000"/>
                <w:spacing w:val="2"/>
                <w:sz w:val="20"/>
                <w:szCs w:val="20"/>
                <w:shd w:val="solid" w:color="000000" w:fill="000000"/>
                <w:fitText w:val="320" w:id="-1435748603"/>
                <w14:textFill>
                  <w14:solidFill>
                    <w14:srgbClr w14:val="000000">
                      <w14:alpha w14:val="100000"/>
                    </w14:srgbClr>
                  </w14:solidFill>
                </w14:textFill>
              </w:rPr>
              <w:t>|</w:t>
            </w:r>
            <w:r w:rsidR="009C0E0F" w:rsidRPr="009C0E0F">
              <w:rPr>
                <w:rFonts w:ascii="Arial Narrow" w:hAnsi="Arial Narrow"/>
                <w:sz w:val="20"/>
                <w:szCs w:val="20"/>
                <w:vertAlign w:val="superscript"/>
              </w:rPr>
              <w:t>1</w:t>
            </w:r>
            <w:r w:rsidR="00C655B2">
              <w:rPr>
                <w:rFonts w:ascii="Arial Narrow" w:hAnsi="Arial Narrow"/>
                <w:sz w:val="20"/>
                <w:szCs w:val="20"/>
                <w:vertAlign w:val="superscript"/>
              </w:rPr>
              <w:t>0</w:t>
            </w:r>
          </w:p>
        </w:tc>
        <w:tc>
          <w:tcPr>
            <w:tcW w:w="605" w:type="pct"/>
            <w:tcBorders>
              <w:right w:val="single" w:sz="4" w:space="0" w:color="auto"/>
            </w:tcBorders>
            <w:shd w:val="clear" w:color="auto" w:fill="auto"/>
            <w:vAlign w:val="center"/>
          </w:tcPr>
          <w:p w14:paraId="4FD17BDB" w14:textId="71BC6C58" w:rsidR="000F4B43" w:rsidRPr="000B568A" w:rsidRDefault="00650CB8" w:rsidP="00B36948">
            <w:pPr>
              <w:keepNext/>
              <w:jc w:val="center"/>
              <w:rPr>
                <w:rFonts w:ascii="Arial Narrow" w:hAnsi="Arial Narrow"/>
                <w:b/>
                <w:bCs/>
                <w:sz w:val="20"/>
                <w:szCs w:val="20"/>
                <w:highlight w:val="darkGray"/>
              </w:rPr>
            </w:pPr>
            <w:r w:rsidRPr="00650CB8">
              <w:rPr>
                <w:rFonts w:ascii="Arial Narrow" w:hAnsi="Arial Narrow"/>
                <w:b/>
                <w:bCs/>
                <w:color w:val="000000"/>
                <w:spacing w:val="45"/>
                <w:sz w:val="20"/>
                <w:szCs w:val="20"/>
                <w:shd w:val="solid" w:color="000000" w:fill="000000"/>
                <w:fitText w:val="320" w:id="-1435748602"/>
                <w14:textFill>
                  <w14:solidFill>
                    <w14:srgbClr w14:val="000000">
                      <w14:alpha w14:val="100000"/>
                    </w14:srgbClr>
                  </w14:solidFill>
                </w14:textFill>
              </w:rPr>
              <w:t>|||</w:t>
            </w:r>
            <w:r w:rsidRPr="00650CB8">
              <w:rPr>
                <w:rFonts w:ascii="Arial Narrow" w:hAnsi="Arial Narrow"/>
                <w:b/>
                <w:bCs/>
                <w:color w:val="000000"/>
                <w:spacing w:val="2"/>
                <w:sz w:val="20"/>
                <w:szCs w:val="20"/>
                <w:shd w:val="solid" w:color="000000" w:fill="000000"/>
                <w:fitText w:val="320" w:id="-1435748602"/>
                <w14:textFill>
                  <w14:solidFill>
                    <w14:srgbClr w14:val="000000">
                      <w14:alpha w14:val="100000"/>
                    </w14:srgbClr>
                  </w14:solidFill>
                </w14:textFill>
              </w:rPr>
              <w:t>|</w:t>
            </w:r>
            <w:r w:rsidR="009C0E0F" w:rsidRPr="009C0E0F">
              <w:rPr>
                <w:rFonts w:ascii="Arial Narrow" w:hAnsi="Arial Narrow"/>
                <w:sz w:val="20"/>
                <w:szCs w:val="20"/>
                <w:vertAlign w:val="superscript"/>
              </w:rPr>
              <w:t>1</w:t>
            </w:r>
            <w:r w:rsidR="00C655B2">
              <w:rPr>
                <w:rFonts w:ascii="Arial Narrow" w:hAnsi="Arial Narrow"/>
                <w:sz w:val="20"/>
                <w:szCs w:val="20"/>
                <w:vertAlign w:val="superscript"/>
              </w:rPr>
              <w:t>0</w:t>
            </w:r>
          </w:p>
        </w:tc>
        <w:tc>
          <w:tcPr>
            <w:tcW w:w="606" w:type="pct"/>
            <w:tcBorders>
              <w:right w:val="single" w:sz="4" w:space="0" w:color="auto"/>
            </w:tcBorders>
            <w:vAlign w:val="center"/>
          </w:tcPr>
          <w:p w14:paraId="32896843" w14:textId="4B2737DE" w:rsidR="000F4B43" w:rsidRPr="000B568A" w:rsidRDefault="00650CB8" w:rsidP="00B36948">
            <w:pPr>
              <w:keepNext/>
              <w:jc w:val="center"/>
              <w:rPr>
                <w:rFonts w:ascii="Arial Narrow" w:hAnsi="Arial Narrow"/>
                <w:b/>
                <w:bCs/>
                <w:sz w:val="20"/>
                <w:szCs w:val="20"/>
                <w:highlight w:val="darkGray"/>
              </w:rPr>
            </w:pPr>
            <w:r w:rsidRPr="00650CB8">
              <w:rPr>
                <w:rFonts w:ascii="Arial Narrow" w:hAnsi="Arial Narrow"/>
                <w:b/>
                <w:bCs/>
                <w:color w:val="000000"/>
                <w:spacing w:val="45"/>
                <w:sz w:val="20"/>
                <w:szCs w:val="20"/>
                <w:shd w:val="solid" w:color="000000" w:fill="000000"/>
                <w:fitText w:val="320" w:id="-1435748601"/>
                <w14:textFill>
                  <w14:solidFill>
                    <w14:srgbClr w14:val="000000">
                      <w14:alpha w14:val="100000"/>
                    </w14:srgbClr>
                  </w14:solidFill>
                </w14:textFill>
              </w:rPr>
              <w:t>|||</w:t>
            </w:r>
            <w:r w:rsidRPr="00650CB8">
              <w:rPr>
                <w:rFonts w:ascii="Arial Narrow" w:hAnsi="Arial Narrow"/>
                <w:b/>
                <w:bCs/>
                <w:color w:val="000000"/>
                <w:spacing w:val="2"/>
                <w:sz w:val="20"/>
                <w:szCs w:val="20"/>
                <w:shd w:val="solid" w:color="000000" w:fill="000000"/>
                <w:fitText w:val="320" w:id="-1435748601"/>
                <w14:textFill>
                  <w14:solidFill>
                    <w14:srgbClr w14:val="000000">
                      <w14:alpha w14:val="100000"/>
                    </w14:srgbClr>
                  </w14:solidFill>
                </w14:textFill>
              </w:rPr>
              <w:t>|</w:t>
            </w:r>
            <w:r w:rsidR="009C0E0F" w:rsidRPr="009C0E0F">
              <w:rPr>
                <w:rFonts w:ascii="Arial Narrow" w:hAnsi="Arial Narrow"/>
                <w:sz w:val="20"/>
                <w:szCs w:val="20"/>
                <w:vertAlign w:val="superscript"/>
              </w:rPr>
              <w:t>1</w:t>
            </w:r>
            <w:r w:rsidR="00C655B2">
              <w:rPr>
                <w:rFonts w:ascii="Arial Narrow" w:hAnsi="Arial Narrow"/>
                <w:sz w:val="20"/>
                <w:szCs w:val="20"/>
                <w:vertAlign w:val="superscript"/>
              </w:rPr>
              <w:t>0</w:t>
            </w:r>
          </w:p>
        </w:tc>
      </w:tr>
      <w:tr w:rsidR="009C0E0F" w:rsidRPr="00B36948" w14:paraId="3AE11CA3" w14:textId="77777777" w:rsidTr="009C0E0F">
        <w:trPr>
          <w:cantSplit/>
        </w:trPr>
        <w:tc>
          <w:tcPr>
            <w:tcW w:w="1366" w:type="pct"/>
            <w:tcBorders>
              <w:left w:val="single" w:sz="4" w:space="0" w:color="auto"/>
            </w:tcBorders>
            <w:shd w:val="clear" w:color="auto" w:fill="auto"/>
            <w:vAlign w:val="center"/>
          </w:tcPr>
          <w:p w14:paraId="0C665ABC" w14:textId="77777777" w:rsidR="000F4B43" w:rsidRPr="00B36948" w:rsidRDefault="000F4B43" w:rsidP="00B36948">
            <w:pPr>
              <w:keepNext/>
              <w:jc w:val="left"/>
              <w:rPr>
                <w:rFonts w:ascii="Arial Narrow" w:hAnsi="Arial Narrow"/>
                <w:sz w:val="20"/>
                <w:szCs w:val="20"/>
              </w:rPr>
            </w:pPr>
            <w:r w:rsidRPr="00B36948">
              <w:rPr>
                <w:rFonts w:ascii="Arial Narrow" w:hAnsi="Arial Narrow"/>
                <w:sz w:val="20"/>
                <w:szCs w:val="20"/>
              </w:rPr>
              <w:t>Patients - fortnightly dose (80%)</w:t>
            </w:r>
          </w:p>
        </w:tc>
        <w:tc>
          <w:tcPr>
            <w:tcW w:w="605" w:type="pct"/>
            <w:shd w:val="clear" w:color="auto" w:fill="auto"/>
            <w:vAlign w:val="center"/>
          </w:tcPr>
          <w:p w14:paraId="4DB3A51B" w14:textId="5E462236"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600"/>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600"/>
                <w14:textFill>
                  <w14:solidFill>
                    <w14:srgbClr w14:val="000000">
                      <w14:alpha w14:val="100000"/>
                    </w14:srgbClr>
                  </w14:solidFill>
                </w14:textFill>
              </w:rPr>
              <w:t>|</w:t>
            </w:r>
            <w:r w:rsidR="00C655B2">
              <w:rPr>
                <w:rFonts w:ascii="Arial Narrow" w:hAnsi="Arial Narrow"/>
                <w:sz w:val="20"/>
                <w:szCs w:val="20"/>
                <w:vertAlign w:val="superscript"/>
              </w:rPr>
              <w:t>8</w:t>
            </w:r>
          </w:p>
        </w:tc>
        <w:tc>
          <w:tcPr>
            <w:tcW w:w="606" w:type="pct"/>
            <w:shd w:val="clear" w:color="auto" w:fill="auto"/>
            <w:vAlign w:val="center"/>
          </w:tcPr>
          <w:p w14:paraId="7FD1C93B" w14:textId="464D8129"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599"/>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599"/>
                <w14:textFill>
                  <w14:solidFill>
                    <w14:srgbClr w14:val="000000">
                      <w14:alpha w14:val="100000"/>
                    </w14:srgbClr>
                  </w14:solidFill>
                </w14:textFill>
              </w:rPr>
              <w:t>|</w:t>
            </w:r>
            <w:r w:rsidR="00C655B2">
              <w:rPr>
                <w:rFonts w:ascii="Arial Narrow" w:hAnsi="Arial Narrow"/>
                <w:sz w:val="20"/>
                <w:szCs w:val="20"/>
                <w:vertAlign w:val="superscript"/>
              </w:rPr>
              <w:t>9</w:t>
            </w:r>
          </w:p>
        </w:tc>
        <w:tc>
          <w:tcPr>
            <w:tcW w:w="605" w:type="pct"/>
            <w:shd w:val="clear" w:color="auto" w:fill="auto"/>
            <w:vAlign w:val="center"/>
          </w:tcPr>
          <w:p w14:paraId="2E21E721" w14:textId="575547CA"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598"/>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598"/>
                <w14:textFill>
                  <w14:solidFill>
                    <w14:srgbClr w14:val="000000">
                      <w14:alpha w14:val="100000"/>
                    </w14:srgbClr>
                  </w14:solidFill>
                </w14:textFill>
              </w:rPr>
              <w:t>|</w:t>
            </w:r>
            <w:r w:rsidR="00C655B2">
              <w:rPr>
                <w:rFonts w:ascii="Arial Narrow" w:hAnsi="Arial Narrow"/>
                <w:sz w:val="20"/>
                <w:szCs w:val="20"/>
                <w:vertAlign w:val="superscript"/>
              </w:rPr>
              <w:t>9</w:t>
            </w:r>
          </w:p>
        </w:tc>
        <w:tc>
          <w:tcPr>
            <w:tcW w:w="607" w:type="pct"/>
            <w:shd w:val="clear" w:color="auto" w:fill="auto"/>
            <w:vAlign w:val="center"/>
          </w:tcPr>
          <w:p w14:paraId="65AC98DB" w14:textId="5A02540A"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597"/>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597"/>
                <w14:textFill>
                  <w14:solidFill>
                    <w14:srgbClr w14:val="000000">
                      <w14:alpha w14:val="100000"/>
                    </w14:srgbClr>
                  </w14:solidFill>
                </w14:textFill>
              </w:rPr>
              <w:t>|</w:t>
            </w:r>
            <w:r w:rsidR="00C655B2">
              <w:rPr>
                <w:rFonts w:ascii="Arial Narrow" w:hAnsi="Arial Narrow"/>
                <w:sz w:val="20"/>
                <w:szCs w:val="20"/>
                <w:vertAlign w:val="superscript"/>
              </w:rPr>
              <w:t>9</w:t>
            </w:r>
          </w:p>
        </w:tc>
        <w:tc>
          <w:tcPr>
            <w:tcW w:w="605" w:type="pct"/>
            <w:tcBorders>
              <w:right w:val="single" w:sz="4" w:space="0" w:color="auto"/>
            </w:tcBorders>
            <w:shd w:val="clear" w:color="auto" w:fill="auto"/>
            <w:vAlign w:val="center"/>
          </w:tcPr>
          <w:p w14:paraId="2970E86B" w14:textId="1A4C42E4"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596"/>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596"/>
                <w14:textFill>
                  <w14:solidFill>
                    <w14:srgbClr w14:val="000000">
                      <w14:alpha w14:val="100000"/>
                    </w14:srgbClr>
                  </w14:solidFill>
                </w14:textFill>
              </w:rPr>
              <w:t>|</w:t>
            </w:r>
            <w:r w:rsidR="00C655B2">
              <w:rPr>
                <w:rFonts w:ascii="Arial Narrow" w:hAnsi="Arial Narrow"/>
                <w:sz w:val="20"/>
                <w:szCs w:val="20"/>
                <w:vertAlign w:val="superscript"/>
              </w:rPr>
              <w:t>9</w:t>
            </w:r>
          </w:p>
        </w:tc>
        <w:tc>
          <w:tcPr>
            <w:tcW w:w="606" w:type="pct"/>
            <w:tcBorders>
              <w:right w:val="single" w:sz="4" w:space="0" w:color="auto"/>
            </w:tcBorders>
            <w:vAlign w:val="center"/>
          </w:tcPr>
          <w:p w14:paraId="6B91290F" w14:textId="7EE9BC56"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595"/>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595"/>
                <w14:textFill>
                  <w14:solidFill>
                    <w14:srgbClr w14:val="000000">
                      <w14:alpha w14:val="100000"/>
                    </w14:srgbClr>
                  </w14:solidFill>
                </w14:textFill>
              </w:rPr>
              <w:t>|</w:t>
            </w:r>
            <w:r w:rsidR="00C655B2">
              <w:rPr>
                <w:rFonts w:ascii="Arial Narrow" w:hAnsi="Arial Narrow"/>
                <w:sz w:val="20"/>
                <w:szCs w:val="20"/>
                <w:vertAlign w:val="superscript"/>
              </w:rPr>
              <w:t>9</w:t>
            </w:r>
          </w:p>
        </w:tc>
      </w:tr>
      <w:tr w:rsidR="009C0E0F" w:rsidRPr="00B36948" w14:paraId="34CAAD16" w14:textId="77777777" w:rsidTr="009C0E0F">
        <w:trPr>
          <w:cantSplit/>
        </w:trPr>
        <w:tc>
          <w:tcPr>
            <w:tcW w:w="1366" w:type="pct"/>
            <w:tcBorders>
              <w:left w:val="single" w:sz="4" w:space="0" w:color="auto"/>
            </w:tcBorders>
            <w:shd w:val="clear" w:color="auto" w:fill="auto"/>
            <w:vAlign w:val="center"/>
          </w:tcPr>
          <w:p w14:paraId="69145A2D" w14:textId="77777777" w:rsidR="000F4B43" w:rsidRPr="00B36948" w:rsidRDefault="000F4B43" w:rsidP="00B36948">
            <w:pPr>
              <w:keepNext/>
              <w:jc w:val="left"/>
              <w:rPr>
                <w:rFonts w:ascii="Arial Narrow" w:hAnsi="Arial Narrow"/>
                <w:sz w:val="20"/>
                <w:szCs w:val="20"/>
              </w:rPr>
            </w:pPr>
            <w:r w:rsidRPr="00B36948">
              <w:rPr>
                <w:rFonts w:ascii="Arial Narrow" w:hAnsi="Arial Narrow"/>
                <w:sz w:val="20"/>
                <w:szCs w:val="20"/>
              </w:rPr>
              <w:t xml:space="preserve">Evolocumab 140 mg scripts (11.05 scripts per patient) </w:t>
            </w:r>
          </w:p>
        </w:tc>
        <w:tc>
          <w:tcPr>
            <w:tcW w:w="605" w:type="pct"/>
            <w:shd w:val="clear" w:color="auto" w:fill="auto"/>
            <w:vAlign w:val="center"/>
          </w:tcPr>
          <w:p w14:paraId="4CD45CB2" w14:textId="7DC32AB0"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594"/>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594"/>
                <w14:textFill>
                  <w14:solidFill>
                    <w14:srgbClr w14:val="000000">
                      <w14:alpha w14:val="100000"/>
                    </w14:srgbClr>
                  </w14:solidFill>
                </w14:textFill>
              </w:rPr>
              <w:t>|</w:t>
            </w:r>
            <w:r w:rsidR="00C655B2">
              <w:rPr>
                <w:rFonts w:ascii="Arial Narrow" w:hAnsi="Arial Narrow"/>
                <w:sz w:val="20"/>
                <w:szCs w:val="20"/>
                <w:vertAlign w:val="superscript"/>
              </w:rPr>
              <w:t>6</w:t>
            </w:r>
          </w:p>
        </w:tc>
        <w:tc>
          <w:tcPr>
            <w:tcW w:w="606" w:type="pct"/>
            <w:shd w:val="clear" w:color="auto" w:fill="auto"/>
            <w:vAlign w:val="center"/>
          </w:tcPr>
          <w:p w14:paraId="09F4E52B" w14:textId="63DB2893"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59"/>
                <w:sz w:val="20"/>
                <w:szCs w:val="20"/>
                <w:shd w:val="solid" w:color="000000" w:fill="000000"/>
                <w:fitText w:val="350" w:id="-1435748593"/>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50" w:id="-1435748593"/>
                <w14:textFill>
                  <w14:solidFill>
                    <w14:srgbClr w14:val="000000">
                      <w14:alpha w14:val="100000"/>
                    </w14:srgbClr>
                  </w14:solidFill>
                </w14:textFill>
              </w:rPr>
              <w:t>|</w:t>
            </w:r>
            <w:r w:rsidR="009C0E0F">
              <w:rPr>
                <w:rFonts w:ascii="Arial Narrow" w:hAnsi="Arial Narrow"/>
                <w:sz w:val="20"/>
                <w:szCs w:val="20"/>
                <w:vertAlign w:val="superscript"/>
              </w:rPr>
              <w:t>1</w:t>
            </w:r>
            <w:r w:rsidR="00C655B2">
              <w:rPr>
                <w:rFonts w:ascii="Arial Narrow" w:hAnsi="Arial Narrow"/>
                <w:sz w:val="20"/>
                <w:szCs w:val="20"/>
                <w:vertAlign w:val="superscript"/>
              </w:rPr>
              <w:t>1</w:t>
            </w:r>
          </w:p>
        </w:tc>
        <w:tc>
          <w:tcPr>
            <w:tcW w:w="605" w:type="pct"/>
            <w:shd w:val="clear" w:color="auto" w:fill="auto"/>
            <w:vAlign w:val="center"/>
          </w:tcPr>
          <w:p w14:paraId="1308678F" w14:textId="5C790A44"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59"/>
                <w:sz w:val="20"/>
                <w:szCs w:val="20"/>
                <w:shd w:val="solid" w:color="000000" w:fill="000000"/>
                <w:fitText w:val="350" w:id="-1435748592"/>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50" w:id="-1435748592"/>
                <w14:textFill>
                  <w14:solidFill>
                    <w14:srgbClr w14:val="000000">
                      <w14:alpha w14:val="100000"/>
                    </w14:srgbClr>
                  </w14:solidFill>
                </w14:textFill>
              </w:rPr>
              <w:t>|</w:t>
            </w:r>
            <w:r w:rsidR="009C0E0F">
              <w:rPr>
                <w:rFonts w:ascii="Arial Narrow" w:hAnsi="Arial Narrow"/>
                <w:sz w:val="20"/>
                <w:szCs w:val="20"/>
                <w:vertAlign w:val="superscript"/>
              </w:rPr>
              <w:t>1</w:t>
            </w:r>
            <w:r w:rsidR="00C655B2">
              <w:rPr>
                <w:rFonts w:ascii="Arial Narrow" w:hAnsi="Arial Narrow"/>
                <w:sz w:val="20"/>
                <w:szCs w:val="20"/>
                <w:vertAlign w:val="superscript"/>
              </w:rPr>
              <w:t>2</w:t>
            </w:r>
          </w:p>
        </w:tc>
        <w:tc>
          <w:tcPr>
            <w:tcW w:w="607" w:type="pct"/>
            <w:shd w:val="clear" w:color="auto" w:fill="auto"/>
            <w:vAlign w:val="center"/>
          </w:tcPr>
          <w:p w14:paraId="4479909F" w14:textId="579E486B"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59"/>
                <w:sz w:val="20"/>
                <w:szCs w:val="20"/>
                <w:shd w:val="solid" w:color="000000" w:fill="000000"/>
                <w:fitText w:val="350" w:id="-1435748608"/>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50" w:id="-1435748608"/>
                <w14:textFill>
                  <w14:solidFill>
                    <w14:srgbClr w14:val="000000">
                      <w14:alpha w14:val="100000"/>
                    </w14:srgbClr>
                  </w14:solidFill>
                </w14:textFill>
              </w:rPr>
              <w:t>|</w:t>
            </w:r>
            <w:r w:rsidR="009C0E0F">
              <w:rPr>
                <w:rFonts w:ascii="Arial Narrow" w:hAnsi="Arial Narrow"/>
                <w:sz w:val="20"/>
                <w:szCs w:val="20"/>
                <w:vertAlign w:val="superscript"/>
              </w:rPr>
              <w:t>1</w:t>
            </w:r>
            <w:r w:rsidR="00C655B2">
              <w:rPr>
                <w:rFonts w:ascii="Arial Narrow" w:hAnsi="Arial Narrow"/>
                <w:sz w:val="20"/>
                <w:szCs w:val="20"/>
                <w:vertAlign w:val="superscript"/>
              </w:rPr>
              <w:t>2</w:t>
            </w:r>
          </w:p>
        </w:tc>
        <w:tc>
          <w:tcPr>
            <w:tcW w:w="605" w:type="pct"/>
            <w:tcBorders>
              <w:right w:val="single" w:sz="4" w:space="0" w:color="auto"/>
            </w:tcBorders>
            <w:shd w:val="clear" w:color="auto" w:fill="auto"/>
            <w:vAlign w:val="center"/>
          </w:tcPr>
          <w:p w14:paraId="06ADFC08" w14:textId="749FBCE6"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607"/>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607"/>
                <w14:textFill>
                  <w14:solidFill>
                    <w14:srgbClr w14:val="000000">
                      <w14:alpha w14:val="100000"/>
                    </w14:srgbClr>
                  </w14:solidFill>
                </w14:textFill>
              </w:rPr>
              <w:t>|</w:t>
            </w:r>
            <w:r w:rsidR="00C655B2">
              <w:rPr>
                <w:rFonts w:ascii="Arial Narrow" w:hAnsi="Arial Narrow"/>
                <w:sz w:val="20"/>
                <w:szCs w:val="20"/>
                <w:vertAlign w:val="superscript"/>
              </w:rPr>
              <w:t>5</w:t>
            </w:r>
          </w:p>
        </w:tc>
        <w:tc>
          <w:tcPr>
            <w:tcW w:w="606" w:type="pct"/>
            <w:tcBorders>
              <w:right w:val="single" w:sz="4" w:space="0" w:color="auto"/>
            </w:tcBorders>
            <w:vAlign w:val="center"/>
          </w:tcPr>
          <w:p w14:paraId="5BAA7155" w14:textId="7E6F686B"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606"/>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606"/>
                <w14:textFill>
                  <w14:solidFill>
                    <w14:srgbClr w14:val="000000">
                      <w14:alpha w14:val="100000"/>
                    </w14:srgbClr>
                  </w14:solidFill>
                </w14:textFill>
              </w:rPr>
              <w:t>|</w:t>
            </w:r>
            <w:r w:rsidR="00C655B2">
              <w:rPr>
                <w:rFonts w:ascii="Arial Narrow" w:hAnsi="Arial Narrow"/>
                <w:sz w:val="20"/>
                <w:szCs w:val="20"/>
                <w:vertAlign w:val="superscript"/>
              </w:rPr>
              <w:t>5</w:t>
            </w:r>
          </w:p>
        </w:tc>
      </w:tr>
      <w:tr w:rsidR="009C0E0F" w:rsidRPr="00B36948" w14:paraId="3A94073E" w14:textId="77777777" w:rsidTr="009C0E0F">
        <w:trPr>
          <w:cantSplit/>
        </w:trPr>
        <w:tc>
          <w:tcPr>
            <w:tcW w:w="1366" w:type="pct"/>
            <w:tcBorders>
              <w:left w:val="single" w:sz="4" w:space="0" w:color="auto"/>
            </w:tcBorders>
            <w:shd w:val="clear" w:color="auto" w:fill="auto"/>
            <w:vAlign w:val="center"/>
          </w:tcPr>
          <w:p w14:paraId="5E5EEB59" w14:textId="5EEC715F" w:rsidR="000F4B43" w:rsidRPr="00B36948" w:rsidRDefault="000F4B43" w:rsidP="00B36948">
            <w:pPr>
              <w:keepNext/>
              <w:jc w:val="left"/>
              <w:rPr>
                <w:rFonts w:ascii="Arial Narrow" w:hAnsi="Arial Narrow"/>
                <w:sz w:val="20"/>
                <w:szCs w:val="20"/>
                <w:vertAlign w:val="superscript"/>
              </w:rPr>
            </w:pPr>
            <w:r w:rsidRPr="00B36948">
              <w:rPr>
                <w:rFonts w:ascii="Arial Narrow" w:hAnsi="Arial Narrow"/>
                <w:sz w:val="20"/>
                <w:szCs w:val="20"/>
              </w:rPr>
              <w:t>Evolocumab 140 mg scripts (effective DPMQ $</w:t>
            </w:r>
            <w:r w:rsidR="00650CB8" w:rsidRPr="00650CB8">
              <w:rPr>
                <w:rFonts w:ascii="Arial Narrow" w:hAnsi="Arial Narrow"/>
                <w:color w:val="000000"/>
                <w:spacing w:val="48"/>
                <w:sz w:val="20"/>
                <w:szCs w:val="20"/>
                <w:shd w:val="solid" w:color="000000" w:fill="000000"/>
                <w:fitText w:val="500" w:id="-1435748605"/>
                <w14:textFill>
                  <w14:solidFill>
                    <w14:srgbClr w14:val="000000">
                      <w14:alpha w14:val="100000"/>
                    </w14:srgbClr>
                  </w14:solidFill>
                </w14:textFill>
              </w:rPr>
              <w:t>|||||</w:t>
            </w:r>
            <w:r w:rsidR="00650CB8" w:rsidRPr="00650CB8">
              <w:rPr>
                <w:rFonts w:ascii="Arial Narrow" w:hAnsi="Arial Narrow"/>
                <w:color w:val="000000"/>
                <w:spacing w:val="5"/>
                <w:sz w:val="20"/>
                <w:szCs w:val="20"/>
                <w:shd w:val="solid" w:color="000000" w:fill="000000"/>
                <w:fitText w:val="500" w:id="-1435748605"/>
                <w14:textFill>
                  <w14:solidFill>
                    <w14:srgbClr w14:val="000000">
                      <w14:alpha w14:val="100000"/>
                    </w14:srgbClr>
                  </w14:solidFill>
                </w14:textFill>
              </w:rPr>
              <w:t>|</w:t>
            </w:r>
            <w:r w:rsidRPr="00B36948">
              <w:rPr>
                <w:rFonts w:ascii="Arial Narrow" w:hAnsi="Arial Narrow"/>
                <w:sz w:val="20"/>
                <w:szCs w:val="20"/>
              </w:rPr>
              <w:t xml:space="preserve">) </w:t>
            </w:r>
            <w:r w:rsidRPr="00B36948">
              <w:rPr>
                <w:rFonts w:ascii="Arial Narrow" w:hAnsi="Arial Narrow"/>
                <w:sz w:val="20"/>
                <w:szCs w:val="20"/>
                <w:vertAlign w:val="superscript"/>
              </w:rPr>
              <w:t>1</w:t>
            </w:r>
          </w:p>
        </w:tc>
        <w:tc>
          <w:tcPr>
            <w:tcW w:w="605" w:type="pct"/>
            <w:shd w:val="clear" w:color="auto" w:fill="auto"/>
            <w:vAlign w:val="center"/>
          </w:tcPr>
          <w:p w14:paraId="7A77A4AC" w14:textId="1BE8349F" w:rsidR="000F4B43" w:rsidRPr="009C0E0F" w:rsidRDefault="000F4B43" w:rsidP="00B36948">
            <w:pPr>
              <w:keepNext/>
              <w:jc w:val="center"/>
              <w:rPr>
                <w:rFonts w:ascii="Arial Narrow" w:hAnsi="Arial Narrow"/>
                <w:sz w:val="20"/>
                <w:szCs w:val="20"/>
                <w:vertAlign w:val="superscript"/>
              </w:rPr>
            </w:pPr>
            <w:r w:rsidRPr="00B36948">
              <w:rPr>
                <w:rFonts w:ascii="Arial Narrow" w:hAnsi="Arial Narrow"/>
                <w:sz w:val="20"/>
                <w:szCs w:val="20"/>
              </w:rPr>
              <w:t>$</w:t>
            </w:r>
            <w:r w:rsidR="00650CB8" w:rsidRPr="00650CB8">
              <w:rPr>
                <w:rFonts w:ascii="Arial Narrow" w:hAnsi="Arial Narrow"/>
                <w:color w:val="000000"/>
                <w:spacing w:val="76"/>
                <w:sz w:val="20"/>
                <w:szCs w:val="20"/>
                <w:shd w:val="solid" w:color="000000" w:fill="000000"/>
                <w:fitText w:val="400" w:id="-1435748604"/>
                <w14:textFill>
                  <w14:solidFill>
                    <w14:srgbClr w14:val="000000">
                      <w14:alpha w14:val="100000"/>
                    </w14:srgbClr>
                  </w14:solidFill>
                </w14:textFill>
              </w:rPr>
              <w:t>|||</w:t>
            </w:r>
            <w:r w:rsidR="00650CB8" w:rsidRPr="00650CB8">
              <w:rPr>
                <w:rFonts w:ascii="Arial Narrow" w:hAnsi="Arial Narrow"/>
                <w:color w:val="000000"/>
                <w:spacing w:val="2"/>
                <w:sz w:val="20"/>
                <w:szCs w:val="20"/>
                <w:shd w:val="solid" w:color="000000" w:fill="000000"/>
                <w:fitText w:val="400" w:id="-1435748604"/>
                <w14:textFill>
                  <w14:solidFill>
                    <w14:srgbClr w14:val="000000">
                      <w14:alpha w14:val="100000"/>
                    </w14:srgbClr>
                  </w14:solidFill>
                </w14:textFill>
              </w:rPr>
              <w:t>|</w:t>
            </w:r>
            <w:r w:rsidR="009C0E0F">
              <w:rPr>
                <w:rFonts w:ascii="Arial Narrow" w:hAnsi="Arial Narrow"/>
                <w:sz w:val="20"/>
                <w:szCs w:val="20"/>
                <w:vertAlign w:val="superscript"/>
              </w:rPr>
              <w:t>1</w:t>
            </w:r>
            <w:r w:rsidR="00624492">
              <w:rPr>
                <w:rFonts w:ascii="Arial Narrow" w:hAnsi="Arial Narrow"/>
                <w:sz w:val="20"/>
                <w:szCs w:val="20"/>
                <w:vertAlign w:val="superscript"/>
              </w:rPr>
              <w:t>3</w:t>
            </w:r>
          </w:p>
        </w:tc>
        <w:tc>
          <w:tcPr>
            <w:tcW w:w="606" w:type="pct"/>
            <w:shd w:val="clear" w:color="auto" w:fill="auto"/>
            <w:vAlign w:val="center"/>
          </w:tcPr>
          <w:p w14:paraId="5AF5578A" w14:textId="6746C77C" w:rsidR="000F4B43" w:rsidRPr="00B36948" w:rsidRDefault="000F4B43" w:rsidP="00B36948">
            <w:pPr>
              <w:keepNext/>
              <w:jc w:val="center"/>
              <w:rPr>
                <w:rFonts w:ascii="Arial Narrow" w:hAnsi="Arial Narrow"/>
                <w:sz w:val="20"/>
                <w:szCs w:val="20"/>
              </w:rPr>
            </w:pPr>
            <w:r w:rsidRPr="00B36948">
              <w:rPr>
                <w:rFonts w:ascii="Arial Narrow" w:hAnsi="Arial Narrow"/>
                <w:sz w:val="20"/>
                <w:szCs w:val="20"/>
              </w:rPr>
              <w:t>$</w:t>
            </w:r>
            <w:r w:rsidR="00650CB8" w:rsidRPr="00650CB8">
              <w:rPr>
                <w:rFonts w:ascii="Arial Narrow" w:hAnsi="Arial Narrow"/>
                <w:color w:val="000000"/>
                <w:spacing w:val="76"/>
                <w:sz w:val="20"/>
                <w:szCs w:val="20"/>
                <w:shd w:val="solid" w:color="000000" w:fill="000000"/>
                <w:fitText w:val="400" w:id="-1435748603"/>
                <w14:textFill>
                  <w14:solidFill>
                    <w14:srgbClr w14:val="000000">
                      <w14:alpha w14:val="100000"/>
                    </w14:srgbClr>
                  </w14:solidFill>
                </w14:textFill>
              </w:rPr>
              <w:t>|||</w:t>
            </w:r>
            <w:r w:rsidR="00650CB8" w:rsidRPr="00650CB8">
              <w:rPr>
                <w:rFonts w:ascii="Arial Narrow" w:hAnsi="Arial Narrow"/>
                <w:color w:val="000000"/>
                <w:spacing w:val="2"/>
                <w:sz w:val="20"/>
                <w:szCs w:val="20"/>
                <w:shd w:val="solid" w:color="000000" w:fill="000000"/>
                <w:fitText w:val="400" w:id="-1435748603"/>
                <w14:textFill>
                  <w14:solidFill>
                    <w14:srgbClr w14:val="000000">
                      <w14:alpha w14:val="100000"/>
                    </w14:srgbClr>
                  </w14:solidFill>
                </w14:textFill>
              </w:rPr>
              <w:t>|</w:t>
            </w:r>
            <w:r w:rsidR="009C0E0F">
              <w:rPr>
                <w:rFonts w:ascii="Arial Narrow" w:hAnsi="Arial Narrow"/>
                <w:sz w:val="20"/>
                <w:szCs w:val="20"/>
                <w:vertAlign w:val="superscript"/>
              </w:rPr>
              <w:t>1</w:t>
            </w:r>
            <w:r w:rsidR="00624492">
              <w:rPr>
                <w:rFonts w:ascii="Arial Narrow" w:hAnsi="Arial Narrow"/>
                <w:sz w:val="20"/>
                <w:szCs w:val="20"/>
                <w:vertAlign w:val="superscript"/>
              </w:rPr>
              <w:t>3</w:t>
            </w:r>
          </w:p>
        </w:tc>
        <w:tc>
          <w:tcPr>
            <w:tcW w:w="605" w:type="pct"/>
            <w:shd w:val="clear" w:color="auto" w:fill="auto"/>
            <w:vAlign w:val="center"/>
          </w:tcPr>
          <w:p w14:paraId="112C291E" w14:textId="7421C0B7" w:rsidR="000F4B43" w:rsidRPr="00B36948" w:rsidRDefault="000F4B43" w:rsidP="00B36948">
            <w:pPr>
              <w:keepNext/>
              <w:jc w:val="center"/>
              <w:rPr>
                <w:rFonts w:ascii="Arial Narrow" w:hAnsi="Arial Narrow"/>
                <w:sz w:val="20"/>
                <w:szCs w:val="20"/>
              </w:rPr>
            </w:pPr>
            <w:r w:rsidRPr="00B36948">
              <w:rPr>
                <w:rFonts w:ascii="Arial Narrow" w:hAnsi="Arial Narrow"/>
                <w:sz w:val="20"/>
                <w:szCs w:val="20"/>
              </w:rPr>
              <w:t>$</w:t>
            </w:r>
            <w:r w:rsidR="00650CB8" w:rsidRPr="00650CB8">
              <w:rPr>
                <w:rFonts w:ascii="Arial Narrow" w:hAnsi="Arial Narrow"/>
                <w:color w:val="000000"/>
                <w:spacing w:val="76"/>
                <w:sz w:val="20"/>
                <w:szCs w:val="20"/>
                <w:shd w:val="solid" w:color="000000" w:fill="000000"/>
                <w:fitText w:val="400" w:id="-1435748602"/>
                <w14:textFill>
                  <w14:solidFill>
                    <w14:srgbClr w14:val="000000">
                      <w14:alpha w14:val="100000"/>
                    </w14:srgbClr>
                  </w14:solidFill>
                </w14:textFill>
              </w:rPr>
              <w:t>|||</w:t>
            </w:r>
            <w:r w:rsidR="00650CB8" w:rsidRPr="00650CB8">
              <w:rPr>
                <w:rFonts w:ascii="Arial Narrow" w:hAnsi="Arial Narrow"/>
                <w:color w:val="000000"/>
                <w:spacing w:val="2"/>
                <w:sz w:val="20"/>
                <w:szCs w:val="20"/>
                <w:shd w:val="solid" w:color="000000" w:fill="000000"/>
                <w:fitText w:val="400" w:id="-1435748602"/>
                <w14:textFill>
                  <w14:solidFill>
                    <w14:srgbClr w14:val="000000">
                      <w14:alpha w14:val="100000"/>
                    </w14:srgbClr>
                  </w14:solidFill>
                </w14:textFill>
              </w:rPr>
              <w:t>|</w:t>
            </w:r>
            <w:r w:rsidR="009C0E0F">
              <w:rPr>
                <w:rFonts w:ascii="Arial Narrow" w:hAnsi="Arial Narrow"/>
                <w:sz w:val="20"/>
                <w:szCs w:val="20"/>
                <w:vertAlign w:val="superscript"/>
              </w:rPr>
              <w:t>1</w:t>
            </w:r>
            <w:r w:rsidR="00624492">
              <w:rPr>
                <w:rFonts w:ascii="Arial Narrow" w:hAnsi="Arial Narrow"/>
                <w:sz w:val="20"/>
                <w:szCs w:val="20"/>
                <w:vertAlign w:val="superscript"/>
              </w:rPr>
              <w:t>4</w:t>
            </w:r>
          </w:p>
        </w:tc>
        <w:tc>
          <w:tcPr>
            <w:tcW w:w="607" w:type="pct"/>
            <w:shd w:val="clear" w:color="auto" w:fill="auto"/>
            <w:vAlign w:val="center"/>
          </w:tcPr>
          <w:p w14:paraId="66323186" w14:textId="7E485B07" w:rsidR="000F4B43" w:rsidRPr="009C0E0F" w:rsidRDefault="000F4B43" w:rsidP="00B36948">
            <w:pPr>
              <w:keepNext/>
              <w:jc w:val="center"/>
              <w:rPr>
                <w:rFonts w:ascii="Arial Narrow" w:hAnsi="Arial Narrow"/>
                <w:sz w:val="20"/>
                <w:szCs w:val="20"/>
                <w:vertAlign w:val="superscript"/>
              </w:rPr>
            </w:pPr>
            <w:r w:rsidRPr="00B36948">
              <w:rPr>
                <w:rFonts w:ascii="Arial Narrow" w:hAnsi="Arial Narrow"/>
                <w:sz w:val="20"/>
                <w:szCs w:val="20"/>
              </w:rPr>
              <w:t>$</w:t>
            </w:r>
            <w:r w:rsidR="00650CB8" w:rsidRPr="00650CB8">
              <w:rPr>
                <w:rFonts w:ascii="Arial Narrow" w:hAnsi="Arial Narrow"/>
                <w:color w:val="000000"/>
                <w:spacing w:val="76"/>
                <w:sz w:val="20"/>
                <w:szCs w:val="20"/>
                <w:shd w:val="solid" w:color="000000" w:fill="000000"/>
                <w:fitText w:val="400" w:id="-1435748601"/>
                <w14:textFill>
                  <w14:solidFill>
                    <w14:srgbClr w14:val="000000">
                      <w14:alpha w14:val="100000"/>
                    </w14:srgbClr>
                  </w14:solidFill>
                </w14:textFill>
              </w:rPr>
              <w:t>|||</w:t>
            </w:r>
            <w:r w:rsidR="00650CB8" w:rsidRPr="00650CB8">
              <w:rPr>
                <w:rFonts w:ascii="Arial Narrow" w:hAnsi="Arial Narrow"/>
                <w:color w:val="000000"/>
                <w:spacing w:val="2"/>
                <w:sz w:val="20"/>
                <w:szCs w:val="20"/>
                <w:shd w:val="solid" w:color="000000" w:fill="000000"/>
                <w:fitText w:val="400" w:id="-1435748601"/>
                <w14:textFill>
                  <w14:solidFill>
                    <w14:srgbClr w14:val="000000">
                      <w14:alpha w14:val="100000"/>
                    </w14:srgbClr>
                  </w14:solidFill>
                </w14:textFill>
              </w:rPr>
              <w:t>|</w:t>
            </w:r>
            <w:r w:rsidR="009C0E0F">
              <w:rPr>
                <w:rFonts w:ascii="Arial Narrow" w:hAnsi="Arial Narrow"/>
                <w:sz w:val="20"/>
                <w:szCs w:val="20"/>
                <w:vertAlign w:val="superscript"/>
              </w:rPr>
              <w:t>1</w:t>
            </w:r>
            <w:r w:rsidR="00624492">
              <w:rPr>
                <w:rFonts w:ascii="Arial Narrow" w:hAnsi="Arial Narrow"/>
                <w:sz w:val="20"/>
                <w:szCs w:val="20"/>
                <w:vertAlign w:val="superscript"/>
              </w:rPr>
              <w:t>4</w:t>
            </w:r>
          </w:p>
        </w:tc>
        <w:tc>
          <w:tcPr>
            <w:tcW w:w="605" w:type="pct"/>
            <w:tcBorders>
              <w:right w:val="single" w:sz="4" w:space="0" w:color="auto"/>
            </w:tcBorders>
            <w:shd w:val="clear" w:color="auto" w:fill="auto"/>
            <w:vAlign w:val="center"/>
          </w:tcPr>
          <w:p w14:paraId="2EA2C26A" w14:textId="6148B3DE" w:rsidR="000F4B43" w:rsidRPr="009C0E0F" w:rsidRDefault="000F4B43" w:rsidP="00B36948">
            <w:pPr>
              <w:keepNext/>
              <w:jc w:val="center"/>
              <w:rPr>
                <w:rFonts w:ascii="Arial Narrow" w:hAnsi="Arial Narrow"/>
                <w:sz w:val="20"/>
                <w:szCs w:val="20"/>
                <w:vertAlign w:val="superscript"/>
              </w:rPr>
            </w:pPr>
            <w:r w:rsidRPr="00B36948">
              <w:rPr>
                <w:rFonts w:ascii="Arial Narrow" w:hAnsi="Arial Narrow"/>
                <w:sz w:val="20"/>
                <w:szCs w:val="20"/>
              </w:rPr>
              <w:t>$</w:t>
            </w:r>
            <w:r w:rsidR="00650CB8" w:rsidRPr="00650CB8">
              <w:rPr>
                <w:rFonts w:ascii="Arial Narrow" w:hAnsi="Arial Narrow"/>
                <w:color w:val="000000"/>
                <w:spacing w:val="76"/>
                <w:sz w:val="20"/>
                <w:szCs w:val="20"/>
                <w:shd w:val="solid" w:color="000000" w:fill="000000"/>
                <w:fitText w:val="400" w:id="-1435748600"/>
                <w14:textFill>
                  <w14:solidFill>
                    <w14:srgbClr w14:val="000000">
                      <w14:alpha w14:val="100000"/>
                    </w14:srgbClr>
                  </w14:solidFill>
                </w14:textFill>
              </w:rPr>
              <w:t>|||</w:t>
            </w:r>
            <w:r w:rsidR="00650CB8" w:rsidRPr="00650CB8">
              <w:rPr>
                <w:rFonts w:ascii="Arial Narrow" w:hAnsi="Arial Narrow"/>
                <w:color w:val="000000"/>
                <w:spacing w:val="2"/>
                <w:sz w:val="20"/>
                <w:szCs w:val="20"/>
                <w:shd w:val="solid" w:color="000000" w:fill="000000"/>
                <w:fitText w:val="400" w:id="-1435748600"/>
                <w14:textFill>
                  <w14:solidFill>
                    <w14:srgbClr w14:val="000000">
                      <w14:alpha w14:val="100000"/>
                    </w14:srgbClr>
                  </w14:solidFill>
                </w14:textFill>
              </w:rPr>
              <w:t>|</w:t>
            </w:r>
            <w:r w:rsidR="009C0E0F">
              <w:rPr>
                <w:rFonts w:ascii="Arial Narrow" w:hAnsi="Arial Narrow"/>
                <w:sz w:val="20"/>
                <w:szCs w:val="20"/>
                <w:vertAlign w:val="superscript"/>
              </w:rPr>
              <w:t>1</w:t>
            </w:r>
            <w:r w:rsidR="00624492">
              <w:rPr>
                <w:rFonts w:ascii="Arial Narrow" w:hAnsi="Arial Narrow"/>
                <w:sz w:val="20"/>
                <w:szCs w:val="20"/>
                <w:vertAlign w:val="superscript"/>
              </w:rPr>
              <w:t>4</w:t>
            </w:r>
          </w:p>
        </w:tc>
        <w:tc>
          <w:tcPr>
            <w:tcW w:w="606" w:type="pct"/>
            <w:tcBorders>
              <w:right w:val="single" w:sz="4" w:space="0" w:color="auto"/>
            </w:tcBorders>
            <w:vAlign w:val="center"/>
          </w:tcPr>
          <w:p w14:paraId="35092317" w14:textId="151EB2DB" w:rsidR="000F4B43" w:rsidRPr="009C0E0F" w:rsidRDefault="000F4B43" w:rsidP="00B36948">
            <w:pPr>
              <w:keepNext/>
              <w:jc w:val="center"/>
              <w:rPr>
                <w:rFonts w:ascii="Arial Narrow" w:hAnsi="Arial Narrow"/>
                <w:sz w:val="20"/>
                <w:szCs w:val="20"/>
                <w:vertAlign w:val="superscript"/>
              </w:rPr>
            </w:pPr>
            <w:r w:rsidRPr="00B36948">
              <w:rPr>
                <w:rFonts w:ascii="Arial Narrow" w:hAnsi="Arial Narrow"/>
                <w:sz w:val="20"/>
                <w:szCs w:val="20"/>
              </w:rPr>
              <w:t>$</w:t>
            </w:r>
            <w:r w:rsidR="00650CB8" w:rsidRPr="00650CB8">
              <w:rPr>
                <w:rFonts w:ascii="Arial Narrow" w:hAnsi="Arial Narrow"/>
                <w:color w:val="000000"/>
                <w:spacing w:val="76"/>
                <w:sz w:val="20"/>
                <w:szCs w:val="20"/>
                <w:shd w:val="solid" w:color="000000" w:fill="000000"/>
                <w:fitText w:val="400" w:id="-1435748599"/>
                <w14:textFill>
                  <w14:solidFill>
                    <w14:srgbClr w14:val="000000">
                      <w14:alpha w14:val="100000"/>
                    </w14:srgbClr>
                  </w14:solidFill>
                </w14:textFill>
              </w:rPr>
              <w:t>|||</w:t>
            </w:r>
            <w:r w:rsidR="00650CB8" w:rsidRPr="00650CB8">
              <w:rPr>
                <w:rFonts w:ascii="Arial Narrow" w:hAnsi="Arial Narrow"/>
                <w:color w:val="000000"/>
                <w:spacing w:val="2"/>
                <w:sz w:val="20"/>
                <w:szCs w:val="20"/>
                <w:shd w:val="solid" w:color="000000" w:fill="000000"/>
                <w:fitText w:val="400" w:id="-1435748599"/>
                <w14:textFill>
                  <w14:solidFill>
                    <w14:srgbClr w14:val="000000">
                      <w14:alpha w14:val="100000"/>
                    </w14:srgbClr>
                  </w14:solidFill>
                </w14:textFill>
              </w:rPr>
              <w:t>|</w:t>
            </w:r>
            <w:r w:rsidR="009C0E0F">
              <w:rPr>
                <w:rFonts w:ascii="Arial Narrow" w:hAnsi="Arial Narrow"/>
                <w:sz w:val="20"/>
                <w:szCs w:val="20"/>
                <w:vertAlign w:val="superscript"/>
              </w:rPr>
              <w:t>1</w:t>
            </w:r>
            <w:r w:rsidR="00624492">
              <w:rPr>
                <w:rFonts w:ascii="Arial Narrow" w:hAnsi="Arial Narrow"/>
                <w:sz w:val="20"/>
                <w:szCs w:val="20"/>
                <w:vertAlign w:val="superscript"/>
              </w:rPr>
              <w:t>4</w:t>
            </w:r>
          </w:p>
        </w:tc>
      </w:tr>
      <w:tr w:rsidR="009C0E0F" w:rsidRPr="00B36948" w14:paraId="75D04FD2" w14:textId="77777777" w:rsidTr="009C0E0F">
        <w:trPr>
          <w:cantSplit/>
        </w:trPr>
        <w:tc>
          <w:tcPr>
            <w:tcW w:w="1366" w:type="pct"/>
            <w:tcBorders>
              <w:left w:val="single" w:sz="4" w:space="0" w:color="auto"/>
            </w:tcBorders>
            <w:shd w:val="clear" w:color="auto" w:fill="auto"/>
            <w:vAlign w:val="center"/>
          </w:tcPr>
          <w:p w14:paraId="5BE69FDA" w14:textId="77777777" w:rsidR="000F4B43" w:rsidRPr="00B36948" w:rsidRDefault="000F4B43" w:rsidP="00B36948">
            <w:pPr>
              <w:keepNext/>
              <w:jc w:val="left"/>
              <w:rPr>
                <w:rFonts w:ascii="Arial Narrow" w:hAnsi="Arial Narrow"/>
                <w:b/>
                <w:sz w:val="20"/>
                <w:szCs w:val="20"/>
              </w:rPr>
            </w:pPr>
            <w:r w:rsidRPr="00B36948">
              <w:rPr>
                <w:rFonts w:ascii="Arial Narrow" w:hAnsi="Arial Narrow"/>
                <w:sz w:val="20"/>
                <w:szCs w:val="20"/>
              </w:rPr>
              <w:t>Patients - monthly dose (20%)</w:t>
            </w:r>
          </w:p>
        </w:tc>
        <w:tc>
          <w:tcPr>
            <w:tcW w:w="605" w:type="pct"/>
            <w:shd w:val="clear" w:color="auto" w:fill="auto"/>
            <w:vAlign w:val="center"/>
          </w:tcPr>
          <w:p w14:paraId="398F4F3A" w14:textId="40289E5E"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598"/>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598"/>
                <w14:textFill>
                  <w14:solidFill>
                    <w14:srgbClr w14:val="000000">
                      <w14:alpha w14:val="100000"/>
                    </w14:srgbClr>
                  </w14:solidFill>
                </w14:textFill>
              </w:rPr>
              <w:t>|</w:t>
            </w:r>
            <w:r w:rsidR="00C655B2">
              <w:rPr>
                <w:rFonts w:ascii="Arial Narrow" w:hAnsi="Arial Narrow"/>
                <w:sz w:val="20"/>
                <w:szCs w:val="20"/>
                <w:vertAlign w:val="superscript"/>
              </w:rPr>
              <w:t>8</w:t>
            </w:r>
          </w:p>
        </w:tc>
        <w:tc>
          <w:tcPr>
            <w:tcW w:w="606" w:type="pct"/>
            <w:shd w:val="clear" w:color="auto" w:fill="auto"/>
            <w:vAlign w:val="center"/>
          </w:tcPr>
          <w:p w14:paraId="49DF4687" w14:textId="04DDAE9E"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597"/>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597"/>
                <w14:textFill>
                  <w14:solidFill>
                    <w14:srgbClr w14:val="000000">
                      <w14:alpha w14:val="100000"/>
                    </w14:srgbClr>
                  </w14:solidFill>
                </w14:textFill>
              </w:rPr>
              <w:t>|</w:t>
            </w:r>
            <w:r w:rsidR="00C655B2">
              <w:rPr>
                <w:rFonts w:ascii="Arial Narrow" w:hAnsi="Arial Narrow"/>
                <w:sz w:val="20"/>
                <w:szCs w:val="20"/>
                <w:vertAlign w:val="superscript"/>
              </w:rPr>
              <w:t>8</w:t>
            </w:r>
          </w:p>
        </w:tc>
        <w:tc>
          <w:tcPr>
            <w:tcW w:w="605" w:type="pct"/>
            <w:shd w:val="clear" w:color="auto" w:fill="auto"/>
            <w:vAlign w:val="center"/>
          </w:tcPr>
          <w:p w14:paraId="15A17672" w14:textId="68FC5D35"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596"/>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596"/>
                <w14:textFill>
                  <w14:solidFill>
                    <w14:srgbClr w14:val="000000">
                      <w14:alpha w14:val="100000"/>
                    </w14:srgbClr>
                  </w14:solidFill>
                </w14:textFill>
              </w:rPr>
              <w:t>|</w:t>
            </w:r>
            <w:r w:rsidR="00C655B2">
              <w:rPr>
                <w:rFonts w:ascii="Arial Narrow" w:hAnsi="Arial Narrow"/>
                <w:sz w:val="20"/>
                <w:szCs w:val="20"/>
                <w:vertAlign w:val="superscript"/>
              </w:rPr>
              <w:t>8</w:t>
            </w:r>
          </w:p>
        </w:tc>
        <w:tc>
          <w:tcPr>
            <w:tcW w:w="607" w:type="pct"/>
            <w:shd w:val="clear" w:color="auto" w:fill="auto"/>
            <w:vAlign w:val="center"/>
          </w:tcPr>
          <w:p w14:paraId="6E49BF3D" w14:textId="7B66C04F"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595"/>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595"/>
                <w14:textFill>
                  <w14:solidFill>
                    <w14:srgbClr w14:val="000000">
                      <w14:alpha w14:val="100000"/>
                    </w14:srgbClr>
                  </w14:solidFill>
                </w14:textFill>
              </w:rPr>
              <w:t>|</w:t>
            </w:r>
            <w:r w:rsidR="00C655B2">
              <w:rPr>
                <w:rFonts w:ascii="Arial Narrow" w:hAnsi="Arial Narrow"/>
                <w:sz w:val="20"/>
                <w:szCs w:val="20"/>
                <w:vertAlign w:val="superscript"/>
              </w:rPr>
              <w:t>8</w:t>
            </w:r>
          </w:p>
        </w:tc>
        <w:tc>
          <w:tcPr>
            <w:tcW w:w="605" w:type="pct"/>
            <w:tcBorders>
              <w:right w:val="single" w:sz="4" w:space="0" w:color="auto"/>
            </w:tcBorders>
            <w:shd w:val="clear" w:color="auto" w:fill="auto"/>
            <w:vAlign w:val="center"/>
          </w:tcPr>
          <w:p w14:paraId="1E3A8079" w14:textId="68DDBE5B"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352"/>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352"/>
                <w14:textFill>
                  <w14:solidFill>
                    <w14:srgbClr w14:val="000000">
                      <w14:alpha w14:val="100000"/>
                    </w14:srgbClr>
                  </w14:solidFill>
                </w14:textFill>
              </w:rPr>
              <w:t>|</w:t>
            </w:r>
            <w:r w:rsidR="00C655B2">
              <w:rPr>
                <w:rFonts w:ascii="Arial Narrow" w:hAnsi="Arial Narrow"/>
                <w:sz w:val="20"/>
                <w:szCs w:val="20"/>
                <w:vertAlign w:val="superscript"/>
              </w:rPr>
              <w:t>8</w:t>
            </w:r>
          </w:p>
        </w:tc>
        <w:tc>
          <w:tcPr>
            <w:tcW w:w="606" w:type="pct"/>
            <w:tcBorders>
              <w:right w:val="single" w:sz="4" w:space="0" w:color="auto"/>
            </w:tcBorders>
            <w:vAlign w:val="center"/>
          </w:tcPr>
          <w:p w14:paraId="455F586E" w14:textId="1D3419B6"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351"/>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351"/>
                <w14:textFill>
                  <w14:solidFill>
                    <w14:srgbClr w14:val="000000">
                      <w14:alpha w14:val="100000"/>
                    </w14:srgbClr>
                  </w14:solidFill>
                </w14:textFill>
              </w:rPr>
              <w:t>|</w:t>
            </w:r>
            <w:r w:rsidR="00C655B2">
              <w:rPr>
                <w:rFonts w:ascii="Arial Narrow" w:hAnsi="Arial Narrow"/>
                <w:sz w:val="20"/>
                <w:szCs w:val="20"/>
                <w:vertAlign w:val="superscript"/>
              </w:rPr>
              <w:t>8</w:t>
            </w:r>
          </w:p>
        </w:tc>
      </w:tr>
      <w:tr w:rsidR="009C0E0F" w:rsidRPr="00B36948" w14:paraId="3728B6FE" w14:textId="77777777" w:rsidTr="009C0E0F">
        <w:trPr>
          <w:cantSplit/>
        </w:trPr>
        <w:tc>
          <w:tcPr>
            <w:tcW w:w="1366" w:type="pct"/>
            <w:tcBorders>
              <w:left w:val="single" w:sz="4" w:space="0" w:color="auto"/>
            </w:tcBorders>
            <w:shd w:val="clear" w:color="auto" w:fill="auto"/>
            <w:vAlign w:val="center"/>
          </w:tcPr>
          <w:p w14:paraId="53931FA7" w14:textId="77777777" w:rsidR="000F4B43" w:rsidRPr="00B36948" w:rsidRDefault="000F4B43" w:rsidP="00B36948">
            <w:pPr>
              <w:keepNext/>
              <w:jc w:val="left"/>
              <w:rPr>
                <w:rFonts w:ascii="Arial Narrow" w:hAnsi="Arial Narrow"/>
                <w:b/>
                <w:sz w:val="20"/>
                <w:szCs w:val="20"/>
              </w:rPr>
            </w:pPr>
            <w:r w:rsidRPr="00B36948">
              <w:rPr>
                <w:rFonts w:ascii="Arial Narrow" w:hAnsi="Arial Narrow"/>
                <w:sz w:val="20"/>
                <w:szCs w:val="20"/>
              </w:rPr>
              <w:t>Evolocumab 420 mg scripts (10.20 scripts per patient)</w:t>
            </w:r>
          </w:p>
        </w:tc>
        <w:tc>
          <w:tcPr>
            <w:tcW w:w="605" w:type="pct"/>
            <w:shd w:val="clear" w:color="auto" w:fill="auto"/>
            <w:vAlign w:val="center"/>
          </w:tcPr>
          <w:p w14:paraId="4E3226F4" w14:textId="0F3D5A2A"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350"/>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350"/>
                <w14:textFill>
                  <w14:solidFill>
                    <w14:srgbClr w14:val="000000">
                      <w14:alpha w14:val="100000"/>
                    </w14:srgbClr>
                  </w14:solidFill>
                </w14:textFill>
              </w:rPr>
              <w:t>|</w:t>
            </w:r>
            <w:r w:rsidR="00C655B2">
              <w:rPr>
                <w:rFonts w:ascii="Arial Narrow" w:hAnsi="Arial Narrow"/>
                <w:sz w:val="20"/>
                <w:szCs w:val="20"/>
                <w:vertAlign w:val="superscript"/>
              </w:rPr>
              <w:t>9</w:t>
            </w:r>
          </w:p>
        </w:tc>
        <w:tc>
          <w:tcPr>
            <w:tcW w:w="606" w:type="pct"/>
            <w:shd w:val="clear" w:color="auto" w:fill="auto"/>
            <w:vAlign w:val="center"/>
          </w:tcPr>
          <w:p w14:paraId="750D3DF2" w14:textId="4A0902AC"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59"/>
                <w:sz w:val="20"/>
                <w:szCs w:val="20"/>
                <w:shd w:val="solid" w:color="000000" w:fill="000000"/>
                <w:fitText w:val="350" w:id="-1435748349"/>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50" w:id="-1435748349"/>
                <w14:textFill>
                  <w14:solidFill>
                    <w14:srgbClr w14:val="000000">
                      <w14:alpha w14:val="100000"/>
                    </w14:srgbClr>
                  </w14:solidFill>
                </w14:textFill>
              </w:rPr>
              <w:t>|</w:t>
            </w:r>
            <w:r w:rsidR="009C0E0F" w:rsidRPr="009C0E0F">
              <w:rPr>
                <w:rFonts w:ascii="Arial Narrow" w:hAnsi="Arial Narrow"/>
                <w:sz w:val="20"/>
                <w:szCs w:val="20"/>
                <w:vertAlign w:val="superscript"/>
              </w:rPr>
              <w:t>1</w:t>
            </w:r>
            <w:r w:rsidR="00C655B2">
              <w:rPr>
                <w:rFonts w:ascii="Arial Narrow" w:hAnsi="Arial Narrow"/>
                <w:sz w:val="20"/>
                <w:szCs w:val="20"/>
                <w:vertAlign w:val="superscript"/>
              </w:rPr>
              <w:t>0</w:t>
            </w:r>
          </w:p>
        </w:tc>
        <w:tc>
          <w:tcPr>
            <w:tcW w:w="605" w:type="pct"/>
            <w:shd w:val="clear" w:color="auto" w:fill="auto"/>
            <w:vAlign w:val="center"/>
          </w:tcPr>
          <w:p w14:paraId="180E6EEB" w14:textId="664792D2" w:rsidR="000F4B43" w:rsidRPr="009C0E0F" w:rsidRDefault="00650CB8" w:rsidP="00B36948">
            <w:pPr>
              <w:keepNext/>
              <w:jc w:val="center"/>
              <w:rPr>
                <w:rFonts w:ascii="Arial Narrow" w:hAnsi="Arial Narrow"/>
                <w:sz w:val="20"/>
                <w:szCs w:val="20"/>
                <w:highlight w:val="darkGray"/>
                <w:vertAlign w:val="superscript"/>
              </w:rPr>
            </w:pPr>
            <w:r w:rsidRPr="00650CB8">
              <w:rPr>
                <w:rFonts w:ascii="Arial Narrow" w:hAnsi="Arial Narrow"/>
                <w:color w:val="000000"/>
                <w:spacing w:val="59"/>
                <w:sz w:val="20"/>
                <w:szCs w:val="20"/>
                <w:shd w:val="solid" w:color="000000" w:fill="000000"/>
                <w:fitText w:val="350" w:id="-1435748348"/>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50" w:id="-1435748348"/>
                <w14:textFill>
                  <w14:solidFill>
                    <w14:srgbClr w14:val="000000">
                      <w14:alpha w14:val="100000"/>
                    </w14:srgbClr>
                  </w14:solidFill>
                </w14:textFill>
              </w:rPr>
              <w:t>|</w:t>
            </w:r>
            <w:r w:rsidR="009C0E0F" w:rsidRPr="009C0E0F">
              <w:rPr>
                <w:rFonts w:ascii="Arial Narrow" w:hAnsi="Arial Narrow"/>
                <w:sz w:val="20"/>
                <w:szCs w:val="20"/>
                <w:vertAlign w:val="superscript"/>
              </w:rPr>
              <w:t>1</w:t>
            </w:r>
            <w:r w:rsidR="00624492">
              <w:rPr>
                <w:rFonts w:ascii="Arial Narrow" w:hAnsi="Arial Narrow"/>
                <w:sz w:val="20"/>
                <w:szCs w:val="20"/>
                <w:vertAlign w:val="superscript"/>
              </w:rPr>
              <w:t>5</w:t>
            </w:r>
          </w:p>
        </w:tc>
        <w:tc>
          <w:tcPr>
            <w:tcW w:w="607" w:type="pct"/>
            <w:shd w:val="clear" w:color="auto" w:fill="auto"/>
            <w:vAlign w:val="center"/>
          </w:tcPr>
          <w:p w14:paraId="7CC1E68A" w14:textId="0D59663A"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59"/>
                <w:sz w:val="20"/>
                <w:szCs w:val="20"/>
                <w:shd w:val="solid" w:color="000000" w:fill="000000"/>
                <w:fitText w:val="350" w:id="-1435748347"/>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50" w:id="-1435748347"/>
                <w14:textFill>
                  <w14:solidFill>
                    <w14:srgbClr w14:val="000000">
                      <w14:alpha w14:val="100000"/>
                    </w14:srgbClr>
                  </w14:solidFill>
                </w14:textFill>
              </w:rPr>
              <w:t>|</w:t>
            </w:r>
            <w:r w:rsidR="009C0E0F" w:rsidRPr="009C0E0F">
              <w:rPr>
                <w:rFonts w:ascii="Arial Narrow" w:hAnsi="Arial Narrow"/>
                <w:sz w:val="20"/>
                <w:szCs w:val="20"/>
                <w:vertAlign w:val="superscript"/>
              </w:rPr>
              <w:t>1</w:t>
            </w:r>
            <w:r w:rsidR="00624492">
              <w:rPr>
                <w:rFonts w:ascii="Arial Narrow" w:hAnsi="Arial Narrow"/>
                <w:sz w:val="20"/>
                <w:szCs w:val="20"/>
                <w:vertAlign w:val="superscript"/>
              </w:rPr>
              <w:t>5</w:t>
            </w:r>
          </w:p>
        </w:tc>
        <w:tc>
          <w:tcPr>
            <w:tcW w:w="605" w:type="pct"/>
            <w:tcBorders>
              <w:right w:val="single" w:sz="4" w:space="0" w:color="auto"/>
            </w:tcBorders>
            <w:shd w:val="clear" w:color="auto" w:fill="auto"/>
            <w:vAlign w:val="center"/>
          </w:tcPr>
          <w:p w14:paraId="35B62CAD" w14:textId="7479917E"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59"/>
                <w:sz w:val="20"/>
                <w:szCs w:val="20"/>
                <w:shd w:val="solid" w:color="000000" w:fill="000000"/>
                <w:fitText w:val="350" w:id="-1435748346"/>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50" w:id="-1435748346"/>
                <w14:textFill>
                  <w14:solidFill>
                    <w14:srgbClr w14:val="000000">
                      <w14:alpha w14:val="100000"/>
                    </w14:srgbClr>
                  </w14:solidFill>
                </w14:textFill>
              </w:rPr>
              <w:t>|</w:t>
            </w:r>
            <w:r w:rsidR="009C0E0F" w:rsidRPr="009C0E0F">
              <w:rPr>
                <w:rFonts w:ascii="Arial Narrow" w:hAnsi="Arial Narrow"/>
                <w:sz w:val="20"/>
                <w:szCs w:val="20"/>
                <w:vertAlign w:val="superscript"/>
              </w:rPr>
              <w:t>1</w:t>
            </w:r>
            <w:r w:rsidR="00624492">
              <w:rPr>
                <w:rFonts w:ascii="Arial Narrow" w:hAnsi="Arial Narrow"/>
                <w:sz w:val="20"/>
                <w:szCs w:val="20"/>
                <w:vertAlign w:val="superscript"/>
              </w:rPr>
              <w:t>5</w:t>
            </w:r>
          </w:p>
        </w:tc>
        <w:tc>
          <w:tcPr>
            <w:tcW w:w="606" w:type="pct"/>
            <w:tcBorders>
              <w:right w:val="single" w:sz="4" w:space="0" w:color="auto"/>
            </w:tcBorders>
            <w:vAlign w:val="center"/>
          </w:tcPr>
          <w:p w14:paraId="28DCBC18" w14:textId="1910ACC4" w:rsidR="000F4B43" w:rsidRPr="000B568A" w:rsidRDefault="00650CB8" w:rsidP="00B36948">
            <w:pPr>
              <w:keepNext/>
              <w:jc w:val="center"/>
              <w:rPr>
                <w:rFonts w:ascii="Arial Narrow" w:hAnsi="Arial Narrow"/>
                <w:sz w:val="20"/>
                <w:szCs w:val="20"/>
                <w:highlight w:val="darkGray"/>
              </w:rPr>
            </w:pPr>
            <w:r w:rsidRPr="00650CB8">
              <w:rPr>
                <w:rFonts w:ascii="Arial Narrow" w:hAnsi="Arial Narrow"/>
                <w:color w:val="000000"/>
                <w:spacing w:val="59"/>
                <w:sz w:val="20"/>
                <w:szCs w:val="20"/>
                <w:shd w:val="solid" w:color="000000" w:fill="000000"/>
                <w:fitText w:val="350" w:id="-1435748345"/>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50" w:id="-1435748345"/>
                <w14:textFill>
                  <w14:solidFill>
                    <w14:srgbClr w14:val="000000">
                      <w14:alpha w14:val="100000"/>
                    </w14:srgbClr>
                  </w14:solidFill>
                </w14:textFill>
              </w:rPr>
              <w:t>|</w:t>
            </w:r>
            <w:r w:rsidR="009C0E0F" w:rsidRPr="009C0E0F">
              <w:rPr>
                <w:rFonts w:ascii="Arial Narrow" w:hAnsi="Arial Narrow"/>
                <w:sz w:val="20"/>
                <w:szCs w:val="20"/>
                <w:vertAlign w:val="superscript"/>
              </w:rPr>
              <w:t>1</w:t>
            </w:r>
            <w:r w:rsidR="00624492">
              <w:rPr>
                <w:rFonts w:ascii="Arial Narrow" w:hAnsi="Arial Narrow"/>
                <w:sz w:val="20"/>
                <w:szCs w:val="20"/>
                <w:vertAlign w:val="superscript"/>
              </w:rPr>
              <w:t>5</w:t>
            </w:r>
          </w:p>
        </w:tc>
      </w:tr>
      <w:tr w:rsidR="009C0E0F" w:rsidRPr="00B36948" w14:paraId="61CA04AB" w14:textId="77777777" w:rsidTr="009C0E0F">
        <w:trPr>
          <w:cantSplit/>
        </w:trPr>
        <w:tc>
          <w:tcPr>
            <w:tcW w:w="1366" w:type="pct"/>
            <w:tcBorders>
              <w:left w:val="single" w:sz="4" w:space="0" w:color="auto"/>
            </w:tcBorders>
            <w:shd w:val="clear" w:color="auto" w:fill="auto"/>
            <w:vAlign w:val="center"/>
          </w:tcPr>
          <w:p w14:paraId="3000F2AF" w14:textId="2A100298" w:rsidR="000F4B43" w:rsidRPr="00B36948" w:rsidRDefault="000F4B43" w:rsidP="00B36948">
            <w:pPr>
              <w:keepNext/>
              <w:jc w:val="left"/>
              <w:rPr>
                <w:rFonts w:ascii="Arial Narrow" w:hAnsi="Arial Narrow"/>
                <w:sz w:val="20"/>
                <w:szCs w:val="20"/>
                <w:vertAlign w:val="superscript"/>
              </w:rPr>
            </w:pPr>
            <w:r w:rsidRPr="00B36948">
              <w:rPr>
                <w:rFonts w:ascii="Arial Narrow" w:hAnsi="Arial Narrow"/>
                <w:sz w:val="20"/>
                <w:szCs w:val="20"/>
              </w:rPr>
              <w:t>Evolocumab 420 mg scripts (effective DPMQ $</w:t>
            </w:r>
            <w:r w:rsidR="00650CB8" w:rsidRPr="00650CB8">
              <w:rPr>
                <w:rFonts w:ascii="Arial Narrow" w:hAnsi="Arial Narrow"/>
                <w:color w:val="000000"/>
                <w:spacing w:val="48"/>
                <w:sz w:val="20"/>
                <w:szCs w:val="20"/>
                <w:shd w:val="solid" w:color="000000" w:fill="000000"/>
                <w:fitText w:val="500" w:id="-1435748344"/>
                <w14:textFill>
                  <w14:solidFill>
                    <w14:srgbClr w14:val="000000">
                      <w14:alpha w14:val="100000"/>
                    </w14:srgbClr>
                  </w14:solidFill>
                </w14:textFill>
              </w:rPr>
              <w:t>|||||</w:t>
            </w:r>
            <w:r w:rsidR="00650CB8" w:rsidRPr="00650CB8">
              <w:rPr>
                <w:rFonts w:ascii="Arial Narrow" w:hAnsi="Arial Narrow"/>
                <w:color w:val="000000"/>
                <w:spacing w:val="5"/>
                <w:sz w:val="20"/>
                <w:szCs w:val="20"/>
                <w:shd w:val="solid" w:color="000000" w:fill="000000"/>
                <w:fitText w:val="500" w:id="-1435748344"/>
                <w14:textFill>
                  <w14:solidFill>
                    <w14:srgbClr w14:val="000000">
                      <w14:alpha w14:val="100000"/>
                    </w14:srgbClr>
                  </w14:solidFill>
                </w14:textFill>
              </w:rPr>
              <w:t>|</w:t>
            </w:r>
            <w:r w:rsidRPr="00B36948">
              <w:rPr>
                <w:rFonts w:ascii="Arial Narrow" w:hAnsi="Arial Narrow"/>
                <w:sz w:val="20"/>
                <w:szCs w:val="20"/>
              </w:rPr>
              <w:t xml:space="preserve">) </w:t>
            </w:r>
            <w:r w:rsidRPr="00B36948">
              <w:rPr>
                <w:rFonts w:ascii="Arial Narrow" w:hAnsi="Arial Narrow"/>
                <w:sz w:val="20"/>
                <w:szCs w:val="20"/>
                <w:vertAlign w:val="superscript"/>
              </w:rPr>
              <w:t>1</w:t>
            </w:r>
          </w:p>
        </w:tc>
        <w:tc>
          <w:tcPr>
            <w:tcW w:w="605" w:type="pct"/>
            <w:shd w:val="clear" w:color="auto" w:fill="auto"/>
            <w:vAlign w:val="center"/>
          </w:tcPr>
          <w:p w14:paraId="2F6AF732" w14:textId="0F9D1777" w:rsidR="000F4B43" w:rsidRPr="00B36948" w:rsidRDefault="000F4B43" w:rsidP="00B36948">
            <w:pPr>
              <w:keepNext/>
              <w:jc w:val="center"/>
              <w:rPr>
                <w:rFonts w:ascii="Arial Narrow" w:hAnsi="Arial Narrow"/>
                <w:sz w:val="20"/>
                <w:szCs w:val="20"/>
              </w:rPr>
            </w:pPr>
            <w:r w:rsidRPr="00B36948">
              <w:rPr>
                <w:rFonts w:ascii="Arial Narrow" w:hAnsi="Arial Narrow"/>
                <w:sz w:val="20"/>
                <w:szCs w:val="20"/>
              </w:rPr>
              <w:t>$</w:t>
            </w:r>
            <w:r w:rsidR="00650CB8" w:rsidRPr="00650CB8">
              <w:rPr>
                <w:rFonts w:ascii="Arial Narrow" w:hAnsi="Arial Narrow"/>
                <w:color w:val="000000"/>
                <w:spacing w:val="76"/>
                <w:sz w:val="20"/>
                <w:szCs w:val="20"/>
                <w:shd w:val="solid" w:color="000000" w:fill="000000"/>
                <w:fitText w:val="400" w:id="-1435748343"/>
                <w14:textFill>
                  <w14:solidFill>
                    <w14:srgbClr w14:val="000000">
                      <w14:alpha w14:val="100000"/>
                    </w14:srgbClr>
                  </w14:solidFill>
                </w14:textFill>
              </w:rPr>
              <w:t>|||</w:t>
            </w:r>
            <w:r w:rsidR="00650CB8" w:rsidRPr="00650CB8">
              <w:rPr>
                <w:rFonts w:ascii="Arial Narrow" w:hAnsi="Arial Narrow"/>
                <w:color w:val="000000"/>
                <w:spacing w:val="2"/>
                <w:sz w:val="20"/>
                <w:szCs w:val="20"/>
                <w:shd w:val="solid" w:color="000000" w:fill="000000"/>
                <w:fitText w:val="400" w:id="-1435748343"/>
                <w14:textFill>
                  <w14:solidFill>
                    <w14:srgbClr w14:val="000000">
                      <w14:alpha w14:val="100000"/>
                    </w14:srgbClr>
                  </w14:solidFill>
                </w14:textFill>
              </w:rPr>
              <w:t>|</w:t>
            </w:r>
            <w:r w:rsidR="009C0E0F">
              <w:rPr>
                <w:rFonts w:ascii="Arial Narrow" w:hAnsi="Arial Narrow"/>
                <w:sz w:val="20"/>
                <w:szCs w:val="20"/>
                <w:vertAlign w:val="superscript"/>
              </w:rPr>
              <w:t>1</w:t>
            </w:r>
            <w:r w:rsidR="00624492">
              <w:rPr>
                <w:rFonts w:ascii="Arial Narrow" w:hAnsi="Arial Narrow"/>
                <w:sz w:val="20"/>
                <w:szCs w:val="20"/>
                <w:vertAlign w:val="superscript"/>
              </w:rPr>
              <w:t>3</w:t>
            </w:r>
          </w:p>
        </w:tc>
        <w:tc>
          <w:tcPr>
            <w:tcW w:w="606" w:type="pct"/>
            <w:shd w:val="clear" w:color="auto" w:fill="auto"/>
            <w:vAlign w:val="center"/>
          </w:tcPr>
          <w:p w14:paraId="359A07EA" w14:textId="7085B477" w:rsidR="000F4B43" w:rsidRPr="00B36948" w:rsidRDefault="000F4B43" w:rsidP="00B36948">
            <w:pPr>
              <w:keepNext/>
              <w:jc w:val="center"/>
              <w:rPr>
                <w:rFonts w:ascii="Arial Narrow" w:hAnsi="Arial Narrow"/>
                <w:sz w:val="20"/>
                <w:szCs w:val="20"/>
              </w:rPr>
            </w:pPr>
            <w:r w:rsidRPr="00B36948">
              <w:rPr>
                <w:rFonts w:ascii="Arial Narrow" w:hAnsi="Arial Narrow"/>
                <w:sz w:val="20"/>
                <w:szCs w:val="20"/>
              </w:rPr>
              <w:t>$</w:t>
            </w:r>
            <w:r w:rsidR="00650CB8" w:rsidRPr="00650CB8">
              <w:rPr>
                <w:rFonts w:ascii="Arial Narrow" w:hAnsi="Arial Narrow"/>
                <w:color w:val="000000"/>
                <w:spacing w:val="76"/>
                <w:sz w:val="20"/>
                <w:szCs w:val="20"/>
                <w:shd w:val="solid" w:color="000000" w:fill="000000"/>
                <w:fitText w:val="400" w:id="-1435748342"/>
                <w14:textFill>
                  <w14:solidFill>
                    <w14:srgbClr w14:val="000000">
                      <w14:alpha w14:val="100000"/>
                    </w14:srgbClr>
                  </w14:solidFill>
                </w14:textFill>
              </w:rPr>
              <w:t>|||</w:t>
            </w:r>
            <w:r w:rsidR="00650CB8" w:rsidRPr="00650CB8">
              <w:rPr>
                <w:rFonts w:ascii="Arial Narrow" w:hAnsi="Arial Narrow"/>
                <w:color w:val="000000"/>
                <w:spacing w:val="2"/>
                <w:sz w:val="20"/>
                <w:szCs w:val="20"/>
                <w:shd w:val="solid" w:color="000000" w:fill="000000"/>
                <w:fitText w:val="400" w:id="-1435748342"/>
                <w14:textFill>
                  <w14:solidFill>
                    <w14:srgbClr w14:val="000000">
                      <w14:alpha w14:val="100000"/>
                    </w14:srgbClr>
                  </w14:solidFill>
                </w14:textFill>
              </w:rPr>
              <w:t>|</w:t>
            </w:r>
            <w:r w:rsidR="009C0E0F">
              <w:rPr>
                <w:rFonts w:ascii="Arial Narrow" w:hAnsi="Arial Narrow"/>
                <w:sz w:val="20"/>
                <w:szCs w:val="20"/>
                <w:vertAlign w:val="superscript"/>
              </w:rPr>
              <w:t>1</w:t>
            </w:r>
            <w:r w:rsidR="00624492">
              <w:rPr>
                <w:rFonts w:ascii="Arial Narrow" w:hAnsi="Arial Narrow"/>
                <w:sz w:val="20"/>
                <w:szCs w:val="20"/>
                <w:vertAlign w:val="superscript"/>
              </w:rPr>
              <w:t>3</w:t>
            </w:r>
          </w:p>
        </w:tc>
        <w:tc>
          <w:tcPr>
            <w:tcW w:w="605" w:type="pct"/>
            <w:shd w:val="clear" w:color="auto" w:fill="auto"/>
            <w:vAlign w:val="center"/>
          </w:tcPr>
          <w:p w14:paraId="712E722C" w14:textId="15B719AB" w:rsidR="000F4B43" w:rsidRPr="00B36948" w:rsidRDefault="000F4B43" w:rsidP="00B36948">
            <w:pPr>
              <w:keepNext/>
              <w:jc w:val="center"/>
              <w:rPr>
                <w:rFonts w:ascii="Arial Narrow" w:hAnsi="Arial Narrow"/>
                <w:sz w:val="20"/>
                <w:szCs w:val="20"/>
              </w:rPr>
            </w:pPr>
            <w:r w:rsidRPr="00B36948">
              <w:rPr>
                <w:rFonts w:ascii="Arial Narrow" w:hAnsi="Arial Narrow"/>
                <w:sz w:val="20"/>
                <w:szCs w:val="20"/>
              </w:rPr>
              <w:t>$</w:t>
            </w:r>
            <w:r w:rsidR="00650CB8" w:rsidRPr="00650CB8">
              <w:rPr>
                <w:rFonts w:ascii="Arial Narrow" w:hAnsi="Arial Narrow"/>
                <w:color w:val="000000"/>
                <w:spacing w:val="76"/>
                <w:sz w:val="20"/>
                <w:szCs w:val="20"/>
                <w:shd w:val="solid" w:color="000000" w:fill="000000"/>
                <w:fitText w:val="400" w:id="-1435748341"/>
                <w14:textFill>
                  <w14:solidFill>
                    <w14:srgbClr w14:val="000000">
                      <w14:alpha w14:val="100000"/>
                    </w14:srgbClr>
                  </w14:solidFill>
                </w14:textFill>
              </w:rPr>
              <w:t>|||</w:t>
            </w:r>
            <w:r w:rsidR="00650CB8" w:rsidRPr="00650CB8">
              <w:rPr>
                <w:rFonts w:ascii="Arial Narrow" w:hAnsi="Arial Narrow"/>
                <w:color w:val="000000"/>
                <w:spacing w:val="2"/>
                <w:sz w:val="20"/>
                <w:szCs w:val="20"/>
                <w:shd w:val="solid" w:color="000000" w:fill="000000"/>
                <w:fitText w:val="400" w:id="-1435748341"/>
                <w14:textFill>
                  <w14:solidFill>
                    <w14:srgbClr w14:val="000000">
                      <w14:alpha w14:val="100000"/>
                    </w14:srgbClr>
                  </w14:solidFill>
                </w14:textFill>
              </w:rPr>
              <w:t>|</w:t>
            </w:r>
            <w:r w:rsidR="009C0E0F">
              <w:rPr>
                <w:rFonts w:ascii="Arial Narrow" w:hAnsi="Arial Narrow"/>
                <w:sz w:val="20"/>
                <w:szCs w:val="20"/>
                <w:vertAlign w:val="superscript"/>
              </w:rPr>
              <w:t>1</w:t>
            </w:r>
            <w:r w:rsidR="00624492">
              <w:rPr>
                <w:rFonts w:ascii="Arial Narrow" w:hAnsi="Arial Narrow"/>
                <w:sz w:val="20"/>
                <w:szCs w:val="20"/>
                <w:vertAlign w:val="superscript"/>
              </w:rPr>
              <w:t>3</w:t>
            </w:r>
          </w:p>
        </w:tc>
        <w:tc>
          <w:tcPr>
            <w:tcW w:w="607" w:type="pct"/>
            <w:shd w:val="clear" w:color="auto" w:fill="auto"/>
            <w:vAlign w:val="center"/>
          </w:tcPr>
          <w:p w14:paraId="1DDEFDD8" w14:textId="07118BBD" w:rsidR="000F4B43" w:rsidRPr="00B36948" w:rsidRDefault="000F4B43" w:rsidP="00B36948">
            <w:pPr>
              <w:keepNext/>
              <w:jc w:val="center"/>
              <w:rPr>
                <w:rFonts w:ascii="Arial Narrow" w:hAnsi="Arial Narrow"/>
                <w:sz w:val="20"/>
                <w:szCs w:val="20"/>
              </w:rPr>
            </w:pPr>
            <w:r w:rsidRPr="00B36948">
              <w:rPr>
                <w:rFonts w:ascii="Arial Narrow" w:hAnsi="Arial Narrow"/>
                <w:sz w:val="20"/>
                <w:szCs w:val="20"/>
              </w:rPr>
              <w:t>$</w:t>
            </w:r>
            <w:r w:rsidR="00650CB8" w:rsidRPr="00650CB8">
              <w:rPr>
                <w:rFonts w:ascii="Arial Narrow" w:hAnsi="Arial Narrow"/>
                <w:color w:val="000000"/>
                <w:spacing w:val="76"/>
                <w:sz w:val="20"/>
                <w:szCs w:val="20"/>
                <w:shd w:val="solid" w:color="000000" w:fill="000000"/>
                <w:fitText w:val="400" w:id="-1435748340"/>
                <w14:textFill>
                  <w14:solidFill>
                    <w14:srgbClr w14:val="000000">
                      <w14:alpha w14:val="100000"/>
                    </w14:srgbClr>
                  </w14:solidFill>
                </w14:textFill>
              </w:rPr>
              <w:t>|||</w:t>
            </w:r>
            <w:r w:rsidR="00650CB8" w:rsidRPr="00650CB8">
              <w:rPr>
                <w:rFonts w:ascii="Arial Narrow" w:hAnsi="Arial Narrow"/>
                <w:color w:val="000000"/>
                <w:spacing w:val="2"/>
                <w:sz w:val="20"/>
                <w:szCs w:val="20"/>
                <w:shd w:val="solid" w:color="000000" w:fill="000000"/>
                <w:fitText w:val="400" w:id="-1435748340"/>
                <w14:textFill>
                  <w14:solidFill>
                    <w14:srgbClr w14:val="000000">
                      <w14:alpha w14:val="100000"/>
                    </w14:srgbClr>
                  </w14:solidFill>
                </w14:textFill>
              </w:rPr>
              <w:t>|</w:t>
            </w:r>
            <w:r w:rsidR="009C0E0F">
              <w:rPr>
                <w:rFonts w:ascii="Arial Narrow" w:hAnsi="Arial Narrow"/>
                <w:sz w:val="20"/>
                <w:szCs w:val="20"/>
                <w:vertAlign w:val="superscript"/>
              </w:rPr>
              <w:t>1</w:t>
            </w:r>
            <w:r w:rsidR="00624492">
              <w:rPr>
                <w:rFonts w:ascii="Arial Narrow" w:hAnsi="Arial Narrow"/>
                <w:sz w:val="20"/>
                <w:szCs w:val="20"/>
                <w:vertAlign w:val="superscript"/>
              </w:rPr>
              <w:t>3</w:t>
            </w:r>
          </w:p>
        </w:tc>
        <w:tc>
          <w:tcPr>
            <w:tcW w:w="605" w:type="pct"/>
            <w:tcBorders>
              <w:right w:val="single" w:sz="4" w:space="0" w:color="auto"/>
            </w:tcBorders>
            <w:shd w:val="clear" w:color="auto" w:fill="auto"/>
            <w:vAlign w:val="center"/>
          </w:tcPr>
          <w:p w14:paraId="0EBD04B0" w14:textId="36C6D938" w:rsidR="000F4B43" w:rsidRPr="00B36948" w:rsidRDefault="000F4B43" w:rsidP="00B36948">
            <w:pPr>
              <w:keepNext/>
              <w:jc w:val="center"/>
              <w:rPr>
                <w:rFonts w:ascii="Arial Narrow" w:hAnsi="Arial Narrow"/>
                <w:sz w:val="20"/>
                <w:szCs w:val="20"/>
              </w:rPr>
            </w:pPr>
            <w:r w:rsidRPr="00B36948">
              <w:rPr>
                <w:rFonts w:ascii="Arial Narrow" w:hAnsi="Arial Narrow"/>
                <w:sz w:val="20"/>
                <w:szCs w:val="20"/>
              </w:rPr>
              <w:t>$</w:t>
            </w:r>
            <w:r w:rsidR="00650CB8" w:rsidRPr="00650CB8">
              <w:rPr>
                <w:rFonts w:ascii="Arial Narrow" w:hAnsi="Arial Narrow"/>
                <w:color w:val="000000"/>
                <w:spacing w:val="76"/>
                <w:sz w:val="20"/>
                <w:szCs w:val="20"/>
                <w:shd w:val="solid" w:color="000000" w:fill="000000"/>
                <w:fitText w:val="400" w:id="-1435748339"/>
                <w14:textFill>
                  <w14:solidFill>
                    <w14:srgbClr w14:val="000000">
                      <w14:alpha w14:val="100000"/>
                    </w14:srgbClr>
                  </w14:solidFill>
                </w14:textFill>
              </w:rPr>
              <w:t>|||</w:t>
            </w:r>
            <w:r w:rsidR="00650CB8" w:rsidRPr="00650CB8">
              <w:rPr>
                <w:rFonts w:ascii="Arial Narrow" w:hAnsi="Arial Narrow"/>
                <w:color w:val="000000"/>
                <w:spacing w:val="2"/>
                <w:sz w:val="20"/>
                <w:szCs w:val="20"/>
                <w:shd w:val="solid" w:color="000000" w:fill="000000"/>
                <w:fitText w:val="400" w:id="-1435748339"/>
                <w14:textFill>
                  <w14:solidFill>
                    <w14:srgbClr w14:val="000000">
                      <w14:alpha w14:val="100000"/>
                    </w14:srgbClr>
                  </w14:solidFill>
                </w14:textFill>
              </w:rPr>
              <w:t>|</w:t>
            </w:r>
            <w:r w:rsidR="009C0E0F">
              <w:rPr>
                <w:rFonts w:ascii="Arial Narrow" w:hAnsi="Arial Narrow"/>
                <w:sz w:val="20"/>
                <w:szCs w:val="20"/>
                <w:vertAlign w:val="superscript"/>
              </w:rPr>
              <w:t>1</w:t>
            </w:r>
            <w:r w:rsidR="00624492">
              <w:rPr>
                <w:rFonts w:ascii="Arial Narrow" w:hAnsi="Arial Narrow"/>
                <w:sz w:val="20"/>
                <w:szCs w:val="20"/>
                <w:vertAlign w:val="superscript"/>
              </w:rPr>
              <w:t>3</w:t>
            </w:r>
          </w:p>
        </w:tc>
        <w:tc>
          <w:tcPr>
            <w:tcW w:w="606" w:type="pct"/>
            <w:tcBorders>
              <w:right w:val="single" w:sz="4" w:space="0" w:color="auto"/>
            </w:tcBorders>
            <w:vAlign w:val="center"/>
          </w:tcPr>
          <w:p w14:paraId="046996C7" w14:textId="1B6C18F3" w:rsidR="000F4B43" w:rsidRPr="00B36948" w:rsidRDefault="000F4B43" w:rsidP="00B36948">
            <w:pPr>
              <w:keepNext/>
              <w:jc w:val="center"/>
              <w:rPr>
                <w:rFonts w:ascii="Arial Narrow" w:hAnsi="Arial Narrow"/>
                <w:sz w:val="20"/>
                <w:szCs w:val="20"/>
              </w:rPr>
            </w:pPr>
            <w:r w:rsidRPr="00B36948">
              <w:rPr>
                <w:rFonts w:ascii="Arial Narrow" w:hAnsi="Arial Narrow"/>
                <w:sz w:val="20"/>
                <w:szCs w:val="20"/>
              </w:rPr>
              <w:t>$</w:t>
            </w:r>
            <w:r w:rsidR="00650CB8" w:rsidRPr="00650CB8">
              <w:rPr>
                <w:rFonts w:ascii="Arial Narrow" w:hAnsi="Arial Narrow"/>
                <w:color w:val="000000"/>
                <w:spacing w:val="76"/>
                <w:sz w:val="20"/>
                <w:szCs w:val="20"/>
                <w:shd w:val="solid" w:color="000000" w:fill="000000"/>
                <w:fitText w:val="400" w:id="-1435748338"/>
                <w14:textFill>
                  <w14:solidFill>
                    <w14:srgbClr w14:val="000000">
                      <w14:alpha w14:val="100000"/>
                    </w14:srgbClr>
                  </w14:solidFill>
                </w14:textFill>
              </w:rPr>
              <w:t>|||</w:t>
            </w:r>
            <w:r w:rsidR="00650CB8" w:rsidRPr="00650CB8">
              <w:rPr>
                <w:rFonts w:ascii="Arial Narrow" w:hAnsi="Arial Narrow"/>
                <w:color w:val="000000"/>
                <w:spacing w:val="2"/>
                <w:sz w:val="20"/>
                <w:szCs w:val="20"/>
                <w:shd w:val="solid" w:color="000000" w:fill="000000"/>
                <w:fitText w:val="400" w:id="-1435748338"/>
                <w14:textFill>
                  <w14:solidFill>
                    <w14:srgbClr w14:val="000000">
                      <w14:alpha w14:val="100000"/>
                    </w14:srgbClr>
                  </w14:solidFill>
                </w14:textFill>
              </w:rPr>
              <w:t>|</w:t>
            </w:r>
            <w:r w:rsidR="009C0E0F">
              <w:rPr>
                <w:rFonts w:ascii="Arial Narrow" w:hAnsi="Arial Narrow"/>
                <w:sz w:val="20"/>
                <w:szCs w:val="20"/>
                <w:vertAlign w:val="superscript"/>
              </w:rPr>
              <w:t>1</w:t>
            </w:r>
            <w:r w:rsidR="00624492">
              <w:rPr>
                <w:rFonts w:ascii="Arial Narrow" w:hAnsi="Arial Narrow"/>
                <w:sz w:val="20"/>
                <w:szCs w:val="20"/>
                <w:vertAlign w:val="superscript"/>
              </w:rPr>
              <w:t>3</w:t>
            </w:r>
          </w:p>
        </w:tc>
      </w:tr>
      <w:tr w:rsidR="009C0E0F" w:rsidRPr="00B36948" w14:paraId="301D20E5" w14:textId="77777777" w:rsidTr="009C0E0F">
        <w:trPr>
          <w:cantSplit/>
        </w:trPr>
        <w:tc>
          <w:tcPr>
            <w:tcW w:w="1366" w:type="pct"/>
            <w:tcBorders>
              <w:left w:val="single" w:sz="4" w:space="0" w:color="auto"/>
            </w:tcBorders>
            <w:shd w:val="clear" w:color="auto" w:fill="auto"/>
            <w:vAlign w:val="center"/>
          </w:tcPr>
          <w:p w14:paraId="1E21ECB0" w14:textId="77777777" w:rsidR="000F4B43" w:rsidRPr="00B36948" w:rsidRDefault="000F4B43" w:rsidP="00B36948">
            <w:pPr>
              <w:keepNext/>
              <w:jc w:val="left"/>
              <w:rPr>
                <w:rFonts w:ascii="Arial Narrow" w:hAnsi="Arial Narrow"/>
                <w:b/>
                <w:sz w:val="20"/>
                <w:szCs w:val="20"/>
                <w:vertAlign w:val="superscript"/>
              </w:rPr>
            </w:pPr>
            <w:r w:rsidRPr="00B36948">
              <w:rPr>
                <w:rFonts w:ascii="Arial Narrow" w:hAnsi="Arial Narrow"/>
                <w:b/>
                <w:sz w:val="20"/>
                <w:szCs w:val="20"/>
              </w:rPr>
              <w:t xml:space="preserve">Total cost (effective DPMQ) </w:t>
            </w:r>
            <w:r w:rsidRPr="00B36948">
              <w:rPr>
                <w:rFonts w:ascii="Arial Narrow" w:hAnsi="Arial Narrow"/>
                <w:b/>
                <w:sz w:val="20"/>
                <w:szCs w:val="20"/>
                <w:vertAlign w:val="superscript"/>
              </w:rPr>
              <w:t>1</w:t>
            </w:r>
          </w:p>
        </w:tc>
        <w:tc>
          <w:tcPr>
            <w:tcW w:w="605" w:type="pct"/>
            <w:shd w:val="clear" w:color="auto" w:fill="auto"/>
            <w:vAlign w:val="center"/>
          </w:tcPr>
          <w:p w14:paraId="1681EA3E" w14:textId="29952293" w:rsidR="000F4B43" w:rsidRPr="00B36948" w:rsidRDefault="000F4B43" w:rsidP="00B36948">
            <w:pPr>
              <w:keepNext/>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62"/>
                <w:sz w:val="20"/>
                <w:szCs w:val="20"/>
                <w:shd w:val="solid" w:color="000000" w:fill="000000"/>
                <w:fitText w:val="370" w:id="-1435748337"/>
                <w14:textFill>
                  <w14:solidFill>
                    <w14:srgbClr w14:val="000000">
                      <w14:alpha w14:val="100000"/>
                    </w14:srgbClr>
                  </w14:solidFill>
                </w14:textFill>
              </w:rPr>
              <w:t>|||</w:t>
            </w:r>
            <w:r w:rsidR="00650CB8" w:rsidRPr="00650CB8">
              <w:rPr>
                <w:rFonts w:ascii="Arial Narrow" w:hAnsi="Arial Narrow"/>
                <w:b/>
                <w:bCs/>
                <w:color w:val="000000"/>
                <w:spacing w:val="1"/>
                <w:sz w:val="20"/>
                <w:szCs w:val="20"/>
                <w:shd w:val="solid" w:color="000000" w:fill="000000"/>
                <w:fitText w:val="370" w:id="-1435748337"/>
                <w14:textFill>
                  <w14:solidFill>
                    <w14:srgbClr w14:val="000000">
                      <w14:alpha w14:val="100000"/>
                    </w14:srgbClr>
                  </w14:solidFill>
                </w14:textFill>
              </w:rPr>
              <w:t>|</w:t>
            </w:r>
            <w:r w:rsidR="009C0E0F">
              <w:rPr>
                <w:rFonts w:ascii="Arial Narrow" w:hAnsi="Arial Narrow"/>
                <w:sz w:val="20"/>
                <w:szCs w:val="20"/>
                <w:vertAlign w:val="superscript"/>
              </w:rPr>
              <w:t>1</w:t>
            </w:r>
            <w:r w:rsidR="00624492">
              <w:rPr>
                <w:rFonts w:ascii="Arial Narrow" w:hAnsi="Arial Narrow"/>
                <w:sz w:val="20"/>
                <w:szCs w:val="20"/>
                <w:vertAlign w:val="superscript"/>
              </w:rPr>
              <w:t>3</w:t>
            </w:r>
          </w:p>
        </w:tc>
        <w:tc>
          <w:tcPr>
            <w:tcW w:w="606" w:type="pct"/>
            <w:shd w:val="clear" w:color="auto" w:fill="auto"/>
            <w:vAlign w:val="center"/>
          </w:tcPr>
          <w:p w14:paraId="1103F8E2" w14:textId="62CD309C" w:rsidR="000F4B43" w:rsidRPr="00B36948" w:rsidRDefault="000F4B43" w:rsidP="00B36948">
            <w:pPr>
              <w:keepNext/>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62"/>
                <w:sz w:val="20"/>
                <w:szCs w:val="20"/>
                <w:shd w:val="solid" w:color="000000" w:fill="000000"/>
                <w:fitText w:val="370" w:id="-1435748336"/>
                <w14:textFill>
                  <w14:solidFill>
                    <w14:srgbClr w14:val="000000">
                      <w14:alpha w14:val="100000"/>
                    </w14:srgbClr>
                  </w14:solidFill>
                </w14:textFill>
              </w:rPr>
              <w:t>|||</w:t>
            </w:r>
            <w:r w:rsidR="00650CB8" w:rsidRPr="00650CB8">
              <w:rPr>
                <w:rFonts w:ascii="Arial Narrow" w:hAnsi="Arial Narrow"/>
                <w:b/>
                <w:bCs/>
                <w:color w:val="000000"/>
                <w:spacing w:val="1"/>
                <w:sz w:val="20"/>
                <w:szCs w:val="20"/>
                <w:shd w:val="solid" w:color="000000" w:fill="000000"/>
                <w:fitText w:val="370" w:id="-1435748336"/>
                <w14:textFill>
                  <w14:solidFill>
                    <w14:srgbClr w14:val="000000">
                      <w14:alpha w14:val="100000"/>
                    </w14:srgbClr>
                  </w14:solidFill>
                </w14:textFill>
              </w:rPr>
              <w:t>|</w:t>
            </w:r>
            <w:r w:rsidR="009C0E0F">
              <w:rPr>
                <w:rFonts w:ascii="Arial Narrow" w:hAnsi="Arial Narrow"/>
                <w:sz w:val="20"/>
                <w:szCs w:val="20"/>
                <w:vertAlign w:val="superscript"/>
              </w:rPr>
              <w:t>1</w:t>
            </w:r>
            <w:r w:rsidR="009120AD">
              <w:rPr>
                <w:rFonts w:ascii="Arial Narrow" w:hAnsi="Arial Narrow"/>
                <w:sz w:val="20"/>
                <w:szCs w:val="20"/>
                <w:vertAlign w:val="superscript"/>
              </w:rPr>
              <w:t>4</w:t>
            </w:r>
          </w:p>
        </w:tc>
        <w:tc>
          <w:tcPr>
            <w:tcW w:w="605" w:type="pct"/>
            <w:shd w:val="clear" w:color="auto" w:fill="auto"/>
            <w:vAlign w:val="center"/>
          </w:tcPr>
          <w:p w14:paraId="606FBDF5" w14:textId="738CB5CF" w:rsidR="000F4B43" w:rsidRPr="00B36948" w:rsidRDefault="000F4B43" w:rsidP="00B36948">
            <w:pPr>
              <w:keepNext/>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62"/>
                <w:sz w:val="20"/>
                <w:szCs w:val="20"/>
                <w:shd w:val="solid" w:color="000000" w:fill="000000"/>
                <w:fitText w:val="370" w:id="-1435748352"/>
                <w14:textFill>
                  <w14:solidFill>
                    <w14:srgbClr w14:val="000000">
                      <w14:alpha w14:val="100000"/>
                    </w14:srgbClr>
                  </w14:solidFill>
                </w14:textFill>
              </w:rPr>
              <w:t>|||</w:t>
            </w:r>
            <w:r w:rsidR="00650CB8" w:rsidRPr="00650CB8">
              <w:rPr>
                <w:rFonts w:ascii="Arial Narrow" w:hAnsi="Arial Narrow"/>
                <w:b/>
                <w:bCs/>
                <w:color w:val="000000"/>
                <w:spacing w:val="1"/>
                <w:sz w:val="20"/>
                <w:szCs w:val="20"/>
                <w:shd w:val="solid" w:color="000000" w:fill="000000"/>
                <w:fitText w:val="370" w:id="-1435748352"/>
                <w14:textFill>
                  <w14:solidFill>
                    <w14:srgbClr w14:val="000000">
                      <w14:alpha w14:val="100000"/>
                    </w14:srgbClr>
                  </w14:solidFill>
                </w14:textFill>
              </w:rPr>
              <w:t>|</w:t>
            </w:r>
            <w:r w:rsidR="009C0E0F">
              <w:rPr>
                <w:rFonts w:ascii="Arial Narrow" w:hAnsi="Arial Narrow"/>
                <w:sz w:val="20"/>
                <w:szCs w:val="20"/>
                <w:vertAlign w:val="superscript"/>
              </w:rPr>
              <w:t>1</w:t>
            </w:r>
            <w:r w:rsidR="00624492">
              <w:rPr>
                <w:rFonts w:ascii="Arial Narrow" w:hAnsi="Arial Narrow"/>
                <w:sz w:val="20"/>
                <w:szCs w:val="20"/>
                <w:vertAlign w:val="superscript"/>
              </w:rPr>
              <w:t>4</w:t>
            </w:r>
          </w:p>
        </w:tc>
        <w:tc>
          <w:tcPr>
            <w:tcW w:w="607" w:type="pct"/>
            <w:shd w:val="clear" w:color="auto" w:fill="auto"/>
            <w:vAlign w:val="center"/>
          </w:tcPr>
          <w:p w14:paraId="39D74143" w14:textId="6E2A5761" w:rsidR="000F4B43" w:rsidRPr="00B36948" w:rsidRDefault="000F4B43" w:rsidP="00B36948">
            <w:pPr>
              <w:keepNext/>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62"/>
                <w:sz w:val="20"/>
                <w:szCs w:val="20"/>
                <w:shd w:val="solid" w:color="000000" w:fill="000000"/>
                <w:fitText w:val="370" w:id="-1435748351"/>
                <w14:textFill>
                  <w14:solidFill>
                    <w14:srgbClr w14:val="000000">
                      <w14:alpha w14:val="100000"/>
                    </w14:srgbClr>
                  </w14:solidFill>
                </w14:textFill>
              </w:rPr>
              <w:t>|||</w:t>
            </w:r>
            <w:r w:rsidR="00650CB8" w:rsidRPr="00650CB8">
              <w:rPr>
                <w:rFonts w:ascii="Arial Narrow" w:hAnsi="Arial Narrow"/>
                <w:b/>
                <w:bCs/>
                <w:color w:val="000000"/>
                <w:spacing w:val="1"/>
                <w:sz w:val="20"/>
                <w:szCs w:val="20"/>
                <w:shd w:val="solid" w:color="000000" w:fill="000000"/>
                <w:fitText w:val="370" w:id="-1435748351"/>
                <w14:textFill>
                  <w14:solidFill>
                    <w14:srgbClr w14:val="000000">
                      <w14:alpha w14:val="100000"/>
                    </w14:srgbClr>
                  </w14:solidFill>
                </w14:textFill>
              </w:rPr>
              <w:t>|</w:t>
            </w:r>
            <w:r w:rsidR="009C0E0F">
              <w:rPr>
                <w:rFonts w:ascii="Arial Narrow" w:hAnsi="Arial Narrow"/>
                <w:sz w:val="20"/>
                <w:szCs w:val="20"/>
                <w:vertAlign w:val="superscript"/>
              </w:rPr>
              <w:t>1</w:t>
            </w:r>
            <w:r w:rsidR="00624492">
              <w:rPr>
                <w:rFonts w:ascii="Arial Narrow" w:hAnsi="Arial Narrow"/>
                <w:sz w:val="20"/>
                <w:szCs w:val="20"/>
                <w:vertAlign w:val="superscript"/>
              </w:rPr>
              <w:t>4</w:t>
            </w:r>
          </w:p>
        </w:tc>
        <w:tc>
          <w:tcPr>
            <w:tcW w:w="605" w:type="pct"/>
            <w:tcBorders>
              <w:right w:val="single" w:sz="4" w:space="0" w:color="auto"/>
            </w:tcBorders>
            <w:shd w:val="clear" w:color="auto" w:fill="auto"/>
            <w:vAlign w:val="center"/>
          </w:tcPr>
          <w:p w14:paraId="11EF7857" w14:textId="78714BCA" w:rsidR="000F4B43" w:rsidRPr="00B36948" w:rsidRDefault="000F4B43" w:rsidP="00B36948">
            <w:pPr>
              <w:keepNext/>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62"/>
                <w:sz w:val="20"/>
                <w:szCs w:val="20"/>
                <w:shd w:val="solid" w:color="000000" w:fill="000000"/>
                <w:fitText w:val="370" w:id="-1435748350"/>
                <w14:textFill>
                  <w14:solidFill>
                    <w14:srgbClr w14:val="000000">
                      <w14:alpha w14:val="100000"/>
                    </w14:srgbClr>
                  </w14:solidFill>
                </w14:textFill>
              </w:rPr>
              <w:t>|||</w:t>
            </w:r>
            <w:r w:rsidR="00650CB8" w:rsidRPr="00650CB8">
              <w:rPr>
                <w:rFonts w:ascii="Arial Narrow" w:hAnsi="Arial Narrow"/>
                <w:b/>
                <w:bCs/>
                <w:color w:val="000000"/>
                <w:spacing w:val="1"/>
                <w:sz w:val="20"/>
                <w:szCs w:val="20"/>
                <w:shd w:val="solid" w:color="000000" w:fill="000000"/>
                <w:fitText w:val="370" w:id="-1435748350"/>
                <w14:textFill>
                  <w14:solidFill>
                    <w14:srgbClr w14:val="000000">
                      <w14:alpha w14:val="100000"/>
                    </w14:srgbClr>
                  </w14:solidFill>
                </w14:textFill>
              </w:rPr>
              <w:t>|</w:t>
            </w:r>
            <w:r w:rsidR="009C0E0F">
              <w:rPr>
                <w:rFonts w:ascii="Arial Narrow" w:hAnsi="Arial Narrow"/>
                <w:sz w:val="20"/>
                <w:szCs w:val="20"/>
                <w:vertAlign w:val="superscript"/>
              </w:rPr>
              <w:t>1</w:t>
            </w:r>
            <w:r w:rsidR="00624492">
              <w:rPr>
                <w:rFonts w:ascii="Arial Narrow" w:hAnsi="Arial Narrow"/>
                <w:sz w:val="20"/>
                <w:szCs w:val="20"/>
                <w:vertAlign w:val="superscript"/>
              </w:rPr>
              <w:t>4</w:t>
            </w:r>
          </w:p>
        </w:tc>
        <w:tc>
          <w:tcPr>
            <w:tcW w:w="606" w:type="pct"/>
            <w:tcBorders>
              <w:right w:val="single" w:sz="4" w:space="0" w:color="auto"/>
            </w:tcBorders>
            <w:vAlign w:val="center"/>
          </w:tcPr>
          <w:p w14:paraId="2AE862A5" w14:textId="51A893CF" w:rsidR="000F4B43" w:rsidRPr="00B36948" w:rsidRDefault="000F4B43" w:rsidP="00B36948">
            <w:pPr>
              <w:keepNext/>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62"/>
                <w:sz w:val="20"/>
                <w:szCs w:val="20"/>
                <w:shd w:val="solid" w:color="000000" w:fill="000000"/>
                <w:fitText w:val="370" w:id="-1435748349"/>
                <w14:textFill>
                  <w14:solidFill>
                    <w14:srgbClr w14:val="000000">
                      <w14:alpha w14:val="100000"/>
                    </w14:srgbClr>
                  </w14:solidFill>
                </w14:textFill>
              </w:rPr>
              <w:t>|||</w:t>
            </w:r>
            <w:r w:rsidR="00650CB8" w:rsidRPr="00650CB8">
              <w:rPr>
                <w:rFonts w:ascii="Arial Narrow" w:hAnsi="Arial Narrow"/>
                <w:b/>
                <w:bCs/>
                <w:color w:val="000000"/>
                <w:spacing w:val="1"/>
                <w:sz w:val="20"/>
                <w:szCs w:val="20"/>
                <w:shd w:val="solid" w:color="000000" w:fill="000000"/>
                <w:fitText w:val="370" w:id="-1435748349"/>
                <w14:textFill>
                  <w14:solidFill>
                    <w14:srgbClr w14:val="000000">
                      <w14:alpha w14:val="100000"/>
                    </w14:srgbClr>
                  </w14:solidFill>
                </w14:textFill>
              </w:rPr>
              <w:t>|</w:t>
            </w:r>
            <w:r w:rsidR="009C0E0F">
              <w:rPr>
                <w:rFonts w:ascii="Arial Narrow" w:hAnsi="Arial Narrow"/>
                <w:sz w:val="20"/>
                <w:szCs w:val="20"/>
                <w:vertAlign w:val="superscript"/>
              </w:rPr>
              <w:t>1</w:t>
            </w:r>
            <w:r w:rsidR="00624492">
              <w:rPr>
                <w:rFonts w:ascii="Arial Narrow" w:hAnsi="Arial Narrow"/>
                <w:sz w:val="20"/>
                <w:szCs w:val="20"/>
                <w:vertAlign w:val="superscript"/>
              </w:rPr>
              <w:t>4</w:t>
            </w:r>
          </w:p>
        </w:tc>
      </w:tr>
      <w:tr w:rsidR="009C0E0F" w:rsidRPr="00B36948" w14:paraId="166F3A2F" w14:textId="77777777" w:rsidTr="009C0E0F">
        <w:trPr>
          <w:cantSplit/>
        </w:trPr>
        <w:tc>
          <w:tcPr>
            <w:tcW w:w="1366" w:type="pct"/>
            <w:tcBorders>
              <w:left w:val="single" w:sz="4" w:space="0" w:color="auto"/>
            </w:tcBorders>
            <w:shd w:val="clear" w:color="auto" w:fill="auto"/>
            <w:vAlign w:val="center"/>
          </w:tcPr>
          <w:p w14:paraId="6883B992" w14:textId="77777777" w:rsidR="000F4B43" w:rsidRPr="00B36948" w:rsidRDefault="000F4B43" w:rsidP="00B36948">
            <w:pPr>
              <w:keepNext/>
              <w:jc w:val="left"/>
              <w:rPr>
                <w:rFonts w:ascii="Arial Narrow" w:hAnsi="Arial Narrow"/>
                <w:sz w:val="20"/>
                <w:szCs w:val="20"/>
              </w:rPr>
            </w:pPr>
            <w:r w:rsidRPr="00B36948">
              <w:rPr>
                <w:rFonts w:ascii="Arial Narrow" w:hAnsi="Arial Narrow"/>
                <w:sz w:val="20"/>
                <w:szCs w:val="20"/>
              </w:rPr>
              <w:t>Patient copay ($23.36/script)</w:t>
            </w:r>
          </w:p>
        </w:tc>
        <w:tc>
          <w:tcPr>
            <w:tcW w:w="605" w:type="pct"/>
            <w:shd w:val="clear" w:color="auto" w:fill="auto"/>
            <w:vAlign w:val="center"/>
          </w:tcPr>
          <w:p w14:paraId="207301B7" w14:textId="1415E934" w:rsidR="000F4B43" w:rsidRPr="00B36948" w:rsidRDefault="000F4B43" w:rsidP="00B36948">
            <w:pPr>
              <w:keepNext/>
              <w:jc w:val="center"/>
              <w:rPr>
                <w:rFonts w:ascii="Arial Narrow" w:hAnsi="Arial Narrow"/>
                <w:sz w:val="20"/>
                <w:szCs w:val="20"/>
              </w:rPr>
            </w:pPr>
            <w:r w:rsidRPr="00B36948">
              <w:rPr>
                <w:rFonts w:ascii="Arial Narrow" w:hAnsi="Arial Narrow"/>
                <w:sz w:val="20"/>
                <w:szCs w:val="20"/>
              </w:rPr>
              <w:t>-$</w:t>
            </w:r>
            <w:r w:rsidR="00650CB8" w:rsidRPr="00650CB8">
              <w:rPr>
                <w:rFonts w:ascii="Arial Narrow" w:hAnsi="Arial Narrow"/>
                <w:color w:val="000000"/>
                <w:spacing w:val="32"/>
                <w:sz w:val="20"/>
                <w:szCs w:val="20"/>
                <w:shd w:val="solid" w:color="000000" w:fill="000000"/>
                <w:fitText w:val="420" w:id="-1435748348"/>
                <w14:textFill>
                  <w14:solidFill>
                    <w14:srgbClr w14:val="000000">
                      <w14:alpha w14:val="100000"/>
                    </w14:srgbClr>
                  </w14:solidFill>
                </w14:textFill>
              </w:rPr>
              <w:t>|||||</w:t>
            </w:r>
            <w:r w:rsidR="00650CB8" w:rsidRPr="00650CB8">
              <w:rPr>
                <w:rFonts w:ascii="Arial Narrow" w:hAnsi="Arial Narrow"/>
                <w:color w:val="000000"/>
                <w:spacing w:val="5"/>
                <w:sz w:val="20"/>
                <w:szCs w:val="20"/>
                <w:shd w:val="solid" w:color="000000" w:fill="000000"/>
                <w:fitText w:val="420" w:id="-1435748348"/>
                <w14:textFill>
                  <w14:solidFill>
                    <w14:srgbClr w14:val="000000">
                      <w14:alpha w14:val="100000"/>
                    </w14:srgbClr>
                  </w14:solidFill>
                </w14:textFill>
              </w:rPr>
              <w:t>|</w:t>
            </w:r>
            <w:r w:rsidR="009C0E0F">
              <w:rPr>
                <w:rFonts w:ascii="Arial Narrow" w:hAnsi="Arial Narrow"/>
                <w:sz w:val="20"/>
                <w:szCs w:val="20"/>
                <w:vertAlign w:val="superscript"/>
              </w:rPr>
              <w:t>1</w:t>
            </w:r>
            <w:r w:rsidR="00624492">
              <w:rPr>
                <w:rFonts w:ascii="Arial Narrow" w:hAnsi="Arial Narrow"/>
                <w:sz w:val="20"/>
                <w:szCs w:val="20"/>
                <w:vertAlign w:val="superscript"/>
              </w:rPr>
              <w:t>3</w:t>
            </w:r>
          </w:p>
        </w:tc>
        <w:tc>
          <w:tcPr>
            <w:tcW w:w="606" w:type="pct"/>
            <w:shd w:val="clear" w:color="auto" w:fill="auto"/>
            <w:vAlign w:val="center"/>
          </w:tcPr>
          <w:p w14:paraId="77157DA1" w14:textId="2F2A8621" w:rsidR="000F4B43" w:rsidRPr="00B36948" w:rsidRDefault="000F4B43" w:rsidP="00B36948">
            <w:pPr>
              <w:keepNext/>
              <w:jc w:val="center"/>
              <w:rPr>
                <w:rFonts w:ascii="Arial Narrow" w:hAnsi="Arial Narrow"/>
                <w:sz w:val="20"/>
                <w:szCs w:val="20"/>
              </w:rPr>
            </w:pPr>
            <w:r w:rsidRPr="00B36948">
              <w:rPr>
                <w:rFonts w:ascii="Arial Narrow" w:hAnsi="Arial Narrow"/>
                <w:sz w:val="20"/>
                <w:szCs w:val="20"/>
              </w:rPr>
              <w:t>-$</w:t>
            </w:r>
            <w:r w:rsidR="00650CB8" w:rsidRPr="00650CB8">
              <w:rPr>
                <w:rFonts w:ascii="Arial Narrow" w:hAnsi="Arial Narrow"/>
                <w:color w:val="000000"/>
                <w:spacing w:val="32"/>
                <w:sz w:val="20"/>
                <w:szCs w:val="20"/>
                <w:shd w:val="solid" w:color="000000" w:fill="000000"/>
                <w:fitText w:val="420" w:id="-1435748347"/>
                <w14:textFill>
                  <w14:solidFill>
                    <w14:srgbClr w14:val="000000">
                      <w14:alpha w14:val="100000"/>
                    </w14:srgbClr>
                  </w14:solidFill>
                </w14:textFill>
              </w:rPr>
              <w:t>|||||</w:t>
            </w:r>
            <w:r w:rsidR="00650CB8" w:rsidRPr="00650CB8">
              <w:rPr>
                <w:rFonts w:ascii="Arial Narrow" w:hAnsi="Arial Narrow"/>
                <w:color w:val="000000"/>
                <w:spacing w:val="5"/>
                <w:sz w:val="20"/>
                <w:szCs w:val="20"/>
                <w:shd w:val="solid" w:color="000000" w:fill="000000"/>
                <w:fitText w:val="420" w:id="-1435748347"/>
                <w14:textFill>
                  <w14:solidFill>
                    <w14:srgbClr w14:val="000000">
                      <w14:alpha w14:val="100000"/>
                    </w14:srgbClr>
                  </w14:solidFill>
                </w14:textFill>
              </w:rPr>
              <w:t>|</w:t>
            </w:r>
            <w:r w:rsidR="009C0E0F">
              <w:rPr>
                <w:rFonts w:ascii="Arial Narrow" w:hAnsi="Arial Narrow"/>
                <w:sz w:val="20"/>
                <w:szCs w:val="20"/>
                <w:vertAlign w:val="superscript"/>
              </w:rPr>
              <w:t>1</w:t>
            </w:r>
            <w:r w:rsidR="00624492">
              <w:rPr>
                <w:rFonts w:ascii="Arial Narrow" w:hAnsi="Arial Narrow"/>
                <w:sz w:val="20"/>
                <w:szCs w:val="20"/>
                <w:vertAlign w:val="superscript"/>
              </w:rPr>
              <w:t>3</w:t>
            </w:r>
          </w:p>
        </w:tc>
        <w:tc>
          <w:tcPr>
            <w:tcW w:w="605" w:type="pct"/>
            <w:shd w:val="clear" w:color="auto" w:fill="auto"/>
            <w:vAlign w:val="center"/>
          </w:tcPr>
          <w:p w14:paraId="0E817384" w14:textId="5A811DEA" w:rsidR="000F4B43" w:rsidRPr="00B36948" w:rsidRDefault="000F4B43" w:rsidP="00B36948">
            <w:pPr>
              <w:keepNext/>
              <w:jc w:val="center"/>
              <w:rPr>
                <w:rFonts w:ascii="Arial Narrow" w:hAnsi="Arial Narrow"/>
                <w:sz w:val="20"/>
                <w:szCs w:val="20"/>
              </w:rPr>
            </w:pPr>
            <w:r w:rsidRPr="00B36948">
              <w:rPr>
                <w:rFonts w:ascii="Arial Narrow" w:hAnsi="Arial Narrow"/>
                <w:sz w:val="20"/>
                <w:szCs w:val="20"/>
              </w:rPr>
              <w:t>-$</w:t>
            </w:r>
            <w:r w:rsidR="00650CB8" w:rsidRPr="00650CB8">
              <w:rPr>
                <w:rFonts w:ascii="Arial Narrow" w:hAnsi="Arial Narrow"/>
                <w:color w:val="000000"/>
                <w:spacing w:val="34"/>
                <w:sz w:val="20"/>
                <w:szCs w:val="20"/>
                <w:shd w:val="solid" w:color="000000" w:fill="000000"/>
                <w:fitText w:val="430" w:id="-1435748346"/>
                <w14:textFill>
                  <w14:solidFill>
                    <w14:srgbClr w14:val="000000">
                      <w14:alpha w14:val="100000"/>
                    </w14:srgbClr>
                  </w14:solidFill>
                </w14:textFill>
              </w:rPr>
              <w:t>|||||</w:t>
            </w:r>
            <w:r w:rsidR="00650CB8" w:rsidRPr="00650CB8">
              <w:rPr>
                <w:rFonts w:ascii="Arial Narrow" w:hAnsi="Arial Narrow"/>
                <w:color w:val="000000"/>
                <w:spacing w:val="5"/>
                <w:sz w:val="20"/>
                <w:szCs w:val="20"/>
                <w:shd w:val="solid" w:color="000000" w:fill="000000"/>
                <w:fitText w:val="430" w:id="-1435748346"/>
                <w14:textFill>
                  <w14:solidFill>
                    <w14:srgbClr w14:val="000000">
                      <w14:alpha w14:val="100000"/>
                    </w14:srgbClr>
                  </w14:solidFill>
                </w14:textFill>
              </w:rPr>
              <w:t>|</w:t>
            </w:r>
            <w:r w:rsidR="009C0E0F">
              <w:rPr>
                <w:rFonts w:ascii="Arial Narrow" w:hAnsi="Arial Narrow"/>
                <w:sz w:val="20"/>
                <w:szCs w:val="20"/>
                <w:vertAlign w:val="superscript"/>
              </w:rPr>
              <w:t>1</w:t>
            </w:r>
            <w:r w:rsidR="00624492">
              <w:rPr>
                <w:rFonts w:ascii="Arial Narrow" w:hAnsi="Arial Narrow"/>
                <w:sz w:val="20"/>
                <w:szCs w:val="20"/>
                <w:vertAlign w:val="superscript"/>
              </w:rPr>
              <w:t>3</w:t>
            </w:r>
          </w:p>
        </w:tc>
        <w:tc>
          <w:tcPr>
            <w:tcW w:w="607" w:type="pct"/>
            <w:shd w:val="clear" w:color="auto" w:fill="auto"/>
            <w:vAlign w:val="center"/>
          </w:tcPr>
          <w:p w14:paraId="17394355" w14:textId="238C7068" w:rsidR="000F4B43" w:rsidRPr="00B36948" w:rsidRDefault="000F4B43" w:rsidP="00B36948">
            <w:pPr>
              <w:keepNext/>
              <w:jc w:val="center"/>
              <w:rPr>
                <w:rFonts w:ascii="Arial Narrow" w:hAnsi="Arial Narrow"/>
                <w:sz w:val="20"/>
                <w:szCs w:val="20"/>
              </w:rPr>
            </w:pPr>
            <w:r w:rsidRPr="00B36948">
              <w:rPr>
                <w:rFonts w:ascii="Arial Narrow" w:hAnsi="Arial Narrow"/>
                <w:sz w:val="20"/>
                <w:szCs w:val="20"/>
              </w:rPr>
              <w:t>-$</w:t>
            </w:r>
            <w:r w:rsidR="00650CB8" w:rsidRPr="00650CB8">
              <w:rPr>
                <w:rFonts w:ascii="Arial Narrow" w:hAnsi="Arial Narrow"/>
                <w:color w:val="000000"/>
                <w:spacing w:val="34"/>
                <w:sz w:val="20"/>
                <w:szCs w:val="20"/>
                <w:shd w:val="solid" w:color="000000" w:fill="000000"/>
                <w:fitText w:val="430" w:id="-1435748345"/>
                <w14:textFill>
                  <w14:solidFill>
                    <w14:srgbClr w14:val="000000">
                      <w14:alpha w14:val="100000"/>
                    </w14:srgbClr>
                  </w14:solidFill>
                </w14:textFill>
              </w:rPr>
              <w:t>|||||</w:t>
            </w:r>
            <w:r w:rsidR="00650CB8" w:rsidRPr="00650CB8">
              <w:rPr>
                <w:rFonts w:ascii="Arial Narrow" w:hAnsi="Arial Narrow"/>
                <w:color w:val="000000"/>
                <w:spacing w:val="5"/>
                <w:sz w:val="20"/>
                <w:szCs w:val="20"/>
                <w:shd w:val="solid" w:color="000000" w:fill="000000"/>
                <w:fitText w:val="430" w:id="-1435748345"/>
                <w14:textFill>
                  <w14:solidFill>
                    <w14:srgbClr w14:val="000000">
                      <w14:alpha w14:val="100000"/>
                    </w14:srgbClr>
                  </w14:solidFill>
                </w14:textFill>
              </w:rPr>
              <w:t>|</w:t>
            </w:r>
            <w:r w:rsidR="009C0E0F">
              <w:rPr>
                <w:rFonts w:ascii="Arial Narrow" w:hAnsi="Arial Narrow"/>
                <w:sz w:val="20"/>
                <w:szCs w:val="20"/>
                <w:vertAlign w:val="superscript"/>
              </w:rPr>
              <w:t>1</w:t>
            </w:r>
            <w:r w:rsidR="00624492">
              <w:rPr>
                <w:rFonts w:ascii="Arial Narrow" w:hAnsi="Arial Narrow"/>
                <w:sz w:val="20"/>
                <w:szCs w:val="20"/>
                <w:vertAlign w:val="superscript"/>
              </w:rPr>
              <w:t>3</w:t>
            </w:r>
          </w:p>
        </w:tc>
        <w:tc>
          <w:tcPr>
            <w:tcW w:w="605" w:type="pct"/>
            <w:tcBorders>
              <w:right w:val="single" w:sz="4" w:space="0" w:color="auto"/>
            </w:tcBorders>
            <w:shd w:val="clear" w:color="auto" w:fill="auto"/>
            <w:vAlign w:val="center"/>
          </w:tcPr>
          <w:p w14:paraId="0AD8C616" w14:textId="153B430C" w:rsidR="000F4B43" w:rsidRPr="00B36948" w:rsidRDefault="000F4B43" w:rsidP="00B36948">
            <w:pPr>
              <w:keepNext/>
              <w:jc w:val="center"/>
              <w:rPr>
                <w:rFonts w:ascii="Arial Narrow" w:hAnsi="Arial Narrow"/>
                <w:sz w:val="20"/>
                <w:szCs w:val="20"/>
              </w:rPr>
            </w:pPr>
            <w:r w:rsidRPr="00B36948">
              <w:rPr>
                <w:rFonts w:ascii="Arial Narrow" w:hAnsi="Arial Narrow"/>
                <w:sz w:val="20"/>
                <w:szCs w:val="20"/>
              </w:rPr>
              <w:t>-$</w:t>
            </w:r>
            <w:r w:rsidR="00650CB8" w:rsidRPr="00650CB8">
              <w:rPr>
                <w:rFonts w:ascii="Arial Narrow" w:hAnsi="Arial Narrow"/>
                <w:color w:val="000000"/>
                <w:spacing w:val="34"/>
                <w:sz w:val="20"/>
                <w:szCs w:val="20"/>
                <w:shd w:val="solid" w:color="000000" w:fill="000000"/>
                <w:fitText w:val="430" w:id="-1435748344"/>
                <w14:textFill>
                  <w14:solidFill>
                    <w14:srgbClr w14:val="000000">
                      <w14:alpha w14:val="100000"/>
                    </w14:srgbClr>
                  </w14:solidFill>
                </w14:textFill>
              </w:rPr>
              <w:t>|||||</w:t>
            </w:r>
            <w:r w:rsidR="00650CB8" w:rsidRPr="00650CB8">
              <w:rPr>
                <w:rFonts w:ascii="Arial Narrow" w:hAnsi="Arial Narrow"/>
                <w:color w:val="000000"/>
                <w:spacing w:val="5"/>
                <w:sz w:val="20"/>
                <w:szCs w:val="20"/>
                <w:shd w:val="solid" w:color="000000" w:fill="000000"/>
                <w:fitText w:val="430" w:id="-1435748344"/>
                <w14:textFill>
                  <w14:solidFill>
                    <w14:srgbClr w14:val="000000">
                      <w14:alpha w14:val="100000"/>
                    </w14:srgbClr>
                  </w14:solidFill>
                </w14:textFill>
              </w:rPr>
              <w:t>|</w:t>
            </w:r>
            <w:r w:rsidR="009C0E0F">
              <w:rPr>
                <w:rFonts w:ascii="Arial Narrow" w:hAnsi="Arial Narrow"/>
                <w:sz w:val="20"/>
                <w:szCs w:val="20"/>
                <w:vertAlign w:val="superscript"/>
              </w:rPr>
              <w:t>1</w:t>
            </w:r>
            <w:r w:rsidR="00624492">
              <w:rPr>
                <w:rFonts w:ascii="Arial Narrow" w:hAnsi="Arial Narrow"/>
                <w:sz w:val="20"/>
                <w:szCs w:val="20"/>
                <w:vertAlign w:val="superscript"/>
              </w:rPr>
              <w:t>3</w:t>
            </w:r>
          </w:p>
        </w:tc>
        <w:tc>
          <w:tcPr>
            <w:tcW w:w="606" w:type="pct"/>
            <w:tcBorders>
              <w:right w:val="single" w:sz="4" w:space="0" w:color="auto"/>
            </w:tcBorders>
            <w:vAlign w:val="center"/>
          </w:tcPr>
          <w:p w14:paraId="3933E1EE" w14:textId="0933B0C5" w:rsidR="000F4B43" w:rsidRPr="00B36948" w:rsidRDefault="000F4B43" w:rsidP="00B36948">
            <w:pPr>
              <w:keepNext/>
              <w:jc w:val="center"/>
              <w:rPr>
                <w:rFonts w:ascii="Arial Narrow" w:hAnsi="Arial Narrow"/>
                <w:sz w:val="20"/>
                <w:szCs w:val="20"/>
              </w:rPr>
            </w:pPr>
            <w:r w:rsidRPr="00B36948">
              <w:rPr>
                <w:rFonts w:ascii="Arial Narrow" w:hAnsi="Arial Narrow"/>
                <w:sz w:val="20"/>
                <w:szCs w:val="20"/>
              </w:rPr>
              <w:t>-$</w:t>
            </w:r>
            <w:r w:rsidR="00650CB8" w:rsidRPr="00650CB8">
              <w:rPr>
                <w:rFonts w:ascii="Arial Narrow" w:hAnsi="Arial Narrow"/>
                <w:color w:val="000000"/>
                <w:spacing w:val="32"/>
                <w:sz w:val="20"/>
                <w:szCs w:val="20"/>
                <w:shd w:val="solid" w:color="000000" w:fill="000000"/>
                <w:fitText w:val="420" w:id="-1435748343"/>
                <w14:textFill>
                  <w14:solidFill>
                    <w14:srgbClr w14:val="000000">
                      <w14:alpha w14:val="100000"/>
                    </w14:srgbClr>
                  </w14:solidFill>
                </w14:textFill>
              </w:rPr>
              <w:t>|||||</w:t>
            </w:r>
            <w:r w:rsidR="00650CB8" w:rsidRPr="00650CB8">
              <w:rPr>
                <w:rFonts w:ascii="Arial Narrow" w:hAnsi="Arial Narrow"/>
                <w:color w:val="000000"/>
                <w:spacing w:val="5"/>
                <w:sz w:val="20"/>
                <w:szCs w:val="20"/>
                <w:shd w:val="solid" w:color="000000" w:fill="000000"/>
                <w:fitText w:val="420" w:id="-1435748343"/>
                <w14:textFill>
                  <w14:solidFill>
                    <w14:srgbClr w14:val="000000">
                      <w14:alpha w14:val="100000"/>
                    </w14:srgbClr>
                  </w14:solidFill>
                </w14:textFill>
              </w:rPr>
              <w:t>|</w:t>
            </w:r>
            <w:r w:rsidR="009C0E0F">
              <w:rPr>
                <w:rFonts w:ascii="Arial Narrow" w:hAnsi="Arial Narrow"/>
                <w:sz w:val="20"/>
                <w:szCs w:val="20"/>
                <w:vertAlign w:val="superscript"/>
              </w:rPr>
              <w:t>1</w:t>
            </w:r>
            <w:r w:rsidR="00624492">
              <w:rPr>
                <w:rFonts w:ascii="Arial Narrow" w:hAnsi="Arial Narrow"/>
                <w:sz w:val="20"/>
                <w:szCs w:val="20"/>
                <w:vertAlign w:val="superscript"/>
              </w:rPr>
              <w:t>3</w:t>
            </w:r>
          </w:p>
        </w:tc>
      </w:tr>
      <w:tr w:rsidR="009C0E0F" w:rsidRPr="00B36948" w14:paraId="6567870E" w14:textId="77777777" w:rsidTr="009C0E0F">
        <w:trPr>
          <w:cantSplit/>
        </w:trPr>
        <w:tc>
          <w:tcPr>
            <w:tcW w:w="1366" w:type="pct"/>
            <w:tcBorders>
              <w:left w:val="single" w:sz="4" w:space="0" w:color="auto"/>
              <w:bottom w:val="single" w:sz="4" w:space="0" w:color="auto"/>
            </w:tcBorders>
            <w:shd w:val="clear" w:color="auto" w:fill="auto"/>
            <w:vAlign w:val="center"/>
          </w:tcPr>
          <w:p w14:paraId="4417E4EE" w14:textId="77777777" w:rsidR="000F4B43" w:rsidRPr="00B36948" w:rsidRDefault="000F4B43" w:rsidP="00B36948">
            <w:pPr>
              <w:keepNext/>
              <w:jc w:val="left"/>
              <w:rPr>
                <w:rFonts w:ascii="Arial Narrow" w:hAnsi="Arial Narrow"/>
                <w:b/>
                <w:sz w:val="20"/>
                <w:szCs w:val="20"/>
              </w:rPr>
            </w:pPr>
            <w:r w:rsidRPr="00B36948">
              <w:rPr>
                <w:rFonts w:ascii="Arial Narrow" w:hAnsi="Arial Narrow"/>
                <w:b/>
                <w:sz w:val="20"/>
                <w:szCs w:val="20"/>
              </w:rPr>
              <w:t>Total cost less copayment</w:t>
            </w:r>
          </w:p>
        </w:tc>
        <w:tc>
          <w:tcPr>
            <w:tcW w:w="605" w:type="pct"/>
            <w:shd w:val="clear" w:color="auto" w:fill="auto"/>
            <w:vAlign w:val="center"/>
          </w:tcPr>
          <w:p w14:paraId="63B65FB7" w14:textId="4D8FE7B1" w:rsidR="000F4B43" w:rsidRPr="00B36948" w:rsidRDefault="000F4B43" w:rsidP="00B36948">
            <w:pPr>
              <w:keepNext/>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62"/>
                <w:sz w:val="20"/>
                <w:szCs w:val="20"/>
                <w:shd w:val="solid" w:color="000000" w:fill="000000"/>
                <w:fitText w:val="370" w:id="-1435748342"/>
                <w14:textFill>
                  <w14:solidFill>
                    <w14:srgbClr w14:val="000000">
                      <w14:alpha w14:val="100000"/>
                    </w14:srgbClr>
                  </w14:solidFill>
                </w14:textFill>
              </w:rPr>
              <w:t>|||</w:t>
            </w:r>
            <w:r w:rsidR="00650CB8" w:rsidRPr="00650CB8">
              <w:rPr>
                <w:rFonts w:ascii="Arial Narrow" w:hAnsi="Arial Narrow"/>
                <w:b/>
                <w:bCs/>
                <w:color w:val="000000"/>
                <w:spacing w:val="1"/>
                <w:sz w:val="20"/>
                <w:szCs w:val="20"/>
                <w:shd w:val="solid" w:color="000000" w:fill="000000"/>
                <w:fitText w:val="370" w:id="-1435748342"/>
                <w14:textFill>
                  <w14:solidFill>
                    <w14:srgbClr w14:val="000000">
                      <w14:alpha w14:val="100000"/>
                    </w14:srgbClr>
                  </w14:solidFill>
                </w14:textFill>
              </w:rPr>
              <w:t>|</w:t>
            </w:r>
            <w:r w:rsidR="009C0E0F">
              <w:rPr>
                <w:rFonts w:ascii="Arial Narrow" w:hAnsi="Arial Narrow"/>
                <w:sz w:val="20"/>
                <w:szCs w:val="20"/>
                <w:vertAlign w:val="superscript"/>
              </w:rPr>
              <w:t>1</w:t>
            </w:r>
            <w:r w:rsidR="00624492">
              <w:rPr>
                <w:rFonts w:ascii="Arial Narrow" w:hAnsi="Arial Narrow"/>
                <w:sz w:val="20"/>
                <w:szCs w:val="20"/>
                <w:vertAlign w:val="superscript"/>
              </w:rPr>
              <w:t>3</w:t>
            </w:r>
          </w:p>
        </w:tc>
        <w:tc>
          <w:tcPr>
            <w:tcW w:w="606" w:type="pct"/>
            <w:shd w:val="clear" w:color="auto" w:fill="auto"/>
            <w:vAlign w:val="center"/>
          </w:tcPr>
          <w:p w14:paraId="6682E6D7" w14:textId="3A564C2D" w:rsidR="000F4B43" w:rsidRPr="00B36948" w:rsidRDefault="000F4B43" w:rsidP="00B36948">
            <w:pPr>
              <w:keepNext/>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62"/>
                <w:sz w:val="20"/>
                <w:szCs w:val="20"/>
                <w:shd w:val="solid" w:color="000000" w:fill="000000"/>
                <w:fitText w:val="370" w:id="-1435748341"/>
                <w14:textFill>
                  <w14:solidFill>
                    <w14:srgbClr w14:val="000000">
                      <w14:alpha w14:val="100000"/>
                    </w14:srgbClr>
                  </w14:solidFill>
                </w14:textFill>
              </w:rPr>
              <w:t>|||</w:t>
            </w:r>
            <w:r w:rsidR="00650CB8" w:rsidRPr="00650CB8">
              <w:rPr>
                <w:rFonts w:ascii="Arial Narrow" w:hAnsi="Arial Narrow"/>
                <w:b/>
                <w:bCs/>
                <w:color w:val="000000"/>
                <w:spacing w:val="1"/>
                <w:sz w:val="20"/>
                <w:szCs w:val="20"/>
                <w:shd w:val="solid" w:color="000000" w:fill="000000"/>
                <w:fitText w:val="370" w:id="-1435748341"/>
                <w14:textFill>
                  <w14:solidFill>
                    <w14:srgbClr w14:val="000000">
                      <w14:alpha w14:val="100000"/>
                    </w14:srgbClr>
                  </w14:solidFill>
                </w14:textFill>
              </w:rPr>
              <w:t>|</w:t>
            </w:r>
            <w:r w:rsidR="009C0E0F">
              <w:rPr>
                <w:rFonts w:ascii="Arial Narrow" w:hAnsi="Arial Narrow"/>
                <w:sz w:val="20"/>
                <w:szCs w:val="20"/>
                <w:vertAlign w:val="superscript"/>
              </w:rPr>
              <w:t>1</w:t>
            </w:r>
            <w:r w:rsidR="00624492">
              <w:rPr>
                <w:rFonts w:ascii="Arial Narrow" w:hAnsi="Arial Narrow"/>
                <w:sz w:val="20"/>
                <w:szCs w:val="20"/>
                <w:vertAlign w:val="superscript"/>
              </w:rPr>
              <w:t>3</w:t>
            </w:r>
          </w:p>
        </w:tc>
        <w:tc>
          <w:tcPr>
            <w:tcW w:w="605" w:type="pct"/>
            <w:shd w:val="clear" w:color="auto" w:fill="auto"/>
            <w:vAlign w:val="center"/>
          </w:tcPr>
          <w:p w14:paraId="46DEAD82" w14:textId="523D10F3" w:rsidR="000F4B43" w:rsidRPr="00B36948" w:rsidRDefault="000F4B43" w:rsidP="00B36948">
            <w:pPr>
              <w:keepNext/>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62"/>
                <w:sz w:val="20"/>
                <w:szCs w:val="20"/>
                <w:shd w:val="solid" w:color="000000" w:fill="000000"/>
                <w:fitText w:val="370" w:id="-1435748340"/>
                <w14:textFill>
                  <w14:solidFill>
                    <w14:srgbClr w14:val="000000">
                      <w14:alpha w14:val="100000"/>
                    </w14:srgbClr>
                  </w14:solidFill>
                </w14:textFill>
              </w:rPr>
              <w:t>|||</w:t>
            </w:r>
            <w:r w:rsidR="00650CB8" w:rsidRPr="00650CB8">
              <w:rPr>
                <w:rFonts w:ascii="Arial Narrow" w:hAnsi="Arial Narrow"/>
                <w:b/>
                <w:bCs/>
                <w:color w:val="000000"/>
                <w:spacing w:val="1"/>
                <w:sz w:val="20"/>
                <w:szCs w:val="20"/>
                <w:shd w:val="solid" w:color="000000" w:fill="000000"/>
                <w:fitText w:val="370" w:id="-1435748340"/>
                <w14:textFill>
                  <w14:solidFill>
                    <w14:srgbClr w14:val="000000">
                      <w14:alpha w14:val="100000"/>
                    </w14:srgbClr>
                  </w14:solidFill>
                </w14:textFill>
              </w:rPr>
              <w:t>|</w:t>
            </w:r>
            <w:r w:rsidR="009C0E0F">
              <w:rPr>
                <w:rFonts w:ascii="Arial Narrow" w:hAnsi="Arial Narrow"/>
                <w:sz w:val="20"/>
                <w:szCs w:val="20"/>
                <w:vertAlign w:val="superscript"/>
              </w:rPr>
              <w:t>1</w:t>
            </w:r>
            <w:r w:rsidR="00624492">
              <w:rPr>
                <w:rFonts w:ascii="Arial Narrow" w:hAnsi="Arial Narrow"/>
                <w:sz w:val="20"/>
                <w:szCs w:val="20"/>
                <w:vertAlign w:val="superscript"/>
              </w:rPr>
              <w:t>4</w:t>
            </w:r>
          </w:p>
        </w:tc>
        <w:tc>
          <w:tcPr>
            <w:tcW w:w="607" w:type="pct"/>
            <w:shd w:val="clear" w:color="auto" w:fill="auto"/>
            <w:vAlign w:val="center"/>
          </w:tcPr>
          <w:p w14:paraId="67B3212D" w14:textId="73332D84" w:rsidR="000F4B43" w:rsidRPr="00B36948" w:rsidRDefault="000F4B43" w:rsidP="00B36948">
            <w:pPr>
              <w:keepNext/>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62"/>
                <w:sz w:val="20"/>
                <w:szCs w:val="20"/>
                <w:shd w:val="solid" w:color="000000" w:fill="000000"/>
                <w:fitText w:val="370" w:id="-1435748339"/>
                <w14:textFill>
                  <w14:solidFill>
                    <w14:srgbClr w14:val="000000">
                      <w14:alpha w14:val="100000"/>
                    </w14:srgbClr>
                  </w14:solidFill>
                </w14:textFill>
              </w:rPr>
              <w:t>|||</w:t>
            </w:r>
            <w:r w:rsidR="00650CB8" w:rsidRPr="00650CB8">
              <w:rPr>
                <w:rFonts w:ascii="Arial Narrow" w:hAnsi="Arial Narrow"/>
                <w:b/>
                <w:bCs/>
                <w:color w:val="000000"/>
                <w:spacing w:val="1"/>
                <w:sz w:val="20"/>
                <w:szCs w:val="20"/>
                <w:shd w:val="solid" w:color="000000" w:fill="000000"/>
                <w:fitText w:val="370" w:id="-1435748339"/>
                <w14:textFill>
                  <w14:solidFill>
                    <w14:srgbClr w14:val="000000">
                      <w14:alpha w14:val="100000"/>
                    </w14:srgbClr>
                  </w14:solidFill>
                </w14:textFill>
              </w:rPr>
              <w:t>|</w:t>
            </w:r>
            <w:r w:rsidR="009C0E0F">
              <w:rPr>
                <w:rFonts w:ascii="Arial Narrow" w:hAnsi="Arial Narrow"/>
                <w:sz w:val="20"/>
                <w:szCs w:val="20"/>
                <w:vertAlign w:val="superscript"/>
              </w:rPr>
              <w:t>1</w:t>
            </w:r>
            <w:r w:rsidR="00624492">
              <w:rPr>
                <w:rFonts w:ascii="Arial Narrow" w:hAnsi="Arial Narrow"/>
                <w:sz w:val="20"/>
                <w:szCs w:val="20"/>
                <w:vertAlign w:val="superscript"/>
              </w:rPr>
              <w:t>4</w:t>
            </w:r>
          </w:p>
        </w:tc>
        <w:tc>
          <w:tcPr>
            <w:tcW w:w="605" w:type="pct"/>
            <w:tcBorders>
              <w:right w:val="single" w:sz="4" w:space="0" w:color="auto"/>
            </w:tcBorders>
            <w:shd w:val="clear" w:color="auto" w:fill="auto"/>
            <w:vAlign w:val="center"/>
          </w:tcPr>
          <w:p w14:paraId="5E0CAA17" w14:textId="5BA630B7" w:rsidR="000F4B43" w:rsidRPr="00B36948" w:rsidRDefault="000F4B43" w:rsidP="00B36948">
            <w:pPr>
              <w:keepNext/>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62"/>
                <w:sz w:val="20"/>
                <w:szCs w:val="20"/>
                <w:shd w:val="solid" w:color="000000" w:fill="000000"/>
                <w:fitText w:val="370" w:id="-1435748338"/>
                <w14:textFill>
                  <w14:solidFill>
                    <w14:srgbClr w14:val="000000">
                      <w14:alpha w14:val="100000"/>
                    </w14:srgbClr>
                  </w14:solidFill>
                </w14:textFill>
              </w:rPr>
              <w:t>|||</w:t>
            </w:r>
            <w:r w:rsidR="00650CB8" w:rsidRPr="00650CB8">
              <w:rPr>
                <w:rFonts w:ascii="Arial Narrow" w:hAnsi="Arial Narrow"/>
                <w:b/>
                <w:bCs/>
                <w:color w:val="000000"/>
                <w:spacing w:val="1"/>
                <w:sz w:val="20"/>
                <w:szCs w:val="20"/>
                <w:shd w:val="solid" w:color="000000" w:fill="000000"/>
                <w:fitText w:val="370" w:id="-1435748338"/>
                <w14:textFill>
                  <w14:solidFill>
                    <w14:srgbClr w14:val="000000">
                      <w14:alpha w14:val="100000"/>
                    </w14:srgbClr>
                  </w14:solidFill>
                </w14:textFill>
              </w:rPr>
              <w:t>|</w:t>
            </w:r>
            <w:r w:rsidR="009C0E0F">
              <w:rPr>
                <w:rFonts w:ascii="Arial Narrow" w:hAnsi="Arial Narrow"/>
                <w:sz w:val="20"/>
                <w:szCs w:val="20"/>
                <w:vertAlign w:val="superscript"/>
              </w:rPr>
              <w:t>1</w:t>
            </w:r>
            <w:r w:rsidR="00624492">
              <w:rPr>
                <w:rFonts w:ascii="Arial Narrow" w:hAnsi="Arial Narrow"/>
                <w:sz w:val="20"/>
                <w:szCs w:val="20"/>
                <w:vertAlign w:val="superscript"/>
              </w:rPr>
              <w:t>4</w:t>
            </w:r>
          </w:p>
        </w:tc>
        <w:tc>
          <w:tcPr>
            <w:tcW w:w="606" w:type="pct"/>
            <w:tcBorders>
              <w:right w:val="single" w:sz="4" w:space="0" w:color="auto"/>
            </w:tcBorders>
            <w:vAlign w:val="center"/>
          </w:tcPr>
          <w:p w14:paraId="26E62007" w14:textId="3E388458" w:rsidR="000F4B43" w:rsidRPr="00B36948" w:rsidRDefault="000F4B43" w:rsidP="00B36948">
            <w:pPr>
              <w:keepNext/>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62"/>
                <w:sz w:val="20"/>
                <w:szCs w:val="20"/>
                <w:shd w:val="solid" w:color="000000" w:fill="000000"/>
                <w:fitText w:val="370" w:id="-1435748337"/>
                <w14:textFill>
                  <w14:solidFill>
                    <w14:srgbClr w14:val="000000">
                      <w14:alpha w14:val="100000"/>
                    </w14:srgbClr>
                  </w14:solidFill>
                </w14:textFill>
              </w:rPr>
              <w:t>|||</w:t>
            </w:r>
            <w:r w:rsidR="00650CB8" w:rsidRPr="00650CB8">
              <w:rPr>
                <w:rFonts w:ascii="Arial Narrow" w:hAnsi="Arial Narrow"/>
                <w:b/>
                <w:bCs/>
                <w:color w:val="000000"/>
                <w:spacing w:val="1"/>
                <w:sz w:val="20"/>
                <w:szCs w:val="20"/>
                <w:shd w:val="solid" w:color="000000" w:fill="000000"/>
                <w:fitText w:val="370" w:id="-1435748337"/>
                <w14:textFill>
                  <w14:solidFill>
                    <w14:srgbClr w14:val="000000">
                      <w14:alpha w14:val="100000"/>
                    </w14:srgbClr>
                  </w14:solidFill>
                </w14:textFill>
              </w:rPr>
              <w:t>|</w:t>
            </w:r>
            <w:r w:rsidR="009C0E0F">
              <w:rPr>
                <w:rFonts w:ascii="Arial Narrow" w:hAnsi="Arial Narrow"/>
                <w:sz w:val="20"/>
                <w:szCs w:val="20"/>
                <w:vertAlign w:val="superscript"/>
              </w:rPr>
              <w:t>1</w:t>
            </w:r>
            <w:r w:rsidR="00624492">
              <w:rPr>
                <w:rFonts w:ascii="Arial Narrow" w:hAnsi="Arial Narrow"/>
                <w:sz w:val="20"/>
                <w:szCs w:val="20"/>
                <w:vertAlign w:val="superscript"/>
              </w:rPr>
              <w:t>4</w:t>
            </w:r>
          </w:p>
        </w:tc>
      </w:tr>
    </w:tbl>
    <w:p w14:paraId="4FB50E1C" w14:textId="77777777" w:rsidR="000F4B43" w:rsidRPr="00B36948" w:rsidRDefault="000F4B43" w:rsidP="00B36948">
      <w:pPr>
        <w:pStyle w:val="TableFigureFooter"/>
      </w:pPr>
      <w:r w:rsidRPr="00B36948">
        <w:t>Source: Table 4.2-1, p36; Table 4.2-3, p37; Table 4.2-5, p38 of the submission; ‘Financial Analysis_Mar 22’ Excel spreadsheet</w:t>
      </w:r>
    </w:p>
    <w:p w14:paraId="6FEB22D5" w14:textId="77777777" w:rsidR="000F4B43" w:rsidRPr="00B36948" w:rsidRDefault="000F4B43" w:rsidP="00B36948">
      <w:pPr>
        <w:pStyle w:val="TableFigureFooter"/>
      </w:pPr>
      <w:r w:rsidRPr="00B36948">
        <w:t>Abbreviations: ASCVD, atherosclerotic cardiovascular disease; DPMQ, dispensed price for maximum quantity; FH, familial hypercholesterolaemia; LDL, low-density lipoprotein.</w:t>
      </w:r>
    </w:p>
    <w:p w14:paraId="2AA43D57" w14:textId="12602134" w:rsidR="000F4B43" w:rsidRDefault="000F4B43" w:rsidP="00B36948">
      <w:pPr>
        <w:pStyle w:val="TableFigureFooter"/>
      </w:pPr>
      <w:r w:rsidRPr="00B36948">
        <w:rPr>
          <w:vertAlign w:val="superscript"/>
        </w:rPr>
        <w:t>1</w:t>
      </w:r>
      <w:r w:rsidRPr="00B36948">
        <w:t> Effective prices used in the submission’s calculations of financial impact were specific to the new population of patients with LDL-C 1.8 to 2.6 mmol/L</w:t>
      </w:r>
    </w:p>
    <w:p w14:paraId="7F938847" w14:textId="77777777" w:rsidR="00C655B2" w:rsidRPr="00181DAC" w:rsidRDefault="00C655B2" w:rsidP="00C655B2">
      <w:pPr>
        <w:pStyle w:val="TableFigureFooter"/>
        <w:keepNext/>
        <w:spacing w:after="0"/>
        <w:contextualSpacing w:val="0"/>
        <w:rPr>
          <w:i/>
        </w:rPr>
      </w:pPr>
      <w:bookmarkStart w:id="57" w:name="_Hlk112839435"/>
      <w:bookmarkStart w:id="58" w:name="_Hlk113879657"/>
      <w:r w:rsidRPr="00181DAC">
        <w:rPr>
          <w:i/>
        </w:rPr>
        <w:t>The redacted values correspond to the following ranges:</w:t>
      </w:r>
    </w:p>
    <w:bookmarkEnd w:id="57"/>
    <w:p w14:paraId="59DFF870" w14:textId="75097189" w:rsidR="00C655B2" w:rsidRPr="00281DAB" w:rsidRDefault="00C655B2" w:rsidP="00C655B2">
      <w:pPr>
        <w:pStyle w:val="TableFigureFooter"/>
        <w:keepNext/>
        <w:spacing w:after="0"/>
        <w:contextualSpacing w:val="0"/>
      </w:pPr>
      <w:r w:rsidRPr="00181DAC">
        <w:rPr>
          <w:i/>
          <w:szCs w:val="18"/>
          <w:vertAlign w:val="superscript"/>
        </w:rPr>
        <w:t>1</w:t>
      </w:r>
      <w:r w:rsidRPr="00181DAC">
        <w:rPr>
          <w:i/>
          <w:szCs w:val="18"/>
        </w:rPr>
        <w:t xml:space="preserve"> </w:t>
      </w:r>
      <w:r w:rsidRPr="00C655B2">
        <w:rPr>
          <w:i/>
          <w:szCs w:val="18"/>
        </w:rPr>
        <w:t>400,000 to &lt; 500,000</w:t>
      </w:r>
    </w:p>
    <w:p w14:paraId="004AC937" w14:textId="1C04368B" w:rsidR="00C655B2" w:rsidRPr="00181DAC" w:rsidRDefault="00C655B2" w:rsidP="00C655B2">
      <w:pPr>
        <w:rPr>
          <w:rFonts w:ascii="Arial Narrow" w:hAnsi="Arial Narrow"/>
          <w:i/>
          <w:sz w:val="18"/>
          <w:szCs w:val="18"/>
        </w:rPr>
      </w:pPr>
      <w:r w:rsidRPr="00181DAC">
        <w:rPr>
          <w:rFonts w:ascii="Arial Narrow" w:hAnsi="Arial Narrow"/>
          <w:i/>
          <w:sz w:val="18"/>
          <w:szCs w:val="18"/>
          <w:vertAlign w:val="superscript"/>
        </w:rPr>
        <w:t>2</w:t>
      </w:r>
      <w:r w:rsidRPr="00181DAC">
        <w:rPr>
          <w:rFonts w:ascii="Arial Narrow" w:hAnsi="Arial Narrow"/>
          <w:i/>
          <w:sz w:val="18"/>
          <w:szCs w:val="18"/>
        </w:rPr>
        <w:t xml:space="preserve"> </w:t>
      </w:r>
      <w:r w:rsidRPr="00C655B2">
        <w:rPr>
          <w:rFonts w:ascii="Arial Narrow" w:hAnsi="Arial Narrow"/>
          <w:i/>
          <w:sz w:val="18"/>
          <w:szCs w:val="18"/>
        </w:rPr>
        <w:t>500,000 to &lt; 600,000</w:t>
      </w:r>
    </w:p>
    <w:bookmarkEnd w:id="58"/>
    <w:p w14:paraId="5016055E" w14:textId="55C75351" w:rsidR="00C655B2" w:rsidRPr="00181DAC" w:rsidRDefault="00C655B2" w:rsidP="00C655B2">
      <w:pPr>
        <w:rPr>
          <w:rFonts w:ascii="Arial Narrow" w:hAnsi="Arial Narrow"/>
          <w:i/>
          <w:sz w:val="18"/>
          <w:szCs w:val="18"/>
        </w:rPr>
      </w:pPr>
      <w:r w:rsidRPr="00181DAC">
        <w:rPr>
          <w:rFonts w:ascii="Arial Narrow" w:hAnsi="Arial Narrow"/>
          <w:i/>
          <w:sz w:val="18"/>
          <w:szCs w:val="18"/>
          <w:vertAlign w:val="superscript"/>
        </w:rPr>
        <w:t xml:space="preserve">3 </w:t>
      </w:r>
      <w:r w:rsidRPr="00C655B2">
        <w:rPr>
          <w:rFonts w:ascii="Arial Narrow" w:hAnsi="Arial Narrow"/>
          <w:i/>
          <w:sz w:val="18"/>
          <w:szCs w:val="18"/>
        </w:rPr>
        <w:t>300,000 to &lt; 400,000</w:t>
      </w:r>
    </w:p>
    <w:p w14:paraId="77D8BE70" w14:textId="3D0E5F21" w:rsidR="00C655B2" w:rsidRPr="00181DAC" w:rsidRDefault="00C655B2" w:rsidP="00C655B2">
      <w:pPr>
        <w:rPr>
          <w:rFonts w:ascii="Arial Narrow" w:hAnsi="Arial Narrow"/>
          <w:i/>
          <w:sz w:val="18"/>
          <w:szCs w:val="18"/>
        </w:rPr>
      </w:pPr>
      <w:r w:rsidRPr="00181DAC">
        <w:rPr>
          <w:rFonts w:ascii="Arial Narrow" w:hAnsi="Arial Narrow"/>
          <w:i/>
          <w:sz w:val="18"/>
          <w:szCs w:val="18"/>
          <w:vertAlign w:val="superscript"/>
        </w:rPr>
        <w:t xml:space="preserve">4 </w:t>
      </w:r>
      <w:r w:rsidRPr="00C655B2">
        <w:rPr>
          <w:rFonts w:ascii="Arial Narrow" w:hAnsi="Arial Narrow"/>
          <w:i/>
          <w:sz w:val="18"/>
          <w:szCs w:val="18"/>
        </w:rPr>
        <w:t>200,000 to &lt; 300,000</w:t>
      </w:r>
    </w:p>
    <w:p w14:paraId="510ECE5D" w14:textId="23DBAD1D" w:rsidR="00C655B2" w:rsidRPr="00181DAC" w:rsidRDefault="00C655B2" w:rsidP="00C655B2">
      <w:pPr>
        <w:rPr>
          <w:rFonts w:ascii="Arial Narrow" w:hAnsi="Arial Narrow"/>
          <w:i/>
          <w:sz w:val="18"/>
          <w:szCs w:val="18"/>
        </w:rPr>
      </w:pPr>
      <w:r w:rsidRPr="00181DAC">
        <w:rPr>
          <w:rFonts w:ascii="Arial Narrow" w:hAnsi="Arial Narrow"/>
          <w:i/>
          <w:sz w:val="18"/>
          <w:szCs w:val="18"/>
          <w:vertAlign w:val="superscript"/>
        </w:rPr>
        <w:t>5</w:t>
      </w:r>
      <w:r w:rsidRPr="00181DAC">
        <w:rPr>
          <w:rFonts w:ascii="Arial Narrow" w:hAnsi="Arial Narrow"/>
          <w:i/>
          <w:sz w:val="18"/>
          <w:szCs w:val="18"/>
        </w:rPr>
        <w:t xml:space="preserve"> </w:t>
      </w:r>
      <w:r w:rsidR="00B86DD9" w:rsidRPr="00B86DD9">
        <w:rPr>
          <w:rFonts w:ascii="Arial Narrow" w:hAnsi="Arial Narrow"/>
          <w:i/>
          <w:sz w:val="18"/>
          <w:szCs w:val="18"/>
        </w:rPr>
        <w:t>100,000 to &lt; 200,000</w:t>
      </w:r>
    </w:p>
    <w:p w14:paraId="400FB368" w14:textId="595F3B52" w:rsidR="00C655B2" w:rsidRPr="00181DAC" w:rsidRDefault="00C655B2" w:rsidP="00C655B2">
      <w:pPr>
        <w:rPr>
          <w:rFonts w:ascii="Arial Narrow" w:hAnsi="Arial Narrow"/>
          <w:i/>
          <w:sz w:val="18"/>
          <w:szCs w:val="18"/>
        </w:rPr>
      </w:pPr>
      <w:r w:rsidRPr="00181DAC">
        <w:rPr>
          <w:rFonts w:ascii="Arial Narrow" w:hAnsi="Arial Narrow"/>
          <w:i/>
          <w:sz w:val="18"/>
          <w:szCs w:val="18"/>
          <w:vertAlign w:val="superscript"/>
        </w:rPr>
        <w:t xml:space="preserve">6 </w:t>
      </w:r>
      <w:r w:rsidR="00B86DD9" w:rsidRPr="00B86DD9">
        <w:rPr>
          <w:rFonts w:ascii="Arial Narrow" w:hAnsi="Arial Narrow"/>
          <w:i/>
          <w:sz w:val="18"/>
          <w:szCs w:val="18"/>
        </w:rPr>
        <w:t>3</w:t>
      </w:r>
      <w:r w:rsidR="00624492">
        <w:rPr>
          <w:rFonts w:ascii="Arial Narrow" w:hAnsi="Arial Narrow"/>
          <w:i/>
          <w:sz w:val="18"/>
          <w:szCs w:val="18"/>
        </w:rPr>
        <w:t>0</w:t>
      </w:r>
      <w:r w:rsidR="00B86DD9" w:rsidRPr="00B86DD9">
        <w:rPr>
          <w:rFonts w:ascii="Arial Narrow" w:hAnsi="Arial Narrow"/>
          <w:i/>
          <w:sz w:val="18"/>
          <w:szCs w:val="18"/>
        </w:rPr>
        <w:t>,000 to &lt; 4</w:t>
      </w:r>
      <w:r w:rsidR="00624492">
        <w:rPr>
          <w:rFonts w:ascii="Arial Narrow" w:hAnsi="Arial Narrow"/>
          <w:i/>
          <w:sz w:val="18"/>
          <w:szCs w:val="18"/>
        </w:rPr>
        <w:t>0</w:t>
      </w:r>
      <w:r w:rsidR="00B86DD9" w:rsidRPr="00B86DD9">
        <w:rPr>
          <w:rFonts w:ascii="Arial Narrow" w:hAnsi="Arial Narrow"/>
          <w:i/>
          <w:sz w:val="18"/>
          <w:szCs w:val="18"/>
        </w:rPr>
        <w:t>,000</w:t>
      </w:r>
    </w:p>
    <w:p w14:paraId="35626CA8" w14:textId="3573A06A" w:rsidR="00C655B2" w:rsidRPr="00181DAC" w:rsidRDefault="00C655B2" w:rsidP="00C655B2">
      <w:pPr>
        <w:rPr>
          <w:rFonts w:ascii="Arial Narrow" w:hAnsi="Arial Narrow"/>
          <w:i/>
          <w:sz w:val="18"/>
          <w:szCs w:val="18"/>
          <w:vertAlign w:val="superscript"/>
        </w:rPr>
      </w:pPr>
      <w:r w:rsidRPr="00181DAC">
        <w:rPr>
          <w:rFonts w:ascii="Arial Narrow" w:hAnsi="Arial Narrow"/>
          <w:i/>
          <w:sz w:val="18"/>
          <w:szCs w:val="18"/>
          <w:vertAlign w:val="superscript"/>
        </w:rPr>
        <w:t xml:space="preserve">7 </w:t>
      </w:r>
      <w:r w:rsidR="00B86DD9" w:rsidRPr="00B86DD9">
        <w:rPr>
          <w:rFonts w:ascii="Arial Narrow" w:hAnsi="Arial Narrow"/>
          <w:i/>
          <w:sz w:val="18"/>
          <w:szCs w:val="18"/>
        </w:rPr>
        <w:t>40,000 to &lt; 50,000</w:t>
      </w:r>
    </w:p>
    <w:p w14:paraId="1BEF34A3" w14:textId="6E8EA62A" w:rsidR="00C655B2" w:rsidRPr="00181DAC" w:rsidRDefault="00C655B2" w:rsidP="00C655B2">
      <w:pPr>
        <w:rPr>
          <w:rFonts w:ascii="Arial Narrow" w:hAnsi="Arial Narrow"/>
          <w:i/>
          <w:sz w:val="18"/>
          <w:szCs w:val="18"/>
          <w:vertAlign w:val="superscript"/>
        </w:rPr>
      </w:pPr>
      <w:r w:rsidRPr="00181DAC">
        <w:rPr>
          <w:rFonts w:ascii="Arial Narrow" w:hAnsi="Arial Narrow"/>
          <w:sz w:val="18"/>
          <w:szCs w:val="18"/>
          <w:vertAlign w:val="superscript"/>
        </w:rPr>
        <w:t xml:space="preserve">8 </w:t>
      </w:r>
      <w:r w:rsidR="00B86DD9" w:rsidRPr="00B86DD9">
        <w:rPr>
          <w:rFonts w:ascii="Arial Narrow" w:hAnsi="Arial Narrow"/>
          <w:i/>
          <w:sz w:val="18"/>
          <w:szCs w:val="18"/>
        </w:rPr>
        <w:t>500 to &lt; 5,000</w:t>
      </w:r>
    </w:p>
    <w:p w14:paraId="42C30F41" w14:textId="7189860D" w:rsidR="00C655B2" w:rsidRPr="00181DAC" w:rsidRDefault="00C655B2" w:rsidP="00C655B2">
      <w:pPr>
        <w:rPr>
          <w:rFonts w:ascii="Arial Narrow" w:hAnsi="Arial Narrow"/>
          <w:i/>
          <w:sz w:val="18"/>
          <w:szCs w:val="18"/>
        </w:rPr>
      </w:pPr>
      <w:r w:rsidRPr="00181DAC">
        <w:rPr>
          <w:rFonts w:ascii="Arial Narrow" w:hAnsi="Arial Narrow"/>
          <w:sz w:val="18"/>
          <w:szCs w:val="18"/>
          <w:vertAlign w:val="superscript"/>
        </w:rPr>
        <w:t>9</w:t>
      </w:r>
      <w:r>
        <w:rPr>
          <w:rFonts w:ascii="Arial Narrow" w:hAnsi="Arial Narrow"/>
          <w:sz w:val="18"/>
          <w:szCs w:val="18"/>
          <w:vertAlign w:val="superscript"/>
        </w:rPr>
        <w:t xml:space="preserve"> </w:t>
      </w:r>
      <w:r w:rsidR="00B86DD9" w:rsidRPr="00B86DD9">
        <w:rPr>
          <w:rFonts w:ascii="Arial Narrow" w:hAnsi="Arial Narrow"/>
          <w:i/>
          <w:sz w:val="18"/>
          <w:szCs w:val="18"/>
        </w:rPr>
        <w:t>5,000 to &lt; 10,000</w:t>
      </w:r>
    </w:p>
    <w:p w14:paraId="502D19BD" w14:textId="43E89709" w:rsidR="00C655B2" w:rsidRDefault="00C655B2" w:rsidP="00C655B2">
      <w:pPr>
        <w:rPr>
          <w:rFonts w:ascii="Arial Narrow" w:hAnsi="Arial Narrow"/>
          <w:i/>
          <w:sz w:val="18"/>
          <w:szCs w:val="18"/>
        </w:rPr>
      </w:pPr>
      <w:r w:rsidRPr="00181DAC">
        <w:rPr>
          <w:rFonts w:ascii="Arial Narrow" w:hAnsi="Arial Narrow"/>
          <w:i/>
          <w:sz w:val="18"/>
          <w:szCs w:val="18"/>
          <w:vertAlign w:val="superscript"/>
        </w:rPr>
        <w:t>10</w:t>
      </w:r>
      <w:r w:rsidRPr="00181DAC">
        <w:rPr>
          <w:rFonts w:ascii="Arial Narrow" w:hAnsi="Arial Narrow"/>
          <w:i/>
          <w:sz w:val="18"/>
          <w:szCs w:val="18"/>
        </w:rPr>
        <w:t xml:space="preserve"> </w:t>
      </w:r>
      <w:r w:rsidR="00B86DD9">
        <w:rPr>
          <w:rFonts w:ascii="Arial Narrow" w:hAnsi="Arial Narrow"/>
          <w:i/>
          <w:sz w:val="18"/>
          <w:szCs w:val="18"/>
        </w:rPr>
        <w:t>1</w:t>
      </w:r>
      <w:r w:rsidR="00B86DD9" w:rsidRPr="00B86DD9">
        <w:rPr>
          <w:rFonts w:ascii="Arial Narrow" w:hAnsi="Arial Narrow"/>
          <w:i/>
          <w:sz w:val="18"/>
          <w:szCs w:val="18"/>
        </w:rPr>
        <w:t>0,000 to &lt; 20,000</w:t>
      </w:r>
      <w:r w:rsidR="00B86DD9">
        <w:rPr>
          <w:rFonts w:ascii="Arial Narrow" w:hAnsi="Arial Narrow"/>
          <w:i/>
          <w:sz w:val="18"/>
          <w:szCs w:val="18"/>
        </w:rPr>
        <w:t xml:space="preserve"> </w:t>
      </w:r>
    </w:p>
    <w:p w14:paraId="18AC93B5" w14:textId="4CF706EA" w:rsidR="00C655B2" w:rsidRPr="00181DAC" w:rsidRDefault="00C655B2" w:rsidP="00C655B2">
      <w:pPr>
        <w:rPr>
          <w:rFonts w:ascii="Arial Narrow" w:hAnsi="Arial Narrow"/>
          <w:i/>
          <w:sz w:val="18"/>
          <w:szCs w:val="18"/>
          <w:vertAlign w:val="superscript"/>
        </w:rPr>
      </w:pPr>
      <w:r>
        <w:rPr>
          <w:rFonts w:ascii="Arial Narrow" w:hAnsi="Arial Narrow"/>
          <w:i/>
          <w:sz w:val="18"/>
          <w:szCs w:val="18"/>
          <w:vertAlign w:val="superscript"/>
        </w:rPr>
        <w:t>11</w:t>
      </w:r>
      <w:r w:rsidRPr="00181DAC">
        <w:rPr>
          <w:rFonts w:ascii="Arial Narrow" w:hAnsi="Arial Narrow"/>
          <w:i/>
          <w:sz w:val="18"/>
          <w:szCs w:val="18"/>
          <w:vertAlign w:val="superscript"/>
        </w:rPr>
        <w:t xml:space="preserve"> </w:t>
      </w:r>
      <w:r w:rsidR="00B86DD9" w:rsidRPr="00B86DD9">
        <w:rPr>
          <w:rFonts w:ascii="Arial Narrow" w:hAnsi="Arial Narrow"/>
          <w:i/>
          <w:sz w:val="18"/>
          <w:szCs w:val="18"/>
        </w:rPr>
        <w:t>60,000 to &lt; 70,000</w:t>
      </w:r>
    </w:p>
    <w:p w14:paraId="2FAB4C5D" w14:textId="3BD12642" w:rsidR="00C655B2" w:rsidRPr="00181DAC" w:rsidRDefault="00C655B2" w:rsidP="00C655B2">
      <w:pPr>
        <w:rPr>
          <w:rFonts w:ascii="Arial Narrow" w:hAnsi="Arial Narrow"/>
          <w:i/>
          <w:sz w:val="18"/>
          <w:szCs w:val="18"/>
          <w:vertAlign w:val="superscript"/>
        </w:rPr>
      </w:pPr>
      <w:r>
        <w:rPr>
          <w:rFonts w:ascii="Arial Narrow" w:hAnsi="Arial Narrow"/>
          <w:sz w:val="18"/>
          <w:szCs w:val="18"/>
          <w:vertAlign w:val="superscript"/>
        </w:rPr>
        <w:t>12</w:t>
      </w:r>
      <w:r w:rsidRPr="00181DAC">
        <w:rPr>
          <w:rFonts w:ascii="Arial Narrow" w:hAnsi="Arial Narrow"/>
          <w:sz w:val="18"/>
          <w:szCs w:val="18"/>
          <w:vertAlign w:val="superscript"/>
        </w:rPr>
        <w:t xml:space="preserve"> </w:t>
      </w:r>
      <w:r w:rsidR="00624492" w:rsidRPr="00624492">
        <w:rPr>
          <w:rFonts w:ascii="Arial Narrow" w:hAnsi="Arial Narrow"/>
          <w:i/>
          <w:sz w:val="18"/>
          <w:szCs w:val="18"/>
        </w:rPr>
        <w:t>90,000 to &lt; 100,000</w:t>
      </w:r>
    </w:p>
    <w:p w14:paraId="599D5BCF" w14:textId="0E7C4EAF" w:rsidR="00C655B2" w:rsidRDefault="00C655B2" w:rsidP="00C655B2">
      <w:pPr>
        <w:rPr>
          <w:rFonts w:ascii="Arial Narrow" w:hAnsi="Arial Narrow"/>
          <w:i/>
          <w:sz w:val="18"/>
          <w:szCs w:val="18"/>
        </w:rPr>
      </w:pPr>
      <w:r>
        <w:rPr>
          <w:rFonts w:ascii="Arial Narrow" w:hAnsi="Arial Narrow"/>
          <w:sz w:val="18"/>
          <w:szCs w:val="18"/>
          <w:vertAlign w:val="superscript"/>
        </w:rPr>
        <w:t xml:space="preserve">13 </w:t>
      </w:r>
      <w:r w:rsidR="00B86DD9">
        <w:rPr>
          <w:rFonts w:ascii="Arial Narrow" w:hAnsi="Arial Narrow"/>
          <w:i/>
          <w:sz w:val="18"/>
          <w:szCs w:val="18"/>
        </w:rPr>
        <w:t>0</w:t>
      </w:r>
      <w:r w:rsidR="00B86DD9" w:rsidRPr="00B86DD9">
        <w:rPr>
          <w:rFonts w:ascii="Arial Narrow" w:hAnsi="Arial Narrow"/>
          <w:i/>
          <w:sz w:val="18"/>
          <w:szCs w:val="18"/>
        </w:rPr>
        <w:t xml:space="preserve"> to &lt; $10 million</w:t>
      </w:r>
    </w:p>
    <w:p w14:paraId="301F7136" w14:textId="585035E9" w:rsidR="007875AE" w:rsidRPr="00181DAC" w:rsidRDefault="007875AE" w:rsidP="007875AE">
      <w:pPr>
        <w:rPr>
          <w:rFonts w:ascii="Arial Narrow" w:hAnsi="Arial Narrow"/>
          <w:i/>
          <w:sz w:val="18"/>
          <w:szCs w:val="18"/>
          <w:vertAlign w:val="superscript"/>
        </w:rPr>
      </w:pPr>
      <w:r>
        <w:rPr>
          <w:rFonts w:ascii="Arial Narrow" w:hAnsi="Arial Narrow"/>
          <w:sz w:val="18"/>
          <w:szCs w:val="18"/>
          <w:vertAlign w:val="superscript"/>
        </w:rPr>
        <w:t>14</w:t>
      </w:r>
      <w:r w:rsidRPr="00181DAC">
        <w:rPr>
          <w:rFonts w:ascii="Arial Narrow" w:hAnsi="Arial Narrow"/>
          <w:sz w:val="18"/>
          <w:szCs w:val="18"/>
          <w:vertAlign w:val="superscript"/>
        </w:rPr>
        <w:t xml:space="preserve"> </w:t>
      </w:r>
      <w:r w:rsidRPr="007875AE">
        <w:rPr>
          <w:rFonts w:ascii="Arial Narrow" w:hAnsi="Arial Narrow"/>
          <w:i/>
          <w:sz w:val="18"/>
          <w:szCs w:val="18"/>
        </w:rPr>
        <w:t>$10 million to &lt; $20 million</w:t>
      </w:r>
    </w:p>
    <w:p w14:paraId="1FDE5995" w14:textId="273A2D96" w:rsidR="007875AE" w:rsidRPr="00181DAC" w:rsidRDefault="007875AE" w:rsidP="00C655B2">
      <w:pPr>
        <w:rPr>
          <w:rFonts w:ascii="Arial Narrow" w:hAnsi="Arial Narrow"/>
          <w:i/>
          <w:sz w:val="18"/>
          <w:szCs w:val="18"/>
        </w:rPr>
      </w:pPr>
      <w:r>
        <w:rPr>
          <w:rFonts w:ascii="Arial Narrow" w:hAnsi="Arial Narrow"/>
          <w:sz w:val="18"/>
          <w:szCs w:val="18"/>
          <w:vertAlign w:val="superscript"/>
        </w:rPr>
        <w:t xml:space="preserve">15 </w:t>
      </w:r>
      <w:r w:rsidRPr="007875AE">
        <w:rPr>
          <w:rFonts w:ascii="Arial Narrow" w:hAnsi="Arial Narrow"/>
          <w:i/>
          <w:sz w:val="18"/>
          <w:szCs w:val="18"/>
        </w:rPr>
        <w:t>20,000 to &lt; 30,000</w:t>
      </w:r>
    </w:p>
    <w:p w14:paraId="0CE67141" w14:textId="77777777" w:rsidR="00C655B2" w:rsidRPr="00B36948" w:rsidRDefault="00C655B2" w:rsidP="00B36948">
      <w:pPr>
        <w:pStyle w:val="TableFigureFooter"/>
      </w:pPr>
    </w:p>
    <w:p w14:paraId="79D20519" w14:textId="2B6043CE" w:rsidR="000F4B43" w:rsidRPr="00B36948" w:rsidRDefault="000F4B43" w:rsidP="000F4B43">
      <w:pPr>
        <w:pStyle w:val="ExecSumBodyText"/>
        <w:numPr>
          <w:ilvl w:val="1"/>
          <w:numId w:val="1"/>
        </w:numPr>
      </w:pPr>
      <w:r w:rsidRPr="00B36948">
        <w:t>Based on effective prices specific to the new population</w:t>
      </w:r>
      <w:r w:rsidR="0009707F">
        <w:t>, as offered in the submission</w:t>
      </w:r>
      <w:r w:rsidRPr="00B36948">
        <w:t>, the net cost of extending the listing of evolocumab for the treatment of patients with non-familial hypercholesterolaemia with ASCVD and additional high risk factors and LDL-C between 1.8 and 2.6 mmol/L was estimated to be</w:t>
      </w:r>
      <w:r w:rsidR="00DA2C83">
        <w:t xml:space="preserve"> </w:t>
      </w:r>
      <w:r w:rsidR="00DA2C83" w:rsidRPr="00DA2C83">
        <w:t>$0 to &lt; $10 million</w:t>
      </w:r>
      <w:r w:rsidRPr="00B36948">
        <w:t xml:space="preserve"> in the first year of listing, increasing to </w:t>
      </w:r>
      <w:r w:rsidR="008D7ECF" w:rsidRPr="008D7ECF">
        <w:t>$10 million to &lt; $20 million</w:t>
      </w:r>
      <w:r w:rsidRPr="00B36948">
        <w:t xml:space="preserve"> in the sixth year of listing, a cumulative net cost over 6 years of </w:t>
      </w:r>
      <w:r w:rsidR="008D7ECF" w:rsidRPr="008D7ECF">
        <w:t>$70 million to &lt; $80 million</w:t>
      </w:r>
      <w:r w:rsidRPr="00B36948">
        <w:t>.</w:t>
      </w:r>
    </w:p>
    <w:p w14:paraId="091A8FC3" w14:textId="77279FEA" w:rsidR="000F4B43" w:rsidRPr="00B36948" w:rsidRDefault="000F4B43" w:rsidP="000F4B43">
      <w:pPr>
        <w:pStyle w:val="ExecSumBodyText"/>
        <w:numPr>
          <w:ilvl w:val="1"/>
          <w:numId w:val="1"/>
        </w:numPr>
        <w:spacing w:after="0"/>
      </w:pPr>
      <w:r w:rsidRPr="00B36948">
        <w:lastRenderedPageBreak/>
        <w:t xml:space="preserve">The </w:t>
      </w:r>
      <w:r w:rsidR="00B36948" w:rsidRPr="00B36948">
        <w:t xml:space="preserve">evaluation considered that the </w:t>
      </w:r>
      <w:r w:rsidRPr="00B36948">
        <w:t>utilisation/financial estimates in the non-familial hypercholesterolaemia population were highly uncertain due to the following key issues:</w:t>
      </w:r>
    </w:p>
    <w:p w14:paraId="5B09F318" w14:textId="77777777" w:rsidR="000F4B43" w:rsidRPr="00B36948" w:rsidRDefault="000F4B43" w:rsidP="000E27D0">
      <w:pPr>
        <w:pStyle w:val="ListParagraph"/>
        <w:widowControl/>
        <w:numPr>
          <w:ilvl w:val="0"/>
          <w:numId w:val="18"/>
        </w:numPr>
        <w:spacing w:after="0"/>
        <w:ind w:left="1077" w:hanging="357"/>
      </w:pPr>
      <w:r w:rsidRPr="00B36948">
        <w:t>The proportion of non-FH patients with LDL-C between 1.8 and 2.6 mmol/L (30%) was based on a subgroup of patients from the sponsor commissioned IQVIA GP dataset analysis. This sample was small (331 patients), poorly documented, and of uncertain applicability to the overall Australian population.</w:t>
      </w:r>
    </w:p>
    <w:p w14:paraId="27BFD5F5" w14:textId="03429EA1" w:rsidR="000F4B43" w:rsidRPr="00B36948" w:rsidRDefault="000F4B43" w:rsidP="000E27D0">
      <w:pPr>
        <w:pStyle w:val="ListParagraph"/>
        <w:widowControl/>
        <w:numPr>
          <w:ilvl w:val="0"/>
          <w:numId w:val="18"/>
        </w:numPr>
        <w:spacing w:after="120"/>
        <w:ind w:left="1077" w:hanging="357"/>
      </w:pPr>
      <w:r w:rsidRPr="00B36948">
        <w:t>Uptake estimates were highly uncertain and based on sponsor assumptions applied to the same small sample of data from the IQVIA database.</w:t>
      </w:r>
    </w:p>
    <w:p w14:paraId="6BBB0B34" w14:textId="77777777" w:rsidR="00B36948" w:rsidRPr="00B36948" w:rsidRDefault="00B36948" w:rsidP="00B36948">
      <w:pPr>
        <w:pStyle w:val="ExecSumBodyText"/>
        <w:numPr>
          <w:ilvl w:val="1"/>
          <w:numId w:val="1"/>
        </w:numPr>
        <w:rPr>
          <w:b/>
        </w:rPr>
      </w:pPr>
      <w:r w:rsidRPr="00B36948">
        <w:t xml:space="preserve">The DUSC </w:t>
      </w:r>
      <w:bookmarkStart w:id="59" w:name="_Hlk105498330"/>
      <w:r w:rsidRPr="00B36948">
        <w:rPr>
          <w:lang w:val="en-US"/>
        </w:rPr>
        <w:t xml:space="preserve">considered that the treatment uptake rates were underestimated. DUSC noted that the chart audit conducted by the applicant that was used to inform the treatment uptake assumptions was done in acute patients and these patients were not necessarily representative of high-risk patients with a low-density lipoprotein cholesterol (LDL-C) level between 1.8 and 2.6 </w:t>
      </w:r>
      <w:r w:rsidRPr="00B36948">
        <w:t>millimoles per litre</w:t>
      </w:r>
      <w:r w:rsidRPr="00B36948">
        <w:rPr>
          <w:lang w:val="en-US"/>
        </w:rPr>
        <w:t>.</w:t>
      </w:r>
    </w:p>
    <w:bookmarkEnd w:id="59"/>
    <w:p w14:paraId="057FE39C" w14:textId="76AC8125" w:rsidR="00985590" w:rsidRDefault="000F4B43" w:rsidP="000F4B43">
      <w:pPr>
        <w:pStyle w:val="ExecSumBodyText"/>
        <w:numPr>
          <w:ilvl w:val="1"/>
          <w:numId w:val="1"/>
        </w:numPr>
      </w:pPr>
      <w:r w:rsidRPr="00B36948">
        <w:fldChar w:fldCharType="begin"/>
      </w:r>
      <w:r w:rsidRPr="00B36948">
        <w:instrText xml:space="preserve"> REF _Ref102486217 \h  \* MERGEFORMAT </w:instrText>
      </w:r>
      <w:r w:rsidRPr="00B36948">
        <w:fldChar w:fldCharType="separate"/>
      </w:r>
      <w:r w:rsidR="00EB7F7C" w:rsidRPr="00B36948">
        <w:t xml:space="preserve">Table </w:t>
      </w:r>
      <w:r w:rsidR="00EB7F7C" w:rsidRPr="00B36948">
        <w:rPr>
          <w:noProof/>
        </w:rPr>
        <w:t>19</w:t>
      </w:r>
      <w:r w:rsidRPr="00B36948">
        <w:fldChar w:fldCharType="end"/>
      </w:r>
      <w:r w:rsidRPr="00B36948">
        <w:t xml:space="preserve"> below compares the estimates of utilisation in the new population with those from the existing population in the November 2019 submission for patients with non-familial hypercholesterolaemia.</w:t>
      </w:r>
    </w:p>
    <w:p w14:paraId="52E36CB0" w14:textId="77777777" w:rsidR="00985590" w:rsidRDefault="00985590">
      <w:pPr>
        <w:jc w:val="left"/>
        <w:rPr>
          <w:rFonts w:asciiTheme="minorHAnsi" w:hAnsiTheme="minorHAnsi"/>
          <w:snapToGrid w:val="0"/>
        </w:rPr>
      </w:pPr>
      <w:r>
        <w:br w:type="page"/>
      </w:r>
    </w:p>
    <w:p w14:paraId="164B95B7" w14:textId="21A75E7A" w:rsidR="000F4B43" w:rsidRPr="00B36948" w:rsidRDefault="000F4B43" w:rsidP="000F4B43">
      <w:pPr>
        <w:pStyle w:val="TableHeading"/>
        <w:spacing w:after="0"/>
        <w:jc w:val="both"/>
      </w:pPr>
      <w:bookmarkStart w:id="60" w:name="_Ref102486217"/>
      <w:r w:rsidRPr="00B36948">
        <w:lastRenderedPageBreak/>
        <w:t xml:space="preserve">Table </w:t>
      </w:r>
      <w:fldSimple w:instr=" SEQ Table \* ARABIC ">
        <w:r w:rsidR="00EB7F7C" w:rsidRPr="00B36948">
          <w:rPr>
            <w:noProof/>
          </w:rPr>
          <w:t>19</w:t>
        </w:r>
      </w:fldSimple>
      <w:bookmarkEnd w:id="60"/>
      <w:r w:rsidRPr="00B36948">
        <w:t>: Utilisation estimates of evolocumab in the current submission (LDL-C 1.8 to 2.6 mmol/L) and November 2019 submission (LDL-C &gt;2.6 mmol/L) for patients with non-FH and ASCVD with additional risk factors</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9: Utilisation estimates of evolocumab in the current submission (LDL-C 1.8 to 2.6 mmol/L) and November 2019 submission (LDL-C &gt;2.6 mmol/L) for patients with non-FH and ASCVD with additional risk factors"/>
      </w:tblPr>
      <w:tblGrid>
        <w:gridCol w:w="2157"/>
        <w:gridCol w:w="1144"/>
        <w:gridCol w:w="1144"/>
        <w:gridCol w:w="1144"/>
        <w:gridCol w:w="1144"/>
        <w:gridCol w:w="1144"/>
        <w:gridCol w:w="1144"/>
      </w:tblGrid>
      <w:tr w:rsidR="000F4B43" w:rsidRPr="00B36948" w14:paraId="27226EA2" w14:textId="77777777" w:rsidTr="000F4B43">
        <w:trPr>
          <w:cantSplit/>
          <w:tblHeader/>
        </w:trPr>
        <w:tc>
          <w:tcPr>
            <w:tcW w:w="1196" w:type="pct"/>
            <w:tcBorders>
              <w:left w:val="single" w:sz="4" w:space="0" w:color="auto"/>
              <w:bottom w:val="single" w:sz="4" w:space="0" w:color="auto"/>
            </w:tcBorders>
            <w:shd w:val="clear" w:color="auto" w:fill="auto"/>
            <w:vAlign w:val="center"/>
          </w:tcPr>
          <w:p w14:paraId="6CBB503D" w14:textId="77777777" w:rsidR="000F4B43" w:rsidRPr="00B36948" w:rsidRDefault="000F4B43" w:rsidP="000F4B43">
            <w:pPr>
              <w:rPr>
                <w:rFonts w:ascii="Arial Narrow" w:eastAsia="Calibri" w:hAnsi="Arial Narrow" w:cs="Times New Roman"/>
                <w:b/>
                <w:bCs/>
                <w:sz w:val="20"/>
                <w:szCs w:val="20"/>
              </w:rPr>
            </w:pPr>
            <w:r w:rsidRPr="00B36948">
              <w:rPr>
                <w:rFonts w:ascii="Arial Narrow" w:eastAsia="Calibri" w:hAnsi="Arial Narrow" w:cs="Times New Roman"/>
                <w:b/>
                <w:bCs/>
                <w:sz w:val="20"/>
                <w:szCs w:val="20"/>
              </w:rPr>
              <w:t>Non-FH patients only</w:t>
            </w:r>
          </w:p>
        </w:tc>
        <w:tc>
          <w:tcPr>
            <w:tcW w:w="634" w:type="pct"/>
            <w:tcBorders>
              <w:bottom w:val="single" w:sz="4" w:space="0" w:color="auto"/>
            </w:tcBorders>
            <w:shd w:val="clear" w:color="auto" w:fill="auto"/>
            <w:vAlign w:val="center"/>
          </w:tcPr>
          <w:p w14:paraId="69022E4B" w14:textId="77777777" w:rsidR="000F4B43" w:rsidRPr="00B36948" w:rsidRDefault="000F4B43" w:rsidP="000F4B43">
            <w:pPr>
              <w:keepNext/>
              <w:jc w:val="center"/>
              <w:rPr>
                <w:rFonts w:ascii="Arial Narrow" w:eastAsia="Calibri" w:hAnsi="Arial Narrow" w:cs="Times New Roman"/>
                <w:b/>
                <w:bCs/>
                <w:sz w:val="20"/>
                <w:szCs w:val="20"/>
              </w:rPr>
            </w:pPr>
            <w:r w:rsidRPr="00B36948">
              <w:rPr>
                <w:rFonts w:ascii="Arial Narrow" w:eastAsia="Calibri" w:hAnsi="Arial Narrow" w:cs="Times New Roman"/>
                <w:b/>
                <w:bCs/>
                <w:sz w:val="20"/>
                <w:szCs w:val="20"/>
              </w:rPr>
              <w:t>Year 1</w:t>
            </w:r>
          </w:p>
        </w:tc>
        <w:tc>
          <w:tcPr>
            <w:tcW w:w="634" w:type="pct"/>
            <w:tcBorders>
              <w:bottom w:val="single" w:sz="4" w:space="0" w:color="auto"/>
            </w:tcBorders>
            <w:shd w:val="clear" w:color="auto" w:fill="auto"/>
            <w:vAlign w:val="center"/>
          </w:tcPr>
          <w:p w14:paraId="13B6D016" w14:textId="77777777" w:rsidR="000F4B43" w:rsidRPr="00B36948" w:rsidRDefault="000F4B43" w:rsidP="000F4B43">
            <w:pPr>
              <w:keepNext/>
              <w:jc w:val="center"/>
              <w:rPr>
                <w:rFonts w:ascii="Arial Narrow" w:eastAsia="Calibri" w:hAnsi="Arial Narrow" w:cs="Times New Roman"/>
                <w:b/>
                <w:bCs/>
                <w:sz w:val="20"/>
                <w:szCs w:val="20"/>
              </w:rPr>
            </w:pPr>
            <w:r w:rsidRPr="00B36948">
              <w:rPr>
                <w:rFonts w:ascii="Arial Narrow" w:eastAsia="Calibri" w:hAnsi="Arial Narrow" w:cs="Times New Roman"/>
                <w:b/>
                <w:bCs/>
                <w:sz w:val="20"/>
                <w:szCs w:val="20"/>
              </w:rPr>
              <w:t>Year 2</w:t>
            </w:r>
          </w:p>
        </w:tc>
        <w:tc>
          <w:tcPr>
            <w:tcW w:w="634" w:type="pct"/>
            <w:tcBorders>
              <w:bottom w:val="single" w:sz="4" w:space="0" w:color="auto"/>
            </w:tcBorders>
            <w:shd w:val="clear" w:color="auto" w:fill="auto"/>
            <w:vAlign w:val="center"/>
          </w:tcPr>
          <w:p w14:paraId="6759917D" w14:textId="77777777" w:rsidR="000F4B43" w:rsidRPr="00B36948" w:rsidRDefault="000F4B43" w:rsidP="000F4B43">
            <w:pPr>
              <w:keepNext/>
              <w:jc w:val="center"/>
              <w:rPr>
                <w:rFonts w:ascii="Arial Narrow" w:eastAsia="Calibri" w:hAnsi="Arial Narrow" w:cs="Times New Roman"/>
                <w:b/>
                <w:bCs/>
                <w:sz w:val="20"/>
                <w:szCs w:val="20"/>
              </w:rPr>
            </w:pPr>
            <w:r w:rsidRPr="00B36948">
              <w:rPr>
                <w:rFonts w:ascii="Arial Narrow" w:eastAsia="Calibri" w:hAnsi="Arial Narrow" w:cs="Times New Roman"/>
                <w:b/>
                <w:bCs/>
                <w:sz w:val="20"/>
                <w:szCs w:val="20"/>
              </w:rPr>
              <w:t>Year 3</w:t>
            </w:r>
          </w:p>
        </w:tc>
        <w:tc>
          <w:tcPr>
            <w:tcW w:w="634" w:type="pct"/>
            <w:tcBorders>
              <w:bottom w:val="single" w:sz="4" w:space="0" w:color="auto"/>
            </w:tcBorders>
            <w:shd w:val="clear" w:color="auto" w:fill="auto"/>
            <w:vAlign w:val="center"/>
          </w:tcPr>
          <w:p w14:paraId="722F5CC5" w14:textId="77777777" w:rsidR="000F4B43" w:rsidRPr="00B36948" w:rsidRDefault="000F4B43" w:rsidP="000F4B43">
            <w:pPr>
              <w:keepNext/>
              <w:jc w:val="center"/>
              <w:rPr>
                <w:rFonts w:ascii="Arial Narrow" w:eastAsia="Calibri" w:hAnsi="Arial Narrow" w:cs="Times New Roman"/>
                <w:b/>
                <w:bCs/>
                <w:sz w:val="20"/>
                <w:szCs w:val="20"/>
              </w:rPr>
            </w:pPr>
            <w:r w:rsidRPr="00B36948">
              <w:rPr>
                <w:rFonts w:ascii="Arial Narrow" w:eastAsia="Calibri" w:hAnsi="Arial Narrow" w:cs="Times New Roman"/>
                <w:b/>
                <w:bCs/>
                <w:sz w:val="20"/>
                <w:szCs w:val="20"/>
              </w:rPr>
              <w:t>Year 4</w:t>
            </w:r>
          </w:p>
        </w:tc>
        <w:tc>
          <w:tcPr>
            <w:tcW w:w="634" w:type="pct"/>
            <w:tcBorders>
              <w:bottom w:val="single" w:sz="4" w:space="0" w:color="auto"/>
              <w:right w:val="single" w:sz="4" w:space="0" w:color="auto"/>
            </w:tcBorders>
            <w:shd w:val="clear" w:color="auto" w:fill="auto"/>
            <w:vAlign w:val="center"/>
          </w:tcPr>
          <w:p w14:paraId="1E06F525" w14:textId="77777777" w:rsidR="000F4B43" w:rsidRPr="00B36948" w:rsidRDefault="000F4B43" w:rsidP="000F4B43">
            <w:pPr>
              <w:keepNext/>
              <w:jc w:val="center"/>
              <w:rPr>
                <w:rFonts w:ascii="Arial Narrow" w:eastAsia="Calibri" w:hAnsi="Arial Narrow" w:cs="Times New Roman"/>
                <w:b/>
                <w:bCs/>
                <w:sz w:val="20"/>
                <w:szCs w:val="20"/>
              </w:rPr>
            </w:pPr>
            <w:r w:rsidRPr="00B36948">
              <w:rPr>
                <w:rFonts w:ascii="Arial Narrow" w:eastAsia="Calibri" w:hAnsi="Arial Narrow" w:cs="Times New Roman"/>
                <w:b/>
                <w:bCs/>
                <w:sz w:val="20"/>
                <w:szCs w:val="20"/>
              </w:rPr>
              <w:t>Year 5</w:t>
            </w:r>
          </w:p>
        </w:tc>
        <w:tc>
          <w:tcPr>
            <w:tcW w:w="634" w:type="pct"/>
            <w:tcBorders>
              <w:bottom w:val="single" w:sz="4" w:space="0" w:color="auto"/>
              <w:right w:val="single" w:sz="4" w:space="0" w:color="auto"/>
            </w:tcBorders>
            <w:vAlign w:val="center"/>
          </w:tcPr>
          <w:p w14:paraId="0BF73E6C" w14:textId="77777777" w:rsidR="000F4B43" w:rsidRPr="00B36948" w:rsidRDefault="000F4B43" w:rsidP="000F4B43">
            <w:pPr>
              <w:keepNext/>
              <w:jc w:val="center"/>
              <w:rPr>
                <w:rFonts w:ascii="Arial Narrow" w:eastAsia="Calibri" w:hAnsi="Arial Narrow" w:cs="Times New Roman"/>
                <w:b/>
                <w:bCs/>
                <w:sz w:val="20"/>
                <w:szCs w:val="20"/>
              </w:rPr>
            </w:pPr>
            <w:r w:rsidRPr="00B36948">
              <w:rPr>
                <w:rFonts w:ascii="Arial Narrow" w:eastAsia="Calibri" w:hAnsi="Arial Narrow" w:cs="Times New Roman"/>
                <w:b/>
                <w:bCs/>
                <w:sz w:val="20"/>
                <w:szCs w:val="20"/>
              </w:rPr>
              <w:t>Year 6</w:t>
            </w:r>
          </w:p>
        </w:tc>
      </w:tr>
      <w:tr w:rsidR="000F4B43" w:rsidRPr="00B36948" w14:paraId="2CABCF23" w14:textId="77777777" w:rsidTr="000F4B43">
        <w:trPr>
          <w:cantSplit/>
        </w:trPr>
        <w:tc>
          <w:tcPr>
            <w:tcW w:w="5000" w:type="pct"/>
            <w:gridSpan w:val="7"/>
            <w:tcBorders>
              <w:left w:val="single" w:sz="4" w:space="0" w:color="auto"/>
              <w:bottom w:val="single" w:sz="4" w:space="0" w:color="auto"/>
              <w:right w:val="single" w:sz="4" w:space="0" w:color="auto"/>
            </w:tcBorders>
            <w:shd w:val="clear" w:color="auto" w:fill="auto"/>
            <w:vAlign w:val="center"/>
          </w:tcPr>
          <w:p w14:paraId="6EFAF592" w14:textId="77777777" w:rsidR="000F4B43" w:rsidRPr="00B36948" w:rsidRDefault="000F4B43" w:rsidP="000F4B43">
            <w:pPr>
              <w:jc w:val="left"/>
              <w:rPr>
                <w:rFonts w:ascii="Arial Narrow" w:hAnsi="Arial Narrow"/>
                <w:b/>
                <w:bCs/>
                <w:sz w:val="20"/>
                <w:szCs w:val="20"/>
              </w:rPr>
            </w:pPr>
            <w:r w:rsidRPr="00B36948">
              <w:rPr>
                <w:rFonts w:ascii="Arial Narrow" w:eastAsia="Calibri" w:hAnsi="Arial Narrow" w:cs="Times New Roman"/>
                <w:b/>
                <w:bCs/>
                <w:sz w:val="20"/>
                <w:szCs w:val="20"/>
              </w:rPr>
              <w:t xml:space="preserve">Current submission: </w:t>
            </w:r>
            <w:r w:rsidRPr="00B36948">
              <w:rPr>
                <w:rFonts w:ascii="Arial Narrow" w:hAnsi="Arial Narrow"/>
                <w:b/>
                <w:bCs/>
                <w:sz w:val="20"/>
                <w:szCs w:val="20"/>
              </w:rPr>
              <w:t>LDL-C &gt;1.8 and ≤2.6 mmol/L</w:t>
            </w:r>
          </w:p>
        </w:tc>
      </w:tr>
      <w:tr w:rsidR="000F4B43" w:rsidRPr="00B36948" w14:paraId="78AE4E7C" w14:textId="77777777" w:rsidTr="000F4B43">
        <w:trPr>
          <w:cantSplit/>
        </w:trPr>
        <w:tc>
          <w:tcPr>
            <w:tcW w:w="1196" w:type="pct"/>
            <w:tcBorders>
              <w:left w:val="single" w:sz="4" w:space="0" w:color="auto"/>
            </w:tcBorders>
            <w:shd w:val="clear" w:color="auto" w:fill="auto"/>
            <w:vAlign w:val="center"/>
          </w:tcPr>
          <w:p w14:paraId="5636372C" w14:textId="77777777" w:rsidR="000F4B43" w:rsidRPr="00B36948" w:rsidRDefault="000F4B43" w:rsidP="000F4B43">
            <w:pPr>
              <w:jc w:val="left"/>
              <w:rPr>
                <w:rFonts w:ascii="Arial Narrow" w:hAnsi="Arial Narrow"/>
                <w:sz w:val="20"/>
                <w:szCs w:val="20"/>
              </w:rPr>
            </w:pPr>
            <w:r w:rsidRPr="00B36948">
              <w:rPr>
                <w:rFonts w:ascii="Arial Narrow" w:hAnsi="Arial Narrow"/>
                <w:sz w:val="20"/>
                <w:szCs w:val="20"/>
              </w:rPr>
              <w:t>Eligible patients</w:t>
            </w:r>
          </w:p>
        </w:tc>
        <w:tc>
          <w:tcPr>
            <w:tcW w:w="634" w:type="pct"/>
            <w:shd w:val="clear" w:color="auto" w:fill="auto"/>
            <w:vAlign w:val="center"/>
          </w:tcPr>
          <w:p w14:paraId="78EF7B6E" w14:textId="66FA4068"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336"/>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336"/>
                <w14:textFill>
                  <w14:solidFill>
                    <w14:srgbClr w14:val="000000">
                      <w14:alpha w14:val="100000"/>
                    </w14:srgbClr>
                  </w14:solidFill>
                </w14:textFill>
              </w:rPr>
              <w:t>|</w:t>
            </w:r>
            <w:r w:rsidR="009B421F" w:rsidRPr="009B421F">
              <w:rPr>
                <w:rFonts w:ascii="Arial Narrow" w:hAnsi="Arial Narrow"/>
                <w:sz w:val="20"/>
                <w:szCs w:val="20"/>
                <w:vertAlign w:val="superscript"/>
              </w:rPr>
              <w:t>1</w:t>
            </w:r>
          </w:p>
        </w:tc>
        <w:tc>
          <w:tcPr>
            <w:tcW w:w="634" w:type="pct"/>
            <w:shd w:val="clear" w:color="auto" w:fill="auto"/>
            <w:vAlign w:val="center"/>
          </w:tcPr>
          <w:p w14:paraId="165F331C" w14:textId="735414D7"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352"/>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352"/>
                <w14:textFill>
                  <w14:solidFill>
                    <w14:srgbClr w14:val="000000">
                      <w14:alpha w14:val="100000"/>
                    </w14:srgbClr>
                  </w14:solidFill>
                </w14:textFill>
              </w:rPr>
              <w:t>|</w:t>
            </w:r>
            <w:r w:rsidR="009B421F" w:rsidRPr="009B421F">
              <w:rPr>
                <w:rFonts w:ascii="Arial Narrow" w:hAnsi="Arial Narrow"/>
                <w:sz w:val="20"/>
                <w:szCs w:val="20"/>
                <w:vertAlign w:val="superscript"/>
              </w:rPr>
              <w:t>1</w:t>
            </w:r>
          </w:p>
        </w:tc>
        <w:tc>
          <w:tcPr>
            <w:tcW w:w="634" w:type="pct"/>
            <w:shd w:val="clear" w:color="auto" w:fill="auto"/>
            <w:vAlign w:val="center"/>
          </w:tcPr>
          <w:p w14:paraId="5D386E4B" w14:textId="3C31D38D"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351"/>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351"/>
                <w14:textFill>
                  <w14:solidFill>
                    <w14:srgbClr w14:val="000000">
                      <w14:alpha w14:val="100000"/>
                    </w14:srgbClr>
                  </w14:solidFill>
                </w14:textFill>
              </w:rPr>
              <w:t>|</w:t>
            </w:r>
            <w:r w:rsidR="009B421F">
              <w:rPr>
                <w:rFonts w:ascii="Arial Narrow" w:hAnsi="Arial Narrow"/>
                <w:sz w:val="20"/>
                <w:szCs w:val="20"/>
                <w:vertAlign w:val="superscript"/>
              </w:rPr>
              <w:t>2</w:t>
            </w:r>
          </w:p>
        </w:tc>
        <w:tc>
          <w:tcPr>
            <w:tcW w:w="634" w:type="pct"/>
            <w:shd w:val="clear" w:color="auto" w:fill="auto"/>
            <w:vAlign w:val="center"/>
          </w:tcPr>
          <w:p w14:paraId="58EC2B21" w14:textId="7CAD6ED1"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350"/>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350"/>
                <w14:textFill>
                  <w14:solidFill>
                    <w14:srgbClr w14:val="000000">
                      <w14:alpha w14:val="100000"/>
                    </w14:srgbClr>
                  </w14:solidFill>
                </w14:textFill>
              </w:rPr>
              <w:t>|</w:t>
            </w:r>
            <w:r w:rsidR="009B421F">
              <w:rPr>
                <w:rFonts w:ascii="Arial Narrow" w:hAnsi="Arial Narrow"/>
                <w:sz w:val="20"/>
                <w:szCs w:val="20"/>
                <w:vertAlign w:val="superscript"/>
              </w:rPr>
              <w:t>2</w:t>
            </w:r>
          </w:p>
        </w:tc>
        <w:tc>
          <w:tcPr>
            <w:tcW w:w="634" w:type="pct"/>
            <w:tcBorders>
              <w:right w:val="single" w:sz="4" w:space="0" w:color="auto"/>
            </w:tcBorders>
            <w:shd w:val="clear" w:color="auto" w:fill="auto"/>
            <w:vAlign w:val="center"/>
          </w:tcPr>
          <w:p w14:paraId="773F82CD" w14:textId="69FC60DC"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349"/>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349"/>
                <w14:textFill>
                  <w14:solidFill>
                    <w14:srgbClr w14:val="000000">
                      <w14:alpha w14:val="100000"/>
                    </w14:srgbClr>
                  </w14:solidFill>
                </w14:textFill>
              </w:rPr>
              <w:t>|</w:t>
            </w:r>
            <w:r w:rsidR="009B421F">
              <w:rPr>
                <w:rFonts w:ascii="Arial Narrow" w:hAnsi="Arial Narrow"/>
                <w:sz w:val="20"/>
                <w:szCs w:val="20"/>
                <w:vertAlign w:val="superscript"/>
              </w:rPr>
              <w:t>2</w:t>
            </w:r>
          </w:p>
        </w:tc>
        <w:tc>
          <w:tcPr>
            <w:tcW w:w="634" w:type="pct"/>
            <w:tcBorders>
              <w:right w:val="single" w:sz="4" w:space="0" w:color="auto"/>
            </w:tcBorders>
            <w:vAlign w:val="center"/>
          </w:tcPr>
          <w:p w14:paraId="5A89EF4D" w14:textId="60EB122B"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348"/>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348"/>
                <w14:textFill>
                  <w14:solidFill>
                    <w14:srgbClr w14:val="000000">
                      <w14:alpha w14:val="100000"/>
                    </w14:srgbClr>
                  </w14:solidFill>
                </w14:textFill>
              </w:rPr>
              <w:t>|</w:t>
            </w:r>
            <w:r w:rsidR="009B421F">
              <w:rPr>
                <w:rFonts w:ascii="Arial Narrow" w:hAnsi="Arial Narrow"/>
                <w:sz w:val="20"/>
                <w:szCs w:val="20"/>
                <w:vertAlign w:val="superscript"/>
              </w:rPr>
              <w:t>2</w:t>
            </w:r>
          </w:p>
        </w:tc>
      </w:tr>
      <w:tr w:rsidR="000F4B43" w:rsidRPr="00B36948" w14:paraId="1902C588" w14:textId="77777777" w:rsidTr="000F4B43">
        <w:trPr>
          <w:cantSplit/>
        </w:trPr>
        <w:tc>
          <w:tcPr>
            <w:tcW w:w="1196" w:type="pct"/>
            <w:tcBorders>
              <w:left w:val="single" w:sz="4" w:space="0" w:color="auto"/>
            </w:tcBorders>
            <w:shd w:val="clear" w:color="auto" w:fill="auto"/>
            <w:vAlign w:val="center"/>
          </w:tcPr>
          <w:p w14:paraId="5205F25E" w14:textId="77777777" w:rsidR="000F4B43" w:rsidRPr="00B36948" w:rsidRDefault="000F4B43" w:rsidP="000F4B43">
            <w:pPr>
              <w:jc w:val="left"/>
              <w:rPr>
                <w:rFonts w:ascii="Arial Narrow" w:hAnsi="Arial Narrow"/>
                <w:sz w:val="20"/>
                <w:szCs w:val="20"/>
              </w:rPr>
            </w:pPr>
            <w:r w:rsidRPr="00B36948">
              <w:rPr>
                <w:rFonts w:ascii="Arial Narrow" w:hAnsi="Arial Narrow"/>
                <w:sz w:val="20"/>
                <w:szCs w:val="20"/>
              </w:rPr>
              <w:t>Treated patients</w:t>
            </w:r>
          </w:p>
        </w:tc>
        <w:tc>
          <w:tcPr>
            <w:tcW w:w="634" w:type="pct"/>
            <w:shd w:val="clear" w:color="auto" w:fill="auto"/>
            <w:vAlign w:val="center"/>
          </w:tcPr>
          <w:p w14:paraId="492FDBC9" w14:textId="650D0104"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347"/>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347"/>
                <w14:textFill>
                  <w14:solidFill>
                    <w14:srgbClr w14:val="000000">
                      <w14:alpha w14:val="100000"/>
                    </w14:srgbClr>
                  </w14:solidFill>
                </w14:textFill>
              </w:rPr>
              <w:t>|</w:t>
            </w:r>
            <w:r w:rsidR="009B421F">
              <w:rPr>
                <w:rFonts w:ascii="Arial Narrow" w:hAnsi="Arial Narrow"/>
                <w:sz w:val="20"/>
                <w:szCs w:val="20"/>
                <w:vertAlign w:val="superscript"/>
              </w:rPr>
              <w:t>3</w:t>
            </w:r>
          </w:p>
        </w:tc>
        <w:tc>
          <w:tcPr>
            <w:tcW w:w="634" w:type="pct"/>
            <w:shd w:val="clear" w:color="auto" w:fill="auto"/>
            <w:vAlign w:val="center"/>
          </w:tcPr>
          <w:p w14:paraId="4C0F8D7A" w14:textId="0EB5DAF4"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346"/>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346"/>
                <w14:textFill>
                  <w14:solidFill>
                    <w14:srgbClr w14:val="000000">
                      <w14:alpha w14:val="100000"/>
                    </w14:srgbClr>
                  </w14:solidFill>
                </w14:textFill>
              </w:rPr>
              <w:t>|</w:t>
            </w:r>
            <w:r w:rsidR="009B421F">
              <w:rPr>
                <w:rFonts w:ascii="Arial Narrow" w:hAnsi="Arial Narrow"/>
                <w:sz w:val="20"/>
                <w:szCs w:val="20"/>
                <w:vertAlign w:val="superscript"/>
              </w:rPr>
              <w:t>4</w:t>
            </w:r>
          </w:p>
        </w:tc>
        <w:tc>
          <w:tcPr>
            <w:tcW w:w="634" w:type="pct"/>
            <w:shd w:val="clear" w:color="auto" w:fill="auto"/>
            <w:vAlign w:val="center"/>
          </w:tcPr>
          <w:p w14:paraId="0BB36AE6" w14:textId="4A3E76D1"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345"/>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345"/>
                <w14:textFill>
                  <w14:solidFill>
                    <w14:srgbClr w14:val="000000">
                      <w14:alpha w14:val="100000"/>
                    </w14:srgbClr>
                  </w14:solidFill>
                </w14:textFill>
              </w:rPr>
              <w:t>|</w:t>
            </w:r>
            <w:r w:rsidR="009B421F">
              <w:rPr>
                <w:rFonts w:ascii="Arial Narrow" w:hAnsi="Arial Narrow"/>
                <w:sz w:val="20"/>
                <w:szCs w:val="20"/>
                <w:vertAlign w:val="superscript"/>
              </w:rPr>
              <w:t>5</w:t>
            </w:r>
          </w:p>
        </w:tc>
        <w:tc>
          <w:tcPr>
            <w:tcW w:w="634" w:type="pct"/>
            <w:shd w:val="clear" w:color="auto" w:fill="auto"/>
            <w:vAlign w:val="center"/>
          </w:tcPr>
          <w:p w14:paraId="7D18AA68" w14:textId="493DB77A"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344"/>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344"/>
                <w14:textFill>
                  <w14:solidFill>
                    <w14:srgbClr w14:val="000000">
                      <w14:alpha w14:val="100000"/>
                    </w14:srgbClr>
                  </w14:solidFill>
                </w14:textFill>
              </w:rPr>
              <w:t>|</w:t>
            </w:r>
            <w:r w:rsidR="009B421F">
              <w:rPr>
                <w:rFonts w:ascii="Arial Narrow" w:hAnsi="Arial Narrow"/>
                <w:sz w:val="20"/>
                <w:szCs w:val="20"/>
                <w:vertAlign w:val="superscript"/>
              </w:rPr>
              <w:t>5</w:t>
            </w:r>
          </w:p>
        </w:tc>
        <w:tc>
          <w:tcPr>
            <w:tcW w:w="634" w:type="pct"/>
            <w:tcBorders>
              <w:right w:val="single" w:sz="4" w:space="0" w:color="auto"/>
            </w:tcBorders>
            <w:shd w:val="clear" w:color="auto" w:fill="auto"/>
            <w:vAlign w:val="center"/>
          </w:tcPr>
          <w:p w14:paraId="364E421B" w14:textId="4AFD1864"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343"/>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343"/>
                <w14:textFill>
                  <w14:solidFill>
                    <w14:srgbClr w14:val="000000">
                      <w14:alpha w14:val="100000"/>
                    </w14:srgbClr>
                  </w14:solidFill>
                </w14:textFill>
              </w:rPr>
              <w:t>|</w:t>
            </w:r>
            <w:r w:rsidR="009B421F">
              <w:rPr>
                <w:rFonts w:ascii="Arial Narrow" w:hAnsi="Arial Narrow"/>
                <w:sz w:val="20"/>
                <w:szCs w:val="20"/>
                <w:vertAlign w:val="superscript"/>
              </w:rPr>
              <w:t>5</w:t>
            </w:r>
          </w:p>
        </w:tc>
        <w:tc>
          <w:tcPr>
            <w:tcW w:w="634" w:type="pct"/>
            <w:tcBorders>
              <w:right w:val="single" w:sz="4" w:space="0" w:color="auto"/>
            </w:tcBorders>
            <w:vAlign w:val="center"/>
          </w:tcPr>
          <w:p w14:paraId="734AD60E" w14:textId="55226D09"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342"/>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342"/>
                <w14:textFill>
                  <w14:solidFill>
                    <w14:srgbClr w14:val="000000">
                      <w14:alpha w14:val="100000"/>
                    </w14:srgbClr>
                  </w14:solidFill>
                </w14:textFill>
              </w:rPr>
              <w:t>|</w:t>
            </w:r>
            <w:r w:rsidR="009B421F">
              <w:rPr>
                <w:rFonts w:ascii="Arial Narrow" w:hAnsi="Arial Narrow"/>
                <w:sz w:val="20"/>
                <w:szCs w:val="20"/>
                <w:vertAlign w:val="superscript"/>
              </w:rPr>
              <w:t>5</w:t>
            </w:r>
          </w:p>
        </w:tc>
      </w:tr>
      <w:tr w:rsidR="000F4B43" w:rsidRPr="00B36948" w14:paraId="655335B9" w14:textId="77777777" w:rsidTr="000F4B43">
        <w:trPr>
          <w:cantSplit/>
        </w:trPr>
        <w:tc>
          <w:tcPr>
            <w:tcW w:w="1196" w:type="pct"/>
            <w:tcBorders>
              <w:left w:val="single" w:sz="4" w:space="0" w:color="auto"/>
            </w:tcBorders>
            <w:shd w:val="clear" w:color="auto" w:fill="auto"/>
            <w:vAlign w:val="center"/>
          </w:tcPr>
          <w:p w14:paraId="1A60C25B" w14:textId="77777777" w:rsidR="000F4B43" w:rsidRPr="00B36948" w:rsidRDefault="000F4B43" w:rsidP="000F4B43">
            <w:pPr>
              <w:jc w:val="left"/>
              <w:rPr>
                <w:rFonts w:ascii="Arial Narrow" w:hAnsi="Arial Narrow"/>
                <w:sz w:val="20"/>
                <w:szCs w:val="20"/>
              </w:rPr>
            </w:pPr>
            <w:r w:rsidRPr="00B36948">
              <w:rPr>
                <w:rFonts w:ascii="Arial Narrow" w:hAnsi="Arial Narrow"/>
                <w:sz w:val="20"/>
                <w:szCs w:val="20"/>
              </w:rPr>
              <w:t>Number of scripts</w:t>
            </w:r>
          </w:p>
        </w:tc>
        <w:tc>
          <w:tcPr>
            <w:tcW w:w="634" w:type="pct"/>
            <w:shd w:val="clear" w:color="auto" w:fill="auto"/>
            <w:vAlign w:val="bottom"/>
          </w:tcPr>
          <w:p w14:paraId="0D0CEFA2" w14:textId="0C24DEA0"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341"/>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341"/>
                <w14:textFill>
                  <w14:solidFill>
                    <w14:srgbClr w14:val="000000">
                      <w14:alpha w14:val="100000"/>
                    </w14:srgbClr>
                  </w14:solidFill>
                </w14:textFill>
              </w:rPr>
              <w:t>|</w:t>
            </w:r>
            <w:r w:rsidR="009B421F">
              <w:rPr>
                <w:rFonts w:ascii="Arial Narrow" w:hAnsi="Arial Narrow"/>
                <w:sz w:val="20"/>
                <w:szCs w:val="20"/>
                <w:vertAlign w:val="superscript"/>
              </w:rPr>
              <w:t>2</w:t>
            </w:r>
          </w:p>
        </w:tc>
        <w:tc>
          <w:tcPr>
            <w:tcW w:w="634" w:type="pct"/>
            <w:shd w:val="clear" w:color="auto" w:fill="auto"/>
            <w:vAlign w:val="bottom"/>
          </w:tcPr>
          <w:p w14:paraId="4451D3C5" w14:textId="2BC106E4" w:rsidR="000F4B43" w:rsidRPr="009B421F" w:rsidRDefault="00650CB8" w:rsidP="000F4B43">
            <w:pPr>
              <w:jc w:val="center"/>
              <w:rPr>
                <w:rFonts w:ascii="Arial Narrow" w:hAnsi="Arial Narrow"/>
                <w:sz w:val="20"/>
                <w:szCs w:val="20"/>
                <w:highlight w:val="darkGray"/>
                <w:vertAlign w:val="superscript"/>
              </w:rPr>
            </w:pPr>
            <w:r w:rsidRPr="00650CB8">
              <w:rPr>
                <w:rFonts w:ascii="Arial Narrow" w:hAnsi="Arial Narrow"/>
                <w:color w:val="000000"/>
                <w:spacing w:val="49"/>
                <w:sz w:val="20"/>
                <w:szCs w:val="20"/>
                <w:shd w:val="solid" w:color="000000" w:fill="000000"/>
                <w:fitText w:val="320" w:id="-1435748340"/>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340"/>
                <w14:textFill>
                  <w14:solidFill>
                    <w14:srgbClr w14:val="000000">
                      <w14:alpha w14:val="100000"/>
                    </w14:srgbClr>
                  </w14:solidFill>
                </w14:textFill>
              </w:rPr>
              <w:t>|</w:t>
            </w:r>
            <w:r w:rsidR="009B421F" w:rsidRPr="009B421F">
              <w:rPr>
                <w:rFonts w:ascii="Arial Narrow" w:hAnsi="Arial Narrow"/>
                <w:sz w:val="20"/>
                <w:szCs w:val="20"/>
                <w:vertAlign w:val="superscript"/>
              </w:rPr>
              <w:t>6</w:t>
            </w:r>
          </w:p>
        </w:tc>
        <w:tc>
          <w:tcPr>
            <w:tcW w:w="634" w:type="pct"/>
            <w:shd w:val="clear" w:color="auto" w:fill="auto"/>
            <w:vAlign w:val="bottom"/>
          </w:tcPr>
          <w:p w14:paraId="12361612" w14:textId="74D04A36" w:rsidR="000F4B43" w:rsidRPr="009B421F" w:rsidRDefault="00650CB8" w:rsidP="000F4B43">
            <w:pPr>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339"/>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339"/>
                <w14:textFill>
                  <w14:solidFill>
                    <w14:srgbClr w14:val="000000">
                      <w14:alpha w14:val="100000"/>
                    </w14:srgbClr>
                  </w14:solidFill>
                </w14:textFill>
              </w:rPr>
              <w:t>|</w:t>
            </w:r>
            <w:r w:rsidR="009B421F">
              <w:rPr>
                <w:rFonts w:ascii="Arial Narrow" w:hAnsi="Arial Narrow"/>
                <w:sz w:val="20"/>
                <w:szCs w:val="20"/>
                <w:vertAlign w:val="superscript"/>
              </w:rPr>
              <w:t>7</w:t>
            </w:r>
          </w:p>
        </w:tc>
        <w:tc>
          <w:tcPr>
            <w:tcW w:w="634" w:type="pct"/>
            <w:shd w:val="clear" w:color="auto" w:fill="auto"/>
            <w:vAlign w:val="bottom"/>
          </w:tcPr>
          <w:p w14:paraId="3FF95A6D" w14:textId="7A0CCA42"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338"/>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338"/>
                <w14:textFill>
                  <w14:solidFill>
                    <w14:srgbClr w14:val="000000">
                      <w14:alpha w14:val="100000"/>
                    </w14:srgbClr>
                  </w14:solidFill>
                </w14:textFill>
              </w:rPr>
              <w:t>|</w:t>
            </w:r>
            <w:r w:rsidR="009B421F">
              <w:rPr>
                <w:rFonts w:ascii="Arial Narrow" w:hAnsi="Arial Narrow"/>
                <w:sz w:val="20"/>
                <w:szCs w:val="20"/>
                <w:vertAlign w:val="superscript"/>
              </w:rPr>
              <w:t>7</w:t>
            </w:r>
          </w:p>
        </w:tc>
        <w:tc>
          <w:tcPr>
            <w:tcW w:w="634" w:type="pct"/>
            <w:tcBorders>
              <w:right w:val="single" w:sz="4" w:space="0" w:color="auto"/>
            </w:tcBorders>
            <w:shd w:val="clear" w:color="auto" w:fill="auto"/>
            <w:vAlign w:val="bottom"/>
          </w:tcPr>
          <w:p w14:paraId="5C0ECFAD" w14:textId="234A6A8D"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337"/>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337"/>
                <w14:textFill>
                  <w14:solidFill>
                    <w14:srgbClr w14:val="000000">
                      <w14:alpha w14:val="100000"/>
                    </w14:srgbClr>
                  </w14:solidFill>
                </w14:textFill>
              </w:rPr>
              <w:t>|</w:t>
            </w:r>
            <w:r w:rsidR="009B421F">
              <w:rPr>
                <w:rFonts w:ascii="Arial Narrow" w:hAnsi="Arial Narrow"/>
                <w:sz w:val="20"/>
                <w:szCs w:val="20"/>
                <w:vertAlign w:val="superscript"/>
              </w:rPr>
              <w:t>7</w:t>
            </w:r>
          </w:p>
        </w:tc>
        <w:tc>
          <w:tcPr>
            <w:tcW w:w="634" w:type="pct"/>
            <w:tcBorders>
              <w:right w:val="single" w:sz="4" w:space="0" w:color="auto"/>
            </w:tcBorders>
            <w:vAlign w:val="bottom"/>
          </w:tcPr>
          <w:p w14:paraId="3F421603" w14:textId="6DB4738F"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336"/>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336"/>
                <w14:textFill>
                  <w14:solidFill>
                    <w14:srgbClr w14:val="000000">
                      <w14:alpha w14:val="100000"/>
                    </w14:srgbClr>
                  </w14:solidFill>
                </w14:textFill>
              </w:rPr>
              <w:t>|</w:t>
            </w:r>
            <w:r w:rsidR="009B421F">
              <w:rPr>
                <w:rFonts w:ascii="Arial Narrow" w:hAnsi="Arial Narrow"/>
                <w:sz w:val="20"/>
                <w:szCs w:val="20"/>
                <w:vertAlign w:val="superscript"/>
              </w:rPr>
              <w:t>7</w:t>
            </w:r>
          </w:p>
        </w:tc>
      </w:tr>
      <w:tr w:rsidR="000F4B43" w:rsidRPr="00B36948" w14:paraId="5EB1AB51" w14:textId="77777777" w:rsidTr="000F4B43">
        <w:trPr>
          <w:cantSplit/>
        </w:trPr>
        <w:tc>
          <w:tcPr>
            <w:tcW w:w="1196" w:type="pct"/>
            <w:tcBorders>
              <w:left w:val="single" w:sz="4" w:space="0" w:color="auto"/>
            </w:tcBorders>
            <w:shd w:val="clear" w:color="auto" w:fill="auto"/>
            <w:vAlign w:val="center"/>
          </w:tcPr>
          <w:p w14:paraId="4440E2BB" w14:textId="77777777" w:rsidR="000F4B43" w:rsidRPr="00B36948" w:rsidRDefault="000F4B43" w:rsidP="000F4B43">
            <w:pPr>
              <w:jc w:val="left"/>
              <w:rPr>
                <w:rFonts w:ascii="Arial Narrow" w:hAnsi="Arial Narrow"/>
                <w:b/>
                <w:sz w:val="20"/>
                <w:szCs w:val="20"/>
              </w:rPr>
            </w:pPr>
            <w:r w:rsidRPr="00B36948">
              <w:rPr>
                <w:rFonts w:ascii="Arial Narrow" w:hAnsi="Arial Narrow"/>
                <w:b/>
                <w:sz w:val="20"/>
                <w:szCs w:val="20"/>
              </w:rPr>
              <w:t>Total cost less copayment</w:t>
            </w:r>
          </w:p>
        </w:tc>
        <w:tc>
          <w:tcPr>
            <w:tcW w:w="634" w:type="pct"/>
            <w:shd w:val="clear" w:color="auto" w:fill="auto"/>
            <w:vAlign w:val="center"/>
          </w:tcPr>
          <w:p w14:paraId="084708B0" w14:textId="2396C2E5" w:rsidR="000F4B43" w:rsidRPr="00B36948" w:rsidRDefault="000F4B43" w:rsidP="000F4B43">
            <w:pPr>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48"/>
                <w:sz w:val="20"/>
                <w:szCs w:val="20"/>
                <w:shd w:val="solid" w:color="000000" w:fill="000000"/>
                <w:fitText w:val="330" w:id="-1435748352"/>
                <w14:textFill>
                  <w14:solidFill>
                    <w14:srgbClr w14:val="000000">
                      <w14:alpha w14:val="100000"/>
                    </w14:srgbClr>
                  </w14:solidFill>
                </w14:textFill>
              </w:rPr>
              <w:t>|||</w:t>
            </w:r>
            <w:r w:rsidR="00650CB8" w:rsidRPr="00650CB8">
              <w:rPr>
                <w:rFonts w:ascii="Arial Narrow" w:hAnsi="Arial Narrow"/>
                <w:b/>
                <w:bCs/>
                <w:color w:val="000000"/>
                <w:spacing w:val="3"/>
                <w:sz w:val="20"/>
                <w:szCs w:val="20"/>
                <w:shd w:val="solid" w:color="000000" w:fill="000000"/>
                <w:fitText w:val="330" w:id="-1435748352"/>
                <w14:textFill>
                  <w14:solidFill>
                    <w14:srgbClr w14:val="000000">
                      <w14:alpha w14:val="100000"/>
                    </w14:srgbClr>
                  </w14:solidFill>
                </w14:textFill>
              </w:rPr>
              <w:t>|</w:t>
            </w:r>
            <w:r w:rsidR="009B421F">
              <w:rPr>
                <w:rFonts w:ascii="Arial Narrow" w:hAnsi="Arial Narrow"/>
                <w:sz w:val="20"/>
                <w:szCs w:val="20"/>
                <w:vertAlign w:val="superscript"/>
              </w:rPr>
              <w:t>8</w:t>
            </w:r>
          </w:p>
        </w:tc>
        <w:tc>
          <w:tcPr>
            <w:tcW w:w="634" w:type="pct"/>
            <w:shd w:val="clear" w:color="auto" w:fill="auto"/>
            <w:vAlign w:val="center"/>
          </w:tcPr>
          <w:p w14:paraId="2824F8DE" w14:textId="1972E338" w:rsidR="000F4B43" w:rsidRPr="009B421F" w:rsidRDefault="000F4B43" w:rsidP="000F4B43">
            <w:pPr>
              <w:jc w:val="center"/>
              <w:rPr>
                <w:rFonts w:ascii="Arial Narrow" w:hAnsi="Arial Narrow"/>
                <w:b/>
                <w:bCs/>
                <w:sz w:val="20"/>
                <w:szCs w:val="20"/>
                <w:vertAlign w:val="superscript"/>
              </w:rPr>
            </w:pPr>
            <w:r w:rsidRPr="00B36948">
              <w:rPr>
                <w:rFonts w:ascii="Arial Narrow" w:hAnsi="Arial Narrow"/>
                <w:b/>
                <w:bCs/>
                <w:sz w:val="20"/>
                <w:szCs w:val="20"/>
              </w:rPr>
              <w:t>$</w:t>
            </w:r>
            <w:r w:rsidR="00650CB8" w:rsidRPr="00650CB8">
              <w:rPr>
                <w:rFonts w:ascii="Arial Narrow" w:hAnsi="Arial Narrow"/>
                <w:b/>
                <w:bCs/>
                <w:color w:val="000000"/>
                <w:spacing w:val="48"/>
                <w:sz w:val="20"/>
                <w:szCs w:val="20"/>
                <w:shd w:val="solid" w:color="000000" w:fill="000000"/>
                <w:fitText w:val="330" w:id="-1435748351"/>
                <w14:textFill>
                  <w14:solidFill>
                    <w14:srgbClr w14:val="000000">
                      <w14:alpha w14:val="100000"/>
                    </w14:srgbClr>
                  </w14:solidFill>
                </w14:textFill>
              </w:rPr>
              <w:t>|||</w:t>
            </w:r>
            <w:r w:rsidR="00650CB8" w:rsidRPr="00650CB8">
              <w:rPr>
                <w:rFonts w:ascii="Arial Narrow" w:hAnsi="Arial Narrow"/>
                <w:b/>
                <w:bCs/>
                <w:color w:val="000000"/>
                <w:spacing w:val="3"/>
                <w:sz w:val="20"/>
                <w:szCs w:val="20"/>
                <w:shd w:val="solid" w:color="000000" w:fill="000000"/>
                <w:fitText w:val="330" w:id="-1435748351"/>
                <w14:textFill>
                  <w14:solidFill>
                    <w14:srgbClr w14:val="000000">
                      <w14:alpha w14:val="100000"/>
                    </w14:srgbClr>
                  </w14:solidFill>
                </w14:textFill>
              </w:rPr>
              <w:t>|</w:t>
            </w:r>
            <w:r w:rsidR="009B421F" w:rsidRPr="009B421F">
              <w:rPr>
                <w:rFonts w:ascii="Arial Narrow" w:hAnsi="Arial Narrow"/>
                <w:sz w:val="20"/>
                <w:szCs w:val="20"/>
                <w:vertAlign w:val="superscript"/>
              </w:rPr>
              <w:t>8</w:t>
            </w:r>
          </w:p>
        </w:tc>
        <w:tc>
          <w:tcPr>
            <w:tcW w:w="634" w:type="pct"/>
            <w:shd w:val="clear" w:color="auto" w:fill="auto"/>
            <w:vAlign w:val="center"/>
          </w:tcPr>
          <w:p w14:paraId="2D6C2794" w14:textId="6FF5AFE9" w:rsidR="000F4B43" w:rsidRPr="00B36948" w:rsidRDefault="000F4B43" w:rsidP="000F4B43">
            <w:pPr>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48"/>
                <w:sz w:val="20"/>
                <w:szCs w:val="20"/>
                <w:shd w:val="solid" w:color="000000" w:fill="000000"/>
                <w:fitText w:val="330" w:id="-1435748350"/>
                <w14:textFill>
                  <w14:solidFill>
                    <w14:srgbClr w14:val="000000">
                      <w14:alpha w14:val="100000"/>
                    </w14:srgbClr>
                  </w14:solidFill>
                </w14:textFill>
              </w:rPr>
              <w:t>|||</w:t>
            </w:r>
            <w:r w:rsidR="00650CB8" w:rsidRPr="00650CB8">
              <w:rPr>
                <w:rFonts w:ascii="Arial Narrow" w:hAnsi="Arial Narrow"/>
                <w:b/>
                <w:bCs/>
                <w:color w:val="000000"/>
                <w:spacing w:val="3"/>
                <w:sz w:val="20"/>
                <w:szCs w:val="20"/>
                <w:shd w:val="solid" w:color="000000" w:fill="000000"/>
                <w:fitText w:val="330" w:id="-1435748350"/>
                <w14:textFill>
                  <w14:solidFill>
                    <w14:srgbClr w14:val="000000">
                      <w14:alpha w14:val="100000"/>
                    </w14:srgbClr>
                  </w14:solidFill>
                </w14:textFill>
              </w:rPr>
              <w:t>|</w:t>
            </w:r>
            <w:r w:rsidR="009B421F">
              <w:rPr>
                <w:rFonts w:ascii="Arial Narrow" w:hAnsi="Arial Narrow"/>
                <w:sz w:val="20"/>
                <w:szCs w:val="20"/>
                <w:vertAlign w:val="superscript"/>
              </w:rPr>
              <w:t>9</w:t>
            </w:r>
          </w:p>
        </w:tc>
        <w:tc>
          <w:tcPr>
            <w:tcW w:w="634" w:type="pct"/>
            <w:shd w:val="clear" w:color="auto" w:fill="auto"/>
            <w:vAlign w:val="center"/>
          </w:tcPr>
          <w:p w14:paraId="293724D2" w14:textId="41DA2AB2" w:rsidR="000F4B43" w:rsidRPr="00B36948" w:rsidRDefault="000F4B43" w:rsidP="000F4B43">
            <w:pPr>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48"/>
                <w:sz w:val="20"/>
                <w:szCs w:val="20"/>
                <w:shd w:val="solid" w:color="000000" w:fill="000000"/>
                <w:fitText w:val="330" w:id="-1435748349"/>
                <w14:textFill>
                  <w14:solidFill>
                    <w14:srgbClr w14:val="000000">
                      <w14:alpha w14:val="100000"/>
                    </w14:srgbClr>
                  </w14:solidFill>
                </w14:textFill>
              </w:rPr>
              <w:t>|||</w:t>
            </w:r>
            <w:r w:rsidR="00650CB8" w:rsidRPr="00650CB8">
              <w:rPr>
                <w:rFonts w:ascii="Arial Narrow" w:hAnsi="Arial Narrow"/>
                <w:b/>
                <w:bCs/>
                <w:color w:val="000000"/>
                <w:spacing w:val="3"/>
                <w:sz w:val="20"/>
                <w:szCs w:val="20"/>
                <w:shd w:val="solid" w:color="000000" w:fill="000000"/>
                <w:fitText w:val="330" w:id="-1435748349"/>
                <w14:textFill>
                  <w14:solidFill>
                    <w14:srgbClr w14:val="000000">
                      <w14:alpha w14:val="100000"/>
                    </w14:srgbClr>
                  </w14:solidFill>
                </w14:textFill>
              </w:rPr>
              <w:t>|</w:t>
            </w:r>
            <w:r w:rsidR="009B421F">
              <w:rPr>
                <w:rFonts w:ascii="Arial Narrow" w:hAnsi="Arial Narrow"/>
                <w:sz w:val="20"/>
                <w:szCs w:val="20"/>
                <w:vertAlign w:val="superscript"/>
              </w:rPr>
              <w:t>9</w:t>
            </w:r>
          </w:p>
        </w:tc>
        <w:tc>
          <w:tcPr>
            <w:tcW w:w="634" w:type="pct"/>
            <w:tcBorders>
              <w:right w:val="single" w:sz="4" w:space="0" w:color="auto"/>
            </w:tcBorders>
            <w:shd w:val="clear" w:color="auto" w:fill="auto"/>
            <w:vAlign w:val="center"/>
          </w:tcPr>
          <w:p w14:paraId="438C4DC7" w14:textId="154F09A6" w:rsidR="000F4B43" w:rsidRPr="00B36948" w:rsidRDefault="000F4B43" w:rsidP="000F4B43">
            <w:pPr>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48"/>
                <w:sz w:val="20"/>
                <w:szCs w:val="20"/>
                <w:shd w:val="solid" w:color="000000" w:fill="000000"/>
                <w:fitText w:val="330" w:id="-1435748348"/>
                <w14:textFill>
                  <w14:solidFill>
                    <w14:srgbClr w14:val="000000">
                      <w14:alpha w14:val="100000"/>
                    </w14:srgbClr>
                  </w14:solidFill>
                </w14:textFill>
              </w:rPr>
              <w:t>|||</w:t>
            </w:r>
            <w:r w:rsidR="00650CB8" w:rsidRPr="00650CB8">
              <w:rPr>
                <w:rFonts w:ascii="Arial Narrow" w:hAnsi="Arial Narrow"/>
                <w:b/>
                <w:bCs/>
                <w:color w:val="000000"/>
                <w:spacing w:val="3"/>
                <w:sz w:val="20"/>
                <w:szCs w:val="20"/>
                <w:shd w:val="solid" w:color="000000" w:fill="000000"/>
                <w:fitText w:val="330" w:id="-1435748348"/>
                <w14:textFill>
                  <w14:solidFill>
                    <w14:srgbClr w14:val="000000">
                      <w14:alpha w14:val="100000"/>
                    </w14:srgbClr>
                  </w14:solidFill>
                </w14:textFill>
              </w:rPr>
              <w:t>|</w:t>
            </w:r>
            <w:r w:rsidR="009B421F">
              <w:rPr>
                <w:rFonts w:ascii="Arial Narrow" w:hAnsi="Arial Narrow"/>
                <w:sz w:val="20"/>
                <w:szCs w:val="20"/>
                <w:vertAlign w:val="superscript"/>
              </w:rPr>
              <w:t>9</w:t>
            </w:r>
          </w:p>
        </w:tc>
        <w:tc>
          <w:tcPr>
            <w:tcW w:w="634" w:type="pct"/>
            <w:tcBorders>
              <w:right w:val="single" w:sz="4" w:space="0" w:color="auto"/>
            </w:tcBorders>
            <w:vAlign w:val="center"/>
          </w:tcPr>
          <w:p w14:paraId="78909BB0" w14:textId="4C906B98" w:rsidR="000F4B43" w:rsidRPr="00B36948" w:rsidRDefault="000F4B43" w:rsidP="000F4B43">
            <w:pPr>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48"/>
                <w:sz w:val="20"/>
                <w:szCs w:val="20"/>
                <w:shd w:val="solid" w:color="000000" w:fill="000000"/>
                <w:fitText w:val="330" w:id="-1435748347"/>
                <w14:textFill>
                  <w14:solidFill>
                    <w14:srgbClr w14:val="000000">
                      <w14:alpha w14:val="100000"/>
                    </w14:srgbClr>
                  </w14:solidFill>
                </w14:textFill>
              </w:rPr>
              <w:t>|||</w:t>
            </w:r>
            <w:r w:rsidR="00650CB8" w:rsidRPr="00650CB8">
              <w:rPr>
                <w:rFonts w:ascii="Arial Narrow" w:hAnsi="Arial Narrow"/>
                <w:b/>
                <w:bCs/>
                <w:color w:val="000000"/>
                <w:spacing w:val="3"/>
                <w:sz w:val="20"/>
                <w:szCs w:val="20"/>
                <w:shd w:val="solid" w:color="000000" w:fill="000000"/>
                <w:fitText w:val="330" w:id="-1435748347"/>
                <w14:textFill>
                  <w14:solidFill>
                    <w14:srgbClr w14:val="000000">
                      <w14:alpha w14:val="100000"/>
                    </w14:srgbClr>
                  </w14:solidFill>
                </w14:textFill>
              </w:rPr>
              <w:t>|</w:t>
            </w:r>
            <w:r w:rsidR="009B421F">
              <w:rPr>
                <w:rFonts w:ascii="Arial Narrow" w:hAnsi="Arial Narrow"/>
                <w:sz w:val="20"/>
                <w:szCs w:val="20"/>
                <w:vertAlign w:val="superscript"/>
              </w:rPr>
              <w:t>9</w:t>
            </w:r>
          </w:p>
        </w:tc>
      </w:tr>
      <w:tr w:rsidR="000F4B43" w:rsidRPr="00B36948" w14:paraId="45798BB7" w14:textId="77777777" w:rsidTr="000F4B43">
        <w:trPr>
          <w:cantSplit/>
        </w:trPr>
        <w:tc>
          <w:tcPr>
            <w:tcW w:w="5000" w:type="pct"/>
            <w:gridSpan w:val="7"/>
            <w:tcBorders>
              <w:left w:val="single" w:sz="4" w:space="0" w:color="auto"/>
              <w:right w:val="single" w:sz="4" w:space="0" w:color="auto"/>
            </w:tcBorders>
            <w:shd w:val="clear" w:color="auto" w:fill="auto"/>
            <w:vAlign w:val="center"/>
          </w:tcPr>
          <w:p w14:paraId="61063058" w14:textId="77777777" w:rsidR="000F4B43" w:rsidRPr="00B36948" w:rsidRDefault="000F4B43" w:rsidP="000F4B43">
            <w:pPr>
              <w:jc w:val="left"/>
              <w:rPr>
                <w:rFonts w:ascii="Arial Narrow" w:hAnsi="Arial Narrow"/>
                <w:b/>
                <w:sz w:val="20"/>
                <w:szCs w:val="20"/>
              </w:rPr>
            </w:pPr>
            <w:r w:rsidRPr="00B36948">
              <w:rPr>
                <w:rFonts w:ascii="Arial Narrow" w:hAnsi="Arial Narrow"/>
                <w:b/>
                <w:sz w:val="20"/>
                <w:szCs w:val="20"/>
              </w:rPr>
              <w:t>November 2019 submission: LDL-C &gt;2.6 mmol/L</w:t>
            </w:r>
          </w:p>
        </w:tc>
      </w:tr>
      <w:tr w:rsidR="000F4B43" w:rsidRPr="00B36948" w14:paraId="2A163C71" w14:textId="77777777" w:rsidTr="000F4B43">
        <w:trPr>
          <w:cantSplit/>
        </w:trPr>
        <w:tc>
          <w:tcPr>
            <w:tcW w:w="1196" w:type="pct"/>
            <w:tcBorders>
              <w:left w:val="single" w:sz="4" w:space="0" w:color="auto"/>
            </w:tcBorders>
            <w:shd w:val="clear" w:color="auto" w:fill="auto"/>
            <w:vAlign w:val="center"/>
          </w:tcPr>
          <w:p w14:paraId="62F1CCF6" w14:textId="77777777" w:rsidR="000F4B43" w:rsidRPr="00B36948" w:rsidRDefault="000F4B43" w:rsidP="000F4B43">
            <w:pPr>
              <w:jc w:val="left"/>
              <w:rPr>
                <w:rFonts w:ascii="Arial Narrow" w:hAnsi="Arial Narrow"/>
                <w:bCs/>
                <w:sz w:val="20"/>
                <w:szCs w:val="20"/>
                <w:vertAlign w:val="superscript"/>
              </w:rPr>
            </w:pPr>
            <w:r w:rsidRPr="00B36948">
              <w:rPr>
                <w:rFonts w:ascii="Arial Narrow" w:hAnsi="Arial Narrow"/>
                <w:sz w:val="20"/>
                <w:szCs w:val="20"/>
              </w:rPr>
              <w:t xml:space="preserve">Eligible patients </w:t>
            </w:r>
            <w:r w:rsidRPr="00B36948">
              <w:rPr>
                <w:rFonts w:ascii="Arial Narrow" w:hAnsi="Arial Narrow"/>
                <w:sz w:val="20"/>
                <w:szCs w:val="20"/>
                <w:vertAlign w:val="superscript"/>
              </w:rPr>
              <w:t>1</w:t>
            </w:r>
          </w:p>
        </w:tc>
        <w:tc>
          <w:tcPr>
            <w:tcW w:w="634" w:type="pct"/>
            <w:shd w:val="clear" w:color="auto" w:fill="auto"/>
            <w:vAlign w:val="center"/>
          </w:tcPr>
          <w:p w14:paraId="7150DF44" w14:textId="04C8CF44"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346"/>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346"/>
                <w14:textFill>
                  <w14:solidFill>
                    <w14:srgbClr w14:val="000000">
                      <w14:alpha w14:val="100000"/>
                    </w14:srgbClr>
                  </w14:solidFill>
                </w14:textFill>
              </w:rPr>
              <w:t>|</w:t>
            </w:r>
            <w:r w:rsidR="009B421F" w:rsidRPr="009B421F">
              <w:rPr>
                <w:rFonts w:ascii="Arial Narrow" w:hAnsi="Arial Narrow"/>
                <w:sz w:val="20"/>
                <w:szCs w:val="20"/>
                <w:vertAlign w:val="superscript"/>
              </w:rPr>
              <w:t>1</w:t>
            </w:r>
          </w:p>
        </w:tc>
        <w:tc>
          <w:tcPr>
            <w:tcW w:w="634" w:type="pct"/>
            <w:shd w:val="clear" w:color="auto" w:fill="auto"/>
            <w:vAlign w:val="center"/>
          </w:tcPr>
          <w:p w14:paraId="4692351B" w14:textId="2B3F245A"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345"/>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345"/>
                <w14:textFill>
                  <w14:solidFill>
                    <w14:srgbClr w14:val="000000">
                      <w14:alpha w14:val="100000"/>
                    </w14:srgbClr>
                  </w14:solidFill>
                </w14:textFill>
              </w:rPr>
              <w:t>|</w:t>
            </w:r>
            <w:r w:rsidR="009B421F">
              <w:rPr>
                <w:rFonts w:ascii="Arial Narrow" w:hAnsi="Arial Narrow"/>
                <w:sz w:val="20"/>
                <w:szCs w:val="20"/>
                <w:vertAlign w:val="superscript"/>
              </w:rPr>
              <w:t>2</w:t>
            </w:r>
          </w:p>
        </w:tc>
        <w:tc>
          <w:tcPr>
            <w:tcW w:w="634" w:type="pct"/>
            <w:shd w:val="clear" w:color="auto" w:fill="auto"/>
            <w:vAlign w:val="center"/>
          </w:tcPr>
          <w:p w14:paraId="720C1AF5" w14:textId="68F1B26B"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344"/>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344"/>
                <w14:textFill>
                  <w14:solidFill>
                    <w14:srgbClr w14:val="000000">
                      <w14:alpha w14:val="100000"/>
                    </w14:srgbClr>
                  </w14:solidFill>
                </w14:textFill>
              </w:rPr>
              <w:t>|</w:t>
            </w:r>
            <w:r w:rsidR="009B421F">
              <w:rPr>
                <w:rFonts w:ascii="Arial Narrow" w:hAnsi="Arial Narrow"/>
                <w:sz w:val="20"/>
                <w:szCs w:val="20"/>
                <w:vertAlign w:val="superscript"/>
              </w:rPr>
              <w:t>2</w:t>
            </w:r>
          </w:p>
        </w:tc>
        <w:tc>
          <w:tcPr>
            <w:tcW w:w="634" w:type="pct"/>
            <w:shd w:val="clear" w:color="auto" w:fill="auto"/>
            <w:vAlign w:val="center"/>
          </w:tcPr>
          <w:p w14:paraId="55731427" w14:textId="1099783E"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59"/>
                <w:sz w:val="20"/>
                <w:szCs w:val="20"/>
                <w:shd w:val="solid" w:color="000000" w:fill="000000"/>
                <w:fitText w:val="350" w:id="-1435748343"/>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50" w:id="-1435748343"/>
                <w14:textFill>
                  <w14:solidFill>
                    <w14:srgbClr w14:val="000000">
                      <w14:alpha w14:val="100000"/>
                    </w14:srgbClr>
                  </w14:solidFill>
                </w14:textFill>
              </w:rPr>
              <w:t>|</w:t>
            </w:r>
            <w:r w:rsidR="009B421F">
              <w:rPr>
                <w:rFonts w:ascii="Arial Narrow" w:hAnsi="Arial Narrow"/>
                <w:sz w:val="20"/>
                <w:szCs w:val="20"/>
                <w:vertAlign w:val="superscript"/>
              </w:rPr>
              <w:t>10</w:t>
            </w:r>
          </w:p>
        </w:tc>
        <w:tc>
          <w:tcPr>
            <w:tcW w:w="634" w:type="pct"/>
            <w:tcBorders>
              <w:right w:val="single" w:sz="4" w:space="0" w:color="auto"/>
            </w:tcBorders>
            <w:shd w:val="clear" w:color="auto" w:fill="auto"/>
            <w:vAlign w:val="center"/>
          </w:tcPr>
          <w:p w14:paraId="3AD8EC6B" w14:textId="0199784D"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59"/>
                <w:sz w:val="20"/>
                <w:szCs w:val="20"/>
                <w:shd w:val="solid" w:color="000000" w:fill="000000"/>
                <w:fitText w:val="350" w:id="-1435748342"/>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50" w:id="-1435748342"/>
                <w14:textFill>
                  <w14:solidFill>
                    <w14:srgbClr w14:val="000000">
                      <w14:alpha w14:val="100000"/>
                    </w14:srgbClr>
                  </w14:solidFill>
                </w14:textFill>
              </w:rPr>
              <w:t>|</w:t>
            </w:r>
            <w:r w:rsidR="009B421F">
              <w:rPr>
                <w:rFonts w:ascii="Arial Narrow" w:hAnsi="Arial Narrow"/>
                <w:sz w:val="20"/>
                <w:szCs w:val="20"/>
                <w:vertAlign w:val="superscript"/>
              </w:rPr>
              <w:t>10</w:t>
            </w:r>
          </w:p>
        </w:tc>
        <w:tc>
          <w:tcPr>
            <w:tcW w:w="634" w:type="pct"/>
            <w:tcBorders>
              <w:right w:val="single" w:sz="4" w:space="0" w:color="auto"/>
            </w:tcBorders>
            <w:vAlign w:val="center"/>
          </w:tcPr>
          <w:p w14:paraId="2EF28CF4" w14:textId="1F625C75"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59"/>
                <w:sz w:val="20"/>
                <w:szCs w:val="20"/>
                <w:shd w:val="solid" w:color="000000" w:fill="000000"/>
                <w:fitText w:val="350" w:id="-1435748341"/>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50" w:id="-1435748341"/>
                <w14:textFill>
                  <w14:solidFill>
                    <w14:srgbClr w14:val="000000">
                      <w14:alpha w14:val="100000"/>
                    </w14:srgbClr>
                  </w14:solidFill>
                </w14:textFill>
              </w:rPr>
              <w:t>|</w:t>
            </w:r>
            <w:r w:rsidR="009B421F">
              <w:rPr>
                <w:rFonts w:ascii="Arial Narrow" w:hAnsi="Arial Narrow"/>
                <w:sz w:val="20"/>
                <w:szCs w:val="20"/>
                <w:vertAlign w:val="superscript"/>
              </w:rPr>
              <w:t>11</w:t>
            </w:r>
          </w:p>
        </w:tc>
      </w:tr>
      <w:tr w:rsidR="000F4B43" w:rsidRPr="00B36948" w14:paraId="56AA76BE" w14:textId="77777777" w:rsidTr="000F4B43">
        <w:trPr>
          <w:cantSplit/>
        </w:trPr>
        <w:tc>
          <w:tcPr>
            <w:tcW w:w="1196" w:type="pct"/>
            <w:tcBorders>
              <w:left w:val="single" w:sz="4" w:space="0" w:color="auto"/>
            </w:tcBorders>
            <w:shd w:val="clear" w:color="auto" w:fill="auto"/>
            <w:vAlign w:val="center"/>
          </w:tcPr>
          <w:p w14:paraId="32197FB0" w14:textId="77777777" w:rsidR="000F4B43" w:rsidRPr="00B36948" w:rsidRDefault="000F4B43" w:rsidP="000F4B43">
            <w:pPr>
              <w:jc w:val="left"/>
              <w:rPr>
                <w:rFonts w:ascii="Arial Narrow" w:hAnsi="Arial Narrow"/>
                <w:bCs/>
                <w:sz w:val="20"/>
                <w:szCs w:val="20"/>
              </w:rPr>
            </w:pPr>
            <w:r w:rsidRPr="00B36948">
              <w:rPr>
                <w:rFonts w:ascii="Arial Narrow" w:hAnsi="Arial Narrow"/>
                <w:sz w:val="20"/>
                <w:szCs w:val="20"/>
              </w:rPr>
              <w:t>Treated patients</w:t>
            </w:r>
          </w:p>
        </w:tc>
        <w:tc>
          <w:tcPr>
            <w:tcW w:w="634" w:type="pct"/>
            <w:shd w:val="clear" w:color="auto" w:fill="auto"/>
            <w:vAlign w:val="center"/>
          </w:tcPr>
          <w:p w14:paraId="1744451A" w14:textId="69F619F9"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340"/>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340"/>
                <w14:textFill>
                  <w14:solidFill>
                    <w14:srgbClr w14:val="000000">
                      <w14:alpha w14:val="100000"/>
                    </w14:srgbClr>
                  </w14:solidFill>
                </w14:textFill>
              </w:rPr>
              <w:t>|</w:t>
            </w:r>
            <w:r w:rsidR="009B421F">
              <w:rPr>
                <w:rFonts w:ascii="Arial Narrow" w:hAnsi="Arial Narrow"/>
                <w:sz w:val="20"/>
                <w:szCs w:val="20"/>
                <w:vertAlign w:val="superscript"/>
              </w:rPr>
              <w:t>4</w:t>
            </w:r>
          </w:p>
        </w:tc>
        <w:tc>
          <w:tcPr>
            <w:tcW w:w="634" w:type="pct"/>
            <w:shd w:val="clear" w:color="auto" w:fill="auto"/>
            <w:vAlign w:val="center"/>
          </w:tcPr>
          <w:p w14:paraId="311BB8D5" w14:textId="2EDA6237"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339"/>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339"/>
                <w14:textFill>
                  <w14:solidFill>
                    <w14:srgbClr w14:val="000000">
                      <w14:alpha w14:val="100000"/>
                    </w14:srgbClr>
                  </w14:solidFill>
                </w14:textFill>
              </w:rPr>
              <w:t>|</w:t>
            </w:r>
            <w:r w:rsidR="009B421F">
              <w:rPr>
                <w:rFonts w:ascii="Arial Narrow" w:hAnsi="Arial Narrow"/>
                <w:sz w:val="20"/>
                <w:szCs w:val="20"/>
                <w:vertAlign w:val="superscript"/>
              </w:rPr>
              <w:t>5</w:t>
            </w:r>
          </w:p>
        </w:tc>
        <w:tc>
          <w:tcPr>
            <w:tcW w:w="634" w:type="pct"/>
            <w:shd w:val="clear" w:color="auto" w:fill="auto"/>
            <w:vAlign w:val="center"/>
          </w:tcPr>
          <w:p w14:paraId="0F8E9AAC" w14:textId="57B36258"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59"/>
                <w:sz w:val="20"/>
                <w:szCs w:val="20"/>
                <w:shd w:val="solid" w:color="000000" w:fill="000000"/>
                <w:fitText w:val="350" w:id="-1435748338"/>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50" w:id="-1435748338"/>
                <w14:textFill>
                  <w14:solidFill>
                    <w14:srgbClr w14:val="000000">
                      <w14:alpha w14:val="100000"/>
                    </w14:srgbClr>
                  </w14:solidFill>
                </w14:textFill>
              </w:rPr>
              <w:t>|</w:t>
            </w:r>
            <w:r w:rsidR="009B421F">
              <w:rPr>
                <w:rFonts w:ascii="Arial Narrow" w:hAnsi="Arial Narrow"/>
                <w:sz w:val="20"/>
                <w:szCs w:val="20"/>
                <w:vertAlign w:val="superscript"/>
              </w:rPr>
              <w:t>12</w:t>
            </w:r>
          </w:p>
        </w:tc>
        <w:tc>
          <w:tcPr>
            <w:tcW w:w="634" w:type="pct"/>
            <w:shd w:val="clear" w:color="auto" w:fill="auto"/>
            <w:vAlign w:val="center"/>
          </w:tcPr>
          <w:p w14:paraId="6CD08369" w14:textId="505C02CF"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337"/>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337"/>
                <w14:textFill>
                  <w14:solidFill>
                    <w14:srgbClr w14:val="000000">
                      <w14:alpha w14:val="100000"/>
                    </w14:srgbClr>
                  </w14:solidFill>
                </w14:textFill>
              </w:rPr>
              <w:t>|</w:t>
            </w:r>
            <w:r w:rsidR="009B421F" w:rsidRPr="009B421F">
              <w:rPr>
                <w:rFonts w:ascii="Arial Narrow" w:hAnsi="Arial Narrow"/>
                <w:sz w:val="20"/>
                <w:szCs w:val="20"/>
                <w:vertAlign w:val="superscript"/>
              </w:rPr>
              <w:t>1</w:t>
            </w:r>
          </w:p>
        </w:tc>
        <w:tc>
          <w:tcPr>
            <w:tcW w:w="634" w:type="pct"/>
            <w:tcBorders>
              <w:right w:val="single" w:sz="4" w:space="0" w:color="auto"/>
            </w:tcBorders>
            <w:shd w:val="clear" w:color="auto" w:fill="auto"/>
            <w:vAlign w:val="center"/>
          </w:tcPr>
          <w:p w14:paraId="164E4590" w14:textId="3FB564E1"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336"/>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336"/>
                <w14:textFill>
                  <w14:solidFill>
                    <w14:srgbClr w14:val="000000">
                      <w14:alpha w14:val="100000"/>
                    </w14:srgbClr>
                  </w14:solidFill>
                </w14:textFill>
              </w:rPr>
              <w:t>|</w:t>
            </w:r>
            <w:r w:rsidR="009B421F" w:rsidRPr="009B421F">
              <w:rPr>
                <w:rFonts w:ascii="Arial Narrow" w:hAnsi="Arial Narrow"/>
                <w:sz w:val="20"/>
                <w:szCs w:val="20"/>
                <w:vertAlign w:val="superscript"/>
              </w:rPr>
              <w:t>1</w:t>
            </w:r>
          </w:p>
        </w:tc>
        <w:tc>
          <w:tcPr>
            <w:tcW w:w="634" w:type="pct"/>
            <w:tcBorders>
              <w:right w:val="single" w:sz="4" w:space="0" w:color="auto"/>
            </w:tcBorders>
            <w:vAlign w:val="center"/>
          </w:tcPr>
          <w:p w14:paraId="53CF66E0" w14:textId="4357D4DD"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352"/>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352"/>
                <w14:textFill>
                  <w14:solidFill>
                    <w14:srgbClr w14:val="000000">
                      <w14:alpha w14:val="100000"/>
                    </w14:srgbClr>
                  </w14:solidFill>
                </w14:textFill>
              </w:rPr>
              <w:t>|</w:t>
            </w:r>
            <w:r w:rsidR="009B421F" w:rsidRPr="009B421F">
              <w:rPr>
                <w:rFonts w:ascii="Arial Narrow" w:hAnsi="Arial Narrow"/>
                <w:sz w:val="20"/>
                <w:szCs w:val="20"/>
                <w:vertAlign w:val="superscript"/>
              </w:rPr>
              <w:t>1</w:t>
            </w:r>
          </w:p>
        </w:tc>
      </w:tr>
      <w:tr w:rsidR="000F4B43" w:rsidRPr="00B36948" w14:paraId="6EACC8AF" w14:textId="77777777" w:rsidTr="000F4B43">
        <w:trPr>
          <w:cantSplit/>
        </w:trPr>
        <w:tc>
          <w:tcPr>
            <w:tcW w:w="1196" w:type="pct"/>
            <w:tcBorders>
              <w:left w:val="single" w:sz="4" w:space="0" w:color="auto"/>
            </w:tcBorders>
            <w:shd w:val="clear" w:color="auto" w:fill="auto"/>
            <w:vAlign w:val="center"/>
          </w:tcPr>
          <w:p w14:paraId="649A28EB" w14:textId="77777777" w:rsidR="000F4B43" w:rsidRPr="00B36948" w:rsidRDefault="000F4B43" w:rsidP="000F4B43">
            <w:pPr>
              <w:jc w:val="left"/>
              <w:rPr>
                <w:rFonts w:ascii="Arial Narrow" w:hAnsi="Arial Narrow"/>
                <w:sz w:val="20"/>
                <w:szCs w:val="20"/>
              </w:rPr>
            </w:pPr>
            <w:r w:rsidRPr="00B36948">
              <w:rPr>
                <w:rFonts w:ascii="Arial Narrow" w:hAnsi="Arial Narrow"/>
                <w:sz w:val="20"/>
                <w:szCs w:val="20"/>
              </w:rPr>
              <w:t>Number of scripts</w:t>
            </w:r>
          </w:p>
        </w:tc>
        <w:tc>
          <w:tcPr>
            <w:tcW w:w="634" w:type="pct"/>
            <w:shd w:val="clear" w:color="auto" w:fill="auto"/>
            <w:vAlign w:val="center"/>
          </w:tcPr>
          <w:p w14:paraId="0920ADAB" w14:textId="1661A1E4"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351"/>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351"/>
                <w14:textFill>
                  <w14:solidFill>
                    <w14:srgbClr w14:val="000000">
                      <w14:alpha w14:val="100000"/>
                    </w14:srgbClr>
                  </w14:solidFill>
                </w14:textFill>
              </w:rPr>
              <w:t>|</w:t>
            </w:r>
            <w:r w:rsidR="009B421F">
              <w:rPr>
                <w:rFonts w:ascii="Arial Narrow" w:hAnsi="Arial Narrow"/>
                <w:sz w:val="20"/>
                <w:szCs w:val="20"/>
                <w:vertAlign w:val="superscript"/>
              </w:rPr>
              <w:t>7</w:t>
            </w:r>
          </w:p>
        </w:tc>
        <w:tc>
          <w:tcPr>
            <w:tcW w:w="634" w:type="pct"/>
            <w:shd w:val="clear" w:color="auto" w:fill="auto"/>
            <w:vAlign w:val="center"/>
          </w:tcPr>
          <w:p w14:paraId="45B33AFC" w14:textId="76398A51"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350"/>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350"/>
                <w14:textFill>
                  <w14:solidFill>
                    <w14:srgbClr w14:val="000000">
                      <w14:alpha w14:val="100000"/>
                    </w14:srgbClr>
                  </w14:solidFill>
                </w14:textFill>
              </w:rPr>
              <w:t>|</w:t>
            </w:r>
            <w:r w:rsidR="009B421F">
              <w:rPr>
                <w:rFonts w:ascii="Arial Narrow" w:hAnsi="Arial Narrow"/>
                <w:sz w:val="20"/>
                <w:szCs w:val="20"/>
                <w:vertAlign w:val="superscript"/>
              </w:rPr>
              <w:t>7</w:t>
            </w:r>
          </w:p>
        </w:tc>
        <w:tc>
          <w:tcPr>
            <w:tcW w:w="634" w:type="pct"/>
            <w:shd w:val="clear" w:color="auto" w:fill="auto"/>
            <w:vAlign w:val="center"/>
          </w:tcPr>
          <w:p w14:paraId="07EAA26D" w14:textId="7195B231"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59"/>
                <w:sz w:val="20"/>
                <w:szCs w:val="20"/>
                <w:shd w:val="solid" w:color="000000" w:fill="000000"/>
                <w:fitText w:val="350" w:id="-1435748349"/>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50" w:id="-1435748349"/>
                <w14:textFill>
                  <w14:solidFill>
                    <w14:srgbClr w14:val="000000">
                      <w14:alpha w14:val="100000"/>
                    </w14:srgbClr>
                  </w14:solidFill>
                </w14:textFill>
              </w:rPr>
              <w:t>|</w:t>
            </w:r>
            <w:r w:rsidR="009B421F">
              <w:rPr>
                <w:rFonts w:ascii="Arial Narrow" w:hAnsi="Arial Narrow"/>
                <w:sz w:val="20"/>
                <w:szCs w:val="20"/>
                <w:vertAlign w:val="superscript"/>
              </w:rPr>
              <w:t>13</w:t>
            </w:r>
          </w:p>
        </w:tc>
        <w:tc>
          <w:tcPr>
            <w:tcW w:w="634" w:type="pct"/>
            <w:shd w:val="clear" w:color="auto" w:fill="auto"/>
            <w:vAlign w:val="center"/>
          </w:tcPr>
          <w:p w14:paraId="4F65F102" w14:textId="41BC758E"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59"/>
                <w:sz w:val="20"/>
                <w:szCs w:val="20"/>
                <w:shd w:val="solid" w:color="000000" w:fill="000000"/>
                <w:fitText w:val="350" w:id="-1435748348"/>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50" w:id="-1435748348"/>
                <w14:textFill>
                  <w14:solidFill>
                    <w14:srgbClr w14:val="000000">
                      <w14:alpha w14:val="100000"/>
                    </w14:srgbClr>
                  </w14:solidFill>
                </w14:textFill>
              </w:rPr>
              <w:t>|</w:t>
            </w:r>
            <w:r w:rsidR="009B421F">
              <w:rPr>
                <w:rFonts w:ascii="Arial Narrow" w:hAnsi="Arial Narrow"/>
                <w:sz w:val="20"/>
                <w:szCs w:val="20"/>
                <w:vertAlign w:val="superscript"/>
              </w:rPr>
              <w:t>14</w:t>
            </w:r>
          </w:p>
        </w:tc>
        <w:tc>
          <w:tcPr>
            <w:tcW w:w="634" w:type="pct"/>
            <w:tcBorders>
              <w:right w:val="single" w:sz="4" w:space="0" w:color="auto"/>
            </w:tcBorders>
            <w:shd w:val="clear" w:color="auto" w:fill="auto"/>
            <w:vAlign w:val="center"/>
          </w:tcPr>
          <w:p w14:paraId="14DBC986" w14:textId="5BFB5BE3"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59"/>
                <w:sz w:val="20"/>
                <w:szCs w:val="20"/>
                <w:shd w:val="solid" w:color="000000" w:fill="000000"/>
                <w:fitText w:val="350" w:id="-1435748347"/>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50" w:id="-1435748347"/>
                <w14:textFill>
                  <w14:solidFill>
                    <w14:srgbClr w14:val="000000">
                      <w14:alpha w14:val="100000"/>
                    </w14:srgbClr>
                  </w14:solidFill>
                </w14:textFill>
              </w:rPr>
              <w:t>|</w:t>
            </w:r>
            <w:r w:rsidR="009B421F">
              <w:rPr>
                <w:rFonts w:ascii="Arial Narrow" w:hAnsi="Arial Narrow"/>
                <w:sz w:val="20"/>
                <w:szCs w:val="20"/>
                <w:vertAlign w:val="superscript"/>
              </w:rPr>
              <w:t>14</w:t>
            </w:r>
          </w:p>
        </w:tc>
        <w:tc>
          <w:tcPr>
            <w:tcW w:w="634" w:type="pct"/>
            <w:tcBorders>
              <w:right w:val="single" w:sz="4" w:space="0" w:color="auto"/>
            </w:tcBorders>
            <w:vAlign w:val="center"/>
          </w:tcPr>
          <w:p w14:paraId="4ECECD74" w14:textId="646BB3AE"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59"/>
                <w:sz w:val="20"/>
                <w:szCs w:val="20"/>
                <w:shd w:val="solid" w:color="000000" w:fill="000000"/>
                <w:fitText w:val="350" w:id="-1435748346"/>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50" w:id="-1435748346"/>
                <w14:textFill>
                  <w14:solidFill>
                    <w14:srgbClr w14:val="000000">
                      <w14:alpha w14:val="100000"/>
                    </w14:srgbClr>
                  </w14:solidFill>
                </w14:textFill>
              </w:rPr>
              <w:t>|</w:t>
            </w:r>
            <w:r w:rsidR="009B421F">
              <w:rPr>
                <w:rFonts w:ascii="Arial Narrow" w:hAnsi="Arial Narrow"/>
                <w:sz w:val="20"/>
                <w:szCs w:val="20"/>
                <w:vertAlign w:val="superscript"/>
              </w:rPr>
              <w:t>15</w:t>
            </w:r>
          </w:p>
        </w:tc>
      </w:tr>
      <w:tr w:rsidR="000F4B43" w:rsidRPr="00B36948" w14:paraId="632B4D89" w14:textId="77777777" w:rsidTr="000F4B43">
        <w:trPr>
          <w:cantSplit/>
        </w:trPr>
        <w:tc>
          <w:tcPr>
            <w:tcW w:w="1196" w:type="pct"/>
            <w:tcBorders>
              <w:left w:val="single" w:sz="4" w:space="0" w:color="auto"/>
              <w:bottom w:val="single" w:sz="4" w:space="0" w:color="auto"/>
            </w:tcBorders>
            <w:shd w:val="clear" w:color="auto" w:fill="auto"/>
            <w:vAlign w:val="center"/>
          </w:tcPr>
          <w:p w14:paraId="759BD0D7" w14:textId="77777777" w:rsidR="000F4B43" w:rsidRPr="00B36948" w:rsidRDefault="000F4B43" w:rsidP="000F4B43">
            <w:pPr>
              <w:jc w:val="left"/>
              <w:rPr>
                <w:rFonts w:ascii="Arial Narrow" w:hAnsi="Arial Narrow"/>
                <w:bCs/>
                <w:sz w:val="20"/>
                <w:szCs w:val="20"/>
              </w:rPr>
            </w:pPr>
            <w:r w:rsidRPr="00B36948">
              <w:rPr>
                <w:rFonts w:ascii="Arial Narrow" w:hAnsi="Arial Narrow"/>
                <w:b/>
                <w:sz w:val="20"/>
                <w:szCs w:val="20"/>
              </w:rPr>
              <w:t>Total cost less copayment</w:t>
            </w:r>
          </w:p>
        </w:tc>
        <w:tc>
          <w:tcPr>
            <w:tcW w:w="634" w:type="pct"/>
            <w:shd w:val="clear" w:color="auto" w:fill="auto"/>
            <w:vAlign w:val="bottom"/>
          </w:tcPr>
          <w:p w14:paraId="75A7BE44" w14:textId="652DDF22" w:rsidR="000F4B43" w:rsidRPr="009B421F" w:rsidRDefault="000F4B43" w:rsidP="000F4B43">
            <w:pPr>
              <w:jc w:val="center"/>
              <w:rPr>
                <w:rFonts w:ascii="Arial Narrow" w:hAnsi="Arial Narrow"/>
                <w:b/>
                <w:bCs/>
                <w:sz w:val="20"/>
                <w:szCs w:val="20"/>
                <w:vertAlign w:val="superscript"/>
              </w:rPr>
            </w:pPr>
            <w:r w:rsidRPr="00B36948">
              <w:rPr>
                <w:rFonts w:ascii="Arial Narrow" w:hAnsi="Arial Narrow"/>
                <w:b/>
                <w:bCs/>
                <w:sz w:val="20"/>
                <w:szCs w:val="20"/>
              </w:rPr>
              <w:t>$</w:t>
            </w:r>
            <w:r w:rsidR="00650CB8" w:rsidRPr="00650CB8">
              <w:rPr>
                <w:rFonts w:ascii="Arial Narrow" w:hAnsi="Arial Narrow"/>
                <w:b/>
                <w:bCs/>
                <w:color w:val="000000"/>
                <w:spacing w:val="58"/>
                <w:sz w:val="20"/>
                <w:szCs w:val="20"/>
                <w:shd w:val="solid" w:color="000000" w:fill="000000"/>
                <w:fitText w:val="360" w:id="-1435748345"/>
                <w14:textFill>
                  <w14:solidFill>
                    <w14:srgbClr w14:val="000000">
                      <w14:alpha w14:val="100000"/>
                    </w14:srgbClr>
                  </w14:solidFill>
                </w14:textFill>
              </w:rPr>
              <w:t>|||</w:t>
            </w:r>
            <w:r w:rsidR="00650CB8" w:rsidRPr="00650CB8">
              <w:rPr>
                <w:rFonts w:ascii="Arial Narrow" w:hAnsi="Arial Narrow"/>
                <w:b/>
                <w:bCs/>
                <w:color w:val="000000"/>
                <w:spacing w:val="3"/>
                <w:sz w:val="20"/>
                <w:szCs w:val="20"/>
                <w:shd w:val="solid" w:color="000000" w:fill="000000"/>
                <w:fitText w:val="360" w:id="-1435748345"/>
                <w14:textFill>
                  <w14:solidFill>
                    <w14:srgbClr w14:val="000000">
                      <w14:alpha w14:val="100000"/>
                    </w14:srgbClr>
                  </w14:solidFill>
                </w14:textFill>
              </w:rPr>
              <w:t>|</w:t>
            </w:r>
            <w:r w:rsidR="009B421F" w:rsidRPr="009B421F">
              <w:rPr>
                <w:rFonts w:ascii="Arial Narrow" w:hAnsi="Arial Narrow"/>
                <w:sz w:val="20"/>
                <w:szCs w:val="20"/>
                <w:vertAlign w:val="superscript"/>
              </w:rPr>
              <w:t>16</w:t>
            </w:r>
          </w:p>
        </w:tc>
        <w:tc>
          <w:tcPr>
            <w:tcW w:w="634" w:type="pct"/>
            <w:shd w:val="clear" w:color="auto" w:fill="auto"/>
            <w:vAlign w:val="bottom"/>
          </w:tcPr>
          <w:p w14:paraId="3F3B21C7" w14:textId="4DDEC03D" w:rsidR="000F4B43" w:rsidRPr="009B421F" w:rsidRDefault="000F4B43" w:rsidP="000F4B43">
            <w:pPr>
              <w:jc w:val="center"/>
              <w:rPr>
                <w:rFonts w:ascii="Arial Narrow" w:hAnsi="Arial Narrow"/>
                <w:b/>
                <w:bCs/>
                <w:sz w:val="20"/>
                <w:szCs w:val="20"/>
                <w:vertAlign w:val="superscript"/>
              </w:rPr>
            </w:pPr>
            <w:r w:rsidRPr="00B36948">
              <w:rPr>
                <w:rFonts w:ascii="Arial Narrow" w:hAnsi="Arial Narrow"/>
                <w:b/>
                <w:bCs/>
                <w:sz w:val="20"/>
                <w:szCs w:val="20"/>
              </w:rPr>
              <w:t>$</w:t>
            </w:r>
            <w:r w:rsidR="00650CB8" w:rsidRPr="00650CB8">
              <w:rPr>
                <w:rFonts w:ascii="Arial Narrow" w:hAnsi="Arial Narrow"/>
                <w:b/>
                <w:bCs/>
                <w:color w:val="000000"/>
                <w:spacing w:val="58"/>
                <w:sz w:val="20"/>
                <w:szCs w:val="20"/>
                <w:shd w:val="solid" w:color="000000" w:fill="000000"/>
                <w:fitText w:val="360" w:id="-1435748344"/>
                <w14:textFill>
                  <w14:solidFill>
                    <w14:srgbClr w14:val="000000">
                      <w14:alpha w14:val="100000"/>
                    </w14:srgbClr>
                  </w14:solidFill>
                </w14:textFill>
              </w:rPr>
              <w:t>|||</w:t>
            </w:r>
            <w:r w:rsidR="00650CB8" w:rsidRPr="00650CB8">
              <w:rPr>
                <w:rFonts w:ascii="Arial Narrow" w:hAnsi="Arial Narrow"/>
                <w:b/>
                <w:bCs/>
                <w:color w:val="000000"/>
                <w:spacing w:val="3"/>
                <w:sz w:val="20"/>
                <w:szCs w:val="20"/>
                <w:shd w:val="solid" w:color="000000" w:fill="000000"/>
                <w:fitText w:val="360" w:id="-1435748344"/>
                <w14:textFill>
                  <w14:solidFill>
                    <w14:srgbClr w14:val="000000">
                      <w14:alpha w14:val="100000"/>
                    </w14:srgbClr>
                  </w14:solidFill>
                </w14:textFill>
              </w:rPr>
              <w:t>|</w:t>
            </w:r>
            <w:r w:rsidR="009B421F" w:rsidRPr="009B421F">
              <w:rPr>
                <w:rFonts w:ascii="Arial Narrow" w:hAnsi="Arial Narrow"/>
                <w:sz w:val="20"/>
                <w:szCs w:val="20"/>
                <w:vertAlign w:val="superscript"/>
              </w:rPr>
              <w:t>17</w:t>
            </w:r>
          </w:p>
        </w:tc>
        <w:tc>
          <w:tcPr>
            <w:tcW w:w="634" w:type="pct"/>
            <w:shd w:val="clear" w:color="auto" w:fill="auto"/>
            <w:vAlign w:val="bottom"/>
          </w:tcPr>
          <w:p w14:paraId="5A8B987F" w14:textId="4E5EAD79" w:rsidR="000F4B43" w:rsidRPr="009B421F" w:rsidRDefault="000F4B43" w:rsidP="000F4B43">
            <w:pPr>
              <w:jc w:val="center"/>
              <w:rPr>
                <w:rFonts w:ascii="Arial Narrow" w:hAnsi="Arial Narrow"/>
                <w:b/>
                <w:bCs/>
                <w:sz w:val="20"/>
                <w:szCs w:val="20"/>
                <w:vertAlign w:val="superscript"/>
              </w:rPr>
            </w:pPr>
            <w:r w:rsidRPr="00B36948">
              <w:rPr>
                <w:rFonts w:ascii="Arial Narrow" w:hAnsi="Arial Narrow"/>
                <w:b/>
                <w:bCs/>
                <w:sz w:val="20"/>
                <w:szCs w:val="20"/>
              </w:rPr>
              <w:t>$</w:t>
            </w:r>
            <w:r w:rsidR="00650CB8" w:rsidRPr="00650CB8">
              <w:rPr>
                <w:rFonts w:ascii="Arial Narrow" w:hAnsi="Arial Narrow"/>
                <w:b/>
                <w:bCs/>
                <w:color w:val="000000"/>
                <w:spacing w:val="58"/>
                <w:sz w:val="20"/>
                <w:szCs w:val="20"/>
                <w:shd w:val="solid" w:color="000000" w:fill="000000"/>
                <w:fitText w:val="360" w:id="-1435748343"/>
                <w14:textFill>
                  <w14:solidFill>
                    <w14:srgbClr w14:val="000000">
                      <w14:alpha w14:val="100000"/>
                    </w14:srgbClr>
                  </w14:solidFill>
                </w14:textFill>
              </w:rPr>
              <w:t>|||</w:t>
            </w:r>
            <w:r w:rsidR="00650CB8" w:rsidRPr="00650CB8">
              <w:rPr>
                <w:rFonts w:ascii="Arial Narrow" w:hAnsi="Arial Narrow"/>
                <w:b/>
                <w:bCs/>
                <w:color w:val="000000"/>
                <w:spacing w:val="3"/>
                <w:sz w:val="20"/>
                <w:szCs w:val="20"/>
                <w:shd w:val="solid" w:color="000000" w:fill="000000"/>
                <w:fitText w:val="360" w:id="-1435748343"/>
                <w14:textFill>
                  <w14:solidFill>
                    <w14:srgbClr w14:val="000000">
                      <w14:alpha w14:val="100000"/>
                    </w14:srgbClr>
                  </w14:solidFill>
                </w14:textFill>
              </w:rPr>
              <w:t>|</w:t>
            </w:r>
            <w:r w:rsidR="009B421F" w:rsidRPr="009B421F">
              <w:rPr>
                <w:rFonts w:ascii="Arial Narrow" w:hAnsi="Arial Narrow"/>
                <w:sz w:val="20"/>
                <w:szCs w:val="20"/>
                <w:vertAlign w:val="superscript"/>
              </w:rPr>
              <w:t>18</w:t>
            </w:r>
          </w:p>
        </w:tc>
        <w:tc>
          <w:tcPr>
            <w:tcW w:w="634" w:type="pct"/>
            <w:shd w:val="clear" w:color="auto" w:fill="auto"/>
            <w:vAlign w:val="bottom"/>
          </w:tcPr>
          <w:p w14:paraId="38662BBC" w14:textId="66A7C5A9" w:rsidR="000F4B43" w:rsidRPr="009B421F" w:rsidRDefault="000F4B43" w:rsidP="000F4B43">
            <w:pPr>
              <w:jc w:val="center"/>
              <w:rPr>
                <w:rFonts w:ascii="Arial Narrow" w:hAnsi="Arial Narrow"/>
                <w:b/>
                <w:bCs/>
                <w:sz w:val="20"/>
                <w:szCs w:val="20"/>
                <w:vertAlign w:val="superscript"/>
              </w:rPr>
            </w:pPr>
            <w:r w:rsidRPr="00B36948">
              <w:rPr>
                <w:rFonts w:ascii="Arial Narrow" w:hAnsi="Arial Narrow"/>
                <w:b/>
                <w:bCs/>
                <w:sz w:val="20"/>
                <w:szCs w:val="20"/>
              </w:rPr>
              <w:t>$</w:t>
            </w:r>
            <w:r w:rsidR="00650CB8" w:rsidRPr="00650CB8">
              <w:rPr>
                <w:rFonts w:ascii="Arial Narrow" w:hAnsi="Arial Narrow"/>
                <w:b/>
                <w:bCs/>
                <w:color w:val="000000"/>
                <w:spacing w:val="58"/>
                <w:sz w:val="20"/>
                <w:szCs w:val="20"/>
                <w:shd w:val="solid" w:color="000000" w:fill="000000"/>
                <w:fitText w:val="360" w:id="-1435748342"/>
                <w14:textFill>
                  <w14:solidFill>
                    <w14:srgbClr w14:val="000000">
                      <w14:alpha w14:val="100000"/>
                    </w14:srgbClr>
                  </w14:solidFill>
                </w14:textFill>
              </w:rPr>
              <w:t>|||</w:t>
            </w:r>
            <w:r w:rsidR="00650CB8" w:rsidRPr="00650CB8">
              <w:rPr>
                <w:rFonts w:ascii="Arial Narrow" w:hAnsi="Arial Narrow"/>
                <w:b/>
                <w:bCs/>
                <w:color w:val="000000"/>
                <w:spacing w:val="3"/>
                <w:sz w:val="20"/>
                <w:szCs w:val="20"/>
                <w:shd w:val="solid" w:color="000000" w:fill="000000"/>
                <w:fitText w:val="360" w:id="-1435748342"/>
                <w14:textFill>
                  <w14:solidFill>
                    <w14:srgbClr w14:val="000000">
                      <w14:alpha w14:val="100000"/>
                    </w14:srgbClr>
                  </w14:solidFill>
                </w14:textFill>
              </w:rPr>
              <w:t>|</w:t>
            </w:r>
            <w:r w:rsidR="009B421F" w:rsidRPr="009B421F">
              <w:rPr>
                <w:rFonts w:ascii="Arial Narrow" w:hAnsi="Arial Narrow"/>
                <w:sz w:val="20"/>
                <w:szCs w:val="20"/>
                <w:vertAlign w:val="superscript"/>
              </w:rPr>
              <w:t>19</w:t>
            </w:r>
          </w:p>
        </w:tc>
        <w:tc>
          <w:tcPr>
            <w:tcW w:w="634" w:type="pct"/>
            <w:tcBorders>
              <w:right w:val="single" w:sz="4" w:space="0" w:color="auto"/>
            </w:tcBorders>
            <w:shd w:val="clear" w:color="auto" w:fill="auto"/>
            <w:vAlign w:val="bottom"/>
          </w:tcPr>
          <w:p w14:paraId="42A89ED8" w14:textId="3A1F9572" w:rsidR="000F4B43" w:rsidRPr="009B421F" w:rsidRDefault="000F4B43" w:rsidP="000F4B43">
            <w:pPr>
              <w:jc w:val="center"/>
              <w:rPr>
                <w:rFonts w:ascii="Arial Narrow" w:hAnsi="Arial Narrow"/>
                <w:b/>
                <w:bCs/>
                <w:sz w:val="20"/>
                <w:szCs w:val="20"/>
                <w:vertAlign w:val="superscript"/>
              </w:rPr>
            </w:pPr>
            <w:r w:rsidRPr="00B36948">
              <w:rPr>
                <w:rFonts w:ascii="Arial Narrow" w:hAnsi="Arial Narrow"/>
                <w:b/>
                <w:bCs/>
                <w:sz w:val="20"/>
                <w:szCs w:val="20"/>
              </w:rPr>
              <w:t>$</w:t>
            </w:r>
            <w:r w:rsidR="00650CB8" w:rsidRPr="00650CB8">
              <w:rPr>
                <w:rFonts w:ascii="Arial Narrow" w:hAnsi="Arial Narrow"/>
                <w:b/>
                <w:bCs/>
                <w:color w:val="000000"/>
                <w:spacing w:val="58"/>
                <w:sz w:val="20"/>
                <w:szCs w:val="20"/>
                <w:shd w:val="solid" w:color="000000" w:fill="000000"/>
                <w:fitText w:val="360" w:id="-1435748341"/>
                <w14:textFill>
                  <w14:solidFill>
                    <w14:srgbClr w14:val="000000">
                      <w14:alpha w14:val="100000"/>
                    </w14:srgbClr>
                  </w14:solidFill>
                </w14:textFill>
              </w:rPr>
              <w:t>|||</w:t>
            </w:r>
            <w:r w:rsidR="00650CB8" w:rsidRPr="00650CB8">
              <w:rPr>
                <w:rFonts w:ascii="Arial Narrow" w:hAnsi="Arial Narrow"/>
                <w:b/>
                <w:bCs/>
                <w:color w:val="000000"/>
                <w:spacing w:val="3"/>
                <w:sz w:val="20"/>
                <w:szCs w:val="20"/>
                <w:shd w:val="solid" w:color="000000" w:fill="000000"/>
                <w:fitText w:val="360" w:id="-1435748341"/>
                <w14:textFill>
                  <w14:solidFill>
                    <w14:srgbClr w14:val="000000">
                      <w14:alpha w14:val="100000"/>
                    </w14:srgbClr>
                  </w14:solidFill>
                </w14:textFill>
              </w:rPr>
              <w:t>|</w:t>
            </w:r>
            <w:r w:rsidR="009B421F" w:rsidRPr="009B421F">
              <w:rPr>
                <w:rFonts w:ascii="Arial Narrow" w:hAnsi="Arial Narrow"/>
                <w:sz w:val="20"/>
                <w:szCs w:val="20"/>
                <w:vertAlign w:val="superscript"/>
              </w:rPr>
              <w:t>19</w:t>
            </w:r>
          </w:p>
        </w:tc>
        <w:tc>
          <w:tcPr>
            <w:tcW w:w="634" w:type="pct"/>
            <w:tcBorders>
              <w:right w:val="single" w:sz="4" w:space="0" w:color="auto"/>
            </w:tcBorders>
            <w:vAlign w:val="bottom"/>
          </w:tcPr>
          <w:p w14:paraId="59E28C40" w14:textId="1B342765" w:rsidR="000F4B43" w:rsidRPr="009B421F" w:rsidRDefault="000F4B43" w:rsidP="000F4B43">
            <w:pPr>
              <w:jc w:val="center"/>
              <w:rPr>
                <w:rFonts w:ascii="Arial Narrow" w:hAnsi="Arial Narrow"/>
                <w:b/>
                <w:bCs/>
                <w:sz w:val="20"/>
                <w:szCs w:val="20"/>
                <w:vertAlign w:val="superscript"/>
              </w:rPr>
            </w:pPr>
            <w:r w:rsidRPr="00B36948">
              <w:rPr>
                <w:rFonts w:ascii="Arial Narrow" w:hAnsi="Arial Narrow"/>
                <w:b/>
                <w:bCs/>
                <w:sz w:val="20"/>
                <w:szCs w:val="20"/>
              </w:rPr>
              <w:t>$</w:t>
            </w:r>
            <w:r w:rsidR="00650CB8" w:rsidRPr="00650CB8">
              <w:rPr>
                <w:rFonts w:ascii="Arial Narrow" w:hAnsi="Arial Narrow"/>
                <w:b/>
                <w:bCs/>
                <w:color w:val="000000"/>
                <w:spacing w:val="58"/>
                <w:sz w:val="20"/>
                <w:szCs w:val="20"/>
                <w:shd w:val="solid" w:color="000000" w:fill="000000"/>
                <w:fitText w:val="360" w:id="-1435748340"/>
                <w14:textFill>
                  <w14:solidFill>
                    <w14:srgbClr w14:val="000000">
                      <w14:alpha w14:val="100000"/>
                    </w14:srgbClr>
                  </w14:solidFill>
                </w14:textFill>
              </w:rPr>
              <w:t>|||</w:t>
            </w:r>
            <w:r w:rsidR="00650CB8" w:rsidRPr="00650CB8">
              <w:rPr>
                <w:rFonts w:ascii="Arial Narrow" w:hAnsi="Arial Narrow"/>
                <w:b/>
                <w:bCs/>
                <w:color w:val="000000"/>
                <w:spacing w:val="3"/>
                <w:sz w:val="20"/>
                <w:szCs w:val="20"/>
                <w:shd w:val="solid" w:color="000000" w:fill="000000"/>
                <w:fitText w:val="360" w:id="-1435748340"/>
                <w14:textFill>
                  <w14:solidFill>
                    <w14:srgbClr w14:val="000000">
                      <w14:alpha w14:val="100000"/>
                    </w14:srgbClr>
                  </w14:solidFill>
                </w14:textFill>
              </w:rPr>
              <w:t>|</w:t>
            </w:r>
            <w:r w:rsidR="009B421F" w:rsidRPr="009B421F">
              <w:rPr>
                <w:rFonts w:ascii="Arial Narrow" w:hAnsi="Arial Narrow"/>
                <w:sz w:val="20"/>
                <w:szCs w:val="20"/>
                <w:vertAlign w:val="superscript"/>
              </w:rPr>
              <w:t>20</w:t>
            </w:r>
          </w:p>
        </w:tc>
      </w:tr>
      <w:tr w:rsidR="000F4B43" w:rsidRPr="00B36948" w14:paraId="378D8A47" w14:textId="77777777" w:rsidTr="000F4B43">
        <w:trPr>
          <w:cantSplit/>
        </w:trPr>
        <w:tc>
          <w:tcPr>
            <w:tcW w:w="5000" w:type="pct"/>
            <w:gridSpan w:val="7"/>
            <w:tcBorders>
              <w:left w:val="single" w:sz="4" w:space="0" w:color="auto"/>
              <w:right w:val="single" w:sz="4" w:space="0" w:color="auto"/>
            </w:tcBorders>
            <w:shd w:val="clear" w:color="auto" w:fill="auto"/>
            <w:vAlign w:val="center"/>
          </w:tcPr>
          <w:p w14:paraId="0F4A7C41" w14:textId="77777777" w:rsidR="000F4B43" w:rsidRPr="00B36948" w:rsidRDefault="000F4B43" w:rsidP="000F4B43">
            <w:pPr>
              <w:jc w:val="left"/>
              <w:rPr>
                <w:rFonts w:ascii="Arial Narrow" w:hAnsi="Arial Narrow"/>
                <w:b/>
                <w:sz w:val="20"/>
                <w:szCs w:val="20"/>
              </w:rPr>
            </w:pPr>
            <w:r w:rsidRPr="00B36948">
              <w:rPr>
                <w:rFonts w:ascii="Arial Narrow" w:hAnsi="Arial Narrow"/>
                <w:b/>
                <w:sz w:val="20"/>
                <w:szCs w:val="20"/>
              </w:rPr>
              <w:t>November 2019 DUSC re-analysis: LDL-C &gt;2.6 mmol/L</w:t>
            </w:r>
          </w:p>
        </w:tc>
      </w:tr>
      <w:tr w:rsidR="000F4B43" w:rsidRPr="00B36948" w14:paraId="3E0AC368" w14:textId="77777777" w:rsidTr="000F4B43">
        <w:trPr>
          <w:cantSplit/>
        </w:trPr>
        <w:tc>
          <w:tcPr>
            <w:tcW w:w="1196" w:type="pct"/>
            <w:tcBorders>
              <w:left w:val="single" w:sz="4" w:space="0" w:color="auto"/>
            </w:tcBorders>
            <w:shd w:val="clear" w:color="auto" w:fill="auto"/>
            <w:vAlign w:val="center"/>
          </w:tcPr>
          <w:p w14:paraId="4BFE9644" w14:textId="77777777" w:rsidR="000F4B43" w:rsidRPr="00B36948" w:rsidRDefault="000F4B43" w:rsidP="000F4B43">
            <w:pPr>
              <w:jc w:val="left"/>
              <w:rPr>
                <w:rFonts w:ascii="Arial Narrow" w:hAnsi="Arial Narrow"/>
                <w:bCs/>
                <w:sz w:val="20"/>
                <w:szCs w:val="20"/>
                <w:vertAlign w:val="superscript"/>
              </w:rPr>
            </w:pPr>
            <w:r w:rsidRPr="00B36948">
              <w:rPr>
                <w:rFonts w:ascii="Arial Narrow" w:hAnsi="Arial Narrow"/>
                <w:sz w:val="20"/>
                <w:szCs w:val="20"/>
              </w:rPr>
              <w:t xml:space="preserve">Eligible patients </w:t>
            </w:r>
            <w:r w:rsidRPr="00B36948">
              <w:rPr>
                <w:rFonts w:ascii="Arial Narrow" w:hAnsi="Arial Narrow"/>
                <w:sz w:val="20"/>
                <w:szCs w:val="20"/>
                <w:vertAlign w:val="superscript"/>
              </w:rPr>
              <w:t>1</w:t>
            </w:r>
          </w:p>
        </w:tc>
        <w:tc>
          <w:tcPr>
            <w:tcW w:w="634" w:type="pct"/>
            <w:tcBorders>
              <w:top w:val="single" w:sz="4" w:space="0" w:color="auto"/>
              <w:left w:val="nil"/>
              <w:bottom w:val="single" w:sz="4" w:space="0" w:color="auto"/>
              <w:right w:val="single" w:sz="4" w:space="0" w:color="auto"/>
            </w:tcBorders>
            <w:shd w:val="clear" w:color="auto" w:fill="auto"/>
            <w:vAlign w:val="center"/>
          </w:tcPr>
          <w:p w14:paraId="00D78BB1" w14:textId="406A0658"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339"/>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339"/>
                <w14:textFill>
                  <w14:solidFill>
                    <w14:srgbClr w14:val="000000">
                      <w14:alpha w14:val="100000"/>
                    </w14:srgbClr>
                  </w14:solidFill>
                </w14:textFill>
              </w:rPr>
              <w:t>|</w:t>
            </w:r>
            <w:r w:rsidR="009B421F" w:rsidRPr="009B421F">
              <w:rPr>
                <w:rFonts w:ascii="Arial Narrow" w:hAnsi="Arial Narrow"/>
                <w:sz w:val="20"/>
                <w:szCs w:val="20"/>
                <w:vertAlign w:val="superscript"/>
              </w:rPr>
              <w:t>1</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6816C8BC" w14:textId="574F5D7F"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338"/>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338"/>
                <w14:textFill>
                  <w14:solidFill>
                    <w14:srgbClr w14:val="000000">
                      <w14:alpha w14:val="100000"/>
                    </w14:srgbClr>
                  </w14:solidFill>
                </w14:textFill>
              </w:rPr>
              <w:t>|</w:t>
            </w:r>
            <w:r w:rsidR="009B421F" w:rsidRPr="009B421F">
              <w:rPr>
                <w:rFonts w:ascii="Arial Narrow" w:hAnsi="Arial Narrow"/>
                <w:sz w:val="20"/>
                <w:szCs w:val="20"/>
                <w:vertAlign w:val="superscript"/>
              </w:rPr>
              <w:t>1</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4D1FC06B" w14:textId="758559A5"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337"/>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337"/>
                <w14:textFill>
                  <w14:solidFill>
                    <w14:srgbClr w14:val="000000">
                      <w14:alpha w14:val="100000"/>
                    </w14:srgbClr>
                  </w14:solidFill>
                </w14:textFill>
              </w:rPr>
              <w:t>|</w:t>
            </w:r>
            <w:r w:rsidR="009B421F" w:rsidRPr="009B421F">
              <w:rPr>
                <w:rFonts w:ascii="Arial Narrow" w:hAnsi="Arial Narrow"/>
                <w:sz w:val="20"/>
                <w:szCs w:val="20"/>
                <w:vertAlign w:val="superscript"/>
              </w:rPr>
              <w:t>1</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5625B24B" w14:textId="191B97E7"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336"/>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336"/>
                <w14:textFill>
                  <w14:solidFill>
                    <w14:srgbClr w14:val="000000">
                      <w14:alpha w14:val="100000"/>
                    </w14:srgbClr>
                  </w14:solidFill>
                </w14:textFill>
              </w:rPr>
              <w:t>|</w:t>
            </w:r>
            <w:r w:rsidR="009B421F" w:rsidRPr="009B421F">
              <w:rPr>
                <w:rFonts w:ascii="Arial Narrow" w:hAnsi="Arial Narrow"/>
                <w:sz w:val="20"/>
                <w:szCs w:val="20"/>
                <w:vertAlign w:val="superscript"/>
              </w:rPr>
              <w:t>1</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7F35D6E3" w14:textId="5B92252C"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352"/>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352"/>
                <w14:textFill>
                  <w14:solidFill>
                    <w14:srgbClr w14:val="000000">
                      <w14:alpha w14:val="100000"/>
                    </w14:srgbClr>
                  </w14:solidFill>
                </w14:textFill>
              </w:rPr>
              <w:t>|</w:t>
            </w:r>
            <w:r w:rsidR="009B421F" w:rsidRPr="009B421F">
              <w:rPr>
                <w:rFonts w:ascii="Arial Narrow" w:hAnsi="Arial Narrow"/>
                <w:sz w:val="20"/>
                <w:szCs w:val="20"/>
                <w:vertAlign w:val="superscript"/>
              </w:rPr>
              <w:t>1</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4F81B508" w14:textId="0BDEC064"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351"/>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351"/>
                <w14:textFill>
                  <w14:solidFill>
                    <w14:srgbClr w14:val="000000">
                      <w14:alpha w14:val="100000"/>
                    </w14:srgbClr>
                  </w14:solidFill>
                </w14:textFill>
              </w:rPr>
              <w:t>|</w:t>
            </w:r>
            <w:r w:rsidR="009B421F" w:rsidRPr="009B421F">
              <w:rPr>
                <w:rFonts w:ascii="Arial Narrow" w:hAnsi="Arial Narrow"/>
                <w:sz w:val="20"/>
                <w:szCs w:val="20"/>
                <w:vertAlign w:val="superscript"/>
              </w:rPr>
              <w:t>1</w:t>
            </w:r>
          </w:p>
        </w:tc>
      </w:tr>
      <w:tr w:rsidR="000F4B43" w:rsidRPr="00B36948" w14:paraId="16C27173" w14:textId="77777777" w:rsidTr="000F4B43">
        <w:trPr>
          <w:cantSplit/>
        </w:trPr>
        <w:tc>
          <w:tcPr>
            <w:tcW w:w="1196" w:type="pct"/>
            <w:tcBorders>
              <w:left w:val="single" w:sz="4" w:space="0" w:color="auto"/>
            </w:tcBorders>
            <w:shd w:val="clear" w:color="auto" w:fill="auto"/>
            <w:vAlign w:val="center"/>
          </w:tcPr>
          <w:p w14:paraId="3DF73BE8" w14:textId="77777777" w:rsidR="000F4B43" w:rsidRPr="00B36948" w:rsidRDefault="000F4B43" w:rsidP="000F4B43">
            <w:pPr>
              <w:jc w:val="left"/>
              <w:rPr>
                <w:rFonts w:ascii="Arial Narrow" w:hAnsi="Arial Narrow"/>
                <w:bCs/>
                <w:sz w:val="20"/>
                <w:szCs w:val="20"/>
              </w:rPr>
            </w:pPr>
            <w:r w:rsidRPr="00B36948">
              <w:rPr>
                <w:rFonts w:ascii="Arial Narrow" w:hAnsi="Arial Narrow"/>
                <w:sz w:val="20"/>
                <w:szCs w:val="20"/>
              </w:rPr>
              <w:t>Treated patients</w:t>
            </w:r>
          </w:p>
        </w:tc>
        <w:tc>
          <w:tcPr>
            <w:tcW w:w="634" w:type="pct"/>
            <w:tcBorders>
              <w:top w:val="single" w:sz="4" w:space="0" w:color="auto"/>
              <w:left w:val="nil"/>
              <w:bottom w:val="single" w:sz="4" w:space="0" w:color="auto"/>
              <w:right w:val="single" w:sz="4" w:space="0" w:color="auto"/>
            </w:tcBorders>
            <w:shd w:val="clear" w:color="auto" w:fill="auto"/>
            <w:vAlign w:val="center"/>
          </w:tcPr>
          <w:p w14:paraId="50C205ED" w14:textId="686D7ADD"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350"/>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350"/>
                <w14:textFill>
                  <w14:solidFill>
                    <w14:srgbClr w14:val="000000">
                      <w14:alpha w14:val="100000"/>
                    </w14:srgbClr>
                  </w14:solidFill>
                </w14:textFill>
              </w:rPr>
              <w:t>|</w:t>
            </w:r>
            <w:r w:rsidR="009B421F">
              <w:rPr>
                <w:rFonts w:ascii="Arial Narrow" w:hAnsi="Arial Narrow"/>
                <w:sz w:val="20"/>
                <w:szCs w:val="20"/>
                <w:vertAlign w:val="superscript"/>
              </w:rPr>
              <w:t>4</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3E6A3C59" w14:textId="7431C87A"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349"/>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349"/>
                <w14:textFill>
                  <w14:solidFill>
                    <w14:srgbClr w14:val="000000">
                      <w14:alpha w14:val="100000"/>
                    </w14:srgbClr>
                  </w14:solidFill>
                </w14:textFill>
              </w:rPr>
              <w:t>|</w:t>
            </w:r>
            <w:r w:rsidR="009B421F">
              <w:rPr>
                <w:rFonts w:ascii="Arial Narrow" w:hAnsi="Arial Narrow"/>
                <w:sz w:val="20"/>
                <w:szCs w:val="20"/>
                <w:vertAlign w:val="superscript"/>
              </w:rPr>
              <w:t>5</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0C9A07B7" w14:textId="3757E0E5"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348"/>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348"/>
                <w14:textFill>
                  <w14:solidFill>
                    <w14:srgbClr w14:val="000000">
                      <w14:alpha w14:val="100000"/>
                    </w14:srgbClr>
                  </w14:solidFill>
                </w14:textFill>
              </w:rPr>
              <w:t>|</w:t>
            </w:r>
            <w:r w:rsidR="009B421F">
              <w:rPr>
                <w:rFonts w:ascii="Arial Narrow" w:hAnsi="Arial Narrow"/>
                <w:sz w:val="20"/>
                <w:szCs w:val="20"/>
                <w:vertAlign w:val="superscript"/>
              </w:rPr>
              <w:t>5</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0C26A1BE" w14:textId="436E9A09"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59"/>
                <w:sz w:val="20"/>
                <w:szCs w:val="20"/>
                <w:shd w:val="solid" w:color="000000" w:fill="000000"/>
                <w:fitText w:val="350" w:id="-1435748347"/>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50" w:id="-1435748347"/>
                <w14:textFill>
                  <w14:solidFill>
                    <w14:srgbClr w14:val="000000">
                      <w14:alpha w14:val="100000"/>
                    </w14:srgbClr>
                  </w14:solidFill>
                </w14:textFill>
              </w:rPr>
              <w:t>|</w:t>
            </w:r>
            <w:r w:rsidR="009B421F">
              <w:rPr>
                <w:rFonts w:ascii="Arial Narrow" w:hAnsi="Arial Narrow"/>
                <w:sz w:val="20"/>
                <w:szCs w:val="20"/>
                <w:vertAlign w:val="superscript"/>
              </w:rPr>
              <w:t>12</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4117BA95" w14:textId="216ED762"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59"/>
                <w:sz w:val="20"/>
                <w:szCs w:val="20"/>
                <w:shd w:val="solid" w:color="000000" w:fill="000000"/>
                <w:fitText w:val="350" w:id="-1435748346"/>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50" w:id="-1435748346"/>
                <w14:textFill>
                  <w14:solidFill>
                    <w14:srgbClr w14:val="000000">
                      <w14:alpha w14:val="100000"/>
                    </w14:srgbClr>
                  </w14:solidFill>
                </w14:textFill>
              </w:rPr>
              <w:t>|</w:t>
            </w:r>
            <w:r w:rsidR="009B421F">
              <w:rPr>
                <w:rFonts w:ascii="Arial Narrow" w:hAnsi="Arial Narrow"/>
                <w:sz w:val="20"/>
                <w:szCs w:val="20"/>
                <w:vertAlign w:val="superscript"/>
              </w:rPr>
              <w:t>12</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465DC7AF" w14:textId="72275981"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59"/>
                <w:sz w:val="20"/>
                <w:szCs w:val="20"/>
                <w:shd w:val="solid" w:color="000000" w:fill="000000"/>
                <w:fitText w:val="350" w:id="-1435748345"/>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50" w:id="-1435748345"/>
                <w14:textFill>
                  <w14:solidFill>
                    <w14:srgbClr w14:val="000000">
                      <w14:alpha w14:val="100000"/>
                    </w14:srgbClr>
                  </w14:solidFill>
                </w14:textFill>
              </w:rPr>
              <w:t>|</w:t>
            </w:r>
            <w:r w:rsidR="009B421F">
              <w:rPr>
                <w:rFonts w:ascii="Arial Narrow" w:hAnsi="Arial Narrow"/>
                <w:sz w:val="20"/>
                <w:szCs w:val="20"/>
                <w:vertAlign w:val="superscript"/>
              </w:rPr>
              <w:t>12</w:t>
            </w:r>
          </w:p>
        </w:tc>
      </w:tr>
      <w:tr w:rsidR="000F4B43" w:rsidRPr="00B36948" w14:paraId="12F795E4" w14:textId="77777777" w:rsidTr="000F4B43">
        <w:trPr>
          <w:cantSplit/>
        </w:trPr>
        <w:tc>
          <w:tcPr>
            <w:tcW w:w="1196" w:type="pct"/>
            <w:tcBorders>
              <w:left w:val="single" w:sz="4" w:space="0" w:color="auto"/>
            </w:tcBorders>
            <w:shd w:val="clear" w:color="auto" w:fill="auto"/>
            <w:vAlign w:val="center"/>
          </w:tcPr>
          <w:p w14:paraId="3C86F955" w14:textId="77777777" w:rsidR="000F4B43" w:rsidRPr="00B36948" w:rsidRDefault="000F4B43" w:rsidP="000F4B43">
            <w:pPr>
              <w:jc w:val="left"/>
              <w:rPr>
                <w:rFonts w:ascii="Arial Narrow" w:hAnsi="Arial Narrow"/>
                <w:sz w:val="20"/>
                <w:szCs w:val="20"/>
              </w:rPr>
            </w:pPr>
            <w:r w:rsidRPr="00B36948">
              <w:rPr>
                <w:rFonts w:ascii="Arial Narrow" w:hAnsi="Arial Narrow"/>
                <w:sz w:val="20"/>
                <w:szCs w:val="20"/>
              </w:rPr>
              <w:t>Number of scripts</w:t>
            </w:r>
          </w:p>
        </w:tc>
        <w:tc>
          <w:tcPr>
            <w:tcW w:w="634" w:type="pct"/>
            <w:tcBorders>
              <w:top w:val="single" w:sz="4" w:space="0" w:color="auto"/>
            </w:tcBorders>
            <w:shd w:val="clear" w:color="auto" w:fill="auto"/>
            <w:vAlign w:val="center"/>
          </w:tcPr>
          <w:p w14:paraId="21180055" w14:textId="5EA7AC47"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344"/>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344"/>
                <w14:textFill>
                  <w14:solidFill>
                    <w14:srgbClr w14:val="000000">
                      <w14:alpha w14:val="100000"/>
                    </w14:srgbClr>
                  </w14:solidFill>
                </w14:textFill>
              </w:rPr>
              <w:t>|</w:t>
            </w:r>
            <w:r w:rsidR="009B421F" w:rsidRPr="009B421F">
              <w:rPr>
                <w:rFonts w:ascii="Arial Narrow" w:hAnsi="Arial Narrow"/>
                <w:sz w:val="20"/>
                <w:szCs w:val="20"/>
                <w:vertAlign w:val="superscript"/>
              </w:rPr>
              <w:t>6</w:t>
            </w:r>
          </w:p>
        </w:tc>
        <w:tc>
          <w:tcPr>
            <w:tcW w:w="634" w:type="pct"/>
            <w:tcBorders>
              <w:top w:val="single" w:sz="4" w:space="0" w:color="auto"/>
            </w:tcBorders>
            <w:shd w:val="clear" w:color="auto" w:fill="auto"/>
            <w:vAlign w:val="center"/>
          </w:tcPr>
          <w:p w14:paraId="30D1772D" w14:textId="1C68E9D8"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343"/>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343"/>
                <w14:textFill>
                  <w14:solidFill>
                    <w14:srgbClr w14:val="000000">
                      <w14:alpha w14:val="100000"/>
                    </w14:srgbClr>
                  </w14:solidFill>
                </w14:textFill>
              </w:rPr>
              <w:t>|</w:t>
            </w:r>
            <w:r w:rsidR="009B421F">
              <w:rPr>
                <w:rFonts w:ascii="Arial Narrow" w:hAnsi="Arial Narrow"/>
                <w:sz w:val="20"/>
                <w:szCs w:val="20"/>
                <w:vertAlign w:val="superscript"/>
              </w:rPr>
              <w:t>7</w:t>
            </w:r>
          </w:p>
        </w:tc>
        <w:tc>
          <w:tcPr>
            <w:tcW w:w="634" w:type="pct"/>
            <w:tcBorders>
              <w:top w:val="single" w:sz="4" w:space="0" w:color="auto"/>
            </w:tcBorders>
            <w:shd w:val="clear" w:color="auto" w:fill="auto"/>
            <w:vAlign w:val="center"/>
          </w:tcPr>
          <w:p w14:paraId="6ED5B8F6" w14:textId="23D86919"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342"/>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342"/>
                <w14:textFill>
                  <w14:solidFill>
                    <w14:srgbClr w14:val="000000">
                      <w14:alpha w14:val="100000"/>
                    </w14:srgbClr>
                  </w14:solidFill>
                </w14:textFill>
              </w:rPr>
              <w:t>|</w:t>
            </w:r>
            <w:r w:rsidR="009B421F">
              <w:rPr>
                <w:rFonts w:ascii="Arial Narrow" w:hAnsi="Arial Narrow"/>
                <w:sz w:val="20"/>
                <w:szCs w:val="20"/>
                <w:vertAlign w:val="superscript"/>
              </w:rPr>
              <w:t>7</w:t>
            </w:r>
          </w:p>
        </w:tc>
        <w:tc>
          <w:tcPr>
            <w:tcW w:w="634" w:type="pct"/>
            <w:tcBorders>
              <w:top w:val="single" w:sz="4" w:space="0" w:color="auto"/>
            </w:tcBorders>
            <w:shd w:val="clear" w:color="auto" w:fill="auto"/>
            <w:vAlign w:val="center"/>
          </w:tcPr>
          <w:p w14:paraId="18259760" w14:textId="6905D66E"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59"/>
                <w:sz w:val="20"/>
                <w:szCs w:val="20"/>
                <w:shd w:val="solid" w:color="000000" w:fill="000000"/>
                <w:fitText w:val="350" w:id="-1435748341"/>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50" w:id="-1435748341"/>
                <w14:textFill>
                  <w14:solidFill>
                    <w14:srgbClr w14:val="000000">
                      <w14:alpha w14:val="100000"/>
                    </w14:srgbClr>
                  </w14:solidFill>
                </w14:textFill>
              </w:rPr>
              <w:t>|</w:t>
            </w:r>
            <w:r w:rsidR="009B421F">
              <w:rPr>
                <w:rFonts w:ascii="Arial Narrow" w:hAnsi="Arial Narrow"/>
                <w:sz w:val="20"/>
                <w:szCs w:val="20"/>
                <w:vertAlign w:val="superscript"/>
              </w:rPr>
              <w:t>13</w:t>
            </w:r>
          </w:p>
        </w:tc>
        <w:tc>
          <w:tcPr>
            <w:tcW w:w="634" w:type="pct"/>
            <w:tcBorders>
              <w:top w:val="single" w:sz="4" w:space="0" w:color="auto"/>
              <w:right w:val="single" w:sz="4" w:space="0" w:color="auto"/>
            </w:tcBorders>
            <w:shd w:val="clear" w:color="auto" w:fill="auto"/>
            <w:vAlign w:val="center"/>
          </w:tcPr>
          <w:p w14:paraId="752D07D4" w14:textId="028A1DD9"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59"/>
                <w:sz w:val="20"/>
                <w:szCs w:val="20"/>
                <w:shd w:val="solid" w:color="000000" w:fill="000000"/>
                <w:fitText w:val="350" w:id="-1435748340"/>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50" w:id="-1435748340"/>
                <w14:textFill>
                  <w14:solidFill>
                    <w14:srgbClr w14:val="000000">
                      <w14:alpha w14:val="100000"/>
                    </w14:srgbClr>
                  </w14:solidFill>
                </w14:textFill>
              </w:rPr>
              <w:t>|</w:t>
            </w:r>
            <w:r w:rsidR="009B421F">
              <w:rPr>
                <w:rFonts w:ascii="Arial Narrow" w:hAnsi="Arial Narrow"/>
                <w:sz w:val="20"/>
                <w:szCs w:val="20"/>
                <w:vertAlign w:val="superscript"/>
              </w:rPr>
              <w:t>13</w:t>
            </w:r>
          </w:p>
        </w:tc>
        <w:tc>
          <w:tcPr>
            <w:tcW w:w="634" w:type="pct"/>
            <w:tcBorders>
              <w:top w:val="single" w:sz="4" w:space="0" w:color="auto"/>
              <w:right w:val="single" w:sz="4" w:space="0" w:color="auto"/>
            </w:tcBorders>
            <w:vAlign w:val="center"/>
          </w:tcPr>
          <w:p w14:paraId="5B923491" w14:textId="1CBEA062" w:rsidR="000F4B43" w:rsidRPr="00E453D0" w:rsidRDefault="00650CB8" w:rsidP="000F4B43">
            <w:pPr>
              <w:jc w:val="center"/>
              <w:rPr>
                <w:rFonts w:ascii="Arial Narrow" w:hAnsi="Arial Narrow"/>
                <w:sz w:val="20"/>
                <w:szCs w:val="20"/>
                <w:highlight w:val="darkGray"/>
              </w:rPr>
            </w:pPr>
            <w:r w:rsidRPr="00650CB8">
              <w:rPr>
                <w:rFonts w:ascii="Arial Narrow" w:hAnsi="Arial Narrow"/>
                <w:color w:val="000000"/>
                <w:spacing w:val="59"/>
                <w:sz w:val="20"/>
                <w:szCs w:val="20"/>
                <w:shd w:val="solid" w:color="000000" w:fill="000000"/>
                <w:fitText w:val="350" w:id="-1435748339"/>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50" w:id="-1435748339"/>
                <w14:textFill>
                  <w14:solidFill>
                    <w14:srgbClr w14:val="000000">
                      <w14:alpha w14:val="100000"/>
                    </w14:srgbClr>
                  </w14:solidFill>
                </w14:textFill>
              </w:rPr>
              <w:t>|</w:t>
            </w:r>
            <w:r w:rsidR="009B421F">
              <w:rPr>
                <w:rFonts w:ascii="Arial Narrow" w:hAnsi="Arial Narrow"/>
                <w:sz w:val="20"/>
                <w:szCs w:val="20"/>
                <w:vertAlign w:val="superscript"/>
              </w:rPr>
              <w:t>13</w:t>
            </w:r>
          </w:p>
        </w:tc>
      </w:tr>
      <w:tr w:rsidR="000F4B43" w:rsidRPr="00B36948" w14:paraId="5983B00F" w14:textId="77777777" w:rsidTr="000F4B43">
        <w:trPr>
          <w:cantSplit/>
        </w:trPr>
        <w:tc>
          <w:tcPr>
            <w:tcW w:w="1196" w:type="pct"/>
            <w:tcBorders>
              <w:left w:val="single" w:sz="4" w:space="0" w:color="auto"/>
              <w:bottom w:val="single" w:sz="4" w:space="0" w:color="auto"/>
            </w:tcBorders>
            <w:shd w:val="clear" w:color="auto" w:fill="auto"/>
            <w:vAlign w:val="center"/>
          </w:tcPr>
          <w:p w14:paraId="3F3DFEEE" w14:textId="77777777" w:rsidR="000F4B43" w:rsidRPr="00B36948" w:rsidRDefault="000F4B43" w:rsidP="000F4B43">
            <w:pPr>
              <w:jc w:val="left"/>
              <w:rPr>
                <w:rFonts w:ascii="Arial Narrow" w:hAnsi="Arial Narrow"/>
                <w:bCs/>
                <w:sz w:val="20"/>
                <w:szCs w:val="20"/>
              </w:rPr>
            </w:pPr>
            <w:r w:rsidRPr="00B36948">
              <w:rPr>
                <w:rFonts w:ascii="Arial Narrow" w:hAnsi="Arial Narrow"/>
                <w:b/>
                <w:sz w:val="20"/>
                <w:szCs w:val="20"/>
              </w:rPr>
              <w:t>Total cost less copayment</w:t>
            </w:r>
          </w:p>
        </w:tc>
        <w:tc>
          <w:tcPr>
            <w:tcW w:w="634" w:type="pct"/>
            <w:shd w:val="clear" w:color="auto" w:fill="auto"/>
            <w:vAlign w:val="bottom"/>
          </w:tcPr>
          <w:p w14:paraId="4869C5A7" w14:textId="423143C9" w:rsidR="000F4B43" w:rsidRPr="00B36948" w:rsidRDefault="000F4B43" w:rsidP="000F4B43">
            <w:pPr>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48"/>
                <w:sz w:val="20"/>
                <w:szCs w:val="20"/>
                <w:shd w:val="solid" w:color="000000" w:fill="000000"/>
                <w:fitText w:val="330" w:id="-1435748338"/>
                <w14:textFill>
                  <w14:solidFill>
                    <w14:srgbClr w14:val="000000">
                      <w14:alpha w14:val="100000"/>
                    </w14:srgbClr>
                  </w14:solidFill>
                </w14:textFill>
              </w:rPr>
              <w:t>|||</w:t>
            </w:r>
            <w:r w:rsidR="00650CB8" w:rsidRPr="00650CB8">
              <w:rPr>
                <w:rFonts w:ascii="Arial Narrow" w:hAnsi="Arial Narrow"/>
                <w:b/>
                <w:bCs/>
                <w:color w:val="000000"/>
                <w:spacing w:val="3"/>
                <w:sz w:val="20"/>
                <w:szCs w:val="20"/>
                <w:shd w:val="solid" w:color="000000" w:fill="000000"/>
                <w:fitText w:val="330" w:id="-1435748338"/>
                <w14:textFill>
                  <w14:solidFill>
                    <w14:srgbClr w14:val="000000">
                      <w14:alpha w14:val="100000"/>
                    </w14:srgbClr>
                  </w14:solidFill>
                </w14:textFill>
              </w:rPr>
              <w:t>|</w:t>
            </w:r>
            <w:r w:rsidR="009B421F">
              <w:rPr>
                <w:rFonts w:ascii="Arial Narrow" w:hAnsi="Arial Narrow"/>
                <w:sz w:val="20"/>
                <w:szCs w:val="20"/>
                <w:vertAlign w:val="superscript"/>
              </w:rPr>
              <w:t>9</w:t>
            </w:r>
          </w:p>
        </w:tc>
        <w:tc>
          <w:tcPr>
            <w:tcW w:w="634" w:type="pct"/>
            <w:shd w:val="clear" w:color="auto" w:fill="auto"/>
            <w:vAlign w:val="bottom"/>
          </w:tcPr>
          <w:p w14:paraId="1CD085AA" w14:textId="02EB077D" w:rsidR="000F4B43" w:rsidRPr="00B36948" w:rsidRDefault="000F4B43" w:rsidP="000F4B43">
            <w:pPr>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58"/>
                <w:sz w:val="20"/>
                <w:szCs w:val="20"/>
                <w:shd w:val="solid" w:color="000000" w:fill="000000"/>
                <w:fitText w:val="360" w:id="-1435748337"/>
                <w14:textFill>
                  <w14:solidFill>
                    <w14:srgbClr w14:val="000000">
                      <w14:alpha w14:val="100000"/>
                    </w14:srgbClr>
                  </w14:solidFill>
                </w14:textFill>
              </w:rPr>
              <w:t>|||</w:t>
            </w:r>
            <w:r w:rsidR="00650CB8" w:rsidRPr="00650CB8">
              <w:rPr>
                <w:rFonts w:ascii="Arial Narrow" w:hAnsi="Arial Narrow"/>
                <w:b/>
                <w:bCs/>
                <w:color w:val="000000"/>
                <w:spacing w:val="3"/>
                <w:sz w:val="20"/>
                <w:szCs w:val="20"/>
                <w:shd w:val="solid" w:color="000000" w:fill="000000"/>
                <w:fitText w:val="360" w:id="-1435748337"/>
                <w14:textFill>
                  <w14:solidFill>
                    <w14:srgbClr w14:val="000000">
                      <w14:alpha w14:val="100000"/>
                    </w14:srgbClr>
                  </w14:solidFill>
                </w14:textFill>
              </w:rPr>
              <w:t>|</w:t>
            </w:r>
            <w:r w:rsidR="009B421F">
              <w:rPr>
                <w:rFonts w:ascii="Arial Narrow" w:hAnsi="Arial Narrow"/>
                <w:sz w:val="20"/>
                <w:szCs w:val="20"/>
                <w:vertAlign w:val="superscript"/>
              </w:rPr>
              <w:t>16</w:t>
            </w:r>
          </w:p>
        </w:tc>
        <w:tc>
          <w:tcPr>
            <w:tcW w:w="634" w:type="pct"/>
            <w:shd w:val="clear" w:color="auto" w:fill="auto"/>
            <w:vAlign w:val="bottom"/>
          </w:tcPr>
          <w:p w14:paraId="06A4971D" w14:textId="1977A295" w:rsidR="000F4B43" w:rsidRPr="00B36948" w:rsidRDefault="000F4B43" w:rsidP="000F4B43">
            <w:pPr>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58"/>
                <w:sz w:val="20"/>
                <w:szCs w:val="20"/>
                <w:shd w:val="solid" w:color="000000" w:fill="000000"/>
                <w:fitText w:val="360" w:id="-1435748336"/>
                <w14:textFill>
                  <w14:solidFill>
                    <w14:srgbClr w14:val="000000">
                      <w14:alpha w14:val="100000"/>
                    </w14:srgbClr>
                  </w14:solidFill>
                </w14:textFill>
              </w:rPr>
              <w:t>|||</w:t>
            </w:r>
            <w:r w:rsidR="00650CB8" w:rsidRPr="00650CB8">
              <w:rPr>
                <w:rFonts w:ascii="Arial Narrow" w:hAnsi="Arial Narrow"/>
                <w:b/>
                <w:bCs/>
                <w:color w:val="000000"/>
                <w:spacing w:val="3"/>
                <w:sz w:val="20"/>
                <w:szCs w:val="20"/>
                <w:shd w:val="solid" w:color="000000" w:fill="000000"/>
                <w:fitText w:val="360" w:id="-1435748336"/>
                <w14:textFill>
                  <w14:solidFill>
                    <w14:srgbClr w14:val="000000">
                      <w14:alpha w14:val="100000"/>
                    </w14:srgbClr>
                  </w14:solidFill>
                </w14:textFill>
              </w:rPr>
              <w:t>|</w:t>
            </w:r>
            <w:r w:rsidR="004568A9" w:rsidRPr="009B421F">
              <w:rPr>
                <w:rFonts w:ascii="Arial Narrow" w:hAnsi="Arial Narrow"/>
                <w:sz w:val="20"/>
                <w:szCs w:val="20"/>
                <w:vertAlign w:val="superscript"/>
              </w:rPr>
              <w:t>17</w:t>
            </w:r>
          </w:p>
        </w:tc>
        <w:tc>
          <w:tcPr>
            <w:tcW w:w="634" w:type="pct"/>
            <w:shd w:val="clear" w:color="auto" w:fill="auto"/>
            <w:vAlign w:val="bottom"/>
          </w:tcPr>
          <w:p w14:paraId="7345EA88" w14:textId="2CDCF908" w:rsidR="000F4B43" w:rsidRPr="00B36948" w:rsidRDefault="000F4B43" w:rsidP="000F4B43">
            <w:pPr>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58"/>
                <w:sz w:val="20"/>
                <w:szCs w:val="20"/>
                <w:shd w:val="solid" w:color="000000" w:fill="000000"/>
                <w:fitText w:val="360" w:id="-1435748352"/>
                <w14:textFill>
                  <w14:solidFill>
                    <w14:srgbClr w14:val="000000">
                      <w14:alpha w14:val="100000"/>
                    </w14:srgbClr>
                  </w14:solidFill>
                </w14:textFill>
              </w:rPr>
              <w:t>|||</w:t>
            </w:r>
            <w:r w:rsidR="00650CB8" w:rsidRPr="00650CB8">
              <w:rPr>
                <w:rFonts w:ascii="Arial Narrow" w:hAnsi="Arial Narrow"/>
                <w:b/>
                <w:bCs/>
                <w:color w:val="000000"/>
                <w:spacing w:val="3"/>
                <w:sz w:val="20"/>
                <w:szCs w:val="20"/>
                <w:shd w:val="solid" w:color="000000" w:fill="000000"/>
                <w:fitText w:val="360" w:id="-1435748352"/>
                <w14:textFill>
                  <w14:solidFill>
                    <w14:srgbClr w14:val="000000">
                      <w14:alpha w14:val="100000"/>
                    </w14:srgbClr>
                  </w14:solidFill>
                </w14:textFill>
              </w:rPr>
              <w:t>|</w:t>
            </w:r>
            <w:r w:rsidR="004568A9">
              <w:rPr>
                <w:rFonts w:ascii="Arial Narrow" w:hAnsi="Arial Narrow"/>
                <w:sz w:val="20"/>
                <w:szCs w:val="20"/>
                <w:vertAlign w:val="superscript"/>
              </w:rPr>
              <w:t>21</w:t>
            </w:r>
          </w:p>
        </w:tc>
        <w:tc>
          <w:tcPr>
            <w:tcW w:w="634" w:type="pct"/>
            <w:tcBorders>
              <w:right w:val="single" w:sz="4" w:space="0" w:color="auto"/>
            </w:tcBorders>
            <w:shd w:val="clear" w:color="auto" w:fill="auto"/>
            <w:vAlign w:val="bottom"/>
          </w:tcPr>
          <w:p w14:paraId="5C4349AF" w14:textId="680E3CBA" w:rsidR="000F4B43" w:rsidRPr="004568A9" w:rsidRDefault="000F4B43" w:rsidP="000F4B43">
            <w:pPr>
              <w:jc w:val="center"/>
              <w:rPr>
                <w:rFonts w:ascii="Arial Narrow" w:hAnsi="Arial Narrow"/>
                <w:b/>
                <w:bCs/>
                <w:sz w:val="20"/>
                <w:szCs w:val="20"/>
                <w:vertAlign w:val="superscript"/>
              </w:rPr>
            </w:pPr>
            <w:r w:rsidRPr="00B36948">
              <w:rPr>
                <w:rFonts w:ascii="Arial Narrow" w:hAnsi="Arial Narrow"/>
                <w:b/>
                <w:bCs/>
                <w:sz w:val="20"/>
                <w:szCs w:val="20"/>
              </w:rPr>
              <w:t>$</w:t>
            </w:r>
            <w:r w:rsidR="00650CB8" w:rsidRPr="00650CB8">
              <w:rPr>
                <w:rFonts w:ascii="Arial Narrow" w:hAnsi="Arial Narrow"/>
                <w:b/>
                <w:bCs/>
                <w:color w:val="000000"/>
                <w:spacing w:val="58"/>
                <w:sz w:val="20"/>
                <w:szCs w:val="20"/>
                <w:shd w:val="solid" w:color="000000" w:fill="000000"/>
                <w:fitText w:val="360" w:id="-1435748351"/>
                <w14:textFill>
                  <w14:solidFill>
                    <w14:srgbClr w14:val="000000">
                      <w14:alpha w14:val="100000"/>
                    </w14:srgbClr>
                  </w14:solidFill>
                </w14:textFill>
              </w:rPr>
              <w:t>|||</w:t>
            </w:r>
            <w:r w:rsidR="00650CB8" w:rsidRPr="00650CB8">
              <w:rPr>
                <w:rFonts w:ascii="Arial Narrow" w:hAnsi="Arial Narrow"/>
                <w:b/>
                <w:bCs/>
                <w:color w:val="000000"/>
                <w:spacing w:val="3"/>
                <w:sz w:val="20"/>
                <w:szCs w:val="20"/>
                <w:shd w:val="solid" w:color="000000" w:fill="000000"/>
                <w:fitText w:val="360" w:id="-1435748351"/>
                <w14:textFill>
                  <w14:solidFill>
                    <w14:srgbClr w14:val="000000">
                      <w14:alpha w14:val="100000"/>
                    </w14:srgbClr>
                  </w14:solidFill>
                </w14:textFill>
              </w:rPr>
              <w:t>|</w:t>
            </w:r>
            <w:r w:rsidR="004568A9" w:rsidRPr="004568A9">
              <w:rPr>
                <w:rFonts w:ascii="Arial Narrow" w:hAnsi="Arial Narrow"/>
                <w:sz w:val="20"/>
                <w:szCs w:val="20"/>
                <w:vertAlign w:val="superscript"/>
              </w:rPr>
              <w:t>18</w:t>
            </w:r>
          </w:p>
        </w:tc>
        <w:tc>
          <w:tcPr>
            <w:tcW w:w="634" w:type="pct"/>
            <w:tcBorders>
              <w:right w:val="single" w:sz="4" w:space="0" w:color="auto"/>
            </w:tcBorders>
            <w:vAlign w:val="bottom"/>
          </w:tcPr>
          <w:p w14:paraId="1C6E962B" w14:textId="4B96F353" w:rsidR="000F4B43" w:rsidRPr="004568A9" w:rsidRDefault="000F4B43" w:rsidP="000F4B43">
            <w:pPr>
              <w:jc w:val="center"/>
              <w:rPr>
                <w:rFonts w:ascii="Arial Narrow" w:hAnsi="Arial Narrow"/>
                <w:b/>
                <w:bCs/>
                <w:sz w:val="20"/>
                <w:szCs w:val="20"/>
                <w:vertAlign w:val="superscript"/>
              </w:rPr>
            </w:pPr>
            <w:r w:rsidRPr="00B36948">
              <w:rPr>
                <w:rFonts w:ascii="Arial Narrow" w:hAnsi="Arial Narrow"/>
                <w:b/>
                <w:bCs/>
                <w:sz w:val="20"/>
                <w:szCs w:val="20"/>
              </w:rPr>
              <w:t>$</w:t>
            </w:r>
            <w:r w:rsidR="00650CB8" w:rsidRPr="00650CB8">
              <w:rPr>
                <w:rFonts w:ascii="Arial Narrow" w:hAnsi="Arial Narrow"/>
                <w:b/>
                <w:bCs/>
                <w:color w:val="000000"/>
                <w:spacing w:val="58"/>
                <w:sz w:val="20"/>
                <w:szCs w:val="20"/>
                <w:shd w:val="solid" w:color="000000" w:fill="000000"/>
                <w:fitText w:val="360" w:id="-1435748350"/>
                <w14:textFill>
                  <w14:solidFill>
                    <w14:srgbClr w14:val="000000">
                      <w14:alpha w14:val="100000"/>
                    </w14:srgbClr>
                  </w14:solidFill>
                </w14:textFill>
              </w:rPr>
              <w:t>|||</w:t>
            </w:r>
            <w:r w:rsidR="00650CB8" w:rsidRPr="00650CB8">
              <w:rPr>
                <w:rFonts w:ascii="Arial Narrow" w:hAnsi="Arial Narrow"/>
                <w:b/>
                <w:bCs/>
                <w:color w:val="000000"/>
                <w:spacing w:val="3"/>
                <w:sz w:val="20"/>
                <w:szCs w:val="20"/>
                <w:shd w:val="solid" w:color="000000" w:fill="000000"/>
                <w:fitText w:val="360" w:id="-1435748350"/>
                <w14:textFill>
                  <w14:solidFill>
                    <w14:srgbClr w14:val="000000">
                      <w14:alpha w14:val="100000"/>
                    </w14:srgbClr>
                  </w14:solidFill>
                </w14:textFill>
              </w:rPr>
              <w:t>|</w:t>
            </w:r>
            <w:r w:rsidR="004568A9" w:rsidRPr="004568A9">
              <w:rPr>
                <w:rFonts w:ascii="Arial Narrow" w:hAnsi="Arial Narrow"/>
                <w:sz w:val="20"/>
                <w:szCs w:val="20"/>
                <w:vertAlign w:val="superscript"/>
              </w:rPr>
              <w:t>18</w:t>
            </w:r>
          </w:p>
        </w:tc>
      </w:tr>
    </w:tbl>
    <w:p w14:paraId="2C061162" w14:textId="60A04B43" w:rsidR="000F4B43" w:rsidRPr="00B36948" w:rsidRDefault="000F4B43" w:rsidP="000F4B43">
      <w:pPr>
        <w:pStyle w:val="TableFigureFooter"/>
      </w:pPr>
      <w:r w:rsidRPr="00B36948">
        <w:t xml:space="preserve">Source: Table 4.2-1, p36; Table 4.2-3, p37; Table 4.2-5, p38 of the submission; ‘Financial Analysis_Mar 22’ Excel spreadsheet; ‘Financial estimates_additional use only with </w:t>
      </w:r>
      <w:r w:rsidR="00650CB8" w:rsidRPr="00650CB8">
        <w:rPr>
          <w:color w:val="000000"/>
          <w:spacing w:val="16"/>
          <w:shd w:val="solid" w:color="000000" w:fill="000000"/>
          <w:fitText w:val="430" w:id="-1435748349"/>
          <w14:textFill>
            <w14:solidFill>
              <w14:srgbClr w14:val="000000">
                <w14:alpha w14:val="100000"/>
              </w14:srgbClr>
            </w14:solidFill>
          </w14:textFill>
        </w:rPr>
        <w:t>|||  ||</w:t>
      </w:r>
      <w:r w:rsidR="00650CB8" w:rsidRPr="00650CB8">
        <w:rPr>
          <w:color w:val="000000"/>
          <w:spacing w:val="6"/>
          <w:shd w:val="solid" w:color="000000" w:fill="000000"/>
          <w:fitText w:val="430" w:id="-1435748349"/>
          <w14:textFill>
            <w14:solidFill>
              <w14:srgbClr w14:val="000000">
                <w14:alpha w14:val="100000"/>
              </w14:srgbClr>
            </w14:solidFill>
          </w14:textFill>
        </w:rPr>
        <w:t>|</w:t>
      </w:r>
      <w:r w:rsidRPr="00B36948">
        <w:t>% rebate’ Excel spreadsheet, November 2019 PBAC submission; DUSC re-analysis, November 2019 PBAC submission.</w:t>
      </w:r>
    </w:p>
    <w:p w14:paraId="7FD59F95" w14:textId="77777777" w:rsidR="000F4B43" w:rsidRPr="00B36948" w:rsidRDefault="000F4B43" w:rsidP="000F4B43">
      <w:pPr>
        <w:pStyle w:val="TableFigureFooter"/>
      </w:pPr>
      <w:r w:rsidRPr="00B36948">
        <w:t>Abbreviations: LDL-C, low density lipoprotein cholesterol</w:t>
      </w:r>
    </w:p>
    <w:p w14:paraId="4158262B" w14:textId="119E91C2" w:rsidR="000F4B43" w:rsidRDefault="000F4B43" w:rsidP="000F4B43">
      <w:pPr>
        <w:pStyle w:val="TableFigureFooter"/>
      </w:pPr>
      <w:r w:rsidRPr="00B36948">
        <w:rPr>
          <w:vertAlign w:val="superscript"/>
        </w:rPr>
        <w:t xml:space="preserve">1 </w:t>
      </w:r>
      <w:r w:rsidRPr="00B36948">
        <w:t>In the November 2019 submission, the eligible population was assumed to increase by 10% per year. This was modified to 5% annual growth in the DUSC-re-analysis of utilisation.</w:t>
      </w:r>
    </w:p>
    <w:p w14:paraId="42DB044B" w14:textId="77777777" w:rsidR="00D31F74" w:rsidRPr="00181DAC" w:rsidRDefault="00D31F74" w:rsidP="00D31F74">
      <w:pPr>
        <w:pStyle w:val="TableFigureFooter"/>
        <w:keepNext/>
        <w:spacing w:after="0"/>
        <w:contextualSpacing w:val="0"/>
        <w:rPr>
          <w:i/>
        </w:rPr>
      </w:pPr>
      <w:r w:rsidRPr="00181DAC">
        <w:rPr>
          <w:i/>
        </w:rPr>
        <w:t>The redacted values correspond to the following ranges:</w:t>
      </w:r>
    </w:p>
    <w:p w14:paraId="674097AC" w14:textId="1EF421D9" w:rsidR="00D31F74" w:rsidRPr="00281DAB" w:rsidRDefault="00D31F74" w:rsidP="00D31F74">
      <w:pPr>
        <w:pStyle w:val="TableFigureFooter"/>
        <w:keepNext/>
        <w:spacing w:after="0"/>
        <w:contextualSpacing w:val="0"/>
      </w:pPr>
      <w:r w:rsidRPr="00181DAC">
        <w:rPr>
          <w:i/>
          <w:szCs w:val="18"/>
          <w:vertAlign w:val="superscript"/>
        </w:rPr>
        <w:t>1</w:t>
      </w:r>
      <w:r w:rsidRPr="00181DAC">
        <w:rPr>
          <w:i/>
          <w:szCs w:val="18"/>
        </w:rPr>
        <w:t xml:space="preserve"> </w:t>
      </w:r>
      <w:r>
        <w:rPr>
          <w:i/>
          <w:szCs w:val="18"/>
        </w:rPr>
        <w:t>3</w:t>
      </w:r>
      <w:r w:rsidRPr="00C655B2">
        <w:rPr>
          <w:i/>
          <w:szCs w:val="18"/>
        </w:rPr>
        <w:t xml:space="preserve">0,000 to &lt; </w:t>
      </w:r>
      <w:r>
        <w:rPr>
          <w:i/>
          <w:szCs w:val="18"/>
        </w:rPr>
        <w:t>4</w:t>
      </w:r>
      <w:r w:rsidRPr="00C655B2">
        <w:rPr>
          <w:i/>
          <w:szCs w:val="18"/>
        </w:rPr>
        <w:t>0,000</w:t>
      </w:r>
    </w:p>
    <w:p w14:paraId="340786F0" w14:textId="603E7B7B" w:rsidR="00D31F74" w:rsidRPr="00181DAC" w:rsidRDefault="00D31F74" w:rsidP="00D31F74">
      <w:pPr>
        <w:rPr>
          <w:rFonts w:ascii="Arial Narrow" w:hAnsi="Arial Narrow"/>
          <w:i/>
          <w:sz w:val="18"/>
          <w:szCs w:val="18"/>
        </w:rPr>
      </w:pPr>
      <w:r w:rsidRPr="00181DAC">
        <w:rPr>
          <w:rFonts w:ascii="Arial Narrow" w:hAnsi="Arial Narrow"/>
          <w:i/>
          <w:sz w:val="18"/>
          <w:szCs w:val="18"/>
          <w:vertAlign w:val="superscript"/>
        </w:rPr>
        <w:t>2</w:t>
      </w:r>
      <w:r w:rsidRPr="00181DAC">
        <w:rPr>
          <w:rFonts w:ascii="Arial Narrow" w:hAnsi="Arial Narrow"/>
          <w:i/>
          <w:sz w:val="18"/>
          <w:szCs w:val="18"/>
        </w:rPr>
        <w:t xml:space="preserve"> </w:t>
      </w:r>
      <w:r>
        <w:rPr>
          <w:rFonts w:ascii="Arial Narrow" w:hAnsi="Arial Narrow"/>
          <w:i/>
          <w:sz w:val="18"/>
          <w:szCs w:val="18"/>
        </w:rPr>
        <w:t>4</w:t>
      </w:r>
      <w:r w:rsidRPr="00C655B2">
        <w:rPr>
          <w:rFonts w:ascii="Arial Narrow" w:hAnsi="Arial Narrow"/>
          <w:i/>
          <w:sz w:val="18"/>
          <w:szCs w:val="18"/>
        </w:rPr>
        <w:t xml:space="preserve">0,000 to &lt; </w:t>
      </w:r>
      <w:r>
        <w:rPr>
          <w:rFonts w:ascii="Arial Narrow" w:hAnsi="Arial Narrow"/>
          <w:i/>
          <w:sz w:val="18"/>
          <w:szCs w:val="18"/>
        </w:rPr>
        <w:t>5</w:t>
      </w:r>
      <w:r w:rsidRPr="00C655B2">
        <w:rPr>
          <w:rFonts w:ascii="Arial Narrow" w:hAnsi="Arial Narrow"/>
          <w:i/>
          <w:sz w:val="18"/>
          <w:szCs w:val="18"/>
        </w:rPr>
        <w:t>0,000</w:t>
      </w:r>
    </w:p>
    <w:p w14:paraId="1FD07CC8" w14:textId="09480BA0" w:rsidR="00D31F74" w:rsidRPr="00181DAC" w:rsidRDefault="00D31F74" w:rsidP="00D31F74">
      <w:pPr>
        <w:rPr>
          <w:rFonts w:ascii="Arial Narrow" w:hAnsi="Arial Narrow"/>
          <w:i/>
          <w:sz w:val="18"/>
          <w:szCs w:val="18"/>
        </w:rPr>
      </w:pPr>
      <w:r w:rsidRPr="00181DAC">
        <w:rPr>
          <w:rFonts w:ascii="Arial Narrow" w:hAnsi="Arial Narrow"/>
          <w:i/>
          <w:sz w:val="18"/>
          <w:szCs w:val="18"/>
          <w:vertAlign w:val="superscript"/>
        </w:rPr>
        <w:t xml:space="preserve">3 </w:t>
      </w:r>
      <w:r>
        <w:rPr>
          <w:rFonts w:ascii="Arial Narrow" w:hAnsi="Arial Narrow"/>
          <w:i/>
          <w:sz w:val="18"/>
          <w:szCs w:val="18"/>
        </w:rPr>
        <w:t>5</w:t>
      </w:r>
      <w:r w:rsidRPr="00C655B2">
        <w:rPr>
          <w:rFonts w:ascii="Arial Narrow" w:hAnsi="Arial Narrow"/>
          <w:i/>
          <w:sz w:val="18"/>
          <w:szCs w:val="18"/>
        </w:rPr>
        <w:t xml:space="preserve">00 to &lt; </w:t>
      </w:r>
      <w:r>
        <w:rPr>
          <w:rFonts w:ascii="Arial Narrow" w:hAnsi="Arial Narrow"/>
          <w:i/>
          <w:sz w:val="18"/>
          <w:szCs w:val="18"/>
        </w:rPr>
        <w:t>5</w:t>
      </w:r>
      <w:r w:rsidRPr="00C655B2">
        <w:rPr>
          <w:rFonts w:ascii="Arial Narrow" w:hAnsi="Arial Narrow"/>
          <w:i/>
          <w:sz w:val="18"/>
          <w:szCs w:val="18"/>
        </w:rPr>
        <w:t>,000</w:t>
      </w:r>
    </w:p>
    <w:p w14:paraId="1C4FC519" w14:textId="7453F35F" w:rsidR="00D31F74" w:rsidRPr="00181DAC" w:rsidRDefault="00D31F74" w:rsidP="00D31F74">
      <w:pPr>
        <w:rPr>
          <w:rFonts w:ascii="Arial Narrow" w:hAnsi="Arial Narrow"/>
          <w:i/>
          <w:sz w:val="18"/>
          <w:szCs w:val="18"/>
        </w:rPr>
      </w:pPr>
      <w:r w:rsidRPr="00181DAC">
        <w:rPr>
          <w:rFonts w:ascii="Arial Narrow" w:hAnsi="Arial Narrow"/>
          <w:i/>
          <w:sz w:val="18"/>
          <w:szCs w:val="18"/>
          <w:vertAlign w:val="superscript"/>
        </w:rPr>
        <w:t xml:space="preserve">4 </w:t>
      </w:r>
      <w:r w:rsidRPr="00D31F74">
        <w:rPr>
          <w:rFonts w:ascii="Arial Narrow" w:hAnsi="Arial Narrow"/>
          <w:i/>
          <w:sz w:val="18"/>
          <w:szCs w:val="18"/>
        </w:rPr>
        <w:t>5,000 to &lt; 10,000</w:t>
      </w:r>
    </w:p>
    <w:p w14:paraId="3B490BA7" w14:textId="05EAAFE9" w:rsidR="00D31F74" w:rsidRPr="00181DAC" w:rsidRDefault="00D31F74" w:rsidP="00D31F74">
      <w:pPr>
        <w:rPr>
          <w:rFonts w:ascii="Arial Narrow" w:hAnsi="Arial Narrow"/>
          <w:i/>
          <w:sz w:val="18"/>
          <w:szCs w:val="18"/>
        </w:rPr>
      </w:pPr>
      <w:r w:rsidRPr="00181DAC">
        <w:rPr>
          <w:rFonts w:ascii="Arial Narrow" w:hAnsi="Arial Narrow"/>
          <w:i/>
          <w:sz w:val="18"/>
          <w:szCs w:val="18"/>
          <w:vertAlign w:val="superscript"/>
        </w:rPr>
        <w:t>5</w:t>
      </w:r>
      <w:r w:rsidRPr="00181DAC">
        <w:rPr>
          <w:rFonts w:ascii="Arial Narrow" w:hAnsi="Arial Narrow"/>
          <w:i/>
          <w:sz w:val="18"/>
          <w:szCs w:val="18"/>
        </w:rPr>
        <w:t xml:space="preserve"> </w:t>
      </w:r>
      <w:r w:rsidRPr="00B86DD9">
        <w:rPr>
          <w:rFonts w:ascii="Arial Narrow" w:hAnsi="Arial Narrow"/>
          <w:i/>
          <w:sz w:val="18"/>
          <w:szCs w:val="18"/>
        </w:rPr>
        <w:t>10,000 to &lt; 20,000</w:t>
      </w:r>
    </w:p>
    <w:p w14:paraId="7C50C8A7" w14:textId="282B0C6F" w:rsidR="00D31F74" w:rsidRPr="00181DAC" w:rsidRDefault="00D31F74" w:rsidP="00D31F74">
      <w:pPr>
        <w:rPr>
          <w:rFonts w:ascii="Arial Narrow" w:hAnsi="Arial Narrow"/>
          <w:i/>
          <w:sz w:val="18"/>
          <w:szCs w:val="18"/>
        </w:rPr>
      </w:pPr>
      <w:r w:rsidRPr="00181DAC">
        <w:rPr>
          <w:rFonts w:ascii="Arial Narrow" w:hAnsi="Arial Narrow"/>
          <w:i/>
          <w:sz w:val="18"/>
          <w:szCs w:val="18"/>
          <w:vertAlign w:val="superscript"/>
        </w:rPr>
        <w:t xml:space="preserve">6 </w:t>
      </w:r>
      <w:r w:rsidR="00052774">
        <w:rPr>
          <w:rFonts w:ascii="Arial Narrow" w:hAnsi="Arial Narrow"/>
          <w:i/>
          <w:sz w:val="18"/>
          <w:szCs w:val="18"/>
        </w:rPr>
        <w:t>80</w:t>
      </w:r>
      <w:r w:rsidRPr="00B86DD9">
        <w:rPr>
          <w:rFonts w:ascii="Arial Narrow" w:hAnsi="Arial Narrow"/>
          <w:i/>
          <w:sz w:val="18"/>
          <w:szCs w:val="18"/>
        </w:rPr>
        <w:t xml:space="preserve">,000 to &lt; </w:t>
      </w:r>
      <w:r w:rsidR="00052774">
        <w:rPr>
          <w:rFonts w:ascii="Arial Narrow" w:hAnsi="Arial Narrow"/>
          <w:i/>
          <w:sz w:val="18"/>
          <w:szCs w:val="18"/>
        </w:rPr>
        <w:t>90</w:t>
      </w:r>
      <w:r w:rsidRPr="00B86DD9">
        <w:rPr>
          <w:rFonts w:ascii="Arial Narrow" w:hAnsi="Arial Narrow"/>
          <w:i/>
          <w:sz w:val="18"/>
          <w:szCs w:val="18"/>
        </w:rPr>
        <w:t>,000</w:t>
      </w:r>
    </w:p>
    <w:p w14:paraId="422E9758" w14:textId="2F2B2009" w:rsidR="00D31F74" w:rsidRPr="00181DAC" w:rsidRDefault="00D31F74" w:rsidP="00052774">
      <w:pPr>
        <w:tabs>
          <w:tab w:val="left" w:pos="1720"/>
        </w:tabs>
        <w:rPr>
          <w:rFonts w:ascii="Arial Narrow" w:hAnsi="Arial Narrow"/>
          <w:i/>
          <w:sz w:val="18"/>
          <w:szCs w:val="18"/>
          <w:vertAlign w:val="superscript"/>
        </w:rPr>
      </w:pPr>
      <w:r w:rsidRPr="00181DAC">
        <w:rPr>
          <w:rFonts w:ascii="Arial Narrow" w:hAnsi="Arial Narrow"/>
          <w:i/>
          <w:sz w:val="18"/>
          <w:szCs w:val="18"/>
          <w:vertAlign w:val="superscript"/>
        </w:rPr>
        <w:t xml:space="preserve">7 </w:t>
      </w:r>
      <w:r w:rsidR="00052774" w:rsidRPr="00052774">
        <w:rPr>
          <w:rFonts w:ascii="Arial Narrow" w:hAnsi="Arial Narrow"/>
          <w:i/>
          <w:sz w:val="18"/>
          <w:szCs w:val="18"/>
        </w:rPr>
        <w:t>100,000 to &lt; 200,000</w:t>
      </w:r>
    </w:p>
    <w:p w14:paraId="1070DB5F" w14:textId="6D393231" w:rsidR="00D31F74" w:rsidRPr="00181DAC" w:rsidRDefault="00D31F74" w:rsidP="00D31F74">
      <w:pPr>
        <w:rPr>
          <w:rFonts w:ascii="Arial Narrow" w:hAnsi="Arial Narrow"/>
          <w:i/>
          <w:sz w:val="18"/>
          <w:szCs w:val="18"/>
          <w:vertAlign w:val="superscript"/>
        </w:rPr>
      </w:pPr>
      <w:r w:rsidRPr="00181DAC">
        <w:rPr>
          <w:rFonts w:ascii="Arial Narrow" w:hAnsi="Arial Narrow"/>
          <w:sz w:val="18"/>
          <w:szCs w:val="18"/>
          <w:vertAlign w:val="superscript"/>
        </w:rPr>
        <w:t xml:space="preserve">8 </w:t>
      </w:r>
      <w:r w:rsidR="00052774" w:rsidRPr="00052774">
        <w:rPr>
          <w:rFonts w:ascii="Arial Narrow" w:hAnsi="Arial Narrow"/>
          <w:i/>
          <w:sz w:val="18"/>
          <w:szCs w:val="18"/>
        </w:rPr>
        <w:t>$0 to &lt; $10 million</w:t>
      </w:r>
    </w:p>
    <w:p w14:paraId="549C7B2A" w14:textId="70033985" w:rsidR="00D31F74" w:rsidRPr="00181DAC" w:rsidRDefault="00D31F74" w:rsidP="00D31F74">
      <w:pPr>
        <w:rPr>
          <w:rFonts w:ascii="Arial Narrow" w:hAnsi="Arial Narrow"/>
          <w:i/>
          <w:sz w:val="18"/>
          <w:szCs w:val="18"/>
        </w:rPr>
      </w:pPr>
      <w:r w:rsidRPr="00181DAC">
        <w:rPr>
          <w:rFonts w:ascii="Arial Narrow" w:hAnsi="Arial Narrow"/>
          <w:sz w:val="18"/>
          <w:szCs w:val="18"/>
          <w:vertAlign w:val="superscript"/>
        </w:rPr>
        <w:t>9</w:t>
      </w:r>
      <w:r>
        <w:rPr>
          <w:rFonts w:ascii="Arial Narrow" w:hAnsi="Arial Narrow"/>
          <w:sz w:val="18"/>
          <w:szCs w:val="18"/>
          <w:vertAlign w:val="superscript"/>
        </w:rPr>
        <w:t xml:space="preserve"> </w:t>
      </w:r>
      <w:r w:rsidR="00052774" w:rsidRPr="00052774">
        <w:rPr>
          <w:rFonts w:ascii="Arial Narrow" w:hAnsi="Arial Narrow"/>
          <w:i/>
          <w:sz w:val="18"/>
          <w:szCs w:val="18"/>
        </w:rPr>
        <w:t>$10 million to &lt; $20 million</w:t>
      </w:r>
    </w:p>
    <w:p w14:paraId="122DE82E" w14:textId="0DCBCE67" w:rsidR="00D31F74" w:rsidRDefault="00D31F74" w:rsidP="00D31F74">
      <w:pPr>
        <w:rPr>
          <w:rFonts w:ascii="Arial Narrow" w:hAnsi="Arial Narrow"/>
          <w:i/>
          <w:sz w:val="18"/>
          <w:szCs w:val="18"/>
        </w:rPr>
      </w:pPr>
      <w:r w:rsidRPr="00181DAC">
        <w:rPr>
          <w:rFonts w:ascii="Arial Narrow" w:hAnsi="Arial Narrow"/>
          <w:i/>
          <w:sz w:val="18"/>
          <w:szCs w:val="18"/>
          <w:vertAlign w:val="superscript"/>
        </w:rPr>
        <w:t>10</w:t>
      </w:r>
      <w:r w:rsidRPr="00181DAC">
        <w:rPr>
          <w:rFonts w:ascii="Arial Narrow" w:hAnsi="Arial Narrow"/>
          <w:i/>
          <w:sz w:val="18"/>
          <w:szCs w:val="18"/>
        </w:rPr>
        <w:t xml:space="preserve"> </w:t>
      </w:r>
      <w:r w:rsidR="00052774" w:rsidRPr="00052774">
        <w:rPr>
          <w:rFonts w:ascii="Arial Narrow" w:hAnsi="Arial Narrow"/>
          <w:i/>
          <w:sz w:val="18"/>
          <w:szCs w:val="18"/>
        </w:rPr>
        <w:t>50,000 to &lt; 60,000</w:t>
      </w:r>
    </w:p>
    <w:p w14:paraId="0630F219" w14:textId="77777777" w:rsidR="00D31F74" w:rsidRPr="00181DAC" w:rsidRDefault="00D31F74" w:rsidP="00D31F74">
      <w:pPr>
        <w:rPr>
          <w:rFonts w:ascii="Arial Narrow" w:hAnsi="Arial Narrow"/>
          <w:i/>
          <w:sz w:val="18"/>
          <w:szCs w:val="18"/>
          <w:vertAlign w:val="superscript"/>
        </w:rPr>
      </w:pPr>
      <w:r>
        <w:rPr>
          <w:rFonts w:ascii="Arial Narrow" w:hAnsi="Arial Narrow"/>
          <w:i/>
          <w:sz w:val="18"/>
          <w:szCs w:val="18"/>
          <w:vertAlign w:val="superscript"/>
        </w:rPr>
        <w:t>11</w:t>
      </w:r>
      <w:r w:rsidRPr="00181DAC">
        <w:rPr>
          <w:rFonts w:ascii="Arial Narrow" w:hAnsi="Arial Narrow"/>
          <w:i/>
          <w:sz w:val="18"/>
          <w:szCs w:val="18"/>
          <w:vertAlign w:val="superscript"/>
        </w:rPr>
        <w:t xml:space="preserve"> </w:t>
      </w:r>
      <w:r w:rsidRPr="00B86DD9">
        <w:rPr>
          <w:rFonts w:ascii="Arial Narrow" w:hAnsi="Arial Narrow"/>
          <w:i/>
          <w:sz w:val="18"/>
          <w:szCs w:val="18"/>
        </w:rPr>
        <w:t>60,000 to &lt; 70,000</w:t>
      </w:r>
    </w:p>
    <w:p w14:paraId="1EC46434" w14:textId="31B5B7B9" w:rsidR="00D31F74" w:rsidRPr="00181DAC" w:rsidRDefault="00D31F74" w:rsidP="00052774">
      <w:pPr>
        <w:tabs>
          <w:tab w:val="left" w:pos="1840"/>
        </w:tabs>
        <w:rPr>
          <w:rFonts w:ascii="Arial Narrow" w:hAnsi="Arial Narrow"/>
          <w:i/>
          <w:sz w:val="18"/>
          <w:szCs w:val="18"/>
          <w:vertAlign w:val="superscript"/>
        </w:rPr>
      </w:pPr>
      <w:r>
        <w:rPr>
          <w:rFonts w:ascii="Arial Narrow" w:hAnsi="Arial Narrow"/>
          <w:sz w:val="18"/>
          <w:szCs w:val="18"/>
          <w:vertAlign w:val="superscript"/>
        </w:rPr>
        <w:t>12</w:t>
      </w:r>
      <w:r w:rsidRPr="00181DAC">
        <w:rPr>
          <w:rFonts w:ascii="Arial Narrow" w:hAnsi="Arial Narrow"/>
          <w:sz w:val="18"/>
          <w:szCs w:val="18"/>
          <w:vertAlign w:val="superscript"/>
        </w:rPr>
        <w:t xml:space="preserve"> </w:t>
      </w:r>
      <w:r w:rsidR="00052774" w:rsidRPr="00052774">
        <w:rPr>
          <w:rFonts w:ascii="Arial Narrow" w:hAnsi="Arial Narrow"/>
          <w:i/>
          <w:sz w:val="18"/>
          <w:szCs w:val="18"/>
        </w:rPr>
        <w:t>20,000 to &lt; 30,000</w:t>
      </w:r>
    </w:p>
    <w:p w14:paraId="6F44DE6D" w14:textId="2BFE7632" w:rsidR="00D31F74" w:rsidRDefault="00D31F74" w:rsidP="00D31F74">
      <w:pPr>
        <w:rPr>
          <w:rFonts w:ascii="Arial Narrow" w:hAnsi="Arial Narrow"/>
          <w:i/>
          <w:sz w:val="18"/>
          <w:szCs w:val="18"/>
        </w:rPr>
      </w:pPr>
      <w:r>
        <w:rPr>
          <w:rFonts w:ascii="Arial Narrow" w:hAnsi="Arial Narrow"/>
          <w:sz w:val="18"/>
          <w:szCs w:val="18"/>
          <w:vertAlign w:val="superscript"/>
        </w:rPr>
        <w:t xml:space="preserve">13 </w:t>
      </w:r>
      <w:r w:rsidR="00052774" w:rsidRPr="00052774">
        <w:rPr>
          <w:rFonts w:ascii="Arial Narrow" w:hAnsi="Arial Narrow"/>
          <w:i/>
          <w:sz w:val="18"/>
          <w:szCs w:val="18"/>
        </w:rPr>
        <w:t>200,000 to &lt; 300,000</w:t>
      </w:r>
    </w:p>
    <w:p w14:paraId="4015FD00" w14:textId="46ADC2A8" w:rsidR="00D31F74" w:rsidRPr="00181DAC" w:rsidRDefault="00D31F74" w:rsidP="00D31F74">
      <w:pPr>
        <w:rPr>
          <w:rFonts w:ascii="Arial Narrow" w:hAnsi="Arial Narrow"/>
          <w:i/>
          <w:sz w:val="18"/>
          <w:szCs w:val="18"/>
          <w:vertAlign w:val="superscript"/>
        </w:rPr>
      </w:pPr>
      <w:r>
        <w:rPr>
          <w:rFonts w:ascii="Arial Narrow" w:hAnsi="Arial Narrow"/>
          <w:sz w:val="18"/>
          <w:szCs w:val="18"/>
          <w:vertAlign w:val="superscript"/>
        </w:rPr>
        <w:t>14</w:t>
      </w:r>
      <w:r w:rsidRPr="00181DAC">
        <w:rPr>
          <w:rFonts w:ascii="Arial Narrow" w:hAnsi="Arial Narrow"/>
          <w:sz w:val="18"/>
          <w:szCs w:val="18"/>
          <w:vertAlign w:val="superscript"/>
        </w:rPr>
        <w:t xml:space="preserve"> </w:t>
      </w:r>
      <w:r w:rsidR="00052774" w:rsidRPr="00052774">
        <w:rPr>
          <w:rFonts w:ascii="Arial Narrow" w:hAnsi="Arial Narrow"/>
          <w:i/>
          <w:sz w:val="18"/>
          <w:szCs w:val="18"/>
        </w:rPr>
        <w:t>300,000 to &lt; 400,000</w:t>
      </w:r>
    </w:p>
    <w:p w14:paraId="2697B727" w14:textId="74E2DE6B" w:rsidR="00D31F74" w:rsidRPr="00181DAC" w:rsidRDefault="00D31F74" w:rsidP="00D31F74">
      <w:pPr>
        <w:rPr>
          <w:rFonts w:ascii="Arial Narrow" w:hAnsi="Arial Narrow"/>
          <w:i/>
          <w:sz w:val="18"/>
          <w:szCs w:val="18"/>
        </w:rPr>
      </w:pPr>
      <w:r>
        <w:rPr>
          <w:rFonts w:ascii="Arial Narrow" w:hAnsi="Arial Narrow"/>
          <w:sz w:val="18"/>
          <w:szCs w:val="18"/>
          <w:vertAlign w:val="superscript"/>
        </w:rPr>
        <w:t xml:space="preserve">15 </w:t>
      </w:r>
      <w:r w:rsidR="00052774" w:rsidRPr="00052774">
        <w:rPr>
          <w:rFonts w:ascii="Arial Narrow" w:hAnsi="Arial Narrow"/>
          <w:i/>
          <w:sz w:val="18"/>
          <w:szCs w:val="18"/>
        </w:rPr>
        <w:t>400,000 to &lt; 500,000</w:t>
      </w:r>
    </w:p>
    <w:p w14:paraId="2D078D0D" w14:textId="2D044B12" w:rsidR="00D31F74" w:rsidRPr="00181DAC" w:rsidRDefault="00D31F74" w:rsidP="00D31F74">
      <w:pPr>
        <w:rPr>
          <w:rFonts w:ascii="Arial Narrow" w:hAnsi="Arial Narrow"/>
          <w:i/>
          <w:sz w:val="18"/>
          <w:szCs w:val="18"/>
          <w:vertAlign w:val="superscript"/>
        </w:rPr>
      </w:pPr>
      <w:r>
        <w:rPr>
          <w:rFonts w:ascii="Arial Narrow" w:hAnsi="Arial Narrow"/>
          <w:i/>
          <w:sz w:val="18"/>
          <w:szCs w:val="18"/>
          <w:vertAlign w:val="superscript"/>
        </w:rPr>
        <w:t>16</w:t>
      </w:r>
      <w:r w:rsidRPr="00181DAC">
        <w:rPr>
          <w:rFonts w:ascii="Arial Narrow" w:hAnsi="Arial Narrow"/>
          <w:i/>
          <w:sz w:val="18"/>
          <w:szCs w:val="18"/>
          <w:vertAlign w:val="superscript"/>
        </w:rPr>
        <w:t xml:space="preserve"> </w:t>
      </w:r>
      <w:r w:rsidR="00052774" w:rsidRPr="00052774">
        <w:rPr>
          <w:rFonts w:ascii="Arial Narrow" w:hAnsi="Arial Narrow"/>
          <w:i/>
          <w:sz w:val="18"/>
          <w:szCs w:val="18"/>
        </w:rPr>
        <w:t>$20 million to &lt; $30 million</w:t>
      </w:r>
    </w:p>
    <w:p w14:paraId="15BAEF63" w14:textId="24CDDB01" w:rsidR="00D31F74" w:rsidRPr="00181DAC" w:rsidRDefault="00D31F74" w:rsidP="00D31F74">
      <w:pPr>
        <w:rPr>
          <w:rFonts w:ascii="Arial Narrow" w:hAnsi="Arial Narrow"/>
          <w:i/>
          <w:sz w:val="18"/>
          <w:szCs w:val="18"/>
          <w:vertAlign w:val="superscript"/>
        </w:rPr>
      </w:pPr>
      <w:r>
        <w:rPr>
          <w:rFonts w:ascii="Arial Narrow" w:hAnsi="Arial Narrow"/>
          <w:sz w:val="18"/>
          <w:szCs w:val="18"/>
          <w:vertAlign w:val="superscript"/>
        </w:rPr>
        <w:t>17</w:t>
      </w:r>
      <w:r w:rsidRPr="00181DAC">
        <w:rPr>
          <w:rFonts w:ascii="Arial Narrow" w:hAnsi="Arial Narrow"/>
          <w:sz w:val="18"/>
          <w:szCs w:val="18"/>
          <w:vertAlign w:val="superscript"/>
        </w:rPr>
        <w:t xml:space="preserve"> </w:t>
      </w:r>
      <w:r w:rsidR="00052774" w:rsidRPr="00052774">
        <w:rPr>
          <w:rFonts w:ascii="Arial Narrow" w:hAnsi="Arial Narrow"/>
          <w:i/>
          <w:sz w:val="18"/>
          <w:szCs w:val="18"/>
        </w:rPr>
        <w:t>$30 million to &lt; $40 million</w:t>
      </w:r>
    </w:p>
    <w:p w14:paraId="3F7E5D44" w14:textId="50166EA2" w:rsidR="00D31F74" w:rsidRDefault="00D31F74" w:rsidP="00D31F74">
      <w:pPr>
        <w:rPr>
          <w:rFonts w:ascii="Arial Narrow" w:hAnsi="Arial Narrow"/>
          <w:i/>
          <w:sz w:val="18"/>
          <w:szCs w:val="18"/>
        </w:rPr>
      </w:pPr>
      <w:r>
        <w:rPr>
          <w:rFonts w:ascii="Arial Narrow" w:hAnsi="Arial Narrow"/>
          <w:sz w:val="18"/>
          <w:szCs w:val="18"/>
          <w:vertAlign w:val="superscript"/>
        </w:rPr>
        <w:t xml:space="preserve">18 </w:t>
      </w:r>
      <w:r w:rsidR="00052774" w:rsidRPr="00052774">
        <w:rPr>
          <w:rFonts w:ascii="Arial Narrow" w:hAnsi="Arial Narrow"/>
          <w:i/>
          <w:sz w:val="18"/>
          <w:szCs w:val="18"/>
        </w:rPr>
        <w:t>$50 million to &lt; $60 million</w:t>
      </w:r>
    </w:p>
    <w:p w14:paraId="6DCCCB4C" w14:textId="425A1B2C" w:rsidR="00D31F74" w:rsidRPr="00181DAC" w:rsidRDefault="00D31F74" w:rsidP="00D31F74">
      <w:pPr>
        <w:rPr>
          <w:rFonts w:ascii="Arial Narrow" w:hAnsi="Arial Narrow"/>
          <w:i/>
          <w:sz w:val="18"/>
          <w:szCs w:val="18"/>
          <w:vertAlign w:val="superscript"/>
        </w:rPr>
      </w:pPr>
      <w:r>
        <w:rPr>
          <w:rFonts w:ascii="Arial Narrow" w:hAnsi="Arial Narrow"/>
          <w:sz w:val="18"/>
          <w:szCs w:val="18"/>
          <w:vertAlign w:val="superscript"/>
        </w:rPr>
        <w:t>19</w:t>
      </w:r>
      <w:r w:rsidRPr="00181DAC">
        <w:rPr>
          <w:rFonts w:ascii="Arial Narrow" w:hAnsi="Arial Narrow"/>
          <w:sz w:val="18"/>
          <w:szCs w:val="18"/>
          <w:vertAlign w:val="superscript"/>
        </w:rPr>
        <w:t xml:space="preserve"> </w:t>
      </w:r>
      <w:r w:rsidR="00052774" w:rsidRPr="00052774">
        <w:rPr>
          <w:rFonts w:ascii="Arial Narrow" w:hAnsi="Arial Narrow"/>
          <w:i/>
          <w:sz w:val="18"/>
          <w:szCs w:val="18"/>
        </w:rPr>
        <w:t>$70 million to &lt; $80 million</w:t>
      </w:r>
    </w:p>
    <w:p w14:paraId="0B4A779A" w14:textId="52CBDBFD" w:rsidR="00D31F74" w:rsidRDefault="00D31F74" w:rsidP="00D31F74">
      <w:pPr>
        <w:rPr>
          <w:rFonts w:ascii="Arial Narrow" w:hAnsi="Arial Narrow"/>
          <w:i/>
          <w:sz w:val="18"/>
          <w:szCs w:val="18"/>
        </w:rPr>
      </w:pPr>
      <w:r>
        <w:rPr>
          <w:rFonts w:ascii="Arial Narrow" w:hAnsi="Arial Narrow"/>
          <w:sz w:val="18"/>
          <w:szCs w:val="18"/>
          <w:vertAlign w:val="superscript"/>
        </w:rPr>
        <w:t xml:space="preserve">20 </w:t>
      </w:r>
      <w:r w:rsidR="00052774" w:rsidRPr="00052774">
        <w:rPr>
          <w:rFonts w:ascii="Arial Narrow" w:hAnsi="Arial Narrow"/>
          <w:i/>
          <w:sz w:val="18"/>
          <w:szCs w:val="18"/>
        </w:rPr>
        <w:t>$80 million to &lt; $90 million</w:t>
      </w:r>
    </w:p>
    <w:p w14:paraId="71C351D9" w14:textId="2EB2C160" w:rsidR="001A01FE" w:rsidRPr="00D31F74" w:rsidRDefault="001A01FE" w:rsidP="00D31F74">
      <w:pPr>
        <w:rPr>
          <w:rFonts w:ascii="Arial Narrow" w:hAnsi="Arial Narrow"/>
          <w:i/>
          <w:sz w:val="18"/>
          <w:szCs w:val="18"/>
        </w:rPr>
      </w:pPr>
      <w:r>
        <w:rPr>
          <w:rFonts w:ascii="Arial Narrow" w:hAnsi="Arial Narrow"/>
          <w:sz w:val="18"/>
          <w:szCs w:val="18"/>
          <w:vertAlign w:val="superscript"/>
        </w:rPr>
        <w:t xml:space="preserve">21 </w:t>
      </w:r>
      <w:r w:rsidRPr="001A01FE">
        <w:rPr>
          <w:rFonts w:ascii="Arial Narrow" w:hAnsi="Arial Narrow"/>
          <w:i/>
          <w:sz w:val="18"/>
          <w:szCs w:val="18"/>
        </w:rPr>
        <w:t>$40 million to &lt; $50 million</w:t>
      </w:r>
    </w:p>
    <w:p w14:paraId="0C55BBBE" w14:textId="77777777" w:rsidR="00D31F74" w:rsidRPr="00B36948" w:rsidRDefault="00D31F74" w:rsidP="000F4B43">
      <w:pPr>
        <w:pStyle w:val="TableFigureFooter"/>
      </w:pPr>
    </w:p>
    <w:p w14:paraId="125FA2D9" w14:textId="66FF6D59" w:rsidR="00B36948" w:rsidRPr="00B36948" w:rsidRDefault="000F4B43" w:rsidP="00B36948">
      <w:pPr>
        <w:pStyle w:val="ExecSumBodyText"/>
        <w:numPr>
          <w:ilvl w:val="1"/>
          <w:numId w:val="1"/>
        </w:numPr>
        <w:rPr>
          <w:b/>
        </w:rPr>
      </w:pPr>
      <w:r w:rsidRPr="00B36948">
        <w:t xml:space="preserve">Compared to the DUSC re-analysis of the November 2019 submission utilisation estimates for evolocumab in patients with non-FH and LDL-C &gt; 2.6 mmol/L, which used similar assumptions, the current submission estimated a slightly higher number of patients that would be eligible for treatment in the lower LDL-C range, but a lower number of patients opting for treatment with evolocumab. This is in contrast to the submission’s IQVIA database sample, that suggested the number of eligible patients with LDL-C between 1.8 and 2.6 mmol/L was almost double that of the patients with LDL-C above 2.6 mmol/L. </w:t>
      </w:r>
      <w:r w:rsidR="00B36948">
        <w:t xml:space="preserve">The </w:t>
      </w:r>
      <w:r w:rsidR="00B36948" w:rsidRPr="00B36948">
        <w:t xml:space="preserve">DUSC noted </w:t>
      </w:r>
      <w:r w:rsidR="00B36948">
        <w:t xml:space="preserve">these inconsistencies </w:t>
      </w:r>
      <w:r w:rsidR="00B36948" w:rsidRPr="00B36948">
        <w:t>creat</w:t>
      </w:r>
      <w:r w:rsidR="00B36948">
        <w:t>ed</w:t>
      </w:r>
      <w:r w:rsidR="00B36948" w:rsidRPr="00B36948">
        <w:t xml:space="preserve"> doubt about </w:t>
      </w:r>
      <w:r w:rsidR="00B36948" w:rsidRPr="00B36948">
        <w:lastRenderedPageBreak/>
        <w:t>the generalisability of the audit results to the Australian population.</w:t>
      </w:r>
      <w:r w:rsidR="00B36948">
        <w:t xml:space="preserve"> The evaluation considered that d</w:t>
      </w:r>
      <w:r w:rsidRPr="00B36948">
        <w:t>espite the potential for lower uptake in patients with lower LDL-C, the likely much larger size of the eligible population means that utilisation in the non-FH patients may have been underestimated.</w:t>
      </w:r>
      <w:r w:rsidR="00B36948" w:rsidRPr="00B36948">
        <w:t xml:space="preserve"> </w:t>
      </w:r>
    </w:p>
    <w:p w14:paraId="091C65D6" w14:textId="1DD8D658" w:rsidR="000F4B43" w:rsidRPr="00B36948" w:rsidRDefault="000F4B43" w:rsidP="000F4B43">
      <w:pPr>
        <w:pStyle w:val="ExecSumBodyText"/>
        <w:numPr>
          <w:ilvl w:val="1"/>
          <w:numId w:val="1"/>
        </w:numPr>
        <w:rPr>
          <w:i/>
          <w:iCs/>
        </w:rPr>
      </w:pPr>
      <w:r w:rsidRPr="00B36948">
        <w:t xml:space="preserve">The estimated uptake from heterozygous FH patients with LDL-C in the proposed range between 1.8 and 2.6 mmol/L is summarised in </w:t>
      </w:r>
      <w:r w:rsidRPr="00B36948">
        <w:fldChar w:fldCharType="begin"/>
      </w:r>
      <w:r w:rsidRPr="00B36948">
        <w:instrText xml:space="preserve"> REF _Ref102486195 \h  \* MERGEFORMAT </w:instrText>
      </w:r>
      <w:r w:rsidRPr="00B36948">
        <w:fldChar w:fldCharType="separate"/>
      </w:r>
      <w:r w:rsidR="00EB7F7C" w:rsidRPr="00B36948">
        <w:t xml:space="preserve">Table </w:t>
      </w:r>
      <w:r w:rsidR="00EB7F7C" w:rsidRPr="00B36948">
        <w:rPr>
          <w:noProof/>
        </w:rPr>
        <w:t>20</w:t>
      </w:r>
      <w:r w:rsidRPr="00B36948">
        <w:fldChar w:fldCharType="end"/>
      </w:r>
      <w:r w:rsidRPr="00B36948">
        <w:t xml:space="preserve"> below. The submission noted that, as in the previous November 2019 evolocumab submission, the homozygous FH population was not considered in these estimates. While the reduction in LDL-C threshold was proposed to apply to the homozygous FH listing to ensure consistency across listings, it was not anticipated to result in any additional eligible patients.</w:t>
      </w:r>
      <w:r w:rsidRPr="00B36948">
        <w:rPr>
          <w:i/>
          <w:iCs/>
        </w:rPr>
        <w:t xml:space="preserve"> </w:t>
      </w:r>
      <w:r w:rsidRPr="00B36948">
        <w:t>The PBAC previously accepted the exclusion of the homozygous FH population from utilisation estimates for lower LDL-C ranges, considering that these patients were highly unlikely to have LDL-C within the 2.6-3.3 mmol/L range (evolocumab PSD, November 2019 PBAC meeting). Patients with homozygous FH are even less likely to have LDL-C within the 1.8-2.6 mmol/L range.</w:t>
      </w:r>
    </w:p>
    <w:p w14:paraId="217B8A4D" w14:textId="22A3C004" w:rsidR="000F4B43" w:rsidRPr="00B36948" w:rsidRDefault="000F4B43" w:rsidP="000F4B43">
      <w:pPr>
        <w:pStyle w:val="TableHeading"/>
        <w:spacing w:after="0"/>
        <w:jc w:val="both"/>
      </w:pPr>
      <w:bookmarkStart w:id="61" w:name="_Ref102486195"/>
      <w:r w:rsidRPr="00B36948">
        <w:t xml:space="preserve">Table </w:t>
      </w:r>
      <w:fldSimple w:instr=" SEQ Table \* ARABIC ">
        <w:r w:rsidR="00EB7F7C" w:rsidRPr="00B36948">
          <w:rPr>
            <w:noProof/>
          </w:rPr>
          <w:t>20</w:t>
        </w:r>
      </w:fldSimple>
      <w:bookmarkEnd w:id="61"/>
      <w:r w:rsidRPr="00B36948">
        <w:t>: Estimated utilisation and cost of evolocumab to the PBS/RPBS for patients with heterozygous FH and ASCVD with LDL-C between 1.8 and 2.6 mmol/L despite optimised treatment with statins and ezetimibe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0: Estimated utilisation and cost of evolocumab to the PBS/RPBS for patients with heterozygous FH and ASCVD with LDL-C between 1.8 and 2.6 mmol/L despite optimised treatment with statins and ezetimibe"/>
      </w:tblPr>
      <w:tblGrid>
        <w:gridCol w:w="2681"/>
        <w:gridCol w:w="1055"/>
        <w:gridCol w:w="1057"/>
        <w:gridCol w:w="1057"/>
        <w:gridCol w:w="1057"/>
        <w:gridCol w:w="1057"/>
        <w:gridCol w:w="1053"/>
      </w:tblGrid>
      <w:tr w:rsidR="000F4B43" w:rsidRPr="00B36948" w14:paraId="0E743FAB" w14:textId="77777777" w:rsidTr="000F4B43">
        <w:trPr>
          <w:tblHeader/>
        </w:trPr>
        <w:tc>
          <w:tcPr>
            <w:tcW w:w="1487" w:type="pct"/>
            <w:tcBorders>
              <w:left w:val="single" w:sz="4" w:space="0" w:color="auto"/>
              <w:bottom w:val="single" w:sz="4" w:space="0" w:color="auto"/>
            </w:tcBorders>
            <w:shd w:val="clear" w:color="auto" w:fill="auto"/>
            <w:vAlign w:val="center"/>
          </w:tcPr>
          <w:p w14:paraId="1B75715C" w14:textId="77777777" w:rsidR="000F4B43" w:rsidRPr="00B36948" w:rsidRDefault="000F4B43" w:rsidP="000F4B43">
            <w:pPr>
              <w:keepNext/>
              <w:rPr>
                <w:rFonts w:ascii="Arial Narrow" w:eastAsia="Calibri" w:hAnsi="Arial Narrow" w:cs="Times New Roman"/>
                <w:sz w:val="20"/>
                <w:szCs w:val="20"/>
              </w:rPr>
            </w:pPr>
          </w:p>
        </w:tc>
        <w:tc>
          <w:tcPr>
            <w:tcW w:w="585" w:type="pct"/>
            <w:tcBorders>
              <w:bottom w:val="single" w:sz="4" w:space="0" w:color="auto"/>
            </w:tcBorders>
            <w:shd w:val="clear" w:color="auto" w:fill="auto"/>
            <w:vAlign w:val="center"/>
          </w:tcPr>
          <w:p w14:paraId="038A918B" w14:textId="77777777" w:rsidR="000F4B43" w:rsidRPr="00B36948" w:rsidRDefault="000F4B43" w:rsidP="000F4B43">
            <w:pPr>
              <w:keepNext/>
              <w:jc w:val="center"/>
              <w:rPr>
                <w:rFonts w:ascii="Arial Narrow" w:eastAsia="Calibri" w:hAnsi="Arial Narrow" w:cs="Times New Roman"/>
                <w:b/>
                <w:bCs/>
                <w:sz w:val="20"/>
                <w:szCs w:val="20"/>
              </w:rPr>
            </w:pPr>
            <w:r w:rsidRPr="00B36948">
              <w:rPr>
                <w:rFonts w:ascii="Arial Narrow" w:eastAsia="Calibri" w:hAnsi="Arial Narrow" w:cs="Times New Roman"/>
                <w:b/>
                <w:bCs/>
                <w:sz w:val="20"/>
                <w:szCs w:val="20"/>
              </w:rPr>
              <w:t>Year 1</w:t>
            </w:r>
          </w:p>
        </w:tc>
        <w:tc>
          <w:tcPr>
            <w:tcW w:w="586" w:type="pct"/>
            <w:tcBorders>
              <w:bottom w:val="single" w:sz="4" w:space="0" w:color="auto"/>
            </w:tcBorders>
            <w:shd w:val="clear" w:color="auto" w:fill="auto"/>
            <w:vAlign w:val="center"/>
          </w:tcPr>
          <w:p w14:paraId="75FE4108" w14:textId="77777777" w:rsidR="000F4B43" w:rsidRPr="00B36948" w:rsidRDefault="000F4B43" w:rsidP="000F4B43">
            <w:pPr>
              <w:keepNext/>
              <w:jc w:val="center"/>
              <w:rPr>
                <w:rFonts w:ascii="Arial Narrow" w:eastAsia="Calibri" w:hAnsi="Arial Narrow" w:cs="Times New Roman"/>
                <w:b/>
                <w:bCs/>
                <w:sz w:val="20"/>
                <w:szCs w:val="20"/>
              </w:rPr>
            </w:pPr>
            <w:r w:rsidRPr="00B36948">
              <w:rPr>
                <w:rFonts w:ascii="Arial Narrow" w:eastAsia="Calibri" w:hAnsi="Arial Narrow" w:cs="Times New Roman"/>
                <w:b/>
                <w:bCs/>
                <w:sz w:val="20"/>
                <w:szCs w:val="20"/>
              </w:rPr>
              <w:t>Year 2</w:t>
            </w:r>
          </w:p>
        </w:tc>
        <w:tc>
          <w:tcPr>
            <w:tcW w:w="586" w:type="pct"/>
            <w:tcBorders>
              <w:bottom w:val="single" w:sz="4" w:space="0" w:color="auto"/>
            </w:tcBorders>
            <w:shd w:val="clear" w:color="auto" w:fill="auto"/>
            <w:vAlign w:val="center"/>
          </w:tcPr>
          <w:p w14:paraId="3611D14F" w14:textId="77777777" w:rsidR="000F4B43" w:rsidRPr="00B36948" w:rsidRDefault="000F4B43" w:rsidP="000F4B43">
            <w:pPr>
              <w:keepNext/>
              <w:jc w:val="center"/>
              <w:rPr>
                <w:rFonts w:ascii="Arial Narrow" w:eastAsia="Calibri" w:hAnsi="Arial Narrow" w:cs="Times New Roman"/>
                <w:b/>
                <w:bCs/>
                <w:sz w:val="20"/>
                <w:szCs w:val="20"/>
              </w:rPr>
            </w:pPr>
            <w:r w:rsidRPr="00B36948">
              <w:rPr>
                <w:rFonts w:ascii="Arial Narrow" w:eastAsia="Calibri" w:hAnsi="Arial Narrow" w:cs="Times New Roman"/>
                <w:b/>
                <w:bCs/>
                <w:sz w:val="20"/>
                <w:szCs w:val="20"/>
              </w:rPr>
              <w:t>Year 3</w:t>
            </w:r>
          </w:p>
        </w:tc>
        <w:tc>
          <w:tcPr>
            <w:tcW w:w="586" w:type="pct"/>
            <w:tcBorders>
              <w:bottom w:val="single" w:sz="4" w:space="0" w:color="auto"/>
            </w:tcBorders>
            <w:shd w:val="clear" w:color="auto" w:fill="auto"/>
            <w:vAlign w:val="center"/>
          </w:tcPr>
          <w:p w14:paraId="649791D9" w14:textId="77777777" w:rsidR="000F4B43" w:rsidRPr="00B36948" w:rsidRDefault="000F4B43" w:rsidP="000F4B43">
            <w:pPr>
              <w:keepNext/>
              <w:jc w:val="center"/>
              <w:rPr>
                <w:rFonts w:ascii="Arial Narrow" w:eastAsia="Calibri" w:hAnsi="Arial Narrow" w:cs="Times New Roman"/>
                <w:b/>
                <w:bCs/>
                <w:sz w:val="20"/>
                <w:szCs w:val="20"/>
              </w:rPr>
            </w:pPr>
            <w:r w:rsidRPr="00B36948">
              <w:rPr>
                <w:rFonts w:ascii="Arial Narrow" w:eastAsia="Calibri" w:hAnsi="Arial Narrow" w:cs="Times New Roman"/>
                <w:b/>
                <w:bCs/>
                <w:sz w:val="20"/>
                <w:szCs w:val="20"/>
              </w:rPr>
              <w:t>Year 4</w:t>
            </w:r>
          </w:p>
        </w:tc>
        <w:tc>
          <w:tcPr>
            <w:tcW w:w="586" w:type="pct"/>
            <w:tcBorders>
              <w:bottom w:val="single" w:sz="4" w:space="0" w:color="auto"/>
              <w:right w:val="single" w:sz="4" w:space="0" w:color="auto"/>
            </w:tcBorders>
            <w:shd w:val="clear" w:color="auto" w:fill="auto"/>
            <w:vAlign w:val="center"/>
          </w:tcPr>
          <w:p w14:paraId="25C31CFB" w14:textId="77777777" w:rsidR="000F4B43" w:rsidRPr="00B36948" w:rsidRDefault="000F4B43" w:rsidP="000F4B43">
            <w:pPr>
              <w:keepNext/>
              <w:jc w:val="center"/>
              <w:rPr>
                <w:rFonts w:ascii="Arial Narrow" w:eastAsia="Calibri" w:hAnsi="Arial Narrow" w:cs="Times New Roman"/>
                <w:b/>
                <w:bCs/>
                <w:sz w:val="20"/>
                <w:szCs w:val="20"/>
              </w:rPr>
            </w:pPr>
            <w:r w:rsidRPr="00B36948">
              <w:rPr>
                <w:rFonts w:ascii="Arial Narrow" w:eastAsia="Calibri" w:hAnsi="Arial Narrow" w:cs="Times New Roman"/>
                <w:b/>
                <w:bCs/>
                <w:sz w:val="20"/>
                <w:szCs w:val="20"/>
              </w:rPr>
              <w:t xml:space="preserve">Year 5 </w:t>
            </w:r>
          </w:p>
        </w:tc>
        <w:tc>
          <w:tcPr>
            <w:tcW w:w="586" w:type="pct"/>
            <w:tcBorders>
              <w:bottom w:val="single" w:sz="4" w:space="0" w:color="auto"/>
              <w:right w:val="single" w:sz="4" w:space="0" w:color="auto"/>
            </w:tcBorders>
            <w:vAlign w:val="center"/>
          </w:tcPr>
          <w:p w14:paraId="493B9948" w14:textId="77777777" w:rsidR="000F4B43" w:rsidRPr="00B36948" w:rsidRDefault="000F4B43" w:rsidP="000F4B43">
            <w:pPr>
              <w:keepNext/>
              <w:jc w:val="center"/>
              <w:rPr>
                <w:rFonts w:ascii="Arial Narrow" w:eastAsia="Calibri" w:hAnsi="Arial Narrow" w:cs="Times New Roman"/>
                <w:b/>
                <w:bCs/>
                <w:sz w:val="20"/>
                <w:szCs w:val="20"/>
              </w:rPr>
            </w:pPr>
            <w:r w:rsidRPr="00B36948">
              <w:rPr>
                <w:rFonts w:ascii="Arial Narrow" w:eastAsia="Calibri" w:hAnsi="Arial Narrow" w:cs="Times New Roman"/>
                <w:b/>
                <w:bCs/>
                <w:sz w:val="20"/>
                <w:szCs w:val="20"/>
              </w:rPr>
              <w:t xml:space="preserve">Year 6 </w:t>
            </w:r>
          </w:p>
        </w:tc>
      </w:tr>
      <w:tr w:rsidR="000F4B43" w:rsidRPr="00B36948" w14:paraId="3F2CA8CD" w14:textId="77777777" w:rsidTr="000F4B43">
        <w:tc>
          <w:tcPr>
            <w:tcW w:w="1487" w:type="pct"/>
            <w:tcBorders>
              <w:left w:val="single" w:sz="4" w:space="0" w:color="auto"/>
              <w:bottom w:val="single" w:sz="4" w:space="0" w:color="auto"/>
            </w:tcBorders>
            <w:shd w:val="clear" w:color="auto" w:fill="auto"/>
            <w:vAlign w:val="center"/>
          </w:tcPr>
          <w:p w14:paraId="1CBB34CD" w14:textId="77777777" w:rsidR="000F4B43" w:rsidRPr="00B36948" w:rsidRDefault="000F4B43" w:rsidP="000F4B43">
            <w:pPr>
              <w:keepNext/>
              <w:jc w:val="left"/>
              <w:rPr>
                <w:rFonts w:ascii="Arial Narrow" w:eastAsia="Calibri" w:hAnsi="Arial Narrow" w:cs="Times New Roman"/>
                <w:sz w:val="20"/>
                <w:szCs w:val="20"/>
              </w:rPr>
            </w:pPr>
            <w:r w:rsidRPr="00B36948">
              <w:rPr>
                <w:rFonts w:ascii="Arial Narrow" w:eastAsia="Calibri" w:hAnsi="Arial Narrow" w:cs="Times New Roman"/>
                <w:sz w:val="20"/>
                <w:szCs w:val="20"/>
              </w:rPr>
              <w:t>Australian population ≥25 yrs</w:t>
            </w:r>
          </w:p>
        </w:tc>
        <w:tc>
          <w:tcPr>
            <w:tcW w:w="585" w:type="pct"/>
            <w:shd w:val="clear" w:color="auto" w:fill="auto"/>
            <w:vAlign w:val="center"/>
          </w:tcPr>
          <w:p w14:paraId="54E5605B" w14:textId="77777777" w:rsidR="000F4B43" w:rsidRPr="0022677F" w:rsidRDefault="000F4B43" w:rsidP="000F4B43">
            <w:pPr>
              <w:keepNext/>
              <w:jc w:val="center"/>
              <w:rPr>
                <w:rFonts w:ascii="Arial Narrow" w:hAnsi="Arial Narrow"/>
                <w:sz w:val="20"/>
                <w:szCs w:val="20"/>
              </w:rPr>
            </w:pPr>
            <w:r w:rsidRPr="0022677F">
              <w:rPr>
                <w:rFonts w:ascii="Arial Narrow" w:hAnsi="Arial Narrow"/>
                <w:color w:val="000000"/>
                <w:sz w:val="20"/>
                <w:szCs w:val="20"/>
              </w:rPr>
              <w:t xml:space="preserve">18,325,590 </w:t>
            </w:r>
          </w:p>
        </w:tc>
        <w:tc>
          <w:tcPr>
            <w:tcW w:w="586" w:type="pct"/>
            <w:shd w:val="clear" w:color="auto" w:fill="auto"/>
            <w:vAlign w:val="center"/>
          </w:tcPr>
          <w:p w14:paraId="7EAE72A0" w14:textId="77777777" w:rsidR="000F4B43" w:rsidRPr="0022677F" w:rsidRDefault="000F4B43" w:rsidP="000F4B43">
            <w:pPr>
              <w:keepNext/>
              <w:jc w:val="center"/>
              <w:rPr>
                <w:rFonts w:ascii="Arial Narrow" w:hAnsi="Arial Narrow"/>
                <w:sz w:val="20"/>
                <w:szCs w:val="20"/>
              </w:rPr>
            </w:pPr>
            <w:r w:rsidRPr="0022677F">
              <w:rPr>
                <w:rFonts w:ascii="Arial Narrow" w:hAnsi="Arial Narrow"/>
                <w:color w:val="000000"/>
                <w:sz w:val="20"/>
                <w:szCs w:val="20"/>
              </w:rPr>
              <w:t xml:space="preserve">18,633,517 </w:t>
            </w:r>
          </w:p>
        </w:tc>
        <w:tc>
          <w:tcPr>
            <w:tcW w:w="586" w:type="pct"/>
            <w:shd w:val="clear" w:color="auto" w:fill="auto"/>
            <w:vAlign w:val="center"/>
          </w:tcPr>
          <w:p w14:paraId="05704FBA" w14:textId="77777777" w:rsidR="000F4B43" w:rsidRPr="0022677F" w:rsidRDefault="000F4B43" w:rsidP="000F4B43">
            <w:pPr>
              <w:keepNext/>
              <w:jc w:val="center"/>
              <w:rPr>
                <w:rFonts w:ascii="Arial Narrow" w:hAnsi="Arial Narrow"/>
                <w:sz w:val="20"/>
                <w:szCs w:val="20"/>
              </w:rPr>
            </w:pPr>
            <w:r w:rsidRPr="0022677F">
              <w:rPr>
                <w:rFonts w:ascii="Arial Narrow" w:hAnsi="Arial Narrow"/>
                <w:color w:val="000000"/>
                <w:sz w:val="20"/>
                <w:szCs w:val="20"/>
              </w:rPr>
              <w:t xml:space="preserve">18,937,442 </w:t>
            </w:r>
          </w:p>
        </w:tc>
        <w:tc>
          <w:tcPr>
            <w:tcW w:w="586" w:type="pct"/>
            <w:shd w:val="clear" w:color="auto" w:fill="auto"/>
            <w:vAlign w:val="center"/>
          </w:tcPr>
          <w:p w14:paraId="40AF3FC1" w14:textId="77777777" w:rsidR="000F4B43" w:rsidRPr="0022677F" w:rsidRDefault="000F4B43" w:rsidP="000F4B43">
            <w:pPr>
              <w:keepNext/>
              <w:jc w:val="center"/>
              <w:rPr>
                <w:rFonts w:ascii="Arial Narrow" w:hAnsi="Arial Narrow"/>
                <w:sz w:val="20"/>
                <w:szCs w:val="20"/>
              </w:rPr>
            </w:pPr>
            <w:r w:rsidRPr="0022677F">
              <w:rPr>
                <w:rFonts w:ascii="Arial Narrow" w:hAnsi="Arial Narrow"/>
                <w:color w:val="000000"/>
                <w:sz w:val="20"/>
                <w:szCs w:val="20"/>
              </w:rPr>
              <w:t xml:space="preserve">19,236,668 </w:t>
            </w:r>
          </w:p>
        </w:tc>
        <w:tc>
          <w:tcPr>
            <w:tcW w:w="586" w:type="pct"/>
            <w:tcBorders>
              <w:right w:val="single" w:sz="4" w:space="0" w:color="auto"/>
            </w:tcBorders>
            <w:shd w:val="clear" w:color="auto" w:fill="auto"/>
            <w:vAlign w:val="center"/>
          </w:tcPr>
          <w:p w14:paraId="1E2D96E6" w14:textId="77777777" w:rsidR="000F4B43" w:rsidRPr="0022677F" w:rsidRDefault="000F4B43" w:rsidP="000F4B43">
            <w:pPr>
              <w:keepNext/>
              <w:jc w:val="center"/>
              <w:rPr>
                <w:rFonts w:ascii="Arial Narrow" w:hAnsi="Arial Narrow"/>
                <w:sz w:val="20"/>
                <w:szCs w:val="20"/>
              </w:rPr>
            </w:pPr>
            <w:r w:rsidRPr="0022677F">
              <w:rPr>
                <w:rFonts w:ascii="Arial Narrow" w:hAnsi="Arial Narrow"/>
                <w:color w:val="000000"/>
                <w:sz w:val="20"/>
                <w:szCs w:val="20"/>
              </w:rPr>
              <w:t xml:space="preserve">19,529,609 </w:t>
            </w:r>
          </w:p>
        </w:tc>
        <w:tc>
          <w:tcPr>
            <w:tcW w:w="586" w:type="pct"/>
            <w:tcBorders>
              <w:right w:val="single" w:sz="4" w:space="0" w:color="auto"/>
            </w:tcBorders>
            <w:vAlign w:val="center"/>
          </w:tcPr>
          <w:p w14:paraId="5602A97B" w14:textId="77777777" w:rsidR="000F4B43" w:rsidRPr="0022677F" w:rsidRDefault="000F4B43" w:rsidP="000F4B43">
            <w:pPr>
              <w:keepNext/>
              <w:jc w:val="center"/>
              <w:rPr>
                <w:rFonts w:ascii="Arial Narrow" w:hAnsi="Arial Narrow"/>
                <w:sz w:val="20"/>
                <w:szCs w:val="20"/>
              </w:rPr>
            </w:pPr>
            <w:r w:rsidRPr="0022677F">
              <w:rPr>
                <w:rFonts w:ascii="Arial Narrow" w:hAnsi="Arial Narrow"/>
                <w:color w:val="000000"/>
                <w:sz w:val="20"/>
                <w:szCs w:val="20"/>
              </w:rPr>
              <w:t xml:space="preserve">19,809,954 </w:t>
            </w:r>
          </w:p>
        </w:tc>
      </w:tr>
      <w:tr w:rsidR="000F4B43" w:rsidRPr="00B36948" w14:paraId="6A46686F" w14:textId="77777777" w:rsidTr="000F4B43">
        <w:tc>
          <w:tcPr>
            <w:tcW w:w="1487" w:type="pct"/>
            <w:tcBorders>
              <w:left w:val="single" w:sz="4" w:space="0" w:color="auto"/>
              <w:bottom w:val="single" w:sz="4" w:space="0" w:color="auto"/>
            </w:tcBorders>
            <w:shd w:val="clear" w:color="auto" w:fill="auto"/>
            <w:vAlign w:val="center"/>
          </w:tcPr>
          <w:p w14:paraId="2F54A780" w14:textId="77777777" w:rsidR="000F4B43" w:rsidRPr="00B36948" w:rsidRDefault="000F4B43" w:rsidP="000F4B43">
            <w:pPr>
              <w:keepNext/>
              <w:jc w:val="left"/>
              <w:rPr>
                <w:rFonts w:ascii="Arial Narrow" w:eastAsia="Calibri" w:hAnsi="Arial Narrow" w:cs="Times New Roman"/>
                <w:sz w:val="20"/>
                <w:szCs w:val="20"/>
              </w:rPr>
            </w:pPr>
            <w:r w:rsidRPr="00B36948">
              <w:rPr>
                <w:rFonts w:ascii="Arial Narrow" w:eastAsia="Calibri" w:hAnsi="Arial Narrow" w:cs="Times New Roman"/>
                <w:sz w:val="20"/>
                <w:szCs w:val="20"/>
              </w:rPr>
              <w:t>Prevalence of FH (1:353)</w:t>
            </w:r>
          </w:p>
        </w:tc>
        <w:tc>
          <w:tcPr>
            <w:tcW w:w="585" w:type="pct"/>
            <w:shd w:val="clear" w:color="auto" w:fill="auto"/>
          </w:tcPr>
          <w:p w14:paraId="5DAAA9F9" w14:textId="228325C7" w:rsidR="000F4B43" w:rsidRPr="0022677F" w:rsidRDefault="00650CB8" w:rsidP="000F4B43">
            <w:pPr>
              <w:keepNext/>
              <w:jc w:val="center"/>
              <w:rPr>
                <w:rFonts w:ascii="Arial Narrow" w:hAnsi="Arial Narrow"/>
                <w:color w:val="000000"/>
                <w:sz w:val="20"/>
                <w:szCs w:val="20"/>
                <w:highlight w:val="darkGray"/>
                <w:vertAlign w:val="superscript"/>
              </w:rPr>
            </w:pPr>
            <w:r w:rsidRPr="00650CB8">
              <w:rPr>
                <w:rFonts w:ascii="Arial Narrow" w:hAnsi="Arial Narrow"/>
                <w:color w:val="000000"/>
                <w:spacing w:val="63"/>
                <w:sz w:val="20"/>
                <w:szCs w:val="20"/>
                <w:shd w:val="solid" w:color="000000" w:fill="000000"/>
                <w:fitText w:val="360" w:id="-1435748348"/>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60" w:id="-1435748348"/>
                <w14:textFill>
                  <w14:solidFill>
                    <w14:srgbClr w14:val="000000">
                      <w14:alpha w14:val="100000"/>
                    </w14:srgbClr>
                  </w14:solidFill>
                </w14:textFill>
              </w:rPr>
              <w:t>|</w:t>
            </w:r>
            <w:r w:rsidR="0022677F" w:rsidRPr="0022677F">
              <w:rPr>
                <w:rFonts w:ascii="Arial Narrow" w:hAnsi="Arial Narrow"/>
                <w:color w:val="000000"/>
                <w:sz w:val="20"/>
                <w:szCs w:val="20"/>
                <w:vertAlign w:val="superscript"/>
              </w:rPr>
              <w:t>1</w:t>
            </w:r>
          </w:p>
        </w:tc>
        <w:tc>
          <w:tcPr>
            <w:tcW w:w="586" w:type="pct"/>
            <w:shd w:val="clear" w:color="auto" w:fill="auto"/>
          </w:tcPr>
          <w:p w14:paraId="77479271" w14:textId="1114DDDF" w:rsidR="000F4B43" w:rsidRPr="00E453D0" w:rsidRDefault="00650CB8" w:rsidP="000F4B43">
            <w:pPr>
              <w:keepNext/>
              <w:jc w:val="center"/>
              <w:rPr>
                <w:rFonts w:ascii="Arial Narrow" w:hAnsi="Arial Narrow"/>
                <w:color w:val="000000"/>
                <w:sz w:val="20"/>
                <w:szCs w:val="20"/>
                <w:highlight w:val="darkGray"/>
              </w:rPr>
            </w:pPr>
            <w:r w:rsidRPr="00650CB8">
              <w:rPr>
                <w:rFonts w:ascii="Arial Narrow" w:hAnsi="Arial Narrow"/>
                <w:color w:val="000000"/>
                <w:spacing w:val="63"/>
                <w:sz w:val="20"/>
                <w:szCs w:val="20"/>
                <w:shd w:val="solid" w:color="000000" w:fill="000000"/>
                <w:fitText w:val="360" w:id="-1435748347"/>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60" w:id="-1435748347"/>
                <w14:textFill>
                  <w14:solidFill>
                    <w14:srgbClr w14:val="000000">
                      <w14:alpha w14:val="100000"/>
                    </w14:srgbClr>
                  </w14:solidFill>
                </w14:textFill>
              </w:rPr>
              <w:t>|</w:t>
            </w:r>
            <w:r w:rsidR="0022677F" w:rsidRPr="0022677F">
              <w:rPr>
                <w:rFonts w:ascii="Arial Narrow" w:hAnsi="Arial Narrow"/>
                <w:color w:val="000000"/>
                <w:sz w:val="20"/>
                <w:szCs w:val="20"/>
                <w:vertAlign w:val="superscript"/>
              </w:rPr>
              <w:t>1</w:t>
            </w:r>
          </w:p>
        </w:tc>
        <w:tc>
          <w:tcPr>
            <w:tcW w:w="586" w:type="pct"/>
            <w:shd w:val="clear" w:color="auto" w:fill="auto"/>
          </w:tcPr>
          <w:p w14:paraId="0FC9E2DA" w14:textId="133E54A5" w:rsidR="000F4B43" w:rsidRPr="00E453D0" w:rsidRDefault="00650CB8" w:rsidP="000F4B43">
            <w:pPr>
              <w:keepNext/>
              <w:jc w:val="center"/>
              <w:rPr>
                <w:rFonts w:ascii="Arial Narrow" w:hAnsi="Arial Narrow"/>
                <w:color w:val="000000"/>
                <w:sz w:val="20"/>
                <w:szCs w:val="20"/>
                <w:highlight w:val="darkGray"/>
              </w:rPr>
            </w:pPr>
            <w:r w:rsidRPr="00650CB8">
              <w:rPr>
                <w:rFonts w:ascii="Arial Narrow" w:hAnsi="Arial Narrow"/>
                <w:color w:val="000000"/>
                <w:spacing w:val="63"/>
                <w:sz w:val="20"/>
                <w:szCs w:val="20"/>
                <w:shd w:val="solid" w:color="000000" w:fill="000000"/>
                <w:fitText w:val="360" w:id="-1435748346"/>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60" w:id="-1435748346"/>
                <w14:textFill>
                  <w14:solidFill>
                    <w14:srgbClr w14:val="000000">
                      <w14:alpha w14:val="100000"/>
                    </w14:srgbClr>
                  </w14:solidFill>
                </w14:textFill>
              </w:rPr>
              <w:t>|</w:t>
            </w:r>
            <w:r w:rsidR="0022677F" w:rsidRPr="0022677F">
              <w:rPr>
                <w:rFonts w:ascii="Arial Narrow" w:hAnsi="Arial Narrow"/>
                <w:color w:val="000000"/>
                <w:sz w:val="20"/>
                <w:szCs w:val="20"/>
                <w:vertAlign w:val="superscript"/>
              </w:rPr>
              <w:t>1</w:t>
            </w:r>
          </w:p>
        </w:tc>
        <w:tc>
          <w:tcPr>
            <w:tcW w:w="586" w:type="pct"/>
            <w:shd w:val="clear" w:color="auto" w:fill="auto"/>
          </w:tcPr>
          <w:p w14:paraId="4F108AF4" w14:textId="4871E356" w:rsidR="000F4B43" w:rsidRPr="00E453D0" w:rsidRDefault="00650CB8" w:rsidP="000F4B43">
            <w:pPr>
              <w:keepNext/>
              <w:jc w:val="center"/>
              <w:rPr>
                <w:rFonts w:ascii="Arial Narrow" w:hAnsi="Arial Narrow"/>
                <w:color w:val="000000"/>
                <w:sz w:val="20"/>
                <w:szCs w:val="20"/>
                <w:highlight w:val="darkGray"/>
              </w:rPr>
            </w:pPr>
            <w:r w:rsidRPr="00650CB8">
              <w:rPr>
                <w:rFonts w:ascii="Arial Narrow" w:hAnsi="Arial Narrow"/>
                <w:color w:val="000000"/>
                <w:spacing w:val="63"/>
                <w:sz w:val="20"/>
                <w:szCs w:val="20"/>
                <w:shd w:val="solid" w:color="000000" w:fill="000000"/>
                <w:fitText w:val="360" w:id="-1435748345"/>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60" w:id="-1435748345"/>
                <w14:textFill>
                  <w14:solidFill>
                    <w14:srgbClr w14:val="000000">
                      <w14:alpha w14:val="100000"/>
                    </w14:srgbClr>
                  </w14:solidFill>
                </w14:textFill>
              </w:rPr>
              <w:t>|</w:t>
            </w:r>
            <w:r w:rsidR="0022677F" w:rsidRPr="0022677F">
              <w:rPr>
                <w:rFonts w:ascii="Arial Narrow" w:hAnsi="Arial Narrow"/>
                <w:color w:val="000000"/>
                <w:sz w:val="20"/>
                <w:szCs w:val="20"/>
                <w:vertAlign w:val="superscript"/>
              </w:rPr>
              <w:t>1</w:t>
            </w:r>
          </w:p>
        </w:tc>
        <w:tc>
          <w:tcPr>
            <w:tcW w:w="586" w:type="pct"/>
            <w:tcBorders>
              <w:right w:val="single" w:sz="4" w:space="0" w:color="auto"/>
            </w:tcBorders>
            <w:shd w:val="clear" w:color="auto" w:fill="auto"/>
          </w:tcPr>
          <w:p w14:paraId="48AF909A" w14:textId="77F21AB5" w:rsidR="000F4B43" w:rsidRPr="00E453D0" w:rsidRDefault="00650CB8" w:rsidP="000F4B43">
            <w:pPr>
              <w:keepNext/>
              <w:jc w:val="center"/>
              <w:rPr>
                <w:rFonts w:ascii="Arial Narrow" w:hAnsi="Arial Narrow"/>
                <w:color w:val="000000"/>
                <w:sz w:val="20"/>
                <w:szCs w:val="20"/>
                <w:highlight w:val="darkGray"/>
              </w:rPr>
            </w:pPr>
            <w:r w:rsidRPr="00650CB8">
              <w:rPr>
                <w:rFonts w:ascii="Arial Narrow" w:hAnsi="Arial Narrow"/>
                <w:color w:val="000000"/>
                <w:spacing w:val="63"/>
                <w:sz w:val="20"/>
                <w:szCs w:val="20"/>
                <w:shd w:val="solid" w:color="000000" w:fill="000000"/>
                <w:fitText w:val="360" w:id="-1435748344"/>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60" w:id="-1435748344"/>
                <w14:textFill>
                  <w14:solidFill>
                    <w14:srgbClr w14:val="000000">
                      <w14:alpha w14:val="100000"/>
                    </w14:srgbClr>
                  </w14:solidFill>
                </w14:textFill>
              </w:rPr>
              <w:t>|</w:t>
            </w:r>
            <w:r w:rsidR="0022677F" w:rsidRPr="0022677F">
              <w:rPr>
                <w:rFonts w:ascii="Arial Narrow" w:hAnsi="Arial Narrow"/>
                <w:color w:val="000000"/>
                <w:sz w:val="20"/>
                <w:szCs w:val="20"/>
                <w:vertAlign w:val="superscript"/>
              </w:rPr>
              <w:t>1</w:t>
            </w:r>
          </w:p>
        </w:tc>
        <w:tc>
          <w:tcPr>
            <w:tcW w:w="586" w:type="pct"/>
            <w:tcBorders>
              <w:right w:val="single" w:sz="4" w:space="0" w:color="auto"/>
            </w:tcBorders>
          </w:tcPr>
          <w:p w14:paraId="124B353F" w14:textId="6640897B" w:rsidR="000F4B43" w:rsidRPr="00E453D0" w:rsidRDefault="00650CB8" w:rsidP="000F4B43">
            <w:pPr>
              <w:keepNext/>
              <w:jc w:val="center"/>
              <w:rPr>
                <w:rFonts w:ascii="Arial Narrow" w:hAnsi="Arial Narrow"/>
                <w:color w:val="000000"/>
                <w:sz w:val="20"/>
                <w:szCs w:val="20"/>
                <w:highlight w:val="darkGray"/>
              </w:rPr>
            </w:pPr>
            <w:r w:rsidRPr="00650CB8">
              <w:rPr>
                <w:rFonts w:ascii="Arial Narrow" w:hAnsi="Arial Narrow"/>
                <w:color w:val="000000"/>
                <w:spacing w:val="63"/>
                <w:sz w:val="20"/>
                <w:szCs w:val="20"/>
                <w:shd w:val="solid" w:color="000000" w:fill="000000"/>
                <w:fitText w:val="360" w:id="-1435748343"/>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60" w:id="-1435748343"/>
                <w14:textFill>
                  <w14:solidFill>
                    <w14:srgbClr w14:val="000000">
                      <w14:alpha w14:val="100000"/>
                    </w14:srgbClr>
                  </w14:solidFill>
                </w14:textFill>
              </w:rPr>
              <w:t>|</w:t>
            </w:r>
            <w:r w:rsidR="0022677F" w:rsidRPr="0022677F">
              <w:rPr>
                <w:rFonts w:ascii="Arial Narrow" w:hAnsi="Arial Narrow"/>
                <w:color w:val="000000"/>
                <w:sz w:val="20"/>
                <w:szCs w:val="20"/>
                <w:vertAlign w:val="superscript"/>
              </w:rPr>
              <w:t>1</w:t>
            </w:r>
          </w:p>
        </w:tc>
      </w:tr>
      <w:tr w:rsidR="000F4B43" w:rsidRPr="00B36948" w14:paraId="110CC9A0" w14:textId="77777777" w:rsidTr="000F4B43">
        <w:tc>
          <w:tcPr>
            <w:tcW w:w="1487" w:type="pct"/>
            <w:tcBorders>
              <w:left w:val="single" w:sz="4" w:space="0" w:color="auto"/>
              <w:bottom w:val="single" w:sz="4" w:space="0" w:color="auto"/>
            </w:tcBorders>
            <w:shd w:val="clear" w:color="auto" w:fill="auto"/>
            <w:vAlign w:val="center"/>
          </w:tcPr>
          <w:p w14:paraId="2A214D28" w14:textId="77777777" w:rsidR="000F4B43" w:rsidRPr="00B36948" w:rsidRDefault="000F4B43" w:rsidP="000F4B43">
            <w:pPr>
              <w:keepNext/>
              <w:jc w:val="left"/>
              <w:rPr>
                <w:rFonts w:ascii="Arial Narrow" w:eastAsia="Calibri" w:hAnsi="Arial Narrow" w:cs="Times New Roman"/>
                <w:sz w:val="20"/>
                <w:szCs w:val="20"/>
              </w:rPr>
            </w:pPr>
            <w:r w:rsidRPr="00B36948">
              <w:rPr>
                <w:rFonts w:ascii="Arial Narrow" w:eastAsia="Calibri" w:hAnsi="Arial Narrow" w:cs="Times New Roman"/>
                <w:sz w:val="20"/>
                <w:szCs w:val="20"/>
              </w:rPr>
              <w:t>FH diagnosis rate</w:t>
            </w:r>
          </w:p>
        </w:tc>
        <w:tc>
          <w:tcPr>
            <w:tcW w:w="585" w:type="pct"/>
            <w:shd w:val="clear" w:color="auto" w:fill="auto"/>
            <w:vAlign w:val="center"/>
          </w:tcPr>
          <w:p w14:paraId="5A99C169" w14:textId="66F8DB90" w:rsidR="000F4B43" w:rsidRPr="00E453D0" w:rsidRDefault="00650CB8" w:rsidP="000F4B43">
            <w:pPr>
              <w:keepNext/>
              <w:jc w:val="center"/>
              <w:rPr>
                <w:rFonts w:ascii="Arial Narrow" w:hAnsi="Arial Narrow"/>
                <w:sz w:val="20"/>
                <w:szCs w:val="20"/>
                <w:highlight w:val="darkGray"/>
              </w:rPr>
            </w:pPr>
            <w:r w:rsidRPr="00650CB8">
              <w:rPr>
                <w:rFonts w:ascii="Arial Narrow" w:hAnsi="Arial Narrow"/>
                <w:color w:val="000000"/>
                <w:spacing w:val="79"/>
                <w:sz w:val="20"/>
                <w:szCs w:val="20"/>
                <w:shd w:val="solid" w:color="000000" w:fill="000000"/>
                <w:fitText w:val="410" w:id="-1435748342"/>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410" w:id="-1435748342"/>
                <w14:textFill>
                  <w14:solidFill>
                    <w14:srgbClr w14:val="000000">
                      <w14:alpha w14:val="100000"/>
                    </w14:srgbClr>
                  </w14:solidFill>
                </w14:textFill>
              </w:rPr>
              <w:t>|</w:t>
            </w:r>
            <w:r w:rsidR="000F4B43" w:rsidRPr="0022677F">
              <w:rPr>
                <w:rFonts w:ascii="Arial Narrow" w:hAnsi="Arial Narrow"/>
                <w:sz w:val="20"/>
                <w:szCs w:val="20"/>
              </w:rPr>
              <w:t>%</w:t>
            </w:r>
          </w:p>
        </w:tc>
        <w:tc>
          <w:tcPr>
            <w:tcW w:w="586" w:type="pct"/>
            <w:shd w:val="clear" w:color="auto" w:fill="auto"/>
            <w:vAlign w:val="center"/>
          </w:tcPr>
          <w:p w14:paraId="579DB6BB" w14:textId="2772470F" w:rsidR="000F4B43" w:rsidRPr="00E453D0" w:rsidRDefault="00650CB8" w:rsidP="000F4B43">
            <w:pPr>
              <w:keepNext/>
              <w:jc w:val="center"/>
              <w:rPr>
                <w:rFonts w:ascii="Arial Narrow" w:hAnsi="Arial Narrow"/>
                <w:sz w:val="20"/>
                <w:szCs w:val="20"/>
                <w:highlight w:val="darkGray"/>
              </w:rPr>
            </w:pPr>
            <w:r w:rsidRPr="00650CB8">
              <w:rPr>
                <w:rFonts w:ascii="Arial Narrow" w:hAnsi="Arial Narrow"/>
                <w:color w:val="000000"/>
                <w:spacing w:val="79"/>
                <w:sz w:val="20"/>
                <w:szCs w:val="20"/>
                <w:shd w:val="solid" w:color="000000" w:fill="000000"/>
                <w:fitText w:val="410" w:id="-1435748341"/>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410" w:id="-1435748341"/>
                <w14:textFill>
                  <w14:solidFill>
                    <w14:srgbClr w14:val="000000">
                      <w14:alpha w14:val="100000"/>
                    </w14:srgbClr>
                  </w14:solidFill>
                </w14:textFill>
              </w:rPr>
              <w:t>|</w:t>
            </w:r>
            <w:r w:rsidR="000F4B43" w:rsidRPr="0022677F">
              <w:rPr>
                <w:rFonts w:ascii="Arial Narrow" w:hAnsi="Arial Narrow"/>
                <w:sz w:val="20"/>
                <w:szCs w:val="20"/>
              </w:rPr>
              <w:t>%</w:t>
            </w:r>
          </w:p>
        </w:tc>
        <w:tc>
          <w:tcPr>
            <w:tcW w:w="586" w:type="pct"/>
            <w:shd w:val="clear" w:color="auto" w:fill="auto"/>
            <w:vAlign w:val="center"/>
          </w:tcPr>
          <w:p w14:paraId="5877F8C0" w14:textId="0EAE8566" w:rsidR="000F4B43" w:rsidRPr="00E453D0" w:rsidRDefault="00650CB8" w:rsidP="000F4B43">
            <w:pPr>
              <w:keepNext/>
              <w:jc w:val="center"/>
              <w:rPr>
                <w:rFonts w:ascii="Arial Narrow" w:hAnsi="Arial Narrow"/>
                <w:sz w:val="20"/>
                <w:szCs w:val="20"/>
                <w:highlight w:val="darkGray"/>
              </w:rPr>
            </w:pPr>
            <w:r w:rsidRPr="00650CB8">
              <w:rPr>
                <w:rFonts w:ascii="Arial Narrow" w:hAnsi="Arial Narrow"/>
                <w:color w:val="000000"/>
                <w:spacing w:val="79"/>
                <w:sz w:val="20"/>
                <w:szCs w:val="20"/>
                <w:shd w:val="solid" w:color="000000" w:fill="000000"/>
                <w:fitText w:val="410" w:id="-1435748340"/>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410" w:id="-1435748340"/>
                <w14:textFill>
                  <w14:solidFill>
                    <w14:srgbClr w14:val="000000">
                      <w14:alpha w14:val="100000"/>
                    </w14:srgbClr>
                  </w14:solidFill>
                </w14:textFill>
              </w:rPr>
              <w:t>|</w:t>
            </w:r>
            <w:r w:rsidR="000F4B43" w:rsidRPr="0022677F">
              <w:rPr>
                <w:rFonts w:ascii="Arial Narrow" w:hAnsi="Arial Narrow"/>
                <w:sz w:val="20"/>
                <w:szCs w:val="20"/>
              </w:rPr>
              <w:t>%</w:t>
            </w:r>
          </w:p>
        </w:tc>
        <w:tc>
          <w:tcPr>
            <w:tcW w:w="586" w:type="pct"/>
            <w:shd w:val="clear" w:color="auto" w:fill="auto"/>
            <w:vAlign w:val="center"/>
          </w:tcPr>
          <w:p w14:paraId="0D8ECF45" w14:textId="5310ED31" w:rsidR="000F4B43" w:rsidRPr="00E453D0" w:rsidRDefault="00650CB8" w:rsidP="000F4B43">
            <w:pPr>
              <w:keepNext/>
              <w:jc w:val="center"/>
              <w:rPr>
                <w:rFonts w:ascii="Arial Narrow" w:hAnsi="Arial Narrow"/>
                <w:sz w:val="20"/>
                <w:szCs w:val="20"/>
                <w:highlight w:val="darkGray"/>
              </w:rPr>
            </w:pPr>
            <w:r w:rsidRPr="00650CB8">
              <w:rPr>
                <w:rFonts w:ascii="Arial Narrow" w:hAnsi="Arial Narrow"/>
                <w:color w:val="000000"/>
                <w:spacing w:val="79"/>
                <w:sz w:val="20"/>
                <w:szCs w:val="20"/>
                <w:shd w:val="solid" w:color="000000" w:fill="000000"/>
                <w:fitText w:val="410" w:id="-1435748339"/>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410" w:id="-1435748339"/>
                <w14:textFill>
                  <w14:solidFill>
                    <w14:srgbClr w14:val="000000">
                      <w14:alpha w14:val="100000"/>
                    </w14:srgbClr>
                  </w14:solidFill>
                </w14:textFill>
              </w:rPr>
              <w:t>|</w:t>
            </w:r>
            <w:r w:rsidR="000F4B43" w:rsidRPr="0022677F">
              <w:rPr>
                <w:rFonts w:ascii="Arial Narrow" w:hAnsi="Arial Narrow"/>
                <w:sz w:val="20"/>
                <w:szCs w:val="20"/>
              </w:rPr>
              <w:t>%</w:t>
            </w:r>
          </w:p>
        </w:tc>
        <w:tc>
          <w:tcPr>
            <w:tcW w:w="586" w:type="pct"/>
            <w:tcBorders>
              <w:right w:val="single" w:sz="4" w:space="0" w:color="auto"/>
            </w:tcBorders>
            <w:shd w:val="clear" w:color="auto" w:fill="auto"/>
            <w:vAlign w:val="center"/>
          </w:tcPr>
          <w:p w14:paraId="3AB244A9" w14:textId="7E4B5D36" w:rsidR="000F4B43" w:rsidRPr="00E453D0" w:rsidRDefault="00650CB8" w:rsidP="000F4B43">
            <w:pPr>
              <w:keepNext/>
              <w:jc w:val="center"/>
              <w:rPr>
                <w:rFonts w:ascii="Arial Narrow" w:hAnsi="Arial Narrow"/>
                <w:sz w:val="20"/>
                <w:szCs w:val="20"/>
                <w:highlight w:val="darkGray"/>
              </w:rPr>
            </w:pPr>
            <w:r w:rsidRPr="00650CB8">
              <w:rPr>
                <w:rFonts w:ascii="Arial Narrow" w:hAnsi="Arial Narrow"/>
                <w:color w:val="000000"/>
                <w:spacing w:val="79"/>
                <w:sz w:val="20"/>
                <w:szCs w:val="20"/>
                <w:shd w:val="solid" w:color="000000" w:fill="000000"/>
                <w:fitText w:val="410" w:id="-1435748338"/>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410" w:id="-1435748338"/>
                <w14:textFill>
                  <w14:solidFill>
                    <w14:srgbClr w14:val="000000">
                      <w14:alpha w14:val="100000"/>
                    </w14:srgbClr>
                  </w14:solidFill>
                </w14:textFill>
              </w:rPr>
              <w:t>|</w:t>
            </w:r>
            <w:r w:rsidR="000F4B43" w:rsidRPr="0022677F">
              <w:rPr>
                <w:rFonts w:ascii="Arial Narrow" w:hAnsi="Arial Narrow"/>
                <w:sz w:val="20"/>
                <w:szCs w:val="20"/>
              </w:rPr>
              <w:t>%</w:t>
            </w:r>
          </w:p>
        </w:tc>
        <w:tc>
          <w:tcPr>
            <w:tcW w:w="586" w:type="pct"/>
            <w:tcBorders>
              <w:right w:val="single" w:sz="4" w:space="0" w:color="auto"/>
            </w:tcBorders>
            <w:vAlign w:val="center"/>
          </w:tcPr>
          <w:p w14:paraId="6400E2E1" w14:textId="5A4E49E6" w:rsidR="000F4B43" w:rsidRPr="00E453D0" w:rsidRDefault="00650CB8" w:rsidP="000F4B43">
            <w:pPr>
              <w:keepNext/>
              <w:jc w:val="center"/>
              <w:rPr>
                <w:rFonts w:ascii="Arial Narrow" w:hAnsi="Arial Narrow"/>
                <w:sz w:val="20"/>
                <w:szCs w:val="20"/>
                <w:highlight w:val="darkGray"/>
              </w:rPr>
            </w:pPr>
            <w:r w:rsidRPr="00650CB8">
              <w:rPr>
                <w:rFonts w:ascii="Arial Narrow" w:hAnsi="Arial Narrow"/>
                <w:color w:val="000000"/>
                <w:spacing w:val="79"/>
                <w:sz w:val="20"/>
                <w:szCs w:val="20"/>
                <w:shd w:val="solid" w:color="000000" w:fill="000000"/>
                <w:fitText w:val="410" w:id="-1435748337"/>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410" w:id="-1435748337"/>
                <w14:textFill>
                  <w14:solidFill>
                    <w14:srgbClr w14:val="000000">
                      <w14:alpha w14:val="100000"/>
                    </w14:srgbClr>
                  </w14:solidFill>
                </w14:textFill>
              </w:rPr>
              <w:t>|</w:t>
            </w:r>
            <w:r w:rsidR="000F4B43" w:rsidRPr="0022677F">
              <w:rPr>
                <w:rFonts w:ascii="Arial Narrow" w:hAnsi="Arial Narrow"/>
                <w:sz w:val="20"/>
                <w:szCs w:val="20"/>
              </w:rPr>
              <w:t>%</w:t>
            </w:r>
          </w:p>
        </w:tc>
      </w:tr>
      <w:tr w:rsidR="000F4B43" w:rsidRPr="00B36948" w14:paraId="13BF8170" w14:textId="77777777" w:rsidTr="000F4B43">
        <w:tc>
          <w:tcPr>
            <w:tcW w:w="1487" w:type="pct"/>
            <w:tcBorders>
              <w:left w:val="single" w:sz="4" w:space="0" w:color="auto"/>
              <w:bottom w:val="single" w:sz="4" w:space="0" w:color="auto"/>
            </w:tcBorders>
            <w:shd w:val="clear" w:color="auto" w:fill="auto"/>
            <w:vAlign w:val="center"/>
          </w:tcPr>
          <w:p w14:paraId="329FCA94" w14:textId="77777777" w:rsidR="000F4B43" w:rsidRPr="00B36948" w:rsidRDefault="000F4B43" w:rsidP="000F4B43">
            <w:pPr>
              <w:keepNext/>
              <w:jc w:val="left"/>
              <w:rPr>
                <w:rFonts w:ascii="Arial Narrow" w:eastAsia="Calibri" w:hAnsi="Arial Narrow" w:cs="Times New Roman"/>
                <w:sz w:val="20"/>
                <w:szCs w:val="20"/>
              </w:rPr>
            </w:pPr>
            <w:r w:rsidRPr="00B36948">
              <w:rPr>
                <w:rFonts w:ascii="Arial Narrow" w:eastAsia="Calibri" w:hAnsi="Arial Narrow" w:cs="Times New Roman"/>
                <w:sz w:val="20"/>
                <w:szCs w:val="20"/>
              </w:rPr>
              <w:t>Diagnosed FH patients</w:t>
            </w:r>
          </w:p>
        </w:tc>
        <w:tc>
          <w:tcPr>
            <w:tcW w:w="585" w:type="pct"/>
            <w:shd w:val="clear" w:color="auto" w:fill="auto"/>
          </w:tcPr>
          <w:p w14:paraId="372B663C" w14:textId="445CFC99" w:rsidR="000F4B43" w:rsidRPr="00E453D0" w:rsidRDefault="00650CB8" w:rsidP="000F4B43">
            <w:pPr>
              <w:keepNext/>
              <w:jc w:val="center"/>
              <w:rPr>
                <w:rFonts w:ascii="Arial Narrow" w:hAnsi="Arial Narrow"/>
                <w:color w:val="000000"/>
                <w:sz w:val="20"/>
                <w:szCs w:val="20"/>
                <w:highlight w:val="darkGray"/>
              </w:rPr>
            </w:pPr>
            <w:r w:rsidRPr="00650CB8">
              <w:rPr>
                <w:rFonts w:ascii="Arial Narrow" w:hAnsi="Arial Narrow"/>
                <w:color w:val="000000"/>
                <w:spacing w:val="63"/>
                <w:sz w:val="20"/>
                <w:szCs w:val="20"/>
                <w:shd w:val="solid" w:color="000000" w:fill="000000"/>
                <w:fitText w:val="360" w:id="-1435748336"/>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60" w:id="-1435748336"/>
                <w14:textFill>
                  <w14:solidFill>
                    <w14:srgbClr w14:val="000000">
                      <w14:alpha w14:val="100000"/>
                    </w14:srgbClr>
                  </w14:solidFill>
                </w14:textFill>
              </w:rPr>
              <w:t>|</w:t>
            </w:r>
            <w:r w:rsidR="0022677F">
              <w:rPr>
                <w:rFonts w:ascii="Arial Narrow" w:hAnsi="Arial Narrow"/>
                <w:color w:val="000000"/>
                <w:sz w:val="20"/>
                <w:szCs w:val="20"/>
                <w:vertAlign w:val="superscript"/>
              </w:rPr>
              <w:t>2</w:t>
            </w:r>
          </w:p>
        </w:tc>
        <w:tc>
          <w:tcPr>
            <w:tcW w:w="586" w:type="pct"/>
            <w:shd w:val="clear" w:color="auto" w:fill="auto"/>
          </w:tcPr>
          <w:p w14:paraId="16FDD6CE" w14:textId="71B0437A" w:rsidR="000F4B43" w:rsidRPr="00E453D0" w:rsidRDefault="00650CB8" w:rsidP="000F4B43">
            <w:pPr>
              <w:keepNext/>
              <w:jc w:val="center"/>
              <w:rPr>
                <w:rFonts w:ascii="Arial Narrow" w:hAnsi="Arial Narrow"/>
                <w:color w:val="000000"/>
                <w:sz w:val="20"/>
                <w:szCs w:val="20"/>
                <w:highlight w:val="darkGray"/>
              </w:rPr>
            </w:pPr>
            <w:r w:rsidRPr="00650CB8">
              <w:rPr>
                <w:rFonts w:ascii="Arial Narrow" w:hAnsi="Arial Narrow"/>
                <w:color w:val="000000"/>
                <w:spacing w:val="63"/>
                <w:sz w:val="20"/>
                <w:szCs w:val="20"/>
                <w:shd w:val="solid" w:color="000000" w:fill="000000"/>
                <w:fitText w:val="360" w:id="-1435748352"/>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60" w:id="-1435748352"/>
                <w14:textFill>
                  <w14:solidFill>
                    <w14:srgbClr w14:val="000000">
                      <w14:alpha w14:val="100000"/>
                    </w14:srgbClr>
                  </w14:solidFill>
                </w14:textFill>
              </w:rPr>
              <w:t>|</w:t>
            </w:r>
            <w:r w:rsidR="0022677F">
              <w:rPr>
                <w:rFonts w:ascii="Arial Narrow" w:hAnsi="Arial Narrow"/>
                <w:color w:val="000000"/>
                <w:sz w:val="20"/>
                <w:szCs w:val="20"/>
                <w:vertAlign w:val="superscript"/>
              </w:rPr>
              <w:t>2</w:t>
            </w:r>
          </w:p>
        </w:tc>
        <w:tc>
          <w:tcPr>
            <w:tcW w:w="586" w:type="pct"/>
            <w:shd w:val="clear" w:color="auto" w:fill="auto"/>
          </w:tcPr>
          <w:p w14:paraId="2326497F" w14:textId="7CDB5825" w:rsidR="000F4B43" w:rsidRPr="00E453D0" w:rsidRDefault="00650CB8" w:rsidP="000F4B43">
            <w:pPr>
              <w:keepNext/>
              <w:jc w:val="center"/>
              <w:rPr>
                <w:rFonts w:ascii="Arial Narrow" w:hAnsi="Arial Narrow"/>
                <w:color w:val="000000"/>
                <w:sz w:val="20"/>
                <w:szCs w:val="20"/>
                <w:highlight w:val="darkGray"/>
              </w:rPr>
            </w:pPr>
            <w:r w:rsidRPr="00650CB8">
              <w:rPr>
                <w:rFonts w:ascii="Arial Narrow" w:hAnsi="Arial Narrow"/>
                <w:color w:val="000000"/>
                <w:spacing w:val="63"/>
                <w:sz w:val="20"/>
                <w:szCs w:val="20"/>
                <w:shd w:val="solid" w:color="000000" w:fill="000000"/>
                <w:fitText w:val="360" w:id="-1435748351"/>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60" w:id="-1435748351"/>
                <w14:textFill>
                  <w14:solidFill>
                    <w14:srgbClr w14:val="000000">
                      <w14:alpha w14:val="100000"/>
                    </w14:srgbClr>
                  </w14:solidFill>
                </w14:textFill>
              </w:rPr>
              <w:t>|</w:t>
            </w:r>
            <w:r w:rsidR="0022677F">
              <w:rPr>
                <w:rFonts w:ascii="Arial Narrow" w:hAnsi="Arial Narrow"/>
                <w:color w:val="000000"/>
                <w:sz w:val="20"/>
                <w:szCs w:val="20"/>
                <w:vertAlign w:val="superscript"/>
              </w:rPr>
              <w:t>3</w:t>
            </w:r>
          </w:p>
        </w:tc>
        <w:tc>
          <w:tcPr>
            <w:tcW w:w="586" w:type="pct"/>
            <w:shd w:val="clear" w:color="auto" w:fill="auto"/>
          </w:tcPr>
          <w:p w14:paraId="0EDE4A82" w14:textId="0DE2D871" w:rsidR="000F4B43" w:rsidRPr="00E453D0" w:rsidRDefault="00650CB8" w:rsidP="000F4B43">
            <w:pPr>
              <w:keepNext/>
              <w:jc w:val="center"/>
              <w:rPr>
                <w:rFonts w:ascii="Arial Narrow" w:hAnsi="Arial Narrow"/>
                <w:color w:val="000000"/>
                <w:sz w:val="20"/>
                <w:szCs w:val="20"/>
                <w:highlight w:val="darkGray"/>
              </w:rPr>
            </w:pPr>
            <w:r w:rsidRPr="00650CB8">
              <w:rPr>
                <w:rFonts w:ascii="Arial Narrow" w:hAnsi="Arial Narrow"/>
                <w:color w:val="000000"/>
                <w:spacing w:val="63"/>
                <w:sz w:val="20"/>
                <w:szCs w:val="20"/>
                <w:shd w:val="solid" w:color="000000" w:fill="000000"/>
                <w:fitText w:val="360" w:id="-1435748350"/>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60" w:id="-1435748350"/>
                <w14:textFill>
                  <w14:solidFill>
                    <w14:srgbClr w14:val="000000">
                      <w14:alpha w14:val="100000"/>
                    </w14:srgbClr>
                  </w14:solidFill>
                </w14:textFill>
              </w:rPr>
              <w:t>|</w:t>
            </w:r>
            <w:r w:rsidR="0022677F">
              <w:rPr>
                <w:rFonts w:ascii="Arial Narrow" w:hAnsi="Arial Narrow"/>
                <w:color w:val="000000"/>
                <w:sz w:val="20"/>
                <w:szCs w:val="20"/>
                <w:vertAlign w:val="superscript"/>
              </w:rPr>
              <w:t>3</w:t>
            </w:r>
          </w:p>
        </w:tc>
        <w:tc>
          <w:tcPr>
            <w:tcW w:w="586" w:type="pct"/>
            <w:tcBorders>
              <w:right w:val="single" w:sz="4" w:space="0" w:color="auto"/>
            </w:tcBorders>
            <w:shd w:val="clear" w:color="auto" w:fill="auto"/>
          </w:tcPr>
          <w:p w14:paraId="00DD07A4" w14:textId="5FD7EE48" w:rsidR="000F4B43" w:rsidRPr="00E453D0" w:rsidRDefault="00650CB8" w:rsidP="000F4B43">
            <w:pPr>
              <w:keepNext/>
              <w:jc w:val="center"/>
              <w:rPr>
                <w:rFonts w:ascii="Arial Narrow" w:hAnsi="Arial Narrow"/>
                <w:color w:val="000000"/>
                <w:sz w:val="20"/>
                <w:szCs w:val="20"/>
                <w:highlight w:val="darkGray"/>
              </w:rPr>
            </w:pPr>
            <w:r w:rsidRPr="00650CB8">
              <w:rPr>
                <w:rFonts w:ascii="Arial Narrow" w:hAnsi="Arial Narrow"/>
                <w:color w:val="000000"/>
                <w:spacing w:val="63"/>
                <w:sz w:val="20"/>
                <w:szCs w:val="20"/>
                <w:shd w:val="solid" w:color="000000" w:fill="000000"/>
                <w:fitText w:val="360" w:id="-1435748349"/>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60" w:id="-1435748349"/>
                <w14:textFill>
                  <w14:solidFill>
                    <w14:srgbClr w14:val="000000">
                      <w14:alpha w14:val="100000"/>
                    </w14:srgbClr>
                  </w14:solidFill>
                </w14:textFill>
              </w:rPr>
              <w:t>|</w:t>
            </w:r>
            <w:r w:rsidR="0022677F">
              <w:rPr>
                <w:rFonts w:ascii="Arial Narrow" w:hAnsi="Arial Narrow"/>
                <w:color w:val="000000"/>
                <w:sz w:val="20"/>
                <w:szCs w:val="20"/>
                <w:vertAlign w:val="superscript"/>
              </w:rPr>
              <w:t>3</w:t>
            </w:r>
          </w:p>
        </w:tc>
        <w:tc>
          <w:tcPr>
            <w:tcW w:w="586" w:type="pct"/>
            <w:tcBorders>
              <w:right w:val="single" w:sz="4" w:space="0" w:color="auto"/>
            </w:tcBorders>
          </w:tcPr>
          <w:p w14:paraId="3A7ACAB6" w14:textId="482D0612" w:rsidR="000F4B43" w:rsidRPr="00E453D0" w:rsidRDefault="00650CB8" w:rsidP="000F4B43">
            <w:pPr>
              <w:keepNext/>
              <w:jc w:val="center"/>
              <w:rPr>
                <w:rFonts w:ascii="Arial Narrow" w:hAnsi="Arial Narrow"/>
                <w:color w:val="000000"/>
                <w:sz w:val="20"/>
                <w:szCs w:val="20"/>
                <w:highlight w:val="darkGray"/>
              </w:rPr>
            </w:pPr>
            <w:r w:rsidRPr="00650CB8">
              <w:rPr>
                <w:rFonts w:ascii="Arial Narrow" w:hAnsi="Arial Narrow"/>
                <w:color w:val="000000"/>
                <w:spacing w:val="63"/>
                <w:sz w:val="20"/>
                <w:szCs w:val="20"/>
                <w:shd w:val="solid" w:color="000000" w:fill="000000"/>
                <w:fitText w:val="360" w:id="-1435748348"/>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60" w:id="-1435748348"/>
                <w14:textFill>
                  <w14:solidFill>
                    <w14:srgbClr w14:val="000000">
                      <w14:alpha w14:val="100000"/>
                    </w14:srgbClr>
                  </w14:solidFill>
                </w14:textFill>
              </w:rPr>
              <w:t>|</w:t>
            </w:r>
            <w:r w:rsidR="0022677F">
              <w:rPr>
                <w:rFonts w:ascii="Arial Narrow" w:hAnsi="Arial Narrow"/>
                <w:color w:val="000000"/>
                <w:sz w:val="20"/>
                <w:szCs w:val="20"/>
                <w:vertAlign w:val="superscript"/>
              </w:rPr>
              <w:t>3</w:t>
            </w:r>
          </w:p>
        </w:tc>
      </w:tr>
      <w:tr w:rsidR="000F4B43" w:rsidRPr="00B36948" w14:paraId="0764F6E6" w14:textId="77777777" w:rsidTr="000F4B43">
        <w:tc>
          <w:tcPr>
            <w:tcW w:w="1487" w:type="pct"/>
            <w:tcBorders>
              <w:left w:val="single" w:sz="4" w:space="0" w:color="auto"/>
              <w:bottom w:val="single" w:sz="4" w:space="0" w:color="auto"/>
            </w:tcBorders>
            <w:shd w:val="clear" w:color="auto" w:fill="auto"/>
            <w:vAlign w:val="center"/>
          </w:tcPr>
          <w:p w14:paraId="34D5520C" w14:textId="77777777" w:rsidR="000F4B43" w:rsidRPr="00B36948" w:rsidRDefault="000F4B43" w:rsidP="000F4B43">
            <w:pPr>
              <w:keepNext/>
              <w:jc w:val="left"/>
              <w:rPr>
                <w:rFonts w:ascii="Arial Narrow" w:eastAsia="Calibri" w:hAnsi="Arial Narrow" w:cs="Times New Roman"/>
                <w:sz w:val="20"/>
                <w:szCs w:val="20"/>
              </w:rPr>
            </w:pPr>
            <w:r w:rsidRPr="00B36948">
              <w:rPr>
                <w:rFonts w:ascii="Arial Narrow" w:eastAsia="Calibri" w:hAnsi="Arial Narrow" w:cs="Times New Roman"/>
                <w:sz w:val="20"/>
                <w:szCs w:val="20"/>
              </w:rPr>
              <w:t>W/ symptomatic ASCVD (40%)</w:t>
            </w:r>
          </w:p>
        </w:tc>
        <w:tc>
          <w:tcPr>
            <w:tcW w:w="585" w:type="pct"/>
            <w:shd w:val="clear" w:color="auto" w:fill="auto"/>
            <w:vAlign w:val="center"/>
          </w:tcPr>
          <w:p w14:paraId="76B95E36" w14:textId="3953A512" w:rsidR="000F4B43" w:rsidRPr="00E453D0" w:rsidRDefault="00650CB8" w:rsidP="000F4B43">
            <w:pPr>
              <w:keepNext/>
              <w:jc w:val="center"/>
              <w:rPr>
                <w:rFonts w:ascii="Arial Narrow" w:hAnsi="Arial Narrow"/>
                <w:color w:val="000000"/>
                <w:sz w:val="20"/>
                <w:szCs w:val="20"/>
                <w:highlight w:val="darkGray"/>
              </w:rPr>
            </w:pPr>
            <w:r w:rsidRPr="00650CB8">
              <w:rPr>
                <w:rFonts w:ascii="Arial Narrow" w:hAnsi="Arial Narrow"/>
                <w:color w:val="000000"/>
                <w:spacing w:val="63"/>
                <w:sz w:val="20"/>
                <w:szCs w:val="20"/>
                <w:shd w:val="solid" w:color="000000" w:fill="000000"/>
                <w:fitText w:val="360" w:id="-1435748347"/>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60" w:id="-1435748347"/>
                <w14:textFill>
                  <w14:solidFill>
                    <w14:srgbClr w14:val="000000">
                      <w14:alpha w14:val="100000"/>
                    </w14:srgbClr>
                  </w14:solidFill>
                </w14:textFill>
              </w:rPr>
              <w:t>|</w:t>
            </w:r>
            <w:r w:rsidR="0022677F">
              <w:rPr>
                <w:rFonts w:ascii="Arial Narrow" w:hAnsi="Arial Narrow"/>
                <w:color w:val="000000"/>
                <w:sz w:val="20"/>
                <w:szCs w:val="20"/>
                <w:vertAlign w:val="superscript"/>
              </w:rPr>
              <w:t>4</w:t>
            </w:r>
          </w:p>
        </w:tc>
        <w:tc>
          <w:tcPr>
            <w:tcW w:w="586" w:type="pct"/>
            <w:shd w:val="clear" w:color="auto" w:fill="auto"/>
            <w:vAlign w:val="center"/>
          </w:tcPr>
          <w:p w14:paraId="4060453D" w14:textId="3AB60A25" w:rsidR="000F4B43" w:rsidRPr="00E453D0" w:rsidRDefault="00650CB8" w:rsidP="000F4B43">
            <w:pPr>
              <w:keepNext/>
              <w:jc w:val="center"/>
              <w:rPr>
                <w:rFonts w:ascii="Arial Narrow" w:hAnsi="Arial Narrow"/>
                <w:color w:val="000000"/>
                <w:sz w:val="20"/>
                <w:szCs w:val="20"/>
                <w:highlight w:val="darkGray"/>
              </w:rPr>
            </w:pPr>
            <w:r w:rsidRPr="00650CB8">
              <w:rPr>
                <w:rFonts w:ascii="Arial Narrow" w:hAnsi="Arial Narrow"/>
                <w:color w:val="000000"/>
                <w:spacing w:val="63"/>
                <w:sz w:val="20"/>
                <w:szCs w:val="20"/>
                <w:shd w:val="solid" w:color="000000" w:fill="000000"/>
                <w:fitText w:val="360" w:id="-1435748346"/>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60" w:id="-1435748346"/>
                <w14:textFill>
                  <w14:solidFill>
                    <w14:srgbClr w14:val="000000">
                      <w14:alpha w14:val="100000"/>
                    </w14:srgbClr>
                  </w14:solidFill>
                </w14:textFill>
              </w:rPr>
              <w:t>|</w:t>
            </w:r>
            <w:r w:rsidR="0022677F">
              <w:rPr>
                <w:rFonts w:ascii="Arial Narrow" w:hAnsi="Arial Narrow"/>
                <w:color w:val="000000"/>
                <w:sz w:val="20"/>
                <w:szCs w:val="20"/>
                <w:vertAlign w:val="superscript"/>
              </w:rPr>
              <w:t>4</w:t>
            </w:r>
          </w:p>
        </w:tc>
        <w:tc>
          <w:tcPr>
            <w:tcW w:w="586" w:type="pct"/>
            <w:shd w:val="clear" w:color="auto" w:fill="auto"/>
            <w:vAlign w:val="center"/>
          </w:tcPr>
          <w:p w14:paraId="484D064F" w14:textId="65899300" w:rsidR="000F4B43" w:rsidRPr="00E453D0" w:rsidRDefault="00650CB8" w:rsidP="000F4B43">
            <w:pPr>
              <w:keepNext/>
              <w:jc w:val="center"/>
              <w:rPr>
                <w:rFonts w:ascii="Arial Narrow" w:hAnsi="Arial Narrow"/>
                <w:color w:val="000000"/>
                <w:sz w:val="20"/>
                <w:szCs w:val="20"/>
                <w:highlight w:val="darkGray"/>
              </w:rPr>
            </w:pPr>
            <w:r w:rsidRPr="00650CB8">
              <w:rPr>
                <w:rFonts w:ascii="Arial Narrow" w:hAnsi="Arial Narrow"/>
                <w:color w:val="000000"/>
                <w:spacing w:val="63"/>
                <w:sz w:val="20"/>
                <w:szCs w:val="20"/>
                <w:shd w:val="solid" w:color="000000" w:fill="000000"/>
                <w:fitText w:val="360" w:id="-1435748345"/>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60" w:id="-1435748345"/>
                <w14:textFill>
                  <w14:solidFill>
                    <w14:srgbClr w14:val="000000">
                      <w14:alpha w14:val="100000"/>
                    </w14:srgbClr>
                  </w14:solidFill>
                </w14:textFill>
              </w:rPr>
              <w:t>|</w:t>
            </w:r>
            <w:r w:rsidR="0022677F">
              <w:rPr>
                <w:rFonts w:ascii="Arial Narrow" w:hAnsi="Arial Narrow"/>
                <w:color w:val="000000"/>
                <w:sz w:val="20"/>
                <w:szCs w:val="20"/>
                <w:vertAlign w:val="superscript"/>
              </w:rPr>
              <w:t>4</w:t>
            </w:r>
          </w:p>
        </w:tc>
        <w:tc>
          <w:tcPr>
            <w:tcW w:w="586" w:type="pct"/>
            <w:shd w:val="clear" w:color="auto" w:fill="auto"/>
            <w:vAlign w:val="center"/>
          </w:tcPr>
          <w:p w14:paraId="4DF7D3AC" w14:textId="6AE76DF0" w:rsidR="000F4B43" w:rsidRPr="00E453D0" w:rsidRDefault="00650CB8" w:rsidP="000F4B43">
            <w:pPr>
              <w:keepNext/>
              <w:jc w:val="center"/>
              <w:rPr>
                <w:rFonts w:ascii="Arial Narrow" w:hAnsi="Arial Narrow"/>
                <w:color w:val="000000"/>
                <w:sz w:val="20"/>
                <w:szCs w:val="20"/>
                <w:highlight w:val="darkGray"/>
              </w:rPr>
            </w:pPr>
            <w:r w:rsidRPr="00650CB8">
              <w:rPr>
                <w:rFonts w:ascii="Arial Narrow" w:hAnsi="Arial Narrow"/>
                <w:color w:val="000000"/>
                <w:spacing w:val="63"/>
                <w:sz w:val="20"/>
                <w:szCs w:val="20"/>
                <w:shd w:val="solid" w:color="000000" w:fill="000000"/>
                <w:fitText w:val="360" w:id="-1435748344"/>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60" w:id="-1435748344"/>
                <w14:textFill>
                  <w14:solidFill>
                    <w14:srgbClr w14:val="000000">
                      <w14:alpha w14:val="100000"/>
                    </w14:srgbClr>
                  </w14:solidFill>
                </w14:textFill>
              </w:rPr>
              <w:t>|</w:t>
            </w:r>
            <w:r w:rsidR="0022677F">
              <w:rPr>
                <w:rFonts w:ascii="Arial Narrow" w:hAnsi="Arial Narrow"/>
                <w:color w:val="000000"/>
                <w:sz w:val="20"/>
                <w:szCs w:val="20"/>
                <w:vertAlign w:val="superscript"/>
              </w:rPr>
              <w:t>4</w:t>
            </w:r>
          </w:p>
        </w:tc>
        <w:tc>
          <w:tcPr>
            <w:tcW w:w="586" w:type="pct"/>
            <w:tcBorders>
              <w:right w:val="single" w:sz="4" w:space="0" w:color="auto"/>
            </w:tcBorders>
            <w:shd w:val="clear" w:color="auto" w:fill="auto"/>
            <w:vAlign w:val="center"/>
          </w:tcPr>
          <w:p w14:paraId="3780588F" w14:textId="30E8ECCB" w:rsidR="000F4B43" w:rsidRPr="00E453D0" w:rsidRDefault="00650CB8" w:rsidP="000F4B43">
            <w:pPr>
              <w:keepNext/>
              <w:jc w:val="center"/>
              <w:rPr>
                <w:rFonts w:ascii="Arial Narrow" w:hAnsi="Arial Narrow"/>
                <w:color w:val="000000"/>
                <w:sz w:val="20"/>
                <w:szCs w:val="20"/>
                <w:highlight w:val="darkGray"/>
              </w:rPr>
            </w:pPr>
            <w:r w:rsidRPr="00650CB8">
              <w:rPr>
                <w:rFonts w:ascii="Arial Narrow" w:hAnsi="Arial Narrow"/>
                <w:color w:val="000000"/>
                <w:spacing w:val="63"/>
                <w:sz w:val="20"/>
                <w:szCs w:val="20"/>
                <w:shd w:val="solid" w:color="000000" w:fill="000000"/>
                <w:fitText w:val="360" w:id="-1435748343"/>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60" w:id="-1435748343"/>
                <w14:textFill>
                  <w14:solidFill>
                    <w14:srgbClr w14:val="000000">
                      <w14:alpha w14:val="100000"/>
                    </w14:srgbClr>
                  </w14:solidFill>
                </w14:textFill>
              </w:rPr>
              <w:t>|</w:t>
            </w:r>
            <w:r w:rsidR="0022677F">
              <w:rPr>
                <w:rFonts w:ascii="Arial Narrow" w:hAnsi="Arial Narrow"/>
                <w:color w:val="000000"/>
                <w:sz w:val="20"/>
                <w:szCs w:val="20"/>
                <w:vertAlign w:val="superscript"/>
              </w:rPr>
              <w:t>4</w:t>
            </w:r>
          </w:p>
        </w:tc>
        <w:tc>
          <w:tcPr>
            <w:tcW w:w="586" w:type="pct"/>
            <w:tcBorders>
              <w:right w:val="single" w:sz="4" w:space="0" w:color="auto"/>
            </w:tcBorders>
            <w:vAlign w:val="center"/>
          </w:tcPr>
          <w:p w14:paraId="51D22F14" w14:textId="090D764E" w:rsidR="000F4B43" w:rsidRPr="00E453D0" w:rsidRDefault="00650CB8" w:rsidP="000F4B43">
            <w:pPr>
              <w:keepNext/>
              <w:jc w:val="center"/>
              <w:rPr>
                <w:rFonts w:ascii="Arial Narrow" w:hAnsi="Arial Narrow"/>
                <w:color w:val="000000"/>
                <w:sz w:val="20"/>
                <w:szCs w:val="20"/>
                <w:highlight w:val="darkGray"/>
              </w:rPr>
            </w:pPr>
            <w:r w:rsidRPr="00650CB8">
              <w:rPr>
                <w:rFonts w:ascii="Arial Narrow" w:hAnsi="Arial Narrow"/>
                <w:color w:val="000000"/>
                <w:spacing w:val="63"/>
                <w:sz w:val="20"/>
                <w:szCs w:val="20"/>
                <w:shd w:val="solid" w:color="000000" w:fill="000000"/>
                <w:fitText w:val="360" w:id="-1435748342"/>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60" w:id="-1435748342"/>
                <w14:textFill>
                  <w14:solidFill>
                    <w14:srgbClr w14:val="000000">
                      <w14:alpha w14:val="100000"/>
                    </w14:srgbClr>
                  </w14:solidFill>
                </w14:textFill>
              </w:rPr>
              <w:t>|</w:t>
            </w:r>
            <w:r w:rsidR="0022677F">
              <w:rPr>
                <w:rFonts w:ascii="Arial Narrow" w:hAnsi="Arial Narrow"/>
                <w:color w:val="000000"/>
                <w:sz w:val="20"/>
                <w:szCs w:val="20"/>
                <w:vertAlign w:val="superscript"/>
              </w:rPr>
              <w:t>4</w:t>
            </w:r>
          </w:p>
        </w:tc>
      </w:tr>
      <w:tr w:rsidR="000F4B43" w:rsidRPr="00B36948" w14:paraId="4A5E4C4B" w14:textId="77777777" w:rsidTr="000F4B43">
        <w:tc>
          <w:tcPr>
            <w:tcW w:w="1487" w:type="pct"/>
            <w:tcBorders>
              <w:left w:val="single" w:sz="4" w:space="0" w:color="auto"/>
            </w:tcBorders>
            <w:shd w:val="clear" w:color="auto" w:fill="auto"/>
            <w:vAlign w:val="center"/>
          </w:tcPr>
          <w:p w14:paraId="476086DB" w14:textId="77777777" w:rsidR="000F4B43" w:rsidRPr="00B36948" w:rsidRDefault="000F4B43" w:rsidP="000F4B43">
            <w:pPr>
              <w:keepNext/>
              <w:jc w:val="left"/>
              <w:rPr>
                <w:rFonts w:ascii="Arial Narrow" w:eastAsia="Calibri" w:hAnsi="Arial Narrow" w:cs="Times New Roman"/>
                <w:b/>
                <w:bCs/>
                <w:sz w:val="20"/>
                <w:szCs w:val="20"/>
              </w:rPr>
            </w:pPr>
            <w:r w:rsidRPr="00B36948">
              <w:rPr>
                <w:rFonts w:ascii="Arial Narrow" w:eastAsia="Calibri" w:hAnsi="Arial Narrow" w:cs="Times New Roman"/>
                <w:b/>
                <w:bCs/>
                <w:sz w:val="20"/>
                <w:szCs w:val="20"/>
              </w:rPr>
              <w:t>Additional eligible patients LDL-C &gt; 1.8 ≤ 2.6 mmol/L (10%)</w:t>
            </w:r>
          </w:p>
        </w:tc>
        <w:tc>
          <w:tcPr>
            <w:tcW w:w="585" w:type="pct"/>
            <w:shd w:val="clear" w:color="auto" w:fill="auto"/>
            <w:vAlign w:val="center"/>
          </w:tcPr>
          <w:p w14:paraId="5D226D54" w14:textId="03AC5C1E" w:rsidR="000F4B43" w:rsidRPr="00E453D0" w:rsidRDefault="00650CB8" w:rsidP="000F4B43">
            <w:pPr>
              <w:keepNext/>
              <w:jc w:val="center"/>
              <w:rPr>
                <w:rFonts w:ascii="Arial Narrow" w:hAnsi="Arial Narrow"/>
                <w:b/>
                <w:sz w:val="20"/>
                <w:szCs w:val="20"/>
                <w:highlight w:val="darkGray"/>
              </w:rPr>
            </w:pPr>
            <w:r w:rsidRPr="00650CB8">
              <w:rPr>
                <w:rFonts w:ascii="Arial Narrow" w:hAnsi="Arial Narrow"/>
                <w:b/>
                <w:color w:val="000000"/>
                <w:spacing w:val="48"/>
                <w:sz w:val="20"/>
                <w:szCs w:val="20"/>
                <w:shd w:val="solid" w:color="000000" w:fill="000000"/>
                <w:fitText w:val="330" w:id="-1435748341"/>
                <w14:textFill>
                  <w14:solidFill>
                    <w14:srgbClr w14:val="000000">
                      <w14:alpha w14:val="100000"/>
                    </w14:srgbClr>
                  </w14:solidFill>
                </w14:textFill>
              </w:rPr>
              <w:t>|||</w:t>
            </w:r>
            <w:r w:rsidRPr="00650CB8">
              <w:rPr>
                <w:rFonts w:ascii="Arial Narrow" w:hAnsi="Arial Narrow"/>
                <w:b/>
                <w:color w:val="000000"/>
                <w:spacing w:val="3"/>
                <w:sz w:val="20"/>
                <w:szCs w:val="20"/>
                <w:shd w:val="solid" w:color="000000" w:fill="000000"/>
                <w:fitText w:val="330" w:id="-1435748341"/>
                <w14:textFill>
                  <w14:solidFill>
                    <w14:srgbClr w14:val="000000">
                      <w14:alpha w14:val="100000"/>
                    </w14:srgbClr>
                  </w14:solidFill>
                </w14:textFill>
              </w:rPr>
              <w:t>|</w:t>
            </w:r>
            <w:r w:rsidR="0022677F">
              <w:rPr>
                <w:rFonts w:ascii="Arial Narrow" w:hAnsi="Arial Narrow"/>
                <w:color w:val="000000"/>
                <w:sz w:val="20"/>
                <w:szCs w:val="20"/>
                <w:vertAlign w:val="superscript"/>
              </w:rPr>
              <w:t>5</w:t>
            </w:r>
          </w:p>
        </w:tc>
        <w:tc>
          <w:tcPr>
            <w:tcW w:w="586" w:type="pct"/>
            <w:shd w:val="clear" w:color="auto" w:fill="auto"/>
            <w:vAlign w:val="center"/>
          </w:tcPr>
          <w:p w14:paraId="0CC90D54" w14:textId="3922028F" w:rsidR="000F4B43" w:rsidRPr="00E453D0" w:rsidRDefault="00650CB8" w:rsidP="000F4B43">
            <w:pPr>
              <w:keepNext/>
              <w:jc w:val="center"/>
              <w:rPr>
                <w:rFonts w:ascii="Arial Narrow" w:hAnsi="Arial Narrow"/>
                <w:b/>
                <w:sz w:val="20"/>
                <w:szCs w:val="20"/>
                <w:highlight w:val="darkGray"/>
              </w:rPr>
            </w:pPr>
            <w:r w:rsidRPr="00650CB8">
              <w:rPr>
                <w:rFonts w:ascii="Arial Narrow" w:hAnsi="Arial Narrow"/>
                <w:b/>
                <w:color w:val="000000"/>
                <w:spacing w:val="48"/>
                <w:sz w:val="20"/>
                <w:szCs w:val="20"/>
                <w:shd w:val="solid" w:color="000000" w:fill="000000"/>
                <w:fitText w:val="330" w:id="-1435748340"/>
                <w14:textFill>
                  <w14:solidFill>
                    <w14:srgbClr w14:val="000000">
                      <w14:alpha w14:val="100000"/>
                    </w14:srgbClr>
                  </w14:solidFill>
                </w14:textFill>
              </w:rPr>
              <w:t>|||</w:t>
            </w:r>
            <w:r w:rsidRPr="00650CB8">
              <w:rPr>
                <w:rFonts w:ascii="Arial Narrow" w:hAnsi="Arial Narrow"/>
                <w:b/>
                <w:color w:val="000000"/>
                <w:spacing w:val="3"/>
                <w:sz w:val="20"/>
                <w:szCs w:val="20"/>
                <w:shd w:val="solid" w:color="000000" w:fill="000000"/>
                <w:fitText w:val="330" w:id="-1435748340"/>
                <w14:textFill>
                  <w14:solidFill>
                    <w14:srgbClr w14:val="000000">
                      <w14:alpha w14:val="100000"/>
                    </w14:srgbClr>
                  </w14:solidFill>
                </w14:textFill>
              </w:rPr>
              <w:t>|</w:t>
            </w:r>
            <w:r w:rsidR="0022677F">
              <w:rPr>
                <w:rFonts w:ascii="Arial Narrow" w:hAnsi="Arial Narrow"/>
                <w:color w:val="000000"/>
                <w:sz w:val="20"/>
                <w:szCs w:val="20"/>
                <w:vertAlign w:val="superscript"/>
              </w:rPr>
              <w:t>5</w:t>
            </w:r>
          </w:p>
        </w:tc>
        <w:tc>
          <w:tcPr>
            <w:tcW w:w="586" w:type="pct"/>
            <w:shd w:val="clear" w:color="auto" w:fill="auto"/>
            <w:vAlign w:val="center"/>
          </w:tcPr>
          <w:p w14:paraId="181112E1" w14:textId="2B0F2173" w:rsidR="000F4B43" w:rsidRPr="00E453D0" w:rsidRDefault="00650CB8" w:rsidP="000F4B43">
            <w:pPr>
              <w:keepNext/>
              <w:jc w:val="center"/>
              <w:rPr>
                <w:rFonts w:ascii="Arial Narrow" w:hAnsi="Arial Narrow"/>
                <w:b/>
                <w:sz w:val="20"/>
                <w:szCs w:val="20"/>
                <w:highlight w:val="darkGray"/>
              </w:rPr>
            </w:pPr>
            <w:r w:rsidRPr="00650CB8">
              <w:rPr>
                <w:rFonts w:ascii="Arial Narrow" w:hAnsi="Arial Narrow"/>
                <w:b/>
                <w:color w:val="000000"/>
                <w:spacing w:val="48"/>
                <w:sz w:val="20"/>
                <w:szCs w:val="20"/>
                <w:shd w:val="solid" w:color="000000" w:fill="000000"/>
                <w:fitText w:val="330" w:id="-1435748339"/>
                <w14:textFill>
                  <w14:solidFill>
                    <w14:srgbClr w14:val="000000">
                      <w14:alpha w14:val="100000"/>
                    </w14:srgbClr>
                  </w14:solidFill>
                </w14:textFill>
              </w:rPr>
              <w:t>|||</w:t>
            </w:r>
            <w:r w:rsidRPr="00650CB8">
              <w:rPr>
                <w:rFonts w:ascii="Arial Narrow" w:hAnsi="Arial Narrow"/>
                <w:b/>
                <w:color w:val="000000"/>
                <w:spacing w:val="3"/>
                <w:sz w:val="20"/>
                <w:szCs w:val="20"/>
                <w:shd w:val="solid" w:color="000000" w:fill="000000"/>
                <w:fitText w:val="330" w:id="-1435748339"/>
                <w14:textFill>
                  <w14:solidFill>
                    <w14:srgbClr w14:val="000000">
                      <w14:alpha w14:val="100000"/>
                    </w14:srgbClr>
                  </w14:solidFill>
                </w14:textFill>
              </w:rPr>
              <w:t>|</w:t>
            </w:r>
            <w:r w:rsidR="0022677F">
              <w:rPr>
                <w:rFonts w:ascii="Arial Narrow" w:hAnsi="Arial Narrow"/>
                <w:color w:val="000000"/>
                <w:sz w:val="20"/>
                <w:szCs w:val="20"/>
                <w:vertAlign w:val="superscript"/>
              </w:rPr>
              <w:t>5</w:t>
            </w:r>
          </w:p>
        </w:tc>
        <w:tc>
          <w:tcPr>
            <w:tcW w:w="586" w:type="pct"/>
            <w:shd w:val="clear" w:color="auto" w:fill="auto"/>
            <w:vAlign w:val="center"/>
          </w:tcPr>
          <w:p w14:paraId="620E0087" w14:textId="0783D851" w:rsidR="000F4B43" w:rsidRPr="00E453D0" w:rsidRDefault="00650CB8" w:rsidP="000F4B43">
            <w:pPr>
              <w:keepNext/>
              <w:jc w:val="center"/>
              <w:rPr>
                <w:rFonts w:ascii="Arial Narrow" w:hAnsi="Arial Narrow"/>
                <w:b/>
                <w:sz w:val="20"/>
                <w:szCs w:val="20"/>
                <w:highlight w:val="darkGray"/>
              </w:rPr>
            </w:pPr>
            <w:r w:rsidRPr="00650CB8">
              <w:rPr>
                <w:rFonts w:ascii="Arial Narrow" w:hAnsi="Arial Narrow"/>
                <w:b/>
                <w:color w:val="000000"/>
                <w:spacing w:val="48"/>
                <w:sz w:val="20"/>
                <w:szCs w:val="20"/>
                <w:shd w:val="solid" w:color="000000" w:fill="000000"/>
                <w:fitText w:val="330" w:id="-1435748338"/>
                <w14:textFill>
                  <w14:solidFill>
                    <w14:srgbClr w14:val="000000">
                      <w14:alpha w14:val="100000"/>
                    </w14:srgbClr>
                  </w14:solidFill>
                </w14:textFill>
              </w:rPr>
              <w:t>|||</w:t>
            </w:r>
            <w:r w:rsidRPr="00650CB8">
              <w:rPr>
                <w:rFonts w:ascii="Arial Narrow" w:hAnsi="Arial Narrow"/>
                <w:b/>
                <w:color w:val="000000"/>
                <w:spacing w:val="3"/>
                <w:sz w:val="20"/>
                <w:szCs w:val="20"/>
                <w:shd w:val="solid" w:color="000000" w:fill="000000"/>
                <w:fitText w:val="330" w:id="-1435748338"/>
                <w14:textFill>
                  <w14:solidFill>
                    <w14:srgbClr w14:val="000000">
                      <w14:alpha w14:val="100000"/>
                    </w14:srgbClr>
                  </w14:solidFill>
                </w14:textFill>
              </w:rPr>
              <w:t>|</w:t>
            </w:r>
            <w:r w:rsidR="0022677F">
              <w:rPr>
                <w:rFonts w:ascii="Arial Narrow" w:hAnsi="Arial Narrow"/>
                <w:color w:val="000000"/>
                <w:sz w:val="20"/>
                <w:szCs w:val="20"/>
                <w:vertAlign w:val="superscript"/>
              </w:rPr>
              <w:t>5</w:t>
            </w:r>
          </w:p>
        </w:tc>
        <w:tc>
          <w:tcPr>
            <w:tcW w:w="586" w:type="pct"/>
            <w:tcBorders>
              <w:right w:val="single" w:sz="4" w:space="0" w:color="auto"/>
            </w:tcBorders>
            <w:shd w:val="clear" w:color="auto" w:fill="auto"/>
            <w:vAlign w:val="center"/>
          </w:tcPr>
          <w:p w14:paraId="4E371D20" w14:textId="3215DE53" w:rsidR="000F4B43" w:rsidRPr="00E453D0" w:rsidRDefault="00650CB8" w:rsidP="000F4B43">
            <w:pPr>
              <w:keepNext/>
              <w:jc w:val="center"/>
              <w:rPr>
                <w:rFonts w:ascii="Arial Narrow" w:hAnsi="Arial Narrow"/>
                <w:b/>
                <w:sz w:val="20"/>
                <w:szCs w:val="20"/>
                <w:highlight w:val="darkGray"/>
              </w:rPr>
            </w:pPr>
            <w:r w:rsidRPr="00650CB8">
              <w:rPr>
                <w:rFonts w:ascii="Arial Narrow" w:hAnsi="Arial Narrow"/>
                <w:b/>
                <w:color w:val="000000"/>
                <w:spacing w:val="48"/>
                <w:sz w:val="20"/>
                <w:szCs w:val="20"/>
                <w:shd w:val="solid" w:color="000000" w:fill="000000"/>
                <w:fitText w:val="330" w:id="-1435748337"/>
                <w14:textFill>
                  <w14:solidFill>
                    <w14:srgbClr w14:val="000000">
                      <w14:alpha w14:val="100000"/>
                    </w14:srgbClr>
                  </w14:solidFill>
                </w14:textFill>
              </w:rPr>
              <w:t>|||</w:t>
            </w:r>
            <w:r w:rsidRPr="00650CB8">
              <w:rPr>
                <w:rFonts w:ascii="Arial Narrow" w:hAnsi="Arial Narrow"/>
                <w:b/>
                <w:color w:val="000000"/>
                <w:spacing w:val="3"/>
                <w:sz w:val="20"/>
                <w:szCs w:val="20"/>
                <w:shd w:val="solid" w:color="000000" w:fill="000000"/>
                <w:fitText w:val="330" w:id="-1435748337"/>
                <w14:textFill>
                  <w14:solidFill>
                    <w14:srgbClr w14:val="000000">
                      <w14:alpha w14:val="100000"/>
                    </w14:srgbClr>
                  </w14:solidFill>
                </w14:textFill>
              </w:rPr>
              <w:t>|</w:t>
            </w:r>
            <w:r w:rsidR="0022677F">
              <w:rPr>
                <w:rFonts w:ascii="Arial Narrow" w:hAnsi="Arial Narrow"/>
                <w:color w:val="000000"/>
                <w:sz w:val="20"/>
                <w:szCs w:val="20"/>
                <w:vertAlign w:val="superscript"/>
              </w:rPr>
              <w:t>5</w:t>
            </w:r>
          </w:p>
        </w:tc>
        <w:tc>
          <w:tcPr>
            <w:tcW w:w="586" w:type="pct"/>
            <w:tcBorders>
              <w:right w:val="single" w:sz="4" w:space="0" w:color="auto"/>
            </w:tcBorders>
            <w:vAlign w:val="center"/>
          </w:tcPr>
          <w:p w14:paraId="3365258C" w14:textId="4FD4CE9B" w:rsidR="000F4B43" w:rsidRPr="00E453D0" w:rsidRDefault="00650CB8" w:rsidP="000F4B43">
            <w:pPr>
              <w:keepNext/>
              <w:jc w:val="center"/>
              <w:rPr>
                <w:rFonts w:ascii="Arial Narrow" w:hAnsi="Arial Narrow"/>
                <w:b/>
                <w:sz w:val="20"/>
                <w:szCs w:val="20"/>
                <w:highlight w:val="darkGray"/>
              </w:rPr>
            </w:pPr>
            <w:r w:rsidRPr="00650CB8">
              <w:rPr>
                <w:rFonts w:ascii="Arial Narrow" w:hAnsi="Arial Narrow"/>
                <w:b/>
                <w:color w:val="000000"/>
                <w:spacing w:val="48"/>
                <w:sz w:val="20"/>
                <w:szCs w:val="20"/>
                <w:shd w:val="solid" w:color="000000" w:fill="000000"/>
                <w:fitText w:val="330" w:id="-1435748336"/>
                <w14:textFill>
                  <w14:solidFill>
                    <w14:srgbClr w14:val="000000">
                      <w14:alpha w14:val="100000"/>
                    </w14:srgbClr>
                  </w14:solidFill>
                </w14:textFill>
              </w:rPr>
              <w:t>|||</w:t>
            </w:r>
            <w:r w:rsidRPr="00650CB8">
              <w:rPr>
                <w:rFonts w:ascii="Arial Narrow" w:hAnsi="Arial Narrow"/>
                <w:b/>
                <w:color w:val="000000"/>
                <w:spacing w:val="3"/>
                <w:sz w:val="20"/>
                <w:szCs w:val="20"/>
                <w:shd w:val="solid" w:color="000000" w:fill="000000"/>
                <w:fitText w:val="330" w:id="-1435748336"/>
                <w14:textFill>
                  <w14:solidFill>
                    <w14:srgbClr w14:val="000000">
                      <w14:alpha w14:val="100000"/>
                    </w14:srgbClr>
                  </w14:solidFill>
                </w14:textFill>
              </w:rPr>
              <w:t>|</w:t>
            </w:r>
            <w:r w:rsidR="0022677F">
              <w:rPr>
                <w:rFonts w:ascii="Arial Narrow" w:hAnsi="Arial Narrow"/>
                <w:color w:val="000000"/>
                <w:sz w:val="20"/>
                <w:szCs w:val="20"/>
                <w:vertAlign w:val="superscript"/>
              </w:rPr>
              <w:t>5</w:t>
            </w:r>
          </w:p>
        </w:tc>
      </w:tr>
      <w:tr w:rsidR="000F4B43" w:rsidRPr="00B36948" w14:paraId="064DA036" w14:textId="77777777" w:rsidTr="000F4B43">
        <w:tc>
          <w:tcPr>
            <w:tcW w:w="1487" w:type="pct"/>
            <w:tcBorders>
              <w:left w:val="single" w:sz="4" w:space="0" w:color="auto"/>
            </w:tcBorders>
            <w:shd w:val="clear" w:color="auto" w:fill="auto"/>
            <w:vAlign w:val="center"/>
          </w:tcPr>
          <w:p w14:paraId="1EA1AA52" w14:textId="77777777" w:rsidR="000F4B43" w:rsidRPr="00B36948" w:rsidRDefault="000F4B43" w:rsidP="000F4B43">
            <w:pPr>
              <w:keepNext/>
              <w:jc w:val="left"/>
              <w:rPr>
                <w:rFonts w:ascii="Arial Narrow" w:eastAsia="Calibri" w:hAnsi="Arial Narrow" w:cs="Times New Roman"/>
                <w:sz w:val="20"/>
                <w:szCs w:val="20"/>
              </w:rPr>
            </w:pPr>
            <w:r w:rsidRPr="00B36948">
              <w:rPr>
                <w:rFonts w:ascii="Arial Narrow" w:eastAsia="Calibri" w:hAnsi="Arial Narrow" w:cs="Times New Roman"/>
                <w:sz w:val="20"/>
                <w:szCs w:val="20"/>
              </w:rPr>
              <w:t>Evolocumab uptake rate</w:t>
            </w:r>
          </w:p>
        </w:tc>
        <w:tc>
          <w:tcPr>
            <w:tcW w:w="585" w:type="pct"/>
            <w:shd w:val="clear" w:color="auto" w:fill="auto"/>
            <w:vAlign w:val="center"/>
          </w:tcPr>
          <w:p w14:paraId="3B0FD3CC" w14:textId="76CE0E47" w:rsidR="000F4B43" w:rsidRPr="00B36948" w:rsidRDefault="00650CB8" w:rsidP="000F4B43">
            <w:pPr>
              <w:keepNext/>
              <w:jc w:val="center"/>
              <w:rPr>
                <w:rFonts w:ascii="Arial Narrow" w:hAnsi="Arial Narrow"/>
                <w:sz w:val="20"/>
                <w:szCs w:val="20"/>
              </w:rPr>
            </w:pPr>
            <w:r w:rsidRPr="00650CB8">
              <w:rPr>
                <w:rFonts w:ascii="Arial Narrow" w:hAnsi="Arial Narrow"/>
                <w:color w:val="000000"/>
                <w:spacing w:val="79"/>
                <w:sz w:val="20"/>
                <w:szCs w:val="20"/>
                <w:shd w:val="solid" w:color="000000" w:fill="000000"/>
                <w:fitText w:val="410" w:id="-1435748352"/>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410" w:id="-1435748352"/>
                <w14:textFill>
                  <w14:solidFill>
                    <w14:srgbClr w14:val="000000">
                      <w14:alpha w14:val="100000"/>
                    </w14:srgbClr>
                  </w14:solidFill>
                </w14:textFill>
              </w:rPr>
              <w:t>|</w:t>
            </w:r>
            <w:r w:rsidR="000F4B43" w:rsidRPr="00B36948">
              <w:rPr>
                <w:rFonts w:ascii="Arial Narrow" w:hAnsi="Arial Narrow"/>
                <w:sz w:val="20"/>
                <w:szCs w:val="20"/>
              </w:rPr>
              <w:t>%</w:t>
            </w:r>
          </w:p>
        </w:tc>
        <w:tc>
          <w:tcPr>
            <w:tcW w:w="586" w:type="pct"/>
            <w:shd w:val="clear" w:color="auto" w:fill="auto"/>
            <w:vAlign w:val="center"/>
          </w:tcPr>
          <w:p w14:paraId="693D01F0" w14:textId="53CCE1C5" w:rsidR="000F4B43" w:rsidRPr="00B36948" w:rsidRDefault="00650CB8" w:rsidP="000F4B43">
            <w:pPr>
              <w:keepNext/>
              <w:jc w:val="center"/>
              <w:rPr>
                <w:rFonts w:ascii="Arial Narrow" w:hAnsi="Arial Narrow"/>
                <w:sz w:val="20"/>
                <w:szCs w:val="20"/>
              </w:rPr>
            </w:pPr>
            <w:r w:rsidRPr="00650CB8">
              <w:rPr>
                <w:rFonts w:ascii="Arial Narrow" w:hAnsi="Arial Narrow"/>
                <w:color w:val="000000"/>
                <w:spacing w:val="79"/>
                <w:sz w:val="20"/>
                <w:szCs w:val="20"/>
                <w:shd w:val="solid" w:color="000000" w:fill="000000"/>
                <w:fitText w:val="410" w:id="-1435748351"/>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410" w:id="-1435748351"/>
                <w14:textFill>
                  <w14:solidFill>
                    <w14:srgbClr w14:val="000000">
                      <w14:alpha w14:val="100000"/>
                    </w14:srgbClr>
                  </w14:solidFill>
                </w14:textFill>
              </w:rPr>
              <w:t>|</w:t>
            </w:r>
            <w:r w:rsidR="000F4B43" w:rsidRPr="00B36948">
              <w:rPr>
                <w:rFonts w:ascii="Arial Narrow" w:hAnsi="Arial Narrow"/>
                <w:sz w:val="20"/>
                <w:szCs w:val="20"/>
              </w:rPr>
              <w:t>%</w:t>
            </w:r>
          </w:p>
        </w:tc>
        <w:tc>
          <w:tcPr>
            <w:tcW w:w="586" w:type="pct"/>
            <w:shd w:val="clear" w:color="auto" w:fill="auto"/>
            <w:vAlign w:val="center"/>
          </w:tcPr>
          <w:p w14:paraId="6480434E" w14:textId="00117475" w:rsidR="000F4B43" w:rsidRPr="00B36948" w:rsidRDefault="00650CB8" w:rsidP="000F4B43">
            <w:pPr>
              <w:keepNext/>
              <w:jc w:val="center"/>
              <w:rPr>
                <w:rFonts w:ascii="Arial Narrow" w:hAnsi="Arial Narrow"/>
                <w:sz w:val="20"/>
                <w:szCs w:val="20"/>
              </w:rPr>
            </w:pPr>
            <w:r w:rsidRPr="00650CB8">
              <w:rPr>
                <w:rFonts w:ascii="Arial Narrow" w:hAnsi="Arial Narrow"/>
                <w:color w:val="000000"/>
                <w:spacing w:val="79"/>
                <w:sz w:val="20"/>
                <w:szCs w:val="20"/>
                <w:shd w:val="solid" w:color="000000" w:fill="000000"/>
                <w:fitText w:val="410" w:id="-1435748350"/>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410" w:id="-1435748350"/>
                <w14:textFill>
                  <w14:solidFill>
                    <w14:srgbClr w14:val="000000">
                      <w14:alpha w14:val="100000"/>
                    </w14:srgbClr>
                  </w14:solidFill>
                </w14:textFill>
              </w:rPr>
              <w:t>|</w:t>
            </w:r>
            <w:r w:rsidR="000F4B43" w:rsidRPr="00B36948">
              <w:rPr>
                <w:rFonts w:ascii="Arial Narrow" w:hAnsi="Arial Narrow"/>
                <w:sz w:val="20"/>
                <w:szCs w:val="20"/>
              </w:rPr>
              <w:t>%</w:t>
            </w:r>
          </w:p>
        </w:tc>
        <w:tc>
          <w:tcPr>
            <w:tcW w:w="586" w:type="pct"/>
            <w:shd w:val="clear" w:color="auto" w:fill="auto"/>
          </w:tcPr>
          <w:p w14:paraId="27A2EF7D" w14:textId="041355DD" w:rsidR="000F4B43" w:rsidRPr="00B36948" w:rsidRDefault="00650CB8" w:rsidP="000F4B43">
            <w:pPr>
              <w:keepNext/>
              <w:jc w:val="center"/>
              <w:rPr>
                <w:rFonts w:ascii="Arial Narrow" w:hAnsi="Arial Narrow"/>
                <w:sz w:val="20"/>
                <w:szCs w:val="20"/>
              </w:rPr>
            </w:pPr>
            <w:r w:rsidRPr="00650CB8">
              <w:rPr>
                <w:rFonts w:ascii="Arial Narrow" w:hAnsi="Arial Narrow"/>
                <w:color w:val="000000"/>
                <w:spacing w:val="79"/>
                <w:sz w:val="20"/>
                <w:szCs w:val="20"/>
                <w:shd w:val="solid" w:color="000000" w:fill="000000"/>
                <w:fitText w:val="410" w:id="-1435748349"/>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410" w:id="-1435748349"/>
                <w14:textFill>
                  <w14:solidFill>
                    <w14:srgbClr w14:val="000000">
                      <w14:alpha w14:val="100000"/>
                    </w14:srgbClr>
                  </w14:solidFill>
                </w14:textFill>
              </w:rPr>
              <w:t>|</w:t>
            </w:r>
            <w:r w:rsidR="000F4B43" w:rsidRPr="00B36948">
              <w:rPr>
                <w:rFonts w:ascii="Arial Narrow" w:hAnsi="Arial Narrow"/>
                <w:sz w:val="20"/>
                <w:szCs w:val="20"/>
              </w:rPr>
              <w:t>%</w:t>
            </w:r>
          </w:p>
        </w:tc>
        <w:tc>
          <w:tcPr>
            <w:tcW w:w="586" w:type="pct"/>
            <w:tcBorders>
              <w:right w:val="single" w:sz="4" w:space="0" w:color="auto"/>
            </w:tcBorders>
            <w:shd w:val="clear" w:color="auto" w:fill="auto"/>
          </w:tcPr>
          <w:p w14:paraId="30CA5452" w14:textId="34E58211" w:rsidR="000F4B43" w:rsidRPr="00B36948" w:rsidRDefault="00650CB8" w:rsidP="000F4B43">
            <w:pPr>
              <w:keepNext/>
              <w:jc w:val="center"/>
              <w:rPr>
                <w:rFonts w:ascii="Arial Narrow" w:hAnsi="Arial Narrow"/>
                <w:sz w:val="20"/>
                <w:szCs w:val="20"/>
              </w:rPr>
            </w:pPr>
            <w:r w:rsidRPr="00650CB8">
              <w:rPr>
                <w:rFonts w:ascii="Arial Narrow" w:hAnsi="Arial Narrow"/>
                <w:color w:val="000000"/>
                <w:spacing w:val="79"/>
                <w:sz w:val="20"/>
                <w:szCs w:val="20"/>
                <w:shd w:val="solid" w:color="000000" w:fill="000000"/>
                <w:fitText w:val="410" w:id="-1435748348"/>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410" w:id="-1435748348"/>
                <w14:textFill>
                  <w14:solidFill>
                    <w14:srgbClr w14:val="000000">
                      <w14:alpha w14:val="100000"/>
                    </w14:srgbClr>
                  </w14:solidFill>
                </w14:textFill>
              </w:rPr>
              <w:t>|</w:t>
            </w:r>
            <w:r w:rsidR="000F4B43" w:rsidRPr="00B36948">
              <w:rPr>
                <w:rFonts w:ascii="Arial Narrow" w:hAnsi="Arial Narrow"/>
                <w:sz w:val="20"/>
                <w:szCs w:val="20"/>
              </w:rPr>
              <w:t>%</w:t>
            </w:r>
          </w:p>
        </w:tc>
        <w:tc>
          <w:tcPr>
            <w:tcW w:w="586" w:type="pct"/>
            <w:tcBorders>
              <w:right w:val="single" w:sz="4" w:space="0" w:color="auto"/>
            </w:tcBorders>
          </w:tcPr>
          <w:p w14:paraId="5D119352" w14:textId="5D7EE5D4" w:rsidR="000F4B43" w:rsidRPr="00B36948" w:rsidRDefault="00650CB8" w:rsidP="000F4B43">
            <w:pPr>
              <w:keepNext/>
              <w:jc w:val="center"/>
              <w:rPr>
                <w:rFonts w:ascii="Arial Narrow" w:hAnsi="Arial Narrow"/>
                <w:sz w:val="20"/>
                <w:szCs w:val="20"/>
              </w:rPr>
            </w:pPr>
            <w:r w:rsidRPr="00650CB8">
              <w:rPr>
                <w:rFonts w:ascii="Arial Narrow" w:hAnsi="Arial Narrow"/>
                <w:color w:val="000000"/>
                <w:spacing w:val="79"/>
                <w:sz w:val="20"/>
                <w:szCs w:val="20"/>
                <w:shd w:val="solid" w:color="000000" w:fill="000000"/>
                <w:fitText w:val="410" w:id="-1435748347"/>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410" w:id="-1435748347"/>
                <w14:textFill>
                  <w14:solidFill>
                    <w14:srgbClr w14:val="000000">
                      <w14:alpha w14:val="100000"/>
                    </w14:srgbClr>
                  </w14:solidFill>
                </w14:textFill>
              </w:rPr>
              <w:t>|</w:t>
            </w:r>
            <w:r w:rsidR="000F4B43" w:rsidRPr="00B36948">
              <w:rPr>
                <w:rFonts w:ascii="Arial Narrow" w:hAnsi="Arial Narrow"/>
                <w:sz w:val="20"/>
                <w:szCs w:val="20"/>
              </w:rPr>
              <w:t>%</w:t>
            </w:r>
          </w:p>
        </w:tc>
      </w:tr>
      <w:tr w:rsidR="000F4B43" w:rsidRPr="00B36948" w14:paraId="33A8945C" w14:textId="77777777" w:rsidTr="000F4B43">
        <w:tc>
          <w:tcPr>
            <w:tcW w:w="1487" w:type="pct"/>
            <w:tcBorders>
              <w:left w:val="single" w:sz="4" w:space="0" w:color="auto"/>
            </w:tcBorders>
            <w:shd w:val="clear" w:color="auto" w:fill="auto"/>
            <w:vAlign w:val="center"/>
          </w:tcPr>
          <w:p w14:paraId="6B07EEE9" w14:textId="77777777" w:rsidR="000F4B43" w:rsidRPr="00B36948" w:rsidRDefault="000F4B43" w:rsidP="000F4B43">
            <w:pPr>
              <w:keepNext/>
              <w:jc w:val="left"/>
              <w:rPr>
                <w:rFonts w:ascii="Arial Narrow" w:eastAsia="Calibri" w:hAnsi="Arial Narrow" w:cs="Times New Roman"/>
                <w:sz w:val="20"/>
                <w:szCs w:val="20"/>
              </w:rPr>
            </w:pPr>
            <w:r w:rsidRPr="00B36948">
              <w:rPr>
                <w:rFonts w:ascii="Arial Narrow" w:eastAsia="Calibri" w:hAnsi="Arial Narrow" w:cs="Times New Roman"/>
                <w:b/>
                <w:sz w:val="20"/>
                <w:szCs w:val="20"/>
              </w:rPr>
              <w:t>Total FH patients</w:t>
            </w:r>
          </w:p>
        </w:tc>
        <w:tc>
          <w:tcPr>
            <w:tcW w:w="585" w:type="pct"/>
            <w:shd w:val="clear" w:color="auto" w:fill="auto"/>
            <w:vAlign w:val="center"/>
          </w:tcPr>
          <w:p w14:paraId="2A6562CC" w14:textId="1CE3EFDE" w:rsidR="000F4B43" w:rsidRPr="00E453D0" w:rsidRDefault="00650CB8" w:rsidP="000F4B43">
            <w:pPr>
              <w:keepNext/>
              <w:jc w:val="center"/>
              <w:rPr>
                <w:rFonts w:ascii="Arial Narrow" w:hAnsi="Arial Narrow"/>
                <w:b/>
                <w:sz w:val="20"/>
                <w:szCs w:val="20"/>
                <w:highlight w:val="darkGray"/>
              </w:rPr>
            </w:pPr>
            <w:r w:rsidRPr="00650CB8">
              <w:rPr>
                <w:rFonts w:ascii="Arial Narrow" w:hAnsi="Arial Narrow"/>
                <w:b/>
                <w:color w:val="000000"/>
                <w:spacing w:val="48"/>
                <w:sz w:val="20"/>
                <w:szCs w:val="20"/>
                <w:shd w:val="solid" w:color="000000" w:fill="000000"/>
                <w:fitText w:val="330" w:id="-1435748346"/>
                <w14:textFill>
                  <w14:solidFill>
                    <w14:srgbClr w14:val="000000">
                      <w14:alpha w14:val="100000"/>
                    </w14:srgbClr>
                  </w14:solidFill>
                </w14:textFill>
              </w:rPr>
              <w:t>|||</w:t>
            </w:r>
            <w:r w:rsidRPr="00650CB8">
              <w:rPr>
                <w:rFonts w:ascii="Arial Narrow" w:hAnsi="Arial Narrow"/>
                <w:b/>
                <w:color w:val="000000"/>
                <w:spacing w:val="3"/>
                <w:sz w:val="20"/>
                <w:szCs w:val="20"/>
                <w:shd w:val="solid" w:color="000000" w:fill="000000"/>
                <w:fitText w:val="330" w:id="-1435748346"/>
                <w14:textFill>
                  <w14:solidFill>
                    <w14:srgbClr w14:val="000000">
                      <w14:alpha w14:val="100000"/>
                    </w14:srgbClr>
                  </w14:solidFill>
                </w14:textFill>
              </w:rPr>
              <w:t>|</w:t>
            </w:r>
            <w:r w:rsidR="0022677F">
              <w:rPr>
                <w:rFonts w:ascii="Arial Narrow" w:hAnsi="Arial Narrow"/>
                <w:color w:val="000000"/>
                <w:sz w:val="20"/>
                <w:szCs w:val="20"/>
                <w:vertAlign w:val="superscript"/>
              </w:rPr>
              <w:t>6</w:t>
            </w:r>
          </w:p>
        </w:tc>
        <w:tc>
          <w:tcPr>
            <w:tcW w:w="586" w:type="pct"/>
            <w:shd w:val="clear" w:color="auto" w:fill="auto"/>
            <w:vAlign w:val="center"/>
          </w:tcPr>
          <w:p w14:paraId="0E8BF338" w14:textId="3BF47BEF" w:rsidR="000F4B43" w:rsidRPr="00E453D0" w:rsidRDefault="00650CB8" w:rsidP="000F4B43">
            <w:pPr>
              <w:keepNext/>
              <w:jc w:val="center"/>
              <w:rPr>
                <w:rFonts w:ascii="Arial Narrow" w:hAnsi="Arial Narrow"/>
                <w:b/>
                <w:sz w:val="20"/>
                <w:szCs w:val="20"/>
                <w:highlight w:val="darkGray"/>
              </w:rPr>
            </w:pPr>
            <w:r w:rsidRPr="00650CB8">
              <w:rPr>
                <w:rFonts w:ascii="Arial Narrow" w:hAnsi="Arial Narrow"/>
                <w:b/>
                <w:color w:val="000000"/>
                <w:spacing w:val="48"/>
                <w:sz w:val="20"/>
                <w:szCs w:val="20"/>
                <w:shd w:val="solid" w:color="000000" w:fill="000000"/>
                <w:fitText w:val="330" w:id="-1435748345"/>
                <w14:textFill>
                  <w14:solidFill>
                    <w14:srgbClr w14:val="000000">
                      <w14:alpha w14:val="100000"/>
                    </w14:srgbClr>
                  </w14:solidFill>
                </w14:textFill>
              </w:rPr>
              <w:t>|||</w:t>
            </w:r>
            <w:r w:rsidRPr="00650CB8">
              <w:rPr>
                <w:rFonts w:ascii="Arial Narrow" w:hAnsi="Arial Narrow"/>
                <w:b/>
                <w:color w:val="000000"/>
                <w:spacing w:val="3"/>
                <w:sz w:val="20"/>
                <w:szCs w:val="20"/>
                <w:shd w:val="solid" w:color="000000" w:fill="000000"/>
                <w:fitText w:val="330" w:id="-1435748345"/>
                <w14:textFill>
                  <w14:solidFill>
                    <w14:srgbClr w14:val="000000">
                      <w14:alpha w14:val="100000"/>
                    </w14:srgbClr>
                  </w14:solidFill>
                </w14:textFill>
              </w:rPr>
              <w:t>|</w:t>
            </w:r>
            <w:r w:rsidR="0022677F">
              <w:rPr>
                <w:rFonts w:ascii="Arial Narrow" w:hAnsi="Arial Narrow"/>
                <w:color w:val="000000"/>
                <w:sz w:val="20"/>
                <w:szCs w:val="20"/>
                <w:vertAlign w:val="superscript"/>
              </w:rPr>
              <w:t>6</w:t>
            </w:r>
          </w:p>
        </w:tc>
        <w:tc>
          <w:tcPr>
            <w:tcW w:w="586" w:type="pct"/>
            <w:shd w:val="clear" w:color="auto" w:fill="auto"/>
            <w:vAlign w:val="center"/>
          </w:tcPr>
          <w:p w14:paraId="29FE6D48" w14:textId="49527262" w:rsidR="000F4B43" w:rsidRPr="00E453D0" w:rsidRDefault="00650CB8" w:rsidP="000F4B43">
            <w:pPr>
              <w:keepNext/>
              <w:jc w:val="center"/>
              <w:rPr>
                <w:rFonts w:ascii="Arial Narrow" w:hAnsi="Arial Narrow"/>
                <w:b/>
                <w:sz w:val="20"/>
                <w:szCs w:val="20"/>
                <w:highlight w:val="darkGray"/>
              </w:rPr>
            </w:pPr>
            <w:r w:rsidRPr="00650CB8">
              <w:rPr>
                <w:rFonts w:ascii="Arial Narrow" w:hAnsi="Arial Narrow"/>
                <w:b/>
                <w:color w:val="000000"/>
                <w:spacing w:val="48"/>
                <w:sz w:val="20"/>
                <w:szCs w:val="20"/>
                <w:shd w:val="solid" w:color="000000" w:fill="000000"/>
                <w:fitText w:val="330" w:id="-1435748344"/>
                <w14:textFill>
                  <w14:solidFill>
                    <w14:srgbClr w14:val="000000">
                      <w14:alpha w14:val="100000"/>
                    </w14:srgbClr>
                  </w14:solidFill>
                </w14:textFill>
              </w:rPr>
              <w:t>|||</w:t>
            </w:r>
            <w:r w:rsidRPr="00650CB8">
              <w:rPr>
                <w:rFonts w:ascii="Arial Narrow" w:hAnsi="Arial Narrow"/>
                <w:b/>
                <w:color w:val="000000"/>
                <w:spacing w:val="3"/>
                <w:sz w:val="20"/>
                <w:szCs w:val="20"/>
                <w:shd w:val="solid" w:color="000000" w:fill="000000"/>
                <w:fitText w:val="330" w:id="-1435748344"/>
                <w14:textFill>
                  <w14:solidFill>
                    <w14:srgbClr w14:val="000000">
                      <w14:alpha w14:val="100000"/>
                    </w14:srgbClr>
                  </w14:solidFill>
                </w14:textFill>
              </w:rPr>
              <w:t>|</w:t>
            </w:r>
            <w:r w:rsidR="0022677F">
              <w:rPr>
                <w:rFonts w:ascii="Arial Narrow" w:hAnsi="Arial Narrow"/>
                <w:color w:val="000000"/>
                <w:sz w:val="20"/>
                <w:szCs w:val="20"/>
                <w:vertAlign w:val="superscript"/>
              </w:rPr>
              <w:t>6</w:t>
            </w:r>
          </w:p>
        </w:tc>
        <w:tc>
          <w:tcPr>
            <w:tcW w:w="586" w:type="pct"/>
            <w:shd w:val="clear" w:color="auto" w:fill="auto"/>
            <w:vAlign w:val="center"/>
          </w:tcPr>
          <w:p w14:paraId="20B33701" w14:textId="4CCB5C82" w:rsidR="000F4B43" w:rsidRPr="00E453D0" w:rsidRDefault="00650CB8" w:rsidP="000F4B43">
            <w:pPr>
              <w:keepNext/>
              <w:jc w:val="center"/>
              <w:rPr>
                <w:rFonts w:ascii="Arial Narrow" w:hAnsi="Arial Narrow"/>
                <w:b/>
                <w:sz w:val="20"/>
                <w:szCs w:val="20"/>
                <w:highlight w:val="darkGray"/>
              </w:rPr>
            </w:pPr>
            <w:r w:rsidRPr="00650CB8">
              <w:rPr>
                <w:rFonts w:ascii="Arial Narrow" w:hAnsi="Arial Narrow"/>
                <w:b/>
                <w:color w:val="000000"/>
                <w:spacing w:val="48"/>
                <w:sz w:val="20"/>
                <w:szCs w:val="20"/>
                <w:shd w:val="solid" w:color="000000" w:fill="000000"/>
                <w:fitText w:val="330" w:id="-1435748343"/>
                <w14:textFill>
                  <w14:solidFill>
                    <w14:srgbClr w14:val="000000">
                      <w14:alpha w14:val="100000"/>
                    </w14:srgbClr>
                  </w14:solidFill>
                </w14:textFill>
              </w:rPr>
              <w:t>|||</w:t>
            </w:r>
            <w:r w:rsidRPr="00650CB8">
              <w:rPr>
                <w:rFonts w:ascii="Arial Narrow" w:hAnsi="Arial Narrow"/>
                <w:b/>
                <w:color w:val="000000"/>
                <w:spacing w:val="3"/>
                <w:sz w:val="20"/>
                <w:szCs w:val="20"/>
                <w:shd w:val="solid" w:color="000000" w:fill="000000"/>
                <w:fitText w:val="330" w:id="-1435748343"/>
                <w14:textFill>
                  <w14:solidFill>
                    <w14:srgbClr w14:val="000000">
                      <w14:alpha w14:val="100000"/>
                    </w14:srgbClr>
                  </w14:solidFill>
                </w14:textFill>
              </w:rPr>
              <w:t>|</w:t>
            </w:r>
            <w:r w:rsidR="0022677F">
              <w:rPr>
                <w:rFonts w:ascii="Arial Narrow" w:hAnsi="Arial Narrow"/>
                <w:color w:val="000000"/>
                <w:sz w:val="20"/>
                <w:szCs w:val="20"/>
                <w:vertAlign w:val="superscript"/>
              </w:rPr>
              <w:t>6</w:t>
            </w:r>
          </w:p>
        </w:tc>
        <w:tc>
          <w:tcPr>
            <w:tcW w:w="586" w:type="pct"/>
            <w:tcBorders>
              <w:right w:val="single" w:sz="4" w:space="0" w:color="auto"/>
            </w:tcBorders>
            <w:shd w:val="clear" w:color="auto" w:fill="auto"/>
            <w:vAlign w:val="center"/>
          </w:tcPr>
          <w:p w14:paraId="1651DEA8" w14:textId="37694FB9" w:rsidR="000F4B43" w:rsidRPr="00E453D0" w:rsidRDefault="00650CB8" w:rsidP="000F4B43">
            <w:pPr>
              <w:keepNext/>
              <w:jc w:val="center"/>
              <w:rPr>
                <w:rFonts w:ascii="Arial Narrow" w:hAnsi="Arial Narrow"/>
                <w:b/>
                <w:sz w:val="20"/>
                <w:szCs w:val="20"/>
                <w:highlight w:val="darkGray"/>
              </w:rPr>
            </w:pPr>
            <w:r w:rsidRPr="00650CB8">
              <w:rPr>
                <w:rFonts w:ascii="Arial Narrow" w:hAnsi="Arial Narrow"/>
                <w:b/>
                <w:color w:val="000000"/>
                <w:spacing w:val="48"/>
                <w:sz w:val="20"/>
                <w:szCs w:val="20"/>
                <w:shd w:val="solid" w:color="000000" w:fill="000000"/>
                <w:fitText w:val="330" w:id="-1435748342"/>
                <w14:textFill>
                  <w14:solidFill>
                    <w14:srgbClr w14:val="000000">
                      <w14:alpha w14:val="100000"/>
                    </w14:srgbClr>
                  </w14:solidFill>
                </w14:textFill>
              </w:rPr>
              <w:t>|||</w:t>
            </w:r>
            <w:r w:rsidRPr="00650CB8">
              <w:rPr>
                <w:rFonts w:ascii="Arial Narrow" w:hAnsi="Arial Narrow"/>
                <w:b/>
                <w:color w:val="000000"/>
                <w:spacing w:val="3"/>
                <w:sz w:val="20"/>
                <w:szCs w:val="20"/>
                <w:shd w:val="solid" w:color="000000" w:fill="000000"/>
                <w:fitText w:val="330" w:id="-1435748342"/>
                <w14:textFill>
                  <w14:solidFill>
                    <w14:srgbClr w14:val="000000">
                      <w14:alpha w14:val="100000"/>
                    </w14:srgbClr>
                  </w14:solidFill>
                </w14:textFill>
              </w:rPr>
              <w:t>|</w:t>
            </w:r>
            <w:r w:rsidR="0022677F">
              <w:rPr>
                <w:rFonts w:ascii="Arial Narrow" w:hAnsi="Arial Narrow"/>
                <w:color w:val="000000"/>
                <w:sz w:val="20"/>
                <w:szCs w:val="20"/>
                <w:vertAlign w:val="superscript"/>
              </w:rPr>
              <w:t>6</w:t>
            </w:r>
          </w:p>
        </w:tc>
        <w:tc>
          <w:tcPr>
            <w:tcW w:w="586" w:type="pct"/>
            <w:tcBorders>
              <w:right w:val="single" w:sz="4" w:space="0" w:color="auto"/>
            </w:tcBorders>
            <w:vAlign w:val="center"/>
          </w:tcPr>
          <w:p w14:paraId="5DD79CD6" w14:textId="3FE9763E" w:rsidR="000F4B43" w:rsidRPr="00E453D0" w:rsidRDefault="00650CB8" w:rsidP="000F4B43">
            <w:pPr>
              <w:keepNext/>
              <w:jc w:val="center"/>
              <w:rPr>
                <w:rFonts w:ascii="Arial Narrow" w:hAnsi="Arial Narrow"/>
                <w:b/>
                <w:sz w:val="20"/>
                <w:szCs w:val="20"/>
                <w:highlight w:val="darkGray"/>
              </w:rPr>
            </w:pPr>
            <w:r w:rsidRPr="00650CB8">
              <w:rPr>
                <w:rFonts w:ascii="Arial Narrow" w:hAnsi="Arial Narrow"/>
                <w:b/>
                <w:color w:val="000000"/>
                <w:spacing w:val="48"/>
                <w:sz w:val="20"/>
                <w:szCs w:val="20"/>
                <w:shd w:val="solid" w:color="000000" w:fill="000000"/>
                <w:fitText w:val="330" w:id="-1435748341"/>
                <w14:textFill>
                  <w14:solidFill>
                    <w14:srgbClr w14:val="000000">
                      <w14:alpha w14:val="100000"/>
                    </w14:srgbClr>
                  </w14:solidFill>
                </w14:textFill>
              </w:rPr>
              <w:t>|||</w:t>
            </w:r>
            <w:r w:rsidRPr="00650CB8">
              <w:rPr>
                <w:rFonts w:ascii="Arial Narrow" w:hAnsi="Arial Narrow"/>
                <w:b/>
                <w:color w:val="000000"/>
                <w:spacing w:val="3"/>
                <w:sz w:val="20"/>
                <w:szCs w:val="20"/>
                <w:shd w:val="solid" w:color="000000" w:fill="000000"/>
                <w:fitText w:val="330" w:id="-1435748341"/>
                <w14:textFill>
                  <w14:solidFill>
                    <w14:srgbClr w14:val="000000">
                      <w14:alpha w14:val="100000"/>
                    </w14:srgbClr>
                  </w14:solidFill>
                </w14:textFill>
              </w:rPr>
              <w:t>|</w:t>
            </w:r>
            <w:r w:rsidR="0022677F">
              <w:rPr>
                <w:rFonts w:ascii="Arial Narrow" w:hAnsi="Arial Narrow"/>
                <w:color w:val="000000"/>
                <w:sz w:val="20"/>
                <w:szCs w:val="20"/>
                <w:vertAlign w:val="superscript"/>
              </w:rPr>
              <w:t>6</w:t>
            </w:r>
          </w:p>
        </w:tc>
      </w:tr>
      <w:tr w:rsidR="000F4B43" w:rsidRPr="00B36948" w14:paraId="512A37D4" w14:textId="77777777" w:rsidTr="000F4B43">
        <w:tc>
          <w:tcPr>
            <w:tcW w:w="1487" w:type="pct"/>
            <w:tcBorders>
              <w:left w:val="single" w:sz="4" w:space="0" w:color="auto"/>
            </w:tcBorders>
            <w:shd w:val="clear" w:color="auto" w:fill="auto"/>
            <w:vAlign w:val="center"/>
          </w:tcPr>
          <w:p w14:paraId="6550665C" w14:textId="77777777" w:rsidR="000F4B43" w:rsidRPr="00B36948" w:rsidRDefault="000F4B43" w:rsidP="000F4B43">
            <w:pPr>
              <w:keepNext/>
              <w:jc w:val="left"/>
              <w:rPr>
                <w:rFonts w:ascii="Arial Narrow" w:eastAsia="Calibri" w:hAnsi="Arial Narrow" w:cs="Times New Roman"/>
                <w:sz w:val="20"/>
                <w:szCs w:val="20"/>
                <w:vertAlign w:val="superscript"/>
              </w:rPr>
            </w:pPr>
            <w:r w:rsidRPr="00B36948">
              <w:rPr>
                <w:rFonts w:ascii="Arial Narrow" w:hAnsi="Arial Narrow"/>
                <w:sz w:val="20"/>
                <w:szCs w:val="20"/>
              </w:rPr>
              <w:t>Patients - fortnightly dose (80%)</w:t>
            </w:r>
          </w:p>
        </w:tc>
        <w:tc>
          <w:tcPr>
            <w:tcW w:w="585" w:type="pct"/>
            <w:shd w:val="clear" w:color="auto" w:fill="auto"/>
            <w:vAlign w:val="center"/>
          </w:tcPr>
          <w:p w14:paraId="5873C890" w14:textId="3BCAEF55" w:rsidR="000F4B43" w:rsidRPr="00E453D0" w:rsidRDefault="00650CB8" w:rsidP="000F4B43">
            <w:pPr>
              <w:keepNext/>
              <w:jc w:val="center"/>
              <w:rPr>
                <w:rFonts w:ascii="Arial Narrow" w:hAnsi="Arial Narrow"/>
                <w:sz w:val="20"/>
                <w:szCs w:val="20"/>
                <w:highlight w:val="darkGray"/>
              </w:rPr>
            </w:pPr>
            <w:r w:rsidRPr="00650CB8">
              <w:rPr>
                <w:rFonts w:ascii="Arial Narrow" w:hAnsi="Arial Narrow"/>
                <w:color w:val="000000"/>
                <w:spacing w:val="63"/>
                <w:sz w:val="20"/>
                <w:szCs w:val="20"/>
                <w:shd w:val="solid" w:color="000000" w:fill="000000"/>
                <w:fitText w:val="360" w:id="-1435748340"/>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60" w:id="-1435748340"/>
                <w14:textFill>
                  <w14:solidFill>
                    <w14:srgbClr w14:val="000000">
                      <w14:alpha w14:val="100000"/>
                    </w14:srgbClr>
                  </w14:solidFill>
                </w14:textFill>
              </w:rPr>
              <w:t>|</w:t>
            </w:r>
            <w:r w:rsidR="0022677F">
              <w:rPr>
                <w:rFonts w:ascii="Arial Narrow" w:hAnsi="Arial Narrow"/>
                <w:color w:val="000000"/>
                <w:sz w:val="20"/>
                <w:szCs w:val="20"/>
                <w:vertAlign w:val="superscript"/>
              </w:rPr>
              <w:t>6</w:t>
            </w:r>
          </w:p>
        </w:tc>
        <w:tc>
          <w:tcPr>
            <w:tcW w:w="586" w:type="pct"/>
            <w:shd w:val="clear" w:color="auto" w:fill="auto"/>
            <w:vAlign w:val="center"/>
          </w:tcPr>
          <w:p w14:paraId="6CE220CA" w14:textId="50EDCF95" w:rsidR="000F4B43" w:rsidRPr="00E453D0" w:rsidRDefault="00650CB8" w:rsidP="000F4B43">
            <w:pPr>
              <w:keepNext/>
              <w:jc w:val="center"/>
              <w:rPr>
                <w:rFonts w:ascii="Arial Narrow" w:hAnsi="Arial Narrow"/>
                <w:sz w:val="20"/>
                <w:szCs w:val="20"/>
                <w:highlight w:val="darkGray"/>
              </w:rPr>
            </w:pPr>
            <w:r w:rsidRPr="00650CB8">
              <w:rPr>
                <w:rFonts w:ascii="Arial Narrow" w:hAnsi="Arial Narrow"/>
                <w:color w:val="000000"/>
                <w:spacing w:val="63"/>
                <w:sz w:val="20"/>
                <w:szCs w:val="20"/>
                <w:shd w:val="solid" w:color="000000" w:fill="000000"/>
                <w:fitText w:val="360" w:id="-1435748339"/>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60" w:id="-1435748339"/>
                <w14:textFill>
                  <w14:solidFill>
                    <w14:srgbClr w14:val="000000">
                      <w14:alpha w14:val="100000"/>
                    </w14:srgbClr>
                  </w14:solidFill>
                </w14:textFill>
              </w:rPr>
              <w:t>|</w:t>
            </w:r>
            <w:r w:rsidR="0022677F">
              <w:rPr>
                <w:rFonts w:ascii="Arial Narrow" w:hAnsi="Arial Narrow"/>
                <w:color w:val="000000"/>
                <w:sz w:val="20"/>
                <w:szCs w:val="20"/>
                <w:vertAlign w:val="superscript"/>
              </w:rPr>
              <w:t>6</w:t>
            </w:r>
          </w:p>
        </w:tc>
        <w:tc>
          <w:tcPr>
            <w:tcW w:w="586" w:type="pct"/>
            <w:shd w:val="clear" w:color="auto" w:fill="auto"/>
            <w:vAlign w:val="center"/>
          </w:tcPr>
          <w:p w14:paraId="3A10D57A" w14:textId="253C5A7C" w:rsidR="000F4B43" w:rsidRPr="00E453D0" w:rsidRDefault="00650CB8" w:rsidP="000F4B43">
            <w:pPr>
              <w:keepNext/>
              <w:jc w:val="center"/>
              <w:rPr>
                <w:rFonts w:ascii="Arial Narrow" w:hAnsi="Arial Narrow"/>
                <w:sz w:val="20"/>
                <w:szCs w:val="20"/>
                <w:highlight w:val="darkGray"/>
              </w:rPr>
            </w:pPr>
            <w:r w:rsidRPr="00650CB8">
              <w:rPr>
                <w:rFonts w:ascii="Arial Narrow" w:hAnsi="Arial Narrow"/>
                <w:color w:val="000000"/>
                <w:spacing w:val="63"/>
                <w:sz w:val="20"/>
                <w:szCs w:val="20"/>
                <w:shd w:val="solid" w:color="000000" w:fill="000000"/>
                <w:fitText w:val="360" w:id="-1435748338"/>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60" w:id="-1435748338"/>
                <w14:textFill>
                  <w14:solidFill>
                    <w14:srgbClr w14:val="000000">
                      <w14:alpha w14:val="100000"/>
                    </w14:srgbClr>
                  </w14:solidFill>
                </w14:textFill>
              </w:rPr>
              <w:t>|</w:t>
            </w:r>
            <w:r w:rsidR="0022677F">
              <w:rPr>
                <w:rFonts w:ascii="Arial Narrow" w:hAnsi="Arial Narrow"/>
                <w:color w:val="000000"/>
                <w:sz w:val="20"/>
                <w:szCs w:val="20"/>
                <w:vertAlign w:val="superscript"/>
              </w:rPr>
              <w:t>6</w:t>
            </w:r>
          </w:p>
        </w:tc>
        <w:tc>
          <w:tcPr>
            <w:tcW w:w="586" w:type="pct"/>
            <w:shd w:val="clear" w:color="auto" w:fill="auto"/>
            <w:vAlign w:val="center"/>
          </w:tcPr>
          <w:p w14:paraId="32DA78F8" w14:textId="4595B93B" w:rsidR="000F4B43" w:rsidRPr="00E453D0" w:rsidRDefault="00650CB8" w:rsidP="000F4B43">
            <w:pPr>
              <w:keepNext/>
              <w:jc w:val="center"/>
              <w:rPr>
                <w:rFonts w:ascii="Arial Narrow" w:hAnsi="Arial Narrow"/>
                <w:sz w:val="20"/>
                <w:szCs w:val="20"/>
                <w:highlight w:val="darkGray"/>
              </w:rPr>
            </w:pPr>
            <w:r w:rsidRPr="00650CB8">
              <w:rPr>
                <w:rFonts w:ascii="Arial Narrow" w:hAnsi="Arial Narrow"/>
                <w:color w:val="000000"/>
                <w:spacing w:val="63"/>
                <w:sz w:val="20"/>
                <w:szCs w:val="20"/>
                <w:shd w:val="solid" w:color="000000" w:fill="000000"/>
                <w:fitText w:val="360" w:id="-1435748337"/>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60" w:id="-1435748337"/>
                <w14:textFill>
                  <w14:solidFill>
                    <w14:srgbClr w14:val="000000">
                      <w14:alpha w14:val="100000"/>
                    </w14:srgbClr>
                  </w14:solidFill>
                </w14:textFill>
              </w:rPr>
              <w:t>|</w:t>
            </w:r>
            <w:r w:rsidR="0022677F">
              <w:rPr>
                <w:rFonts w:ascii="Arial Narrow" w:hAnsi="Arial Narrow"/>
                <w:color w:val="000000"/>
                <w:sz w:val="20"/>
                <w:szCs w:val="20"/>
                <w:vertAlign w:val="superscript"/>
              </w:rPr>
              <w:t>6</w:t>
            </w:r>
          </w:p>
        </w:tc>
        <w:tc>
          <w:tcPr>
            <w:tcW w:w="586" w:type="pct"/>
            <w:tcBorders>
              <w:right w:val="single" w:sz="4" w:space="0" w:color="auto"/>
            </w:tcBorders>
            <w:shd w:val="clear" w:color="auto" w:fill="auto"/>
            <w:vAlign w:val="center"/>
          </w:tcPr>
          <w:p w14:paraId="025F9F29" w14:textId="54D4DACF" w:rsidR="000F4B43" w:rsidRPr="00E453D0" w:rsidRDefault="00650CB8" w:rsidP="000F4B43">
            <w:pPr>
              <w:keepNext/>
              <w:jc w:val="center"/>
              <w:rPr>
                <w:rFonts w:ascii="Arial Narrow" w:hAnsi="Arial Narrow"/>
                <w:sz w:val="20"/>
                <w:szCs w:val="20"/>
                <w:highlight w:val="darkGray"/>
              </w:rPr>
            </w:pPr>
            <w:r w:rsidRPr="00650CB8">
              <w:rPr>
                <w:rFonts w:ascii="Arial Narrow" w:hAnsi="Arial Narrow"/>
                <w:color w:val="000000"/>
                <w:spacing w:val="63"/>
                <w:sz w:val="20"/>
                <w:szCs w:val="20"/>
                <w:shd w:val="solid" w:color="000000" w:fill="000000"/>
                <w:fitText w:val="360" w:id="-1435748336"/>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60" w:id="-1435748336"/>
                <w14:textFill>
                  <w14:solidFill>
                    <w14:srgbClr w14:val="000000">
                      <w14:alpha w14:val="100000"/>
                    </w14:srgbClr>
                  </w14:solidFill>
                </w14:textFill>
              </w:rPr>
              <w:t>|</w:t>
            </w:r>
            <w:r w:rsidR="0022677F">
              <w:rPr>
                <w:rFonts w:ascii="Arial Narrow" w:hAnsi="Arial Narrow"/>
                <w:color w:val="000000"/>
                <w:sz w:val="20"/>
                <w:szCs w:val="20"/>
                <w:vertAlign w:val="superscript"/>
              </w:rPr>
              <w:t>6</w:t>
            </w:r>
          </w:p>
        </w:tc>
        <w:tc>
          <w:tcPr>
            <w:tcW w:w="586" w:type="pct"/>
            <w:tcBorders>
              <w:right w:val="single" w:sz="4" w:space="0" w:color="auto"/>
            </w:tcBorders>
            <w:vAlign w:val="center"/>
          </w:tcPr>
          <w:p w14:paraId="29698BF0" w14:textId="4468227F" w:rsidR="000F4B43" w:rsidRPr="00E453D0" w:rsidRDefault="00650CB8" w:rsidP="000F4B43">
            <w:pPr>
              <w:keepNext/>
              <w:jc w:val="center"/>
              <w:rPr>
                <w:rFonts w:ascii="Arial Narrow" w:hAnsi="Arial Narrow"/>
                <w:sz w:val="20"/>
                <w:szCs w:val="20"/>
                <w:highlight w:val="darkGray"/>
              </w:rPr>
            </w:pPr>
            <w:r w:rsidRPr="00650CB8">
              <w:rPr>
                <w:rFonts w:ascii="Arial Narrow" w:hAnsi="Arial Narrow"/>
                <w:color w:val="000000"/>
                <w:spacing w:val="63"/>
                <w:sz w:val="20"/>
                <w:szCs w:val="20"/>
                <w:shd w:val="solid" w:color="000000" w:fill="000000"/>
                <w:fitText w:val="360" w:id="-1435748352"/>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60" w:id="-1435748352"/>
                <w14:textFill>
                  <w14:solidFill>
                    <w14:srgbClr w14:val="000000">
                      <w14:alpha w14:val="100000"/>
                    </w14:srgbClr>
                  </w14:solidFill>
                </w14:textFill>
              </w:rPr>
              <w:t>|</w:t>
            </w:r>
            <w:r w:rsidR="0022677F">
              <w:rPr>
                <w:rFonts w:ascii="Arial Narrow" w:hAnsi="Arial Narrow"/>
                <w:color w:val="000000"/>
                <w:sz w:val="20"/>
                <w:szCs w:val="20"/>
                <w:vertAlign w:val="superscript"/>
              </w:rPr>
              <w:t>6</w:t>
            </w:r>
          </w:p>
        </w:tc>
      </w:tr>
      <w:tr w:rsidR="000F4B43" w:rsidRPr="00B36948" w14:paraId="1F326F86" w14:textId="77777777" w:rsidTr="000F4B43">
        <w:tc>
          <w:tcPr>
            <w:tcW w:w="1487" w:type="pct"/>
            <w:tcBorders>
              <w:left w:val="single" w:sz="4" w:space="0" w:color="auto"/>
            </w:tcBorders>
            <w:shd w:val="clear" w:color="auto" w:fill="auto"/>
            <w:vAlign w:val="center"/>
          </w:tcPr>
          <w:p w14:paraId="5BAC8EFD" w14:textId="77777777" w:rsidR="000F4B43" w:rsidRPr="00B36948" w:rsidRDefault="000F4B43" w:rsidP="000F4B43">
            <w:pPr>
              <w:keepNext/>
              <w:jc w:val="left"/>
              <w:rPr>
                <w:rFonts w:ascii="Arial Narrow" w:hAnsi="Arial Narrow"/>
                <w:sz w:val="20"/>
                <w:szCs w:val="20"/>
              </w:rPr>
            </w:pPr>
            <w:r w:rsidRPr="00B36948">
              <w:rPr>
                <w:rFonts w:ascii="Arial Narrow" w:hAnsi="Arial Narrow"/>
                <w:sz w:val="20"/>
                <w:szCs w:val="20"/>
              </w:rPr>
              <w:t>Evolocumab 140 mg scripts (11.05 scripts per patient)</w:t>
            </w:r>
          </w:p>
        </w:tc>
        <w:tc>
          <w:tcPr>
            <w:tcW w:w="585" w:type="pct"/>
            <w:shd w:val="clear" w:color="auto" w:fill="auto"/>
            <w:vAlign w:val="center"/>
          </w:tcPr>
          <w:p w14:paraId="05F66AFD" w14:textId="464DE4B7" w:rsidR="000F4B43" w:rsidRPr="00E453D0" w:rsidRDefault="00650CB8" w:rsidP="000F4B43">
            <w:pPr>
              <w:keepNext/>
              <w:jc w:val="center"/>
              <w:rPr>
                <w:rFonts w:ascii="Arial Narrow" w:hAnsi="Arial Narrow"/>
                <w:sz w:val="20"/>
                <w:szCs w:val="20"/>
                <w:highlight w:val="darkGray"/>
              </w:rPr>
            </w:pPr>
            <w:r w:rsidRPr="00650CB8">
              <w:rPr>
                <w:rFonts w:ascii="Arial Narrow" w:hAnsi="Arial Narrow"/>
                <w:color w:val="000000"/>
                <w:spacing w:val="63"/>
                <w:sz w:val="20"/>
                <w:szCs w:val="20"/>
                <w:shd w:val="solid" w:color="000000" w:fill="000000"/>
                <w:fitText w:val="360" w:id="-1435748351"/>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60" w:id="-1435748351"/>
                <w14:textFill>
                  <w14:solidFill>
                    <w14:srgbClr w14:val="000000">
                      <w14:alpha w14:val="100000"/>
                    </w14:srgbClr>
                  </w14:solidFill>
                </w14:textFill>
              </w:rPr>
              <w:t>|</w:t>
            </w:r>
            <w:r w:rsidR="0022677F">
              <w:rPr>
                <w:rFonts w:ascii="Arial Narrow" w:hAnsi="Arial Narrow"/>
                <w:color w:val="000000"/>
                <w:sz w:val="20"/>
                <w:szCs w:val="20"/>
                <w:vertAlign w:val="superscript"/>
              </w:rPr>
              <w:t>5</w:t>
            </w:r>
          </w:p>
        </w:tc>
        <w:tc>
          <w:tcPr>
            <w:tcW w:w="586" w:type="pct"/>
            <w:shd w:val="clear" w:color="auto" w:fill="auto"/>
            <w:vAlign w:val="center"/>
          </w:tcPr>
          <w:p w14:paraId="59730EAD" w14:textId="405C4B54" w:rsidR="000F4B43" w:rsidRPr="00E453D0" w:rsidRDefault="00650CB8" w:rsidP="000F4B43">
            <w:pPr>
              <w:keepNext/>
              <w:jc w:val="center"/>
              <w:rPr>
                <w:rFonts w:ascii="Arial Narrow" w:hAnsi="Arial Narrow"/>
                <w:sz w:val="20"/>
                <w:szCs w:val="20"/>
                <w:highlight w:val="darkGray"/>
              </w:rPr>
            </w:pPr>
            <w:r w:rsidRPr="00650CB8">
              <w:rPr>
                <w:rFonts w:ascii="Arial Narrow" w:hAnsi="Arial Narrow"/>
                <w:color w:val="000000"/>
                <w:spacing w:val="63"/>
                <w:sz w:val="20"/>
                <w:szCs w:val="20"/>
                <w:shd w:val="solid" w:color="000000" w:fill="000000"/>
                <w:fitText w:val="360" w:id="-1435748350"/>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60" w:id="-1435748350"/>
                <w14:textFill>
                  <w14:solidFill>
                    <w14:srgbClr w14:val="000000">
                      <w14:alpha w14:val="100000"/>
                    </w14:srgbClr>
                  </w14:solidFill>
                </w14:textFill>
              </w:rPr>
              <w:t>|</w:t>
            </w:r>
            <w:r w:rsidR="0022677F">
              <w:rPr>
                <w:rFonts w:ascii="Arial Narrow" w:hAnsi="Arial Narrow"/>
                <w:color w:val="000000"/>
                <w:sz w:val="20"/>
                <w:szCs w:val="20"/>
                <w:vertAlign w:val="superscript"/>
              </w:rPr>
              <w:t>5</w:t>
            </w:r>
          </w:p>
        </w:tc>
        <w:tc>
          <w:tcPr>
            <w:tcW w:w="586" w:type="pct"/>
            <w:shd w:val="clear" w:color="auto" w:fill="auto"/>
            <w:vAlign w:val="center"/>
          </w:tcPr>
          <w:p w14:paraId="2E06E77A" w14:textId="33842C6B" w:rsidR="000F4B43" w:rsidRPr="00E453D0" w:rsidRDefault="00650CB8" w:rsidP="000F4B43">
            <w:pPr>
              <w:keepNext/>
              <w:jc w:val="center"/>
              <w:rPr>
                <w:rFonts w:ascii="Arial Narrow" w:hAnsi="Arial Narrow"/>
                <w:sz w:val="20"/>
                <w:szCs w:val="20"/>
                <w:highlight w:val="darkGray"/>
              </w:rPr>
            </w:pPr>
            <w:r w:rsidRPr="00650CB8">
              <w:rPr>
                <w:rFonts w:ascii="Arial Narrow" w:hAnsi="Arial Narrow"/>
                <w:color w:val="000000"/>
                <w:spacing w:val="63"/>
                <w:sz w:val="20"/>
                <w:szCs w:val="20"/>
                <w:shd w:val="solid" w:color="000000" w:fill="000000"/>
                <w:fitText w:val="360" w:id="-1435748349"/>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60" w:id="-1435748349"/>
                <w14:textFill>
                  <w14:solidFill>
                    <w14:srgbClr w14:val="000000">
                      <w14:alpha w14:val="100000"/>
                    </w14:srgbClr>
                  </w14:solidFill>
                </w14:textFill>
              </w:rPr>
              <w:t>|</w:t>
            </w:r>
            <w:r w:rsidR="0022677F">
              <w:rPr>
                <w:rFonts w:ascii="Arial Narrow" w:hAnsi="Arial Narrow"/>
                <w:color w:val="000000"/>
                <w:sz w:val="20"/>
                <w:szCs w:val="20"/>
                <w:vertAlign w:val="superscript"/>
              </w:rPr>
              <w:t>5</w:t>
            </w:r>
          </w:p>
        </w:tc>
        <w:tc>
          <w:tcPr>
            <w:tcW w:w="586" w:type="pct"/>
            <w:shd w:val="clear" w:color="auto" w:fill="auto"/>
            <w:vAlign w:val="center"/>
          </w:tcPr>
          <w:p w14:paraId="59EB0AFC" w14:textId="7775AA49" w:rsidR="000F4B43" w:rsidRPr="00E453D0" w:rsidRDefault="00650CB8" w:rsidP="000F4B43">
            <w:pPr>
              <w:keepNext/>
              <w:jc w:val="center"/>
              <w:rPr>
                <w:rFonts w:ascii="Arial Narrow" w:hAnsi="Arial Narrow"/>
                <w:sz w:val="20"/>
                <w:szCs w:val="20"/>
                <w:highlight w:val="darkGray"/>
              </w:rPr>
            </w:pPr>
            <w:r w:rsidRPr="00650CB8">
              <w:rPr>
                <w:rFonts w:ascii="Arial Narrow" w:hAnsi="Arial Narrow"/>
                <w:color w:val="000000"/>
                <w:spacing w:val="63"/>
                <w:sz w:val="20"/>
                <w:szCs w:val="20"/>
                <w:shd w:val="solid" w:color="000000" w:fill="000000"/>
                <w:fitText w:val="360" w:id="-1435748348"/>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60" w:id="-1435748348"/>
                <w14:textFill>
                  <w14:solidFill>
                    <w14:srgbClr w14:val="000000">
                      <w14:alpha w14:val="100000"/>
                    </w14:srgbClr>
                  </w14:solidFill>
                </w14:textFill>
              </w:rPr>
              <w:t>|</w:t>
            </w:r>
            <w:r w:rsidR="0022677F">
              <w:rPr>
                <w:rFonts w:ascii="Arial Narrow" w:hAnsi="Arial Narrow"/>
                <w:color w:val="000000"/>
                <w:sz w:val="20"/>
                <w:szCs w:val="20"/>
                <w:vertAlign w:val="superscript"/>
              </w:rPr>
              <w:t>5</w:t>
            </w:r>
          </w:p>
        </w:tc>
        <w:tc>
          <w:tcPr>
            <w:tcW w:w="586" w:type="pct"/>
            <w:tcBorders>
              <w:right w:val="single" w:sz="4" w:space="0" w:color="auto"/>
            </w:tcBorders>
            <w:shd w:val="clear" w:color="auto" w:fill="auto"/>
            <w:vAlign w:val="center"/>
          </w:tcPr>
          <w:p w14:paraId="29115352" w14:textId="278FEBC2" w:rsidR="000F4B43" w:rsidRPr="00E453D0" w:rsidRDefault="00650CB8" w:rsidP="000F4B43">
            <w:pPr>
              <w:keepNext/>
              <w:jc w:val="center"/>
              <w:rPr>
                <w:rFonts w:ascii="Arial Narrow" w:hAnsi="Arial Narrow"/>
                <w:sz w:val="20"/>
                <w:szCs w:val="20"/>
                <w:highlight w:val="darkGray"/>
              </w:rPr>
            </w:pPr>
            <w:r w:rsidRPr="00650CB8">
              <w:rPr>
                <w:rFonts w:ascii="Arial Narrow" w:hAnsi="Arial Narrow"/>
                <w:color w:val="000000"/>
                <w:spacing w:val="63"/>
                <w:sz w:val="20"/>
                <w:szCs w:val="20"/>
                <w:shd w:val="solid" w:color="000000" w:fill="000000"/>
                <w:fitText w:val="360" w:id="-1435748347"/>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60" w:id="-1435748347"/>
                <w14:textFill>
                  <w14:solidFill>
                    <w14:srgbClr w14:val="000000">
                      <w14:alpha w14:val="100000"/>
                    </w14:srgbClr>
                  </w14:solidFill>
                </w14:textFill>
              </w:rPr>
              <w:t>|</w:t>
            </w:r>
            <w:r w:rsidR="0022677F">
              <w:rPr>
                <w:rFonts w:ascii="Arial Narrow" w:hAnsi="Arial Narrow"/>
                <w:color w:val="000000"/>
                <w:sz w:val="20"/>
                <w:szCs w:val="20"/>
                <w:vertAlign w:val="superscript"/>
              </w:rPr>
              <w:t>5</w:t>
            </w:r>
          </w:p>
        </w:tc>
        <w:tc>
          <w:tcPr>
            <w:tcW w:w="586" w:type="pct"/>
            <w:tcBorders>
              <w:right w:val="single" w:sz="4" w:space="0" w:color="auto"/>
            </w:tcBorders>
            <w:vAlign w:val="center"/>
          </w:tcPr>
          <w:p w14:paraId="18B6283D" w14:textId="6DE7E8C9" w:rsidR="000F4B43" w:rsidRPr="00E453D0" w:rsidRDefault="00650CB8" w:rsidP="000F4B43">
            <w:pPr>
              <w:keepNext/>
              <w:jc w:val="center"/>
              <w:rPr>
                <w:rFonts w:ascii="Arial Narrow" w:hAnsi="Arial Narrow"/>
                <w:sz w:val="20"/>
                <w:szCs w:val="20"/>
                <w:highlight w:val="darkGray"/>
              </w:rPr>
            </w:pPr>
            <w:r w:rsidRPr="00650CB8">
              <w:rPr>
                <w:rFonts w:ascii="Arial Narrow" w:hAnsi="Arial Narrow"/>
                <w:color w:val="000000"/>
                <w:spacing w:val="63"/>
                <w:sz w:val="20"/>
                <w:szCs w:val="20"/>
                <w:shd w:val="solid" w:color="000000" w:fill="000000"/>
                <w:fitText w:val="360" w:id="-1435748346"/>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60" w:id="-1435748346"/>
                <w14:textFill>
                  <w14:solidFill>
                    <w14:srgbClr w14:val="000000">
                      <w14:alpha w14:val="100000"/>
                    </w14:srgbClr>
                  </w14:solidFill>
                </w14:textFill>
              </w:rPr>
              <w:t>|</w:t>
            </w:r>
            <w:r w:rsidR="0022677F">
              <w:rPr>
                <w:rFonts w:ascii="Arial Narrow" w:hAnsi="Arial Narrow"/>
                <w:color w:val="000000"/>
                <w:sz w:val="20"/>
                <w:szCs w:val="20"/>
                <w:vertAlign w:val="superscript"/>
              </w:rPr>
              <w:t>5</w:t>
            </w:r>
          </w:p>
        </w:tc>
      </w:tr>
      <w:tr w:rsidR="000F4B43" w:rsidRPr="00B36948" w14:paraId="7F6A01FB" w14:textId="77777777" w:rsidTr="000F4B43">
        <w:tc>
          <w:tcPr>
            <w:tcW w:w="1487" w:type="pct"/>
            <w:tcBorders>
              <w:left w:val="single" w:sz="4" w:space="0" w:color="auto"/>
            </w:tcBorders>
            <w:shd w:val="clear" w:color="auto" w:fill="auto"/>
            <w:vAlign w:val="center"/>
          </w:tcPr>
          <w:p w14:paraId="6CED2678" w14:textId="1014F615" w:rsidR="000F4B43" w:rsidRPr="00B36948" w:rsidRDefault="000F4B43" w:rsidP="000F4B43">
            <w:pPr>
              <w:keepNext/>
              <w:jc w:val="left"/>
              <w:rPr>
                <w:rFonts w:ascii="Arial Narrow" w:hAnsi="Arial Narrow"/>
                <w:sz w:val="20"/>
                <w:szCs w:val="20"/>
                <w:vertAlign w:val="superscript"/>
              </w:rPr>
            </w:pPr>
            <w:r w:rsidRPr="00B36948">
              <w:rPr>
                <w:rFonts w:ascii="Arial Narrow" w:hAnsi="Arial Narrow"/>
                <w:sz w:val="20"/>
                <w:szCs w:val="20"/>
              </w:rPr>
              <w:t>Effective cost of evolocumab 140 mg scripts ($</w:t>
            </w:r>
            <w:r w:rsidR="00650CB8" w:rsidRPr="00650CB8">
              <w:rPr>
                <w:rFonts w:ascii="Arial Narrow" w:hAnsi="Arial Narrow"/>
                <w:color w:val="000000"/>
                <w:spacing w:val="46"/>
                <w:sz w:val="20"/>
                <w:szCs w:val="20"/>
                <w:shd w:val="solid" w:color="000000" w:fill="000000"/>
                <w:fitText w:val="490" w:id="-1435748345"/>
                <w14:textFill>
                  <w14:solidFill>
                    <w14:srgbClr w14:val="000000">
                      <w14:alpha w14:val="100000"/>
                    </w14:srgbClr>
                  </w14:solidFill>
                </w14:textFill>
              </w:rPr>
              <w:t>|||||</w:t>
            </w:r>
            <w:r w:rsidR="00650CB8" w:rsidRPr="00650CB8">
              <w:rPr>
                <w:rFonts w:ascii="Arial Narrow" w:hAnsi="Arial Narrow"/>
                <w:color w:val="000000"/>
                <w:spacing w:val="5"/>
                <w:sz w:val="20"/>
                <w:szCs w:val="20"/>
                <w:shd w:val="solid" w:color="000000" w:fill="000000"/>
                <w:fitText w:val="490" w:id="-1435748345"/>
                <w14:textFill>
                  <w14:solidFill>
                    <w14:srgbClr w14:val="000000">
                      <w14:alpha w14:val="100000"/>
                    </w14:srgbClr>
                  </w14:solidFill>
                </w14:textFill>
              </w:rPr>
              <w:t>|</w:t>
            </w:r>
            <w:r w:rsidRPr="00B36948">
              <w:rPr>
                <w:rFonts w:ascii="Arial Narrow" w:hAnsi="Arial Narrow"/>
                <w:sz w:val="20"/>
                <w:szCs w:val="20"/>
              </w:rPr>
              <w:t xml:space="preserve">) </w:t>
            </w:r>
            <w:r w:rsidRPr="00B36948">
              <w:rPr>
                <w:rFonts w:ascii="Arial Narrow" w:hAnsi="Arial Narrow"/>
                <w:sz w:val="20"/>
                <w:szCs w:val="20"/>
                <w:vertAlign w:val="superscript"/>
              </w:rPr>
              <w:t>1</w:t>
            </w:r>
          </w:p>
        </w:tc>
        <w:tc>
          <w:tcPr>
            <w:tcW w:w="585" w:type="pct"/>
            <w:shd w:val="clear" w:color="auto" w:fill="auto"/>
            <w:vAlign w:val="center"/>
          </w:tcPr>
          <w:p w14:paraId="60E9ABAC" w14:textId="08121440" w:rsidR="000F4B43" w:rsidRPr="00B36948" w:rsidRDefault="000F4B43" w:rsidP="000F4B43">
            <w:pPr>
              <w:keepNext/>
              <w:jc w:val="center"/>
              <w:rPr>
                <w:rFonts w:ascii="Arial Narrow" w:hAnsi="Arial Narrow"/>
                <w:sz w:val="20"/>
                <w:szCs w:val="20"/>
              </w:rPr>
            </w:pPr>
            <w:r w:rsidRPr="00B36948">
              <w:rPr>
                <w:rFonts w:ascii="Arial Narrow" w:hAnsi="Arial Narrow"/>
                <w:sz w:val="20"/>
                <w:szCs w:val="20"/>
              </w:rPr>
              <w:t>$</w:t>
            </w:r>
            <w:r w:rsidR="00650CB8" w:rsidRPr="00650CB8">
              <w:rPr>
                <w:rFonts w:ascii="Arial Narrow" w:hAnsi="Arial Narrow"/>
                <w:color w:val="000000"/>
                <w:spacing w:val="79"/>
                <w:sz w:val="20"/>
                <w:szCs w:val="20"/>
                <w:shd w:val="solid" w:color="000000" w:fill="000000"/>
                <w:fitText w:val="410" w:id="-1435748344"/>
                <w14:textFill>
                  <w14:solidFill>
                    <w14:srgbClr w14:val="000000">
                      <w14:alpha w14:val="100000"/>
                    </w14:srgbClr>
                  </w14:solidFill>
                </w14:textFill>
              </w:rPr>
              <w:t>|||</w:t>
            </w:r>
            <w:r w:rsidR="00650CB8" w:rsidRPr="00650CB8">
              <w:rPr>
                <w:rFonts w:ascii="Arial Narrow" w:hAnsi="Arial Narrow"/>
                <w:color w:val="000000"/>
                <w:spacing w:val="3"/>
                <w:sz w:val="20"/>
                <w:szCs w:val="20"/>
                <w:shd w:val="solid" w:color="000000" w:fill="000000"/>
                <w:fitText w:val="410" w:id="-1435748344"/>
                <w14:textFill>
                  <w14:solidFill>
                    <w14:srgbClr w14:val="000000">
                      <w14:alpha w14:val="100000"/>
                    </w14:srgbClr>
                  </w14:solidFill>
                </w14:textFill>
              </w:rPr>
              <w:t>|</w:t>
            </w:r>
            <w:r w:rsidR="0022677F">
              <w:rPr>
                <w:rFonts w:ascii="Arial Narrow" w:hAnsi="Arial Narrow"/>
                <w:color w:val="000000"/>
                <w:sz w:val="20"/>
                <w:szCs w:val="20"/>
                <w:vertAlign w:val="superscript"/>
              </w:rPr>
              <w:t>7</w:t>
            </w:r>
          </w:p>
        </w:tc>
        <w:tc>
          <w:tcPr>
            <w:tcW w:w="586" w:type="pct"/>
            <w:shd w:val="clear" w:color="auto" w:fill="auto"/>
            <w:vAlign w:val="center"/>
          </w:tcPr>
          <w:p w14:paraId="7F6BDCD7" w14:textId="29D33D54" w:rsidR="000F4B43" w:rsidRPr="00B36948" w:rsidRDefault="000F4B43" w:rsidP="000F4B43">
            <w:pPr>
              <w:keepNext/>
              <w:jc w:val="center"/>
              <w:rPr>
                <w:rFonts w:ascii="Arial Narrow" w:hAnsi="Arial Narrow"/>
                <w:sz w:val="20"/>
                <w:szCs w:val="20"/>
              </w:rPr>
            </w:pPr>
            <w:r w:rsidRPr="00B36948">
              <w:rPr>
                <w:rFonts w:ascii="Arial Narrow" w:hAnsi="Arial Narrow"/>
                <w:sz w:val="20"/>
                <w:szCs w:val="20"/>
              </w:rPr>
              <w:t>$</w:t>
            </w:r>
            <w:r w:rsidR="00650CB8" w:rsidRPr="00650CB8">
              <w:rPr>
                <w:rFonts w:ascii="Arial Narrow" w:hAnsi="Arial Narrow"/>
                <w:color w:val="000000"/>
                <w:spacing w:val="79"/>
                <w:sz w:val="20"/>
                <w:szCs w:val="20"/>
                <w:shd w:val="solid" w:color="000000" w:fill="000000"/>
                <w:fitText w:val="410" w:id="-1435748343"/>
                <w14:textFill>
                  <w14:solidFill>
                    <w14:srgbClr w14:val="000000">
                      <w14:alpha w14:val="100000"/>
                    </w14:srgbClr>
                  </w14:solidFill>
                </w14:textFill>
              </w:rPr>
              <w:t>|||</w:t>
            </w:r>
            <w:r w:rsidR="00650CB8" w:rsidRPr="00650CB8">
              <w:rPr>
                <w:rFonts w:ascii="Arial Narrow" w:hAnsi="Arial Narrow"/>
                <w:color w:val="000000"/>
                <w:spacing w:val="3"/>
                <w:sz w:val="20"/>
                <w:szCs w:val="20"/>
                <w:shd w:val="solid" w:color="000000" w:fill="000000"/>
                <w:fitText w:val="410" w:id="-1435748343"/>
                <w14:textFill>
                  <w14:solidFill>
                    <w14:srgbClr w14:val="000000">
                      <w14:alpha w14:val="100000"/>
                    </w14:srgbClr>
                  </w14:solidFill>
                </w14:textFill>
              </w:rPr>
              <w:t>|</w:t>
            </w:r>
            <w:r w:rsidR="0022677F">
              <w:rPr>
                <w:rFonts w:ascii="Arial Narrow" w:hAnsi="Arial Narrow"/>
                <w:color w:val="000000"/>
                <w:sz w:val="20"/>
                <w:szCs w:val="20"/>
                <w:vertAlign w:val="superscript"/>
              </w:rPr>
              <w:t>7</w:t>
            </w:r>
          </w:p>
        </w:tc>
        <w:tc>
          <w:tcPr>
            <w:tcW w:w="586" w:type="pct"/>
            <w:shd w:val="clear" w:color="auto" w:fill="auto"/>
            <w:vAlign w:val="center"/>
          </w:tcPr>
          <w:p w14:paraId="680431DE" w14:textId="5945E05D" w:rsidR="000F4B43" w:rsidRPr="00B36948" w:rsidRDefault="000F4B43" w:rsidP="000F4B43">
            <w:pPr>
              <w:keepNext/>
              <w:jc w:val="center"/>
              <w:rPr>
                <w:rFonts w:ascii="Arial Narrow" w:hAnsi="Arial Narrow"/>
                <w:sz w:val="20"/>
                <w:szCs w:val="20"/>
              </w:rPr>
            </w:pPr>
            <w:r w:rsidRPr="00B36948">
              <w:rPr>
                <w:rFonts w:ascii="Arial Narrow" w:hAnsi="Arial Narrow"/>
                <w:sz w:val="20"/>
                <w:szCs w:val="20"/>
              </w:rPr>
              <w:t>$</w:t>
            </w:r>
            <w:r w:rsidR="00650CB8" w:rsidRPr="00650CB8">
              <w:rPr>
                <w:rFonts w:ascii="Arial Narrow" w:hAnsi="Arial Narrow"/>
                <w:color w:val="000000"/>
                <w:spacing w:val="79"/>
                <w:sz w:val="20"/>
                <w:szCs w:val="20"/>
                <w:shd w:val="solid" w:color="000000" w:fill="000000"/>
                <w:fitText w:val="410" w:id="-1435748342"/>
                <w14:textFill>
                  <w14:solidFill>
                    <w14:srgbClr w14:val="000000">
                      <w14:alpha w14:val="100000"/>
                    </w14:srgbClr>
                  </w14:solidFill>
                </w14:textFill>
              </w:rPr>
              <w:t>|||</w:t>
            </w:r>
            <w:r w:rsidR="00650CB8" w:rsidRPr="00650CB8">
              <w:rPr>
                <w:rFonts w:ascii="Arial Narrow" w:hAnsi="Arial Narrow"/>
                <w:color w:val="000000"/>
                <w:spacing w:val="3"/>
                <w:sz w:val="20"/>
                <w:szCs w:val="20"/>
                <w:shd w:val="solid" w:color="000000" w:fill="000000"/>
                <w:fitText w:val="410" w:id="-1435748342"/>
                <w14:textFill>
                  <w14:solidFill>
                    <w14:srgbClr w14:val="000000">
                      <w14:alpha w14:val="100000"/>
                    </w14:srgbClr>
                  </w14:solidFill>
                </w14:textFill>
              </w:rPr>
              <w:t>|</w:t>
            </w:r>
            <w:r w:rsidR="0022677F">
              <w:rPr>
                <w:rFonts w:ascii="Arial Narrow" w:hAnsi="Arial Narrow"/>
                <w:color w:val="000000"/>
                <w:sz w:val="20"/>
                <w:szCs w:val="20"/>
                <w:vertAlign w:val="superscript"/>
              </w:rPr>
              <w:t>7</w:t>
            </w:r>
          </w:p>
        </w:tc>
        <w:tc>
          <w:tcPr>
            <w:tcW w:w="586" w:type="pct"/>
            <w:shd w:val="clear" w:color="auto" w:fill="auto"/>
            <w:vAlign w:val="center"/>
          </w:tcPr>
          <w:p w14:paraId="03FA04F8" w14:textId="4E81F209" w:rsidR="000F4B43" w:rsidRPr="00B36948" w:rsidRDefault="000F4B43" w:rsidP="000F4B43">
            <w:pPr>
              <w:keepNext/>
              <w:jc w:val="center"/>
              <w:rPr>
                <w:rFonts w:ascii="Arial Narrow" w:hAnsi="Arial Narrow"/>
                <w:sz w:val="20"/>
                <w:szCs w:val="20"/>
              </w:rPr>
            </w:pPr>
            <w:r w:rsidRPr="00B36948">
              <w:rPr>
                <w:rFonts w:ascii="Arial Narrow" w:hAnsi="Arial Narrow"/>
                <w:sz w:val="20"/>
                <w:szCs w:val="20"/>
              </w:rPr>
              <w:t>$</w:t>
            </w:r>
            <w:r w:rsidR="00650CB8" w:rsidRPr="00650CB8">
              <w:rPr>
                <w:rFonts w:ascii="Arial Narrow" w:hAnsi="Arial Narrow"/>
                <w:color w:val="000000"/>
                <w:spacing w:val="79"/>
                <w:sz w:val="20"/>
                <w:szCs w:val="20"/>
                <w:shd w:val="solid" w:color="000000" w:fill="000000"/>
                <w:fitText w:val="410" w:id="-1435748341"/>
                <w14:textFill>
                  <w14:solidFill>
                    <w14:srgbClr w14:val="000000">
                      <w14:alpha w14:val="100000"/>
                    </w14:srgbClr>
                  </w14:solidFill>
                </w14:textFill>
              </w:rPr>
              <w:t>|||</w:t>
            </w:r>
            <w:r w:rsidR="00650CB8" w:rsidRPr="00650CB8">
              <w:rPr>
                <w:rFonts w:ascii="Arial Narrow" w:hAnsi="Arial Narrow"/>
                <w:color w:val="000000"/>
                <w:spacing w:val="3"/>
                <w:sz w:val="20"/>
                <w:szCs w:val="20"/>
                <w:shd w:val="solid" w:color="000000" w:fill="000000"/>
                <w:fitText w:val="410" w:id="-1435748341"/>
                <w14:textFill>
                  <w14:solidFill>
                    <w14:srgbClr w14:val="000000">
                      <w14:alpha w14:val="100000"/>
                    </w14:srgbClr>
                  </w14:solidFill>
                </w14:textFill>
              </w:rPr>
              <w:t>|</w:t>
            </w:r>
            <w:r w:rsidR="0022677F">
              <w:rPr>
                <w:rFonts w:ascii="Arial Narrow" w:hAnsi="Arial Narrow"/>
                <w:color w:val="000000"/>
                <w:sz w:val="20"/>
                <w:szCs w:val="20"/>
                <w:vertAlign w:val="superscript"/>
              </w:rPr>
              <w:t>7</w:t>
            </w:r>
          </w:p>
        </w:tc>
        <w:tc>
          <w:tcPr>
            <w:tcW w:w="586" w:type="pct"/>
            <w:tcBorders>
              <w:right w:val="single" w:sz="4" w:space="0" w:color="auto"/>
            </w:tcBorders>
            <w:shd w:val="clear" w:color="auto" w:fill="auto"/>
            <w:vAlign w:val="center"/>
          </w:tcPr>
          <w:p w14:paraId="299D401D" w14:textId="706C5A0B" w:rsidR="000F4B43" w:rsidRPr="00B36948" w:rsidRDefault="000F4B43" w:rsidP="000F4B43">
            <w:pPr>
              <w:keepNext/>
              <w:jc w:val="center"/>
              <w:rPr>
                <w:rFonts w:ascii="Arial Narrow" w:hAnsi="Arial Narrow"/>
                <w:sz w:val="20"/>
                <w:szCs w:val="20"/>
              </w:rPr>
            </w:pPr>
            <w:r w:rsidRPr="00B36948">
              <w:rPr>
                <w:rFonts w:ascii="Arial Narrow" w:hAnsi="Arial Narrow"/>
                <w:sz w:val="20"/>
                <w:szCs w:val="20"/>
              </w:rPr>
              <w:t>$</w:t>
            </w:r>
            <w:r w:rsidR="00650CB8" w:rsidRPr="00650CB8">
              <w:rPr>
                <w:rFonts w:ascii="Arial Narrow" w:hAnsi="Arial Narrow"/>
                <w:color w:val="000000"/>
                <w:spacing w:val="79"/>
                <w:sz w:val="20"/>
                <w:szCs w:val="20"/>
                <w:shd w:val="solid" w:color="000000" w:fill="000000"/>
                <w:fitText w:val="410" w:id="-1435748340"/>
                <w14:textFill>
                  <w14:solidFill>
                    <w14:srgbClr w14:val="000000">
                      <w14:alpha w14:val="100000"/>
                    </w14:srgbClr>
                  </w14:solidFill>
                </w14:textFill>
              </w:rPr>
              <w:t>|||</w:t>
            </w:r>
            <w:r w:rsidR="00650CB8" w:rsidRPr="00650CB8">
              <w:rPr>
                <w:rFonts w:ascii="Arial Narrow" w:hAnsi="Arial Narrow"/>
                <w:color w:val="000000"/>
                <w:spacing w:val="3"/>
                <w:sz w:val="20"/>
                <w:szCs w:val="20"/>
                <w:shd w:val="solid" w:color="000000" w:fill="000000"/>
                <w:fitText w:val="410" w:id="-1435748340"/>
                <w14:textFill>
                  <w14:solidFill>
                    <w14:srgbClr w14:val="000000">
                      <w14:alpha w14:val="100000"/>
                    </w14:srgbClr>
                  </w14:solidFill>
                </w14:textFill>
              </w:rPr>
              <w:t>|</w:t>
            </w:r>
            <w:r w:rsidR="0022677F">
              <w:rPr>
                <w:rFonts w:ascii="Arial Narrow" w:hAnsi="Arial Narrow"/>
                <w:color w:val="000000"/>
                <w:sz w:val="20"/>
                <w:szCs w:val="20"/>
                <w:vertAlign w:val="superscript"/>
              </w:rPr>
              <w:t>7</w:t>
            </w:r>
          </w:p>
        </w:tc>
        <w:tc>
          <w:tcPr>
            <w:tcW w:w="586" w:type="pct"/>
            <w:tcBorders>
              <w:right w:val="single" w:sz="4" w:space="0" w:color="auto"/>
            </w:tcBorders>
            <w:vAlign w:val="center"/>
          </w:tcPr>
          <w:p w14:paraId="10B15DD9" w14:textId="6BA55C4F" w:rsidR="000F4B43" w:rsidRPr="00B36948" w:rsidRDefault="000F4B43" w:rsidP="000F4B43">
            <w:pPr>
              <w:keepNext/>
              <w:jc w:val="center"/>
              <w:rPr>
                <w:rFonts w:ascii="Arial Narrow" w:hAnsi="Arial Narrow"/>
                <w:sz w:val="20"/>
                <w:szCs w:val="20"/>
              </w:rPr>
            </w:pPr>
            <w:r w:rsidRPr="00B36948">
              <w:rPr>
                <w:rFonts w:ascii="Arial Narrow" w:hAnsi="Arial Narrow"/>
                <w:sz w:val="20"/>
                <w:szCs w:val="20"/>
              </w:rPr>
              <w:t>$</w:t>
            </w:r>
            <w:r w:rsidR="00650CB8" w:rsidRPr="00650CB8">
              <w:rPr>
                <w:rFonts w:ascii="Arial Narrow" w:hAnsi="Arial Narrow"/>
                <w:color w:val="000000"/>
                <w:spacing w:val="79"/>
                <w:sz w:val="20"/>
                <w:szCs w:val="20"/>
                <w:shd w:val="solid" w:color="000000" w:fill="000000"/>
                <w:fitText w:val="410" w:id="-1435748339"/>
                <w14:textFill>
                  <w14:solidFill>
                    <w14:srgbClr w14:val="000000">
                      <w14:alpha w14:val="100000"/>
                    </w14:srgbClr>
                  </w14:solidFill>
                </w14:textFill>
              </w:rPr>
              <w:t>|||</w:t>
            </w:r>
            <w:r w:rsidR="00650CB8" w:rsidRPr="00650CB8">
              <w:rPr>
                <w:rFonts w:ascii="Arial Narrow" w:hAnsi="Arial Narrow"/>
                <w:color w:val="000000"/>
                <w:spacing w:val="3"/>
                <w:sz w:val="20"/>
                <w:szCs w:val="20"/>
                <w:shd w:val="solid" w:color="000000" w:fill="000000"/>
                <w:fitText w:val="410" w:id="-1435748339"/>
                <w14:textFill>
                  <w14:solidFill>
                    <w14:srgbClr w14:val="000000">
                      <w14:alpha w14:val="100000"/>
                    </w14:srgbClr>
                  </w14:solidFill>
                </w14:textFill>
              </w:rPr>
              <w:t>|</w:t>
            </w:r>
            <w:r w:rsidR="0022677F">
              <w:rPr>
                <w:rFonts w:ascii="Arial Narrow" w:hAnsi="Arial Narrow"/>
                <w:color w:val="000000"/>
                <w:sz w:val="20"/>
                <w:szCs w:val="20"/>
                <w:vertAlign w:val="superscript"/>
              </w:rPr>
              <w:t>7</w:t>
            </w:r>
          </w:p>
        </w:tc>
      </w:tr>
      <w:tr w:rsidR="000F4B43" w:rsidRPr="00B36948" w14:paraId="5CA01371" w14:textId="77777777" w:rsidTr="000F4B43">
        <w:tc>
          <w:tcPr>
            <w:tcW w:w="1487" w:type="pct"/>
            <w:tcBorders>
              <w:left w:val="single" w:sz="4" w:space="0" w:color="auto"/>
            </w:tcBorders>
            <w:shd w:val="clear" w:color="auto" w:fill="auto"/>
            <w:vAlign w:val="center"/>
          </w:tcPr>
          <w:p w14:paraId="20DAE436" w14:textId="77777777" w:rsidR="000F4B43" w:rsidRPr="00B36948" w:rsidRDefault="000F4B43" w:rsidP="000F4B43">
            <w:pPr>
              <w:keepNext/>
              <w:jc w:val="left"/>
              <w:rPr>
                <w:rFonts w:ascii="Arial Narrow" w:hAnsi="Arial Narrow"/>
                <w:sz w:val="20"/>
                <w:szCs w:val="20"/>
              </w:rPr>
            </w:pPr>
            <w:r w:rsidRPr="00B36948">
              <w:rPr>
                <w:rFonts w:ascii="Arial Narrow" w:eastAsia="Calibri" w:hAnsi="Arial Narrow" w:cs="Times New Roman"/>
                <w:sz w:val="20"/>
                <w:szCs w:val="20"/>
              </w:rPr>
              <w:t>Patients - monthly dose (20%)</w:t>
            </w:r>
          </w:p>
        </w:tc>
        <w:tc>
          <w:tcPr>
            <w:tcW w:w="585" w:type="pct"/>
            <w:shd w:val="clear" w:color="auto" w:fill="auto"/>
            <w:vAlign w:val="center"/>
          </w:tcPr>
          <w:p w14:paraId="08719FFF" w14:textId="79890050" w:rsidR="000F4B43" w:rsidRPr="00E453D0" w:rsidRDefault="00650CB8" w:rsidP="000F4B43">
            <w:pPr>
              <w:keepNext/>
              <w:jc w:val="center"/>
              <w:rPr>
                <w:rFonts w:ascii="Arial Narrow" w:hAnsi="Arial Narrow"/>
                <w:sz w:val="20"/>
                <w:szCs w:val="20"/>
                <w:highlight w:val="darkGray"/>
              </w:rPr>
            </w:pPr>
            <w:r w:rsidRPr="00650CB8">
              <w:rPr>
                <w:rFonts w:ascii="Arial Narrow" w:hAnsi="Arial Narrow"/>
                <w:color w:val="000000"/>
                <w:spacing w:val="63"/>
                <w:sz w:val="20"/>
                <w:szCs w:val="20"/>
                <w:shd w:val="solid" w:color="000000" w:fill="000000"/>
                <w:fitText w:val="360" w:id="-1435748338"/>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60" w:id="-1435748338"/>
                <w14:textFill>
                  <w14:solidFill>
                    <w14:srgbClr w14:val="000000">
                      <w14:alpha w14:val="100000"/>
                    </w14:srgbClr>
                  </w14:solidFill>
                </w14:textFill>
              </w:rPr>
              <w:t>|</w:t>
            </w:r>
            <w:r w:rsidR="0022677F">
              <w:rPr>
                <w:rFonts w:ascii="Arial Narrow" w:hAnsi="Arial Narrow"/>
                <w:color w:val="000000"/>
                <w:sz w:val="20"/>
                <w:szCs w:val="20"/>
                <w:vertAlign w:val="superscript"/>
              </w:rPr>
              <w:t>6</w:t>
            </w:r>
          </w:p>
        </w:tc>
        <w:tc>
          <w:tcPr>
            <w:tcW w:w="586" w:type="pct"/>
            <w:shd w:val="clear" w:color="auto" w:fill="auto"/>
            <w:vAlign w:val="center"/>
          </w:tcPr>
          <w:p w14:paraId="0A13ABD8" w14:textId="3F70B3FA" w:rsidR="000F4B43" w:rsidRPr="00E453D0" w:rsidRDefault="00650CB8" w:rsidP="000F4B43">
            <w:pPr>
              <w:keepNext/>
              <w:jc w:val="center"/>
              <w:rPr>
                <w:rFonts w:ascii="Arial Narrow" w:hAnsi="Arial Narrow"/>
                <w:sz w:val="20"/>
                <w:szCs w:val="20"/>
                <w:highlight w:val="darkGray"/>
              </w:rPr>
            </w:pPr>
            <w:r w:rsidRPr="00650CB8">
              <w:rPr>
                <w:rFonts w:ascii="Arial Narrow" w:hAnsi="Arial Narrow"/>
                <w:color w:val="000000"/>
                <w:spacing w:val="63"/>
                <w:sz w:val="20"/>
                <w:szCs w:val="20"/>
                <w:shd w:val="solid" w:color="000000" w:fill="000000"/>
                <w:fitText w:val="360" w:id="-1435748096"/>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60" w:id="-1435748096"/>
                <w14:textFill>
                  <w14:solidFill>
                    <w14:srgbClr w14:val="000000">
                      <w14:alpha w14:val="100000"/>
                    </w14:srgbClr>
                  </w14:solidFill>
                </w14:textFill>
              </w:rPr>
              <w:t>|</w:t>
            </w:r>
            <w:r w:rsidR="0022677F">
              <w:rPr>
                <w:rFonts w:ascii="Arial Narrow" w:hAnsi="Arial Narrow"/>
                <w:color w:val="000000"/>
                <w:sz w:val="20"/>
                <w:szCs w:val="20"/>
                <w:vertAlign w:val="superscript"/>
              </w:rPr>
              <w:t>6</w:t>
            </w:r>
          </w:p>
        </w:tc>
        <w:tc>
          <w:tcPr>
            <w:tcW w:w="586" w:type="pct"/>
            <w:shd w:val="clear" w:color="auto" w:fill="auto"/>
            <w:vAlign w:val="center"/>
          </w:tcPr>
          <w:p w14:paraId="2FB42568" w14:textId="47428110" w:rsidR="000F4B43" w:rsidRPr="00E453D0" w:rsidRDefault="00650CB8" w:rsidP="000F4B43">
            <w:pPr>
              <w:keepNext/>
              <w:jc w:val="center"/>
              <w:rPr>
                <w:rFonts w:ascii="Arial Narrow" w:hAnsi="Arial Narrow"/>
                <w:sz w:val="20"/>
                <w:szCs w:val="20"/>
                <w:highlight w:val="darkGray"/>
              </w:rPr>
            </w:pPr>
            <w:r w:rsidRPr="00650CB8">
              <w:rPr>
                <w:rFonts w:ascii="Arial Narrow" w:hAnsi="Arial Narrow"/>
                <w:color w:val="000000"/>
                <w:spacing w:val="63"/>
                <w:sz w:val="20"/>
                <w:szCs w:val="20"/>
                <w:shd w:val="solid" w:color="000000" w:fill="000000"/>
                <w:fitText w:val="360" w:id="-1435748095"/>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60" w:id="-1435748095"/>
                <w14:textFill>
                  <w14:solidFill>
                    <w14:srgbClr w14:val="000000">
                      <w14:alpha w14:val="100000"/>
                    </w14:srgbClr>
                  </w14:solidFill>
                </w14:textFill>
              </w:rPr>
              <w:t>|</w:t>
            </w:r>
            <w:r w:rsidR="0022677F">
              <w:rPr>
                <w:rFonts w:ascii="Arial Narrow" w:hAnsi="Arial Narrow"/>
                <w:color w:val="000000"/>
                <w:sz w:val="20"/>
                <w:szCs w:val="20"/>
                <w:vertAlign w:val="superscript"/>
              </w:rPr>
              <w:t>6</w:t>
            </w:r>
          </w:p>
        </w:tc>
        <w:tc>
          <w:tcPr>
            <w:tcW w:w="586" w:type="pct"/>
            <w:shd w:val="clear" w:color="auto" w:fill="auto"/>
            <w:vAlign w:val="center"/>
          </w:tcPr>
          <w:p w14:paraId="2D0BD981" w14:textId="169EF3E7" w:rsidR="000F4B43" w:rsidRPr="00E453D0" w:rsidRDefault="00650CB8" w:rsidP="000F4B43">
            <w:pPr>
              <w:keepNext/>
              <w:jc w:val="center"/>
              <w:rPr>
                <w:rFonts w:ascii="Arial Narrow" w:hAnsi="Arial Narrow"/>
                <w:sz w:val="20"/>
                <w:szCs w:val="20"/>
                <w:highlight w:val="darkGray"/>
              </w:rPr>
            </w:pPr>
            <w:r w:rsidRPr="00650CB8">
              <w:rPr>
                <w:rFonts w:ascii="Arial Narrow" w:hAnsi="Arial Narrow"/>
                <w:color w:val="000000"/>
                <w:spacing w:val="63"/>
                <w:sz w:val="20"/>
                <w:szCs w:val="20"/>
                <w:shd w:val="solid" w:color="000000" w:fill="000000"/>
                <w:fitText w:val="360" w:id="-1435748094"/>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60" w:id="-1435748094"/>
                <w14:textFill>
                  <w14:solidFill>
                    <w14:srgbClr w14:val="000000">
                      <w14:alpha w14:val="100000"/>
                    </w14:srgbClr>
                  </w14:solidFill>
                </w14:textFill>
              </w:rPr>
              <w:t>|</w:t>
            </w:r>
            <w:r w:rsidR="0022677F">
              <w:rPr>
                <w:rFonts w:ascii="Arial Narrow" w:hAnsi="Arial Narrow"/>
                <w:color w:val="000000"/>
                <w:sz w:val="20"/>
                <w:szCs w:val="20"/>
                <w:vertAlign w:val="superscript"/>
              </w:rPr>
              <w:t>6</w:t>
            </w:r>
          </w:p>
        </w:tc>
        <w:tc>
          <w:tcPr>
            <w:tcW w:w="586" w:type="pct"/>
            <w:tcBorders>
              <w:right w:val="single" w:sz="4" w:space="0" w:color="auto"/>
            </w:tcBorders>
            <w:shd w:val="clear" w:color="auto" w:fill="auto"/>
            <w:vAlign w:val="center"/>
          </w:tcPr>
          <w:p w14:paraId="3AA3F1B8" w14:textId="3FD262C0" w:rsidR="000F4B43" w:rsidRPr="00E453D0" w:rsidRDefault="00650CB8" w:rsidP="000F4B43">
            <w:pPr>
              <w:keepNext/>
              <w:jc w:val="center"/>
              <w:rPr>
                <w:rFonts w:ascii="Arial Narrow" w:hAnsi="Arial Narrow"/>
                <w:sz w:val="20"/>
                <w:szCs w:val="20"/>
                <w:highlight w:val="darkGray"/>
              </w:rPr>
            </w:pPr>
            <w:r w:rsidRPr="00650CB8">
              <w:rPr>
                <w:rFonts w:ascii="Arial Narrow" w:hAnsi="Arial Narrow"/>
                <w:color w:val="000000"/>
                <w:spacing w:val="63"/>
                <w:sz w:val="20"/>
                <w:szCs w:val="20"/>
                <w:shd w:val="solid" w:color="000000" w:fill="000000"/>
                <w:fitText w:val="360" w:id="-1435748093"/>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60" w:id="-1435748093"/>
                <w14:textFill>
                  <w14:solidFill>
                    <w14:srgbClr w14:val="000000">
                      <w14:alpha w14:val="100000"/>
                    </w14:srgbClr>
                  </w14:solidFill>
                </w14:textFill>
              </w:rPr>
              <w:t>|</w:t>
            </w:r>
            <w:r w:rsidR="0022677F">
              <w:rPr>
                <w:rFonts w:ascii="Arial Narrow" w:hAnsi="Arial Narrow"/>
                <w:color w:val="000000"/>
                <w:sz w:val="20"/>
                <w:szCs w:val="20"/>
                <w:vertAlign w:val="superscript"/>
              </w:rPr>
              <w:t>6</w:t>
            </w:r>
          </w:p>
        </w:tc>
        <w:tc>
          <w:tcPr>
            <w:tcW w:w="586" w:type="pct"/>
            <w:tcBorders>
              <w:right w:val="single" w:sz="4" w:space="0" w:color="auto"/>
            </w:tcBorders>
            <w:vAlign w:val="center"/>
          </w:tcPr>
          <w:p w14:paraId="3E7D011A" w14:textId="1491070E" w:rsidR="000F4B43" w:rsidRPr="00E453D0" w:rsidRDefault="00650CB8" w:rsidP="000F4B43">
            <w:pPr>
              <w:keepNext/>
              <w:jc w:val="center"/>
              <w:rPr>
                <w:rFonts w:ascii="Arial Narrow" w:hAnsi="Arial Narrow"/>
                <w:sz w:val="20"/>
                <w:szCs w:val="20"/>
                <w:highlight w:val="darkGray"/>
              </w:rPr>
            </w:pPr>
            <w:r w:rsidRPr="00650CB8">
              <w:rPr>
                <w:rFonts w:ascii="Arial Narrow" w:hAnsi="Arial Narrow"/>
                <w:color w:val="000000"/>
                <w:spacing w:val="63"/>
                <w:sz w:val="20"/>
                <w:szCs w:val="20"/>
                <w:shd w:val="solid" w:color="000000" w:fill="000000"/>
                <w:fitText w:val="360" w:id="-1435748092"/>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60" w:id="-1435748092"/>
                <w14:textFill>
                  <w14:solidFill>
                    <w14:srgbClr w14:val="000000">
                      <w14:alpha w14:val="100000"/>
                    </w14:srgbClr>
                  </w14:solidFill>
                </w14:textFill>
              </w:rPr>
              <w:t>|</w:t>
            </w:r>
            <w:r w:rsidR="0022677F">
              <w:rPr>
                <w:rFonts w:ascii="Arial Narrow" w:hAnsi="Arial Narrow"/>
                <w:color w:val="000000"/>
                <w:sz w:val="20"/>
                <w:szCs w:val="20"/>
                <w:vertAlign w:val="superscript"/>
              </w:rPr>
              <w:t>6</w:t>
            </w:r>
          </w:p>
        </w:tc>
      </w:tr>
      <w:tr w:rsidR="000F4B43" w:rsidRPr="00B36948" w14:paraId="48B73922" w14:textId="77777777" w:rsidTr="000F4B43">
        <w:tc>
          <w:tcPr>
            <w:tcW w:w="1487" w:type="pct"/>
            <w:tcBorders>
              <w:left w:val="single" w:sz="4" w:space="0" w:color="auto"/>
            </w:tcBorders>
            <w:shd w:val="clear" w:color="auto" w:fill="auto"/>
            <w:vAlign w:val="center"/>
          </w:tcPr>
          <w:p w14:paraId="0416BD75" w14:textId="77777777" w:rsidR="000F4B43" w:rsidRPr="00B36948" w:rsidRDefault="000F4B43" w:rsidP="000F4B43">
            <w:pPr>
              <w:keepNext/>
              <w:jc w:val="left"/>
              <w:rPr>
                <w:rFonts w:ascii="Arial Narrow" w:eastAsia="Calibri" w:hAnsi="Arial Narrow" w:cs="Times New Roman"/>
                <w:sz w:val="20"/>
                <w:szCs w:val="20"/>
              </w:rPr>
            </w:pPr>
            <w:r w:rsidRPr="00B36948">
              <w:rPr>
                <w:rFonts w:ascii="Arial Narrow" w:hAnsi="Arial Narrow"/>
                <w:sz w:val="20"/>
                <w:szCs w:val="20"/>
              </w:rPr>
              <w:t>Evolocumab 420 mg scripts (10.20 scripts per patient)</w:t>
            </w:r>
          </w:p>
        </w:tc>
        <w:tc>
          <w:tcPr>
            <w:tcW w:w="585" w:type="pct"/>
            <w:shd w:val="clear" w:color="auto" w:fill="auto"/>
            <w:vAlign w:val="center"/>
          </w:tcPr>
          <w:p w14:paraId="776ED817" w14:textId="633A95E1" w:rsidR="000F4B43" w:rsidRPr="00E453D0" w:rsidRDefault="00650CB8" w:rsidP="000F4B43">
            <w:pPr>
              <w:keepNext/>
              <w:jc w:val="center"/>
              <w:rPr>
                <w:rFonts w:ascii="Arial Narrow" w:hAnsi="Arial Narrow"/>
                <w:sz w:val="20"/>
                <w:szCs w:val="20"/>
                <w:highlight w:val="darkGray"/>
              </w:rPr>
            </w:pPr>
            <w:r w:rsidRPr="00650CB8">
              <w:rPr>
                <w:rFonts w:ascii="Arial Narrow" w:hAnsi="Arial Narrow"/>
                <w:color w:val="000000"/>
                <w:spacing w:val="63"/>
                <w:sz w:val="20"/>
                <w:szCs w:val="20"/>
                <w:shd w:val="solid" w:color="000000" w:fill="000000"/>
                <w:fitText w:val="360" w:id="-1435748091"/>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60" w:id="-1435748091"/>
                <w14:textFill>
                  <w14:solidFill>
                    <w14:srgbClr w14:val="000000">
                      <w14:alpha w14:val="100000"/>
                    </w14:srgbClr>
                  </w14:solidFill>
                </w14:textFill>
              </w:rPr>
              <w:t>|</w:t>
            </w:r>
            <w:r w:rsidR="0022677F">
              <w:rPr>
                <w:rFonts w:ascii="Arial Narrow" w:hAnsi="Arial Narrow"/>
                <w:color w:val="000000"/>
                <w:sz w:val="20"/>
                <w:szCs w:val="20"/>
                <w:vertAlign w:val="superscript"/>
              </w:rPr>
              <w:t>6</w:t>
            </w:r>
          </w:p>
        </w:tc>
        <w:tc>
          <w:tcPr>
            <w:tcW w:w="586" w:type="pct"/>
            <w:shd w:val="clear" w:color="auto" w:fill="auto"/>
            <w:vAlign w:val="center"/>
          </w:tcPr>
          <w:p w14:paraId="7264D919" w14:textId="5C64E5C4" w:rsidR="000F4B43" w:rsidRPr="00E453D0" w:rsidRDefault="00650CB8" w:rsidP="000F4B43">
            <w:pPr>
              <w:keepNext/>
              <w:jc w:val="center"/>
              <w:rPr>
                <w:rFonts w:ascii="Arial Narrow" w:hAnsi="Arial Narrow"/>
                <w:sz w:val="20"/>
                <w:szCs w:val="20"/>
                <w:highlight w:val="darkGray"/>
              </w:rPr>
            </w:pPr>
            <w:r w:rsidRPr="00650CB8">
              <w:rPr>
                <w:rFonts w:ascii="Arial Narrow" w:hAnsi="Arial Narrow"/>
                <w:color w:val="000000"/>
                <w:spacing w:val="63"/>
                <w:sz w:val="20"/>
                <w:szCs w:val="20"/>
                <w:shd w:val="solid" w:color="000000" w:fill="000000"/>
                <w:fitText w:val="360" w:id="-1435748090"/>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60" w:id="-1435748090"/>
                <w14:textFill>
                  <w14:solidFill>
                    <w14:srgbClr w14:val="000000">
                      <w14:alpha w14:val="100000"/>
                    </w14:srgbClr>
                  </w14:solidFill>
                </w14:textFill>
              </w:rPr>
              <w:t>|</w:t>
            </w:r>
            <w:r w:rsidR="0022677F">
              <w:rPr>
                <w:rFonts w:ascii="Arial Narrow" w:hAnsi="Arial Narrow"/>
                <w:color w:val="000000"/>
                <w:sz w:val="20"/>
                <w:szCs w:val="20"/>
                <w:vertAlign w:val="superscript"/>
              </w:rPr>
              <w:t>5</w:t>
            </w:r>
          </w:p>
        </w:tc>
        <w:tc>
          <w:tcPr>
            <w:tcW w:w="586" w:type="pct"/>
            <w:shd w:val="clear" w:color="auto" w:fill="auto"/>
            <w:vAlign w:val="center"/>
          </w:tcPr>
          <w:p w14:paraId="21E97FE8" w14:textId="6059CC8E" w:rsidR="000F4B43" w:rsidRPr="00E453D0" w:rsidRDefault="00650CB8" w:rsidP="000F4B43">
            <w:pPr>
              <w:keepNext/>
              <w:jc w:val="center"/>
              <w:rPr>
                <w:rFonts w:ascii="Arial Narrow" w:hAnsi="Arial Narrow"/>
                <w:sz w:val="20"/>
                <w:szCs w:val="20"/>
                <w:highlight w:val="darkGray"/>
              </w:rPr>
            </w:pPr>
            <w:r w:rsidRPr="00650CB8">
              <w:rPr>
                <w:rFonts w:ascii="Arial Narrow" w:hAnsi="Arial Narrow"/>
                <w:color w:val="000000"/>
                <w:spacing w:val="63"/>
                <w:sz w:val="20"/>
                <w:szCs w:val="20"/>
                <w:shd w:val="solid" w:color="000000" w:fill="000000"/>
                <w:fitText w:val="360" w:id="-1435748089"/>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60" w:id="-1435748089"/>
                <w14:textFill>
                  <w14:solidFill>
                    <w14:srgbClr w14:val="000000">
                      <w14:alpha w14:val="100000"/>
                    </w14:srgbClr>
                  </w14:solidFill>
                </w14:textFill>
              </w:rPr>
              <w:t>|</w:t>
            </w:r>
            <w:r w:rsidR="0022677F">
              <w:rPr>
                <w:rFonts w:ascii="Arial Narrow" w:hAnsi="Arial Narrow"/>
                <w:color w:val="000000"/>
                <w:sz w:val="20"/>
                <w:szCs w:val="20"/>
                <w:vertAlign w:val="superscript"/>
              </w:rPr>
              <w:t>5</w:t>
            </w:r>
          </w:p>
        </w:tc>
        <w:tc>
          <w:tcPr>
            <w:tcW w:w="586" w:type="pct"/>
            <w:shd w:val="clear" w:color="auto" w:fill="auto"/>
            <w:vAlign w:val="center"/>
          </w:tcPr>
          <w:p w14:paraId="15DCA972" w14:textId="73369842" w:rsidR="000F4B43" w:rsidRPr="00E453D0" w:rsidRDefault="00650CB8" w:rsidP="000F4B43">
            <w:pPr>
              <w:keepNext/>
              <w:jc w:val="center"/>
              <w:rPr>
                <w:rFonts w:ascii="Arial Narrow" w:hAnsi="Arial Narrow"/>
                <w:sz w:val="20"/>
                <w:szCs w:val="20"/>
                <w:highlight w:val="darkGray"/>
              </w:rPr>
            </w:pPr>
            <w:r w:rsidRPr="00650CB8">
              <w:rPr>
                <w:rFonts w:ascii="Arial Narrow" w:hAnsi="Arial Narrow"/>
                <w:color w:val="000000"/>
                <w:spacing w:val="63"/>
                <w:sz w:val="20"/>
                <w:szCs w:val="20"/>
                <w:shd w:val="solid" w:color="000000" w:fill="000000"/>
                <w:fitText w:val="360" w:id="-1435748088"/>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60" w:id="-1435748088"/>
                <w14:textFill>
                  <w14:solidFill>
                    <w14:srgbClr w14:val="000000">
                      <w14:alpha w14:val="100000"/>
                    </w14:srgbClr>
                  </w14:solidFill>
                </w14:textFill>
              </w:rPr>
              <w:t>|</w:t>
            </w:r>
            <w:r w:rsidR="0022677F">
              <w:rPr>
                <w:rFonts w:ascii="Arial Narrow" w:hAnsi="Arial Narrow"/>
                <w:color w:val="000000"/>
                <w:sz w:val="20"/>
                <w:szCs w:val="20"/>
                <w:vertAlign w:val="superscript"/>
              </w:rPr>
              <w:t>5</w:t>
            </w:r>
          </w:p>
        </w:tc>
        <w:tc>
          <w:tcPr>
            <w:tcW w:w="586" w:type="pct"/>
            <w:tcBorders>
              <w:right w:val="single" w:sz="4" w:space="0" w:color="auto"/>
            </w:tcBorders>
            <w:shd w:val="clear" w:color="auto" w:fill="auto"/>
            <w:vAlign w:val="center"/>
          </w:tcPr>
          <w:p w14:paraId="4D5D3CCD" w14:textId="253307C5" w:rsidR="000F4B43" w:rsidRPr="00E453D0" w:rsidRDefault="00650CB8" w:rsidP="000F4B43">
            <w:pPr>
              <w:keepNext/>
              <w:jc w:val="center"/>
              <w:rPr>
                <w:rFonts w:ascii="Arial Narrow" w:hAnsi="Arial Narrow"/>
                <w:sz w:val="20"/>
                <w:szCs w:val="20"/>
                <w:highlight w:val="darkGray"/>
              </w:rPr>
            </w:pPr>
            <w:r w:rsidRPr="00650CB8">
              <w:rPr>
                <w:rFonts w:ascii="Arial Narrow" w:hAnsi="Arial Narrow"/>
                <w:color w:val="000000"/>
                <w:spacing w:val="63"/>
                <w:sz w:val="20"/>
                <w:szCs w:val="20"/>
                <w:shd w:val="solid" w:color="000000" w:fill="000000"/>
                <w:fitText w:val="360" w:id="-1435748087"/>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60" w:id="-1435748087"/>
                <w14:textFill>
                  <w14:solidFill>
                    <w14:srgbClr w14:val="000000">
                      <w14:alpha w14:val="100000"/>
                    </w14:srgbClr>
                  </w14:solidFill>
                </w14:textFill>
              </w:rPr>
              <w:t>|</w:t>
            </w:r>
            <w:r w:rsidR="0022677F">
              <w:rPr>
                <w:rFonts w:ascii="Arial Narrow" w:hAnsi="Arial Narrow"/>
                <w:color w:val="000000"/>
                <w:sz w:val="20"/>
                <w:szCs w:val="20"/>
                <w:vertAlign w:val="superscript"/>
              </w:rPr>
              <w:t>5</w:t>
            </w:r>
          </w:p>
        </w:tc>
        <w:tc>
          <w:tcPr>
            <w:tcW w:w="586" w:type="pct"/>
            <w:tcBorders>
              <w:right w:val="single" w:sz="4" w:space="0" w:color="auto"/>
            </w:tcBorders>
            <w:vAlign w:val="center"/>
          </w:tcPr>
          <w:p w14:paraId="0CF25BC4" w14:textId="31D305E8" w:rsidR="000F4B43" w:rsidRPr="00E453D0" w:rsidRDefault="00650CB8" w:rsidP="000F4B43">
            <w:pPr>
              <w:keepNext/>
              <w:jc w:val="center"/>
              <w:rPr>
                <w:rFonts w:ascii="Arial Narrow" w:hAnsi="Arial Narrow"/>
                <w:sz w:val="20"/>
                <w:szCs w:val="20"/>
                <w:highlight w:val="darkGray"/>
              </w:rPr>
            </w:pPr>
            <w:r w:rsidRPr="00650CB8">
              <w:rPr>
                <w:rFonts w:ascii="Arial Narrow" w:hAnsi="Arial Narrow"/>
                <w:color w:val="000000"/>
                <w:spacing w:val="63"/>
                <w:sz w:val="20"/>
                <w:szCs w:val="20"/>
                <w:shd w:val="solid" w:color="000000" w:fill="000000"/>
                <w:fitText w:val="360" w:id="-1435748086"/>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60" w:id="-1435748086"/>
                <w14:textFill>
                  <w14:solidFill>
                    <w14:srgbClr w14:val="000000">
                      <w14:alpha w14:val="100000"/>
                    </w14:srgbClr>
                  </w14:solidFill>
                </w14:textFill>
              </w:rPr>
              <w:t>|</w:t>
            </w:r>
            <w:r w:rsidR="0022677F">
              <w:rPr>
                <w:rFonts w:ascii="Arial Narrow" w:hAnsi="Arial Narrow"/>
                <w:color w:val="000000"/>
                <w:sz w:val="20"/>
                <w:szCs w:val="20"/>
                <w:vertAlign w:val="superscript"/>
              </w:rPr>
              <w:t>5</w:t>
            </w:r>
          </w:p>
        </w:tc>
      </w:tr>
      <w:tr w:rsidR="000F4B43" w:rsidRPr="00B36948" w14:paraId="455590F1" w14:textId="77777777" w:rsidTr="000F4B43">
        <w:tc>
          <w:tcPr>
            <w:tcW w:w="1487" w:type="pct"/>
            <w:tcBorders>
              <w:left w:val="single" w:sz="4" w:space="0" w:color="auto"/>
            </w:tcBorders>
            <w:shd w:val="clear" w:color="auto" w:fill="auto"/>
            <w:vAlign w:val="center"/>
          </w:tcPr>
          <w:p w14:paraId="38179968" w14:textId="2DC10780" w:rsidR="000F4B43" w:rsidRPr="00B36948" w:rsidRDefault="000F4B43" w:rsidP="000F4B43">
            <w:pPr>
              <w:keepNext/>
              <w:jc w:val="left"/>
              <w:rPr>
                <w:rFonts w:ascii="Arial Narrow" w:eastAsia="Calibri" w:hAnsi="Arial Narrow" w:cs="Times New Roman"/>
                <w:sz w:val="20"/>
                <w:szCs w:val="20"/>
                <w:vertAlign w:val="superscript"/>
              </w:rPr>
            </w:pPr>
            <w:r w:rsidRPr="00B36948">
              <w:rPr>
                <w:rFonts w:ascii="Arial Narrow" w:hAnsi="Arial Narrow"/>
                <w:sz w:val="20"/>
                <w:szCs w:val="20"/>
              </w:rPr>
              <w:t>Effective cost of evolocumab 420 mg scripts ($</w:t>
            </w:r>
            <w:r w:rsidR="00650CB8" w:rsidRPr="00650CB8">
              <w:rPr>
                <w:rFonts w:ascii="Arial Narrow" w:hAnsi="Arial Narrow"/>
                <w:color w:val="000000"/>
                <w:spacing w:val="46"/>
                <w:sz w:val="20"/>
                <w:szCs w:val="20"/>
                <w:shd w:val="solid" w:color="000000" w:fill="000000"/>
                <w:fitText w:val="490" w:id="-1435748085"/>
                <w14:textFill>
                  <w14:solidFill>
                    <w14:srgbClr w14:val="000000">
                      <w14:alpha w14:val="100000"/>
                    </w14:srgbClr>
                  </w14:solidFill>
                </w14:textFill>
              </w:rPr>
              <w:t>|||||</w:t>
            </w:r>
            <w:r w:rsidR="00650CB8" w:rsidRPr="00650CB8">
              <w:rPr>
                <w:rFonts w:ascii="Arial Narrow" w:hAnsi="Arial Narrow"/>
                <w:color w:val="000000"/>
                <w:spacing w:val="5"/>
                <w:sz w:val="20"/>
                <w:szCs w:val="20"/>
                <w:shd w:val="solid" w:color="000000" w:fill="000000"/>
                <w:fitText w:val="490" w:id="-1435748085"/>
                <w14:textFill>
                  <w14:solidFill>
                    <w14:srgbClr w14:val="000000">
                      <w14:alpha w14:val="100000"/>
                    </w14:srgbClr>
                  </w14:solidFill>
                </w14:textFill>
              </w:rPr>
              <w:t>|</w:t>
            </w:r>
            <w:r w:rsidRPr="00B36948">
              <w:rPr>
                <w:rFonts w:ascii="Arial Narrow" w:hAnsi="Arial Narrow"/>
                <w:sz w:val="20"/>
                <w:szCs w:val="20"/>
              </w:rPr>
              <w:t xml:space="preserve">) </w:t>
            </w:r>
            <w:r w:rsidRPr="00B36948">
              <w:rPr>
                <w:rFonts w:ascii="Arial Narrow" w:hAnsi="Arial Narrow"/>
                <w:sz w:val="20"/>
                <w:szCs w:val="20"/>
                <w:vertAlign w:val="superscript"/>
              </w:rPr>
              <w:t xml:space="preserve"> 1</w:t>
            </w:r>
          </w:p>
        </w:tc>
        <w:tc>
          <w:tcPr>
            <w:tcW w:w="585" w:type="pct"/>
            <w:shd w:val="clear" w:color="auto" w:fill="auto"/>
            <w:vAlign w:val="center"/>
          </w:tcPr>
          <w:p w14:paraId="7C64EC44" w14:textId="5FB8E402" w:rsidR="000F4B43" w:rsidRPr="00B36948" w:rsidRDefault="000F4B43" w:rsidP="000F4B43">
            <w:pPr>
              <w:keepNext/>
              <w:jc w:val="center"/>
              <w:rPr>
                <w:rFonts w:ascii="Arial Narrow" w:hAnsi="Arial Narrow"/>
                <w:sz w:val="20"/>
                <w:szCs w:val="20"/>
              </w:rPr>
            </w:pPr>
            <w:r w:rsidRPr="00B36948">
              <w:rPr>
                <w:rFonts w:ascii="Arial Narrow" w:hAnsi="Arial Narrow"/>
                <w:sz w:val="20"/>
                <w:szCs w:val="20"/>
              </w:rPr>
              <w:t>$</w:t>
            </w:r>
            <w:r w:rsidR="00650CB8" w:rsidRPr="00650CB8">
              <w:rPr>
                <w:rFonts w:ascii="Arial Narrow" w:hAnsi="Arial Narrow"/>
                <w:color w:val="000000"/>
                <w:spacing w:val="79"/>
                <w:sz w:val="20"/>
                <w:szCs w:val="20"/>
                <w:shd w:val="solid" w:color="000000" w:fill="000000"/>
                <w:fitText w:val="410" w:id="-1435748084"/>
                <w14:textFill>
                  <w14:solidFill>
                    <w14:srgbClr w14:val="000000">
                      <w14:alpha w14:val="100000"/>
                    </w14:srgbClr>
                  </w14:solidFill>
                </w14:textFill>
              </w:rPr>
              <w:t>|||</w:t>
            </w:r>
            <w:r w:rsidR="00650CB8" w:rsidRPr="00650CB8">
              <w:rPr>
                <w:rFonts w:ascii="Arial Narrow" w:hAnsi="Arial Narrow"/>
                <w:color w:val="000000"/>
                <w:spacing w:val="3"/>
                <w:sz w:val="20"/>
                <w:szCs w:val="20"/>
                <w:shd w:val="solid" w:color="000000" w:fill="000000"/>
                <w:fitText w:val="410" w:id="-1435748084"/>
                <w14:textFill>
                  <w14:solidFill>
                    <w14:srgbClr w14:val="000000">
                      <w14:alpha w14:val="100000"/>
                    </w14:srgbClr>
                  </w14:solidFill>
                </w14:textFill>
              </w:rPr>
              <w:t>|</w:t>
            </w:r>
            <w:r w:rsidR="0022677F">
              <w:rPr>
                <w:rFonts w:ascii="Arial Narrow" w:hAnsi="Arial Narrow"/>
                <w:color w:val="000000"/>
                <w:sz w:val="20"/>
                <w:szCs w:val="20"/>
                <w:vertAlign w:val="superscript"/>
              </w:rPr>
              <w:t>7</w:t>
            </w:r>
          </w:p>
        </w:tc>
        <w:tc>
          <w:tcPr>
            <w:tcW w:w="586" w:type="pct"/>
            <w:shd w:val="clear" w:color="auto" w:fill="auto"/>
            <w:vAlign w:val="center"/>
          </w:tcPr>
          <w:p w14:paraId="46C8E377" w14:textId="144F1203" w:rsidR="000F4B43" w:rsidRPr="00B36948" w:rsidRDefault="000F4B43" w:rsidP="000F4B43">
            <w:pPr>
              <w:keepNext/>
              <w:jc w:val="center"/>
              <w:rPr>
                <w:rFonts w:ascii="Arial Narrow" w:hAnsi="Arial Narrow"/>
                <w:sz w:val="20"/>
                <w:szCs w:val="20"/>
              </w:rPr>
            </w:pPr>
            <w:r w:rsidRPr="00B36948">
              <w:rPr>
                <w:rFonts w:ascii="Arial Narrow" w:hAnsi="Arial Narrow"/>
                <w:sz w:val="20"/>
                <w:szCs w:val="20"/>
              </w:rPr>
              <w:t>$</w:t>
            </w:r>
            <w:r w:rsidR="00650CB8" w:rsidRPr="00650CB8">
              <w:rPr>
                <w:rFonts w:ascii="Arial Narrow" w:hAnsi="Arial Narrow"/>
                <w:color w:val="000000"/>
                <w:spacing w:val="79"/>
                <w:sz w:val="20"/>
                <w:szCs w:val="20"/>
                <w:shd w:val="solid" w:color="000000" w:fill="000000"/>
                <w:fitText w:val="410" w:id="-1435748083"/>
                <w14:textFill>
                  <w14:solidFill>
                    <w14:srgbClr w14:val="000000">
                      <w14:alpha w14:val="100000"/>
                    </w14:srgbClr>
                  </w14:solidFill>
                </w14:textFill>
              </w:rPr>
              <w:t>|||</w:t>
            </w:r>
            <w:r w:rsidR="00650CB8" w:rsidRPr="00650CB8">
              <w:rPr>
                <w:rFonts w:ascii="Arial Narrow" w:hAnsi="Arial Narrow"/>
                <w:color w:val="000000"/>
                <w:spacing w:val="3"/>
                <w:sz w:val="20"/>
                <w:szCs w:val="20"/>
                <w:shd w:val="solid" w:color="000000" w:fill="000000"/>
                <w:fitText w:val="410" w:id="-1435748083"/>
                <w14:textFill>
                  <w14:solidFill>
                    <w14:srgbClr w14:val="000000">
                      <w14:alpha w14:val="100000"/>
                    </w14:srgbClr>
                  </w14:solidFill>
                </w14:textFill>
              </w:rPr>
              <w:t>|</w:t>
            </w:r>
            <w:r w:rsidR="0022677F">
              <w:rPr>
                <w:rFonts w:ascii="Arial Narrow" w:hAnsi="Arial Narrow"/>
                <w:color w:val="000000"/>
                <w:sz w:val="20"/>
                <w:szCs w:val="20"/>
                <w:vertAlign w:val="superscript"/>
              </w:rPr>
              <w:t>7</w:t>
            </w:r>
          </w:p>
        </w:tc>
        <w:tc>
          <w:tcPr>
            <w:tcW w:w="586" w:type="pct"/>
            <w:shd w:val="clear" w:color="auto" w:fill="auto"/>
            <w:vAlign w:val="center"/>
          </w:tcPr>
          <w:p w14:paraId="23CB2253" w14:textId="0724B2D0" w:rsidR="000F4B43" w:rsidRPr="00B36948" w:rsidRDefault="000F4B43" w:rsidP="000F4B43">
            <w:pPr>
              <w:keepNext/>
              <w:jc w:val="center"/>
              <w:rPr>
                <w:rFonts w:ascii="Arial Narrow" w:hAnsi="Arial Narrow"/>
                <w:sz w:val="20"/>
                <w:szCs w:val="20"/>
              </w:rPr>
            </w:pPr>
            <w:r w:rsidRPr="00B36948">
              <w:rPr>
                <w:rFonts w:ascii="Arial Narrow" w:hAnsi="Arial Narrow"/>
                <w:sz w:val="20"/>
                <w:szCs w:val="20"/>
              </w:rPr>
              <w:t>$</w:t>
            </w:r>
            <w:r w:rsidR="00650CB8" w:rsidRPr="00650CB8">
              <w:rPr>
                <w:rFonts w:ascii="Arial Narrow" w:hAnsi="Arial Narrow"/>
                <w:color w:val="000000"/>
                <w:spacing w:val="79"/>
                <w:sz w:val="20"/>
                <w:szCs w:val="20"/>
                <w:shd w:val="solid" w:color="000000" w:fill="000000"/>
                <w:fitText w:val="410" w:id="-1435748082"/>
                <w14:textFill>
                  <w14:solidFill>
                    <w14:srgbClr w14:val="000000">
                      <w14:alpha w14:val="100000"/>
                    </w14:srgbClr>
                  </w14:solidFill>
                </w14:textFill>
              </w:rPr>
              <w:t>|||</w:t>
            </w:r>
            <w:r w:rsidR="00650CB8" w:rsidRPr="00650CB8">
              <w:rPr>
                <w:rFonts w:ascii="Arial Narrow" w:hAnsi="Arial Narrow"/>
                <w:color w:val="000000"/>
                <w:spacing w:val="3"/>
                <w:sz w:val="20"/>
                <w:szCs w:val="20"/>
                <w:shd w:val="solid" w:color="000000" w:fill="000000"/>
                <w:fitText w:val="410" w:id="-1435748082"/>
                <w14:textFill>
                  <w14:solidFill>
                    <w14:srgbClr w14:val="000000">
                      <w14:alpha w14:val="100000"/>
                    </w14:srgbClr>
                  </w14:solidFill>
                </w14:textFill>
              </w:rPr>
              <w:t>|</w:t>
            </w:r>
            <w:r w:rsidR="0022677F">
              <w:rPr>
                <w:rFonts w:ascii="Arial Narrow" w:hAnsi="Arial Narrow"/>
                <w:color w:val="000000"/>
                <w:sz w:val="20"/>
                <w:szCs w:val="20"/>
                <w:vertAlign w:val="superscript"/>
              </w:rPr>
              <w:t>7</w:t>
            </w:r>
          </w:p>
        </w:tc>
        <w:tc>
          <w:tcPr>
            <w:tcW w:w="586" w:type="pct"/>
            <w:shd w:val="clear" w:color="auto" w:fill="auto"/>
            <w:vAlign w:val="center"/>
          </w:tcPr>
          <w:p w14:paraId="42F098AD" w14:textId="7B2C09BD" w:rsidR="000F4B43" w:rsidRPr="00B36948" w:rsidRDefault="000F4B43" w:rsidP="000F4B43">
            <w:pPr>
              <w:keepNext/>
              <w:jc w:val="center"/>
              <w:rPr>
                <w:rFonts w:ascii="Arial Narrow" w:hAnsi="Arial Narrow"/>
                <w:sz w:val="20"/>
                <w:szCs w:val="20"/>
              </w:rPr>
            </w:pPr>
            <w:r w:rsidRPr="00B36948">
              <w:rPr>
                <w:rFonts w:ascii="Arial Narrow" w:hAnsi="Arial Narrow"/>
                <w:sz w:val="20"/>
                <w:szCs w:val="20"/>
              </w:rPr>
              <w:t>$</w:t>
            </w:r>
            <w:r w:rsidR="00650CB8" w:rsidRPr="00650CB8">
              <w:rPr>
                <w:rFonts w:ascii="Arial Narrow" w:hAnsi="Arial Narrow"/>
                <w:color w:val="000000"/>
                <w:spacing w:val="79"/>
                <w:sz w:val="20"/>
                <w:szCs w:val="20"/>
                <w:shd w:val="solid" w:color="000000" w:fill="000000"/>
                <w:fitText w:val="410" w:id="-1435748081"/>
                <w14:textFill>
                  <w14:solidFill>
                    <w14:srgbClr w14:val="000000">
                      <w14:alpha w14:val="100000"/>
                    </w14:srgbClr>
                  </w14:solidFill>
                </w14:textFill>
              </w:rPr>
              <w:t>|||</w:t>
            </w:r>
            <w:r w:rsidR="00650CB8" w:rsidRPr="00650CB8">
              <w:rPr>
                <w:rFonts w:ascii="Arial Narrow" w:hAnsi="Arial Narrow"/>
                <w:color w:val="000000"/>
                <w:spacing w:val="3"/>
                <w:sz w:val="20"/>
                <w:szCs w:val="20"/>
                <w:shd w:val="solid" w:color="000000" w:fill="000000"/>
                <w:fitText w:val="410" w:id="-1435748081"/>
                <w14:textFill>
                  <w14:solidFill>
                    <w14:srgbClr w14:val="000000">
                      <w14:alpha w14:val="100000"/>
                    </w14:srgbClr>
                  </w14:solidFill>
                </w14:textFill>
              </w:rPr>
              <w:t>|</w:t>
            </w:r>
            <w:r w:rsidR="0022677F">
              <w:rPr>
                <w:rFonts w:ascii="Arial Narrow" w:hAnsi="Arial Narrow"/>
                <w:color w:val="000000"/>
                <w:sz w:val="20"/>
                <w:szCs w:val="20"/>
                <w:vertAlign w:val="superscript"/>
              </w:rPr>
              <w:t>7</w:t>
            </w:r>
          </w:p>
        </w:tc>
        <w:tc>
          <w:tcPr>
            <w:tcW w:w="586" w:type="pct"/>
            <w:tcBorders>
              <w:right w:val="single" w:sz="4" w:space="0" w:color="auto"/>
            </w:tcBorders>
            <w:shd w:val="clear" w:color="auto" w:fill="auto"/>
            <w:vAlign w:val="center"/>
          </w:tcPr>
          <w:p w14:paraId="231E0C7A" w14:textId="3416D88C" w:rsidR="000F4B43" w:rsidRPr="00B36948" w:rsidRDefault="000F4B43" w:rsidP="000F4B43">
            <w:pPr>
              <w:keepNext/>
              <w:jc w:val="center"/>
              <w:rPr>
                <w:rFonts w:ascii="Arial Narrow" w:hAnsi="Arial Narrow"/>
                <w:sz w:val="20"/>
                <w:szCs w:val="20"/>
              </w:rPr>
            </w:pPr>
            <w:r w:rsidRPr="00B36948">
              <w:rPr>
                <w:rFonts w:ascii="Arial Narrow" w:hAnsi="Arial Narrow"/>
                <w:sz w:val="20"/>
                <w:szCs w:val="20"/>
              </w:rPr>
              <w:t>$</w:t>
            </w:r>
            <w:r w:rsidR="00650CB8" w:rsidRPr="00650CB8">
              <w:rPr>
                <w:rFonts w:ascii="Arial Narrow" w:hAnsi="Arial Narrow"/>
                <w:color w:val="000000"/>
                <w:spacing w:val="79"/>
                <w:sz w:val="20"/>
                <w:szCs w:val="20"/>
                <w:shd w:val="solid" w:color="000000" w:fill="000000"/>
                <w:fitText w:val="410" w:id="-1435748080"/>
                <w14:textFill>
                  <w14:solidFill>
                    <w14:srgbClr w14:val="000000">
                      <w14:alpha w14:val="100000"/>
                    </w14:srgbClr>
                  </w14:solidFill>
                </w14:textFill>
              </w:rPr>
              <w:t>|||</w:t>
            </w:r>
            <w:r w:rsidR="00650CB8" w:rsidRPr="00650CB8">
              <w:rPr>
                <w:rFonts w:ascii="Arial Narrow" w:hAnsi="Arial Narrow"/>
                <w:color w:val="000000"/>
                <w:spacing w:val="3"/>
                <w:sz w:val="20"/>
                <w:szCs w:val="20"/>
                <w:shd w:val="solid" w:color="000000" w:fill="000000"/>
                <w:fitText w:val="410" w:id="-1435748080"/>
                <w14:textFill>
                  <w14:solidFill>
                    <w14:srgbClr w14:val="000000">
                      <w14:alpha w14:val="100000"/>
                    </w14:srgbClr>
                  </w14:solidFill>
                </w14:textFill>
              </w:rPr>
              <w:t>|</w:t>
            </w:r>
            <w:r w:rsidR="0022677F">
              <w:rPr>
                <w:rFonts w:ascii="Arial Narrow" w:hAnsi="Arial Narrow"/>
                <w:color w:val="000000"/>
                <w:sz w:val="20"/>
                <w:szCs w:val="20"/>
                <w:vertAlign w:val="superscript"/>
              </w:rPr>
              <w:t>7</w:t>
            </w:r>
          </w:p>
        </w:tc>
        <w:tc>
          <w:tcPr>
            <w:tcW w:w="586" w:type="pct"/>
            <w:tcBorders>
              <w:right w:val="single" w:sz="4" w:space="0" w:color="auto"/>
            </w:tcBorders>
            <w:vAlign w:val="center"/>
          </w:tcPr>
          <w:p w14:paraId="52D15FD0" w14:textId="7C04E59A" w:rsidR="000F4B43" w:rsidRPr="00B36948" w:rsidRDefault="000F4B43" w:rsidP="000F4B43">
            <w:pPr>
              <w:keepNext/>
              <w:jc w:val="center"/>
              <w:rPr>
                <w:rFonts w:ascii="Arial Narrow" w:hAnsi="Arial Narrow"/>
                <w:sz w:val="20"/>
                <w:szCs w:val="20"/>
              </w:rPr>
            </w:pPr>
            <w:r w:rsidRPr="00B36948">
              <w:rPr>
                <w:rFonts w:ascii="Arial Narrow" w:hAnsi="Arial Narrow"/>
                <w:sz w:val="20"/>
                <w:szCs w:val="20"/>
              </w:rPr>
              <w:t>$</w:t>
            </w:r>
            <w:r w:rsidR="00650CB8" w:rsidRPr="00650CB8">
              <w:rPr>
                <w:rFonts w:ascii="Arial Narrow" w:hAnsi="Arial Narrow"/>
                <w:color w:val="000000"/>
                <w:spacing w:val="79"/>
                <w:sz w:val="20"/>
                <w:szCs w:val="20"/>
                <w:shd w:val="solid" w:color="000000" w:fill="000000"/>
                <w:fitText w:val="410" w:id="-1435748096"/>
                <w14:textFill>
                  <w14:solidFill>
                    <w14:srgbClr w14:val="000000">
                      <w14:alpha w14:val="100000"/>
                    </w14:srgbClr>
                  </w14:solidFill>
                </w14:textFill>
              </w:rPr>
              <w:t>|||</w:t>
            </w:r>
            <w:r w:rsidR="00650CB8" w:rsidRPr="00650CB8">
              <w:rPr>
                <w:rFonts w:ascii="Arial Narrow" w:hAnsi="Arial Narrow"/>
                <w:color w:val="000000"/>
                <w:spacing w:val="3"/>
                <w:sz w:val="20"/>
                <w:szCs w:val="20"/>
                <w:shd w:val="solid" w:color="000000" w:fill="000000"/>
                <w:fitText w:val="410" w:id="-1435748096"/>
                <w14:textFill>
                  <w14:solidFill>
                    <w14:srgbClr w14:val="000000">
                      <w14:alpha w14:val="100000"/>
                    </w14:srgbClr>
                  </w14:solidFill>
                </w14:textFill>
              </w:rPr>
              <w:t>|</w:t>
            </w:r>
            <w:r w:rsidR="0022677F">
              <w:rPr>
                <w:rFonts w:ascii="Arial Narrow" w:hAnsi="Arial Narrow"/>
                <w:color w:val="000000"/>
                <w:sz w:val="20"/>
                <w:szCs w:val="20"/>
                <w:vertAlign w:val="superscript"/>
              </w:rPr>
              <w:t>7</w:t>
            </w:r>
          </w:p>
        </w:tc>
      </w:tr>
      <w:tr w:rsidR="000F4B43" w:rsidRPr="00B36948" w14:paraId="3C37D946" w14:textId="77777777" w:rsidTr="000F4B43">
        <w:tc>
          <w:tcPr>
            <w:tcW w:w="1487" w:type="pct"/>
            <w:tcBorders>
              <w:left w:val="single" w:sz="4" w:space="0" w:color="auto"/>
            </w:tcBorders>
            <w:shd w:val="clear" w:color="auto" w:fill="auto"/>
            <w:vAlign w:val="center"/>
          </w:tcPr>
          <w:p w14:paraId="7EA65A58" w14:textId="77777777" w:rsidR="000F4B43" w:rsidRPr="00B36948" w:rsidRDefault="000F4B43" w:rsidP="000F4B43">
            <w:pPr>
              <w:keepNext/>
              <w:jc w:val="left"/>
              <w:rPr>
                <w:rFonts w:ascii="Arial Narrow" w:hAnsi="Arial Narrow"/>
                <w:b/>
                <w:sz w:val="20"/>
                <w:szCs w:val="20"/>
                <w:vertAlign w:val="superscript"/>
              </w:rPr>
            </w:pPr>
            <w:r w:rsidRPr="00B36948">
              <w:rPr>
                <w:rFonts w:ascii="Arial Narrow" w:eastAsia="Calibri" w:hAnsi="Arial Narrow" w:cs="Times New Roman"/>
                <w:b/>
                <w:sz w:val="20"/>
                <w:szCs w:val="20"/>
              </w:rPr>
              <w:t xml:space="preserve">Total cost (effective DPMQ) </w:t>
            </w:r>
            <w:r w:rsidRPr="00B36948">
              <w:rPr>
                <w:rFonts w:ascii="Arial Narrow" w:eastAsia="Calibri" w:hAnsi="Arial Narrow" w:cs="Times New Roman"/>
                <w:b/>
                <w:sz w:val="20"/>
                <w:szCs w:val="20"/>
                <w:vertAlign w:val="superscript"/>
              </w:rPr>
              <w:t>1</w:t>
            </w:r>
          </w:p>
        </w:tc>
        <w:tc>
          <w:tcPr>
            <w:tcW w:w="585" w:type="pct"/>
            <w:shd w:val="clear" w:color="auto" w:fill="auto"/>
            <w:vAlign w:val="center"/>
          </w:tcPr>
          <w:p w14:paraId="4EE4D848" w14:textId="327FDB33" w:rsidR="000F4B43" w:rsidRPr="00B36948" w:rsidRDefault="000F4B43" w:rsidP="000F4B43">
            <w:pPr>
              <w:keepNext/>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65"/>
                <w:sz w:val="20"/>
                <w:szCs w:val="20"/>
                <w:shd w:val="solid" w:color="000000" w:fill="000000"/>
                <w:fitText w:val="380" w:id="-1435748095"/>
                <w14:textFill>
                  <w14:solidFill>
                    <w14:srgbClr w14:val="000000">
                      <w14:alpha w14:val="100000"/>
                    </w14:srgbClr>
                  </w14:solidFill>
                </w14:textFill>
              </w:rPr>
              <w:t>|||</w:t>
            </w:r>
            <w:r w:rsidR="00650CB8" w:rsidRPr="00650CB8">
              <w:rPr>
                <w:rFonts w:ascii="Arial Narrow" w:hAnsi="Arial Narrow"/>
                <w:b/>
                <w:bCs/>
                <w:color w:val="000000"/>
                <w:spacing w:val="2"/>
                <w:sz w:val="20"/>
                <w:szCs w:val="20"/>
                <w:shd w:val="solid" w:color="000000" w:fill="000000"/>
                <w:fitText w:val="380" w:id="-1435748095"/>
                <w14:textFill>
                  <w14:solidFill>
                    <w14:srgbClr w14:val="000000">
                      <w14:alpha w14:val="100000"/>
                    </w14:srgbClr>
                  </w14:solidFill>
                </w14:textFill>
              </w:rPr>
              <w:t>|</w:t>
            </w:r>
            <w:r w:rsidR="0022677F">
              <w:rPr>
                <w:rFonts w:ascii="Arial Narrow" w:hAnsi="Arial Narrow"/>
                <w:color w:val="000000"/>
                <w:sz w:val="20"/>
                <w:szCs w:val="20"/>
                <w:vertAlign w:val="superscript"/>
              </w:rPr>
              <w:t>7</w:t>
            </w:r>
          </w:p>
        </w:tc>
        <w:tc>
          <w:tcPr>
            <w:tcW w:w="586" w:type="pct"/>
            <w:shd w:val="clear" w:color="auto" w:fill="auto"/>
            <w:vAlign w:val="center"/>
          </w:tcPr>
          <w:p w14:paraId="3C4A14CD" w14:textId="49B760E9" w:rsidR="000F4B43" w:rsidRPr="00B36948" w:rsidRDefault="000F4B43" w:rsidP="000F4B43">
            <w:pPr>
              <w:keepNext/>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62"/>
                <w:sz w:val="20"/>
                <w:szCs w:val="20"/>
                <w:shd w:val="solid" w:color="000000" w:fill="000000"/>
                <w:fitText w:val="370" w:id="-1435748094"/>
                <w14:textFill>
                  <w14:solidFill>
                    <w14:srgbClr w14:val="000000">
                      <w14:alpha w14:val="100000"/>
                    </w14:srgbClr>
                  </w14:solidFill>
                </w14:textFill>
              </w:rPr>
              <w:t>|||</w:t>
            </w:r>
            <w:r w:rsidR="00650CB8" w:rsidRPr="00650CB8">
              <w:rPr>
                <w:rFonts w:ascii="Arial Narrow" w:hAnsi="Arial Narrow"/>
                <w:b/>
                <w:bCs/>
                <w:color w:val="000000"/>
                <w:spacing w:val="1"/>
                <w:sz w:val="20"/>
                <w:szCs w:val="20"/>
                <w:shd w:val="solid" w:color="000000" w:fill="000000"/>
                <w:fitText w:val="370" w:id="-1435748094"/>
                <w14:textFill>
                  <w14:solidFill>
                    <w14:srgbClr w14:val="000000">
                      <w14:alpha w14:val="100000"/>
                    </w14:srgbClr>
                  </w14:solidFill>
                </w14:textFill>
              </w:rPr>
              <w:t>|</w:t>
            </w:r>
            <w:r w:rsidR="0022677F">
              <w:rPr>
                <w:rFonts w:ascii="Arial Narrow" w:hAnsi="Arial Narrow"/>
                <w:color w:val="000000"/>
                <w:sz w:val="20"/>
                <w:szCs w:val="20"/>
                <w:vertAlign w:val="superscript"/>
              </w:rPr>
              <w:t>7</w:t>
            </w:r>
          </w:p>
        </w:tc>
        <w:tc>
          <w:tcPr>
            <w:tcW w:w="586" w:type="pct"/>
            <w:shd w:val="clear" w:color="auto" w:fill="auto"/>
            <w:vAlign w:val="center"/>
          </w:tcPr>
          <w:p w14:paraId="010CE3BA" w14:textId="2E48FCEA" w:rsidR="000F4B43" w:rsidRPr="00B36948" w:rsidRDefault="000F4B43" w:rsidP="000F4B43">
            <w:pPr>
              <w:keepNext/>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62"/>
                <w:sz w:val="20"/>
                <w:szCs w:val="20"/>
                <w:shd w:val="solid" w:color="000000" w:fill="000000"/>
                <w:fitText w:val="370" w:id="-1435748093"/>
                <w14:textFill>
                  <w14:solidFill>
                    <w14:srgbClr w14:val="000000">
                      <w14:alpha w14:val="100000"/>
                    </w14:srgbClr>
                  </w14:solidFill>
                </w14:textFill>
              </w:rPr>
              <w:t>|||</w:t>
            </w:r>
            <w:r w:rsidR="00650CB8" w:rsidRPr="00650CB8">
              <w:rPr>
                <w:rFonts w:ascii="Arial Narrow" w:hAnsi="Arial Narrow"/>
                <w:b/>
                <w:bCs/>
                <w:color w:val="000000"/>
                <w:spacing w:val="1"/>
                <w:sz w:val="20"/>
                <w:szCs w:val="20"/>
                <w:shd w:val="solid" w:color="000000" w:fill="000000"/>
                <w:fitText w:val="370" w:id="-1435748093"/>
                <w14:textFill>
                  <w14:solidFill>
                    <w14:srgbClr w14:val="000000">
                      <w14:alpha w14:val="100000"/>
                    </w14:srgbClr>
                  </w14:solidFill>
                </w14:textFill>
              </w:rPr>
              <w:t>|</w:t>
            </w:r>
            <w:r w:rsidR="0022677F">
              <w:rPr>
                <w:rFonts w:ascii="Arial Narrow" w:hAnsi="Arial Narrow"/>
                <w:color w:val="000000"/>
                <w:sz w:val="20"/>
                <w:szCs w:val="20"/>
                <w:vertAlign w:val="superscript"/>
              </w:rPr>
              <w:t>7</w:t>
            </w:r>
          </w:p>
        </w:tc>
        <w:tc>
          <w:tcPr>
            <w:tcW w:w="586" w:type="pct"/>
            <w:shd w:val="clear" w:color="auto" w:fill="auto"/>
            <w:vAlign w:val="center"/>
          </w:tcPr>
          <w:p w14:paraId="66891595" w14:textId="0A6543BC" w:rsidR="000F4B43" w:rsidRPr="00B36948" w:rsidRDefault="000F4B43" w:rsidP="000F4B43">
            <w:pPr>
              <w:keepNext/>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62"/>
                <w:sz w:val="20"/>
                <w:szCs w:val="20"/>
                <w:shd w:val="solid" w:color="000000" w:fill="000000"/>
                <w:fitText w:val="370" w:id="-1435748092"/>
                <w14:textFill>
                  <w14:solidFill>
                    <w14:srgbClr w14:val="000000">
                      <w14:alpha w14:val="100000"/>
                    </w14:srgbClr>
                  </w14:solidFill>
                </w14:textFill>
              </w:rPr>
              <w:t>|||</w:t>
            </w:r>
            <w:r w:rsidR="00650CB8" w:rsidRPr="00650CB8">
              <w:rPr>
                <w:rFonts w:ascii="Arial Narrow" w:hAnsi="Arial Narrow"/>
                <w:b/>
                <w:bCs/>
                <w:color w:val="000000"/>
                <w:spacing w:val="1"/>
                <w:sz w:val="20"/>
                <w:szCs w:val="20"/>
                <w:shd w:val="solid" w:color="000000" w:fill="000000"/>
                <w:fitText w:val="370" w:id="-1435748092"/>
                <w14:textFill>
                  <w14:solidFill>
                    <w14:srgbClr w14:val="000000">
                      <w14:alpha w14:val="100000"/>
                    </w14:srgbClr>
                  </w14:solidFill>
                </w14:textFill>
              </w:rPr>
              <w:t>|</w:t>
            </w:r>
            <w:r w:rsidR="0022677F">
              <w:rPr>
                <w:rFonts w:ascii="Arial Narrow" w:hAnsi="Arial Narrow"/>
                <w:color w:val="000000"/>
                <w:sz w:val="20"/>
                <w:szCs w:val="20"/>
                <w:vertAlign w:val="superscript"/>
              </w:rPr>
              <w:t>7</w:t>
            </w:r>
          </w:p>
        </w:tc>
        <w:tc>
          <w:tcPr>
            <w:tcW w:w="586" w:type="pct"/>
            <w:tcBorders>
              <w:right w:val="single" w:sz="4" w:space="0" w:color="auto"/>
            </w:tcBorders>
            <w:shd w:val="clear" w:color="auto" w:fill="auto"/>
            <w:vAlign w:val="center"/>
          </w:tcPr>
          <w:p w14:paraId="340DEC1E" w14:textId="3517EF56" w:rsidR="000F4B43" w:rsidRPr="00B36948" w:rsidRDefault="000F4B43" w:rsidP="000F4B43">
            <w:pPr>
              <w:keepNext/>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62"/>
                <w:sz w:val="20"/>
                <w:szCs w:val="20"/>
                <w:shd w:val="solid" w:color="000000" w:fill="000000"/>
                <w:fitText w:val="370" w:id="-1435748091"/>
                <w14:textFill>
                  <w14:solidFill>
                    <w14:srgbClr w14:val="000000">
                      <w14:alpha w14:val="100000"/>
                    </w14:srgbClr>
                  </w14:solidFill>
                </w14:textFill>
              </w:rPr>
              <w:t>|||</w:t>
            </w:r>
            <w:r w:rsidR="00650CB8" w:rsidRPr="00650CB8">
              <w:rPr>
                <w:rFonts w:ascii="Arial Narrow" w:hAnsi="Arial Narrow"/>
                <w:b/>
                <w:bCs/>
                <w:color w:val="000000"/>
                <w:spacing w:val="1"/>
                <w:sz w:val="20"/>
                <w:szCs w:val="20"/>
                <w:shd w:val="solid" w:color="000000" w:fill="000000"/>
                <w:fitText w:val="370" w:id="-1435748091"/>
                <w14:textFill>
                  <w14:solidFill>
                    <w14:srgbClr w14:val="000000">
                      <w14:alpha w14:val="100000"/>
                    </w14:srgbClr>
                  </w14:solidFill>
                </w14:textFill>
              </w:rPr>
              <w:t>|</w:t>
            </w:r>
            <w:r w:rsidR="0022677F">
              <w:rPr>
                <w:rFonts w:ascii="Arial Narrow" w:hAnsi="Arial Narrow"/>
                <w:color w:val="000000"/>
                <w:sz w:val="20"/>
                <w:szCs w:val="20"/>
                <w:vertAlign w:val="superscript"/>
              </w:rPr>
              <w:t>7</w:t>
            </w:r>
          </w:p>
        </w:tc>
        <w:tc>
          <w:tcPr>
            <w:tcW w:w="586" w:type="pct"/>
            <w:tcBorders>
              <w:right w:val="single" w:sz="4" w:space="0" w:color="auto"/>
            </w:tcBorders>
            <w:vAlign w:val="center"/>
          </w:tcPr>
          <w:p w14:paraId="15280AED" w14:textId="594DE4CA" w:rsidR="000F4B43" w:rsidRPr="00B36948" w:rsidRDefault="000F4B43" w:rsidP="000F4B43">
            <w:pPr>
              <w:keepNext/>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65"/>
                <w:sz w:val="20"/>
                <w:szCs w:val="20"/>
                <w:shd w:val="solid" w:color="000000" w:fill="000000"/>
                <w:fitText w:val="380" w:id="-1435748090"/>
                <w14:textFill>
                  <w14:solidFill>
                    <w14:srgbClr w14:val="000000">
                      <w14:alpha w14:val="100000"/>
                    </w14:srgbClr>
                  </w14:solidFill>
                </w14:textFill>
              </w:rPr>
              <w:t>|||</w:t>
            </w:r>
            <w:r w:rsidR="00650CB8" w:rsidRPr="00650CB8">
              <w:rPr>
                <w:rFonts w:ascii="Arial Narrow" w:hAnsi="Arial Narrow"/>
                <w:b/>
                <w:bCs/>
                <w:color w:val="000000"/>
                <w:spacing w:val="2"/>
                <w:sz w:val="20"/>
                <w:szCs w:val="20"/>
                <w:shd w:val="solid" w:color="000000" w:fill="000000"/>
                <w:fitText w:val="380" w:id="-1435748090"/>
                <w14:textFill>
                  <w14:solidFill>
                    <w14:srgbClr w14:val="000000">
                      <w14:alpha w14:val="100000"/>
                    </w14:srgbClr>
                  </w14:solidFill>
                </w14:textFill>
              </w:rPr>
              <w:t>|</w:t>
            </w:r>
            <w:r w:rsidR="0022677F">
              <w:rPr>
                <w:rFonts w:ascii="Arial Narrow" w:hAnsi="Arial Narrow"/>
                <w:color w:val="000000"/>
                <w:sz w:val="20"/>
                <w:szCs w:val="20"/>
                <w:vertAlign w:val="superscript"/>
              </w:rPr>
              <w:t>7</w:t>
            </w:r>
          </w:p>
        </w:tc>
      </w:tr>
      <w:tr w:rsidR="000F4B43" w:rsidRPr="00B36948" w14:paraId="58F2DE76" w14:textId="77777777" w:rsidTr="000F4B43">
        <w:tc>
          <w:tcPr>
            <w:tcW w:w="1487" w:type="pct"/>
            <w:tcBorders>
              <w:left w:val="single" w:sz="4" w:space="0" w:color="auto"/>
            </w:tcBorders>
            <w:shd w:val="clear" w:color="auto" w:fill="auto"/>
            <w:vAlign w:val="center"/>
          </w:tcPr>
          <w:p w14:paraId="45972E97" w14:textId="77777777" w:rsidR="000F4B43" w:rsidRPr="00B36948" w:rsidRDefault="000F4B43" w:rsidP="000F4B43">
            <w:pPr>
              <w:keepNext/>
              <w:jc w:val="left"/>
              <w:rPr>
                <w:rFonts w:ascii="Arial Narrow" w:hAnsi="Arial Narrow"/>
                <w:sz w:val="20"/>
                <w:szCs w:val="20"/>
              </w:rPr>
            </w:pPr>
            <w:r w:rsidRPr="00B36948">
              <w:rPr>
                <w:rFonts w:ascii="Arial Narrow" w:eastAsia="Calibri" w:hAnsi="Arial Narrow" w:cs="Times New Roman"/>
                <w:sz w:val="20"/>
                <w:szCs w:val="20"/>
              </w:rPr>
              <w:t>Patient co-pay ($23.36/script)</w:t>
            </w:r>
          </w:p>
        </w:tc>
        <w:tc>
          <w:tcPr>
            <w:tcW w:w="585" w:type="pct"/>
            <w:shd w:val="clear" w:color="auto" w:fill="auto"/>
            <w:vAlign w:val="center"/>
          </w:tcPr>
          <w:p w14:paraId="53E340BA" w14:textId="7BF810F1" w:rsidR="000F4B43" w:rsidRPr="00B36948" w:rsidRDefault="000F4B43" w:rsidP="000F4B43">
            <w:pPr>
              <w:keepNext/>
              <w:jc w:val="center"/>
              <w:rPr>
                <w:rFonts w:ascii="Arial Narrow" w:hAnsi="Arial Narrow"/>
                <w:sz w:val="20"/>
                <w:szCs w:val="20"/>
              </w:rPr>
            </w:pPr>
            <w:r w:rsidRPr="00B36948">
              <w:rPr>
                <w:rFonts w:ascii="Arial Narrow" w:hAnsi="Arial Narrow"/>
                <w:sz w:val="20"/>
                <w:szCs w:val="20"/>
              </w:rPr>
              <w:t>-$</w:t>
            </w:r>
            <w:r w:rsidR="00650CB8" w:rsidRPr="00650CB8">
              <w:rPr>
                <w:rFonts w:ascii="Arial Narrow" w:hAnsi="Arial Narrow"/>
                <w:color w:val="000000"/>
                <w:spacing w:val="36"/>
                <w:sz w:val="20"/>
                <w:szCs w:val="20"/>
                <w:shd w:val="solid" w:color="000000" w:fill="000000"/>
                <w:fitText w:val="440" w:id="-1435748089"/>
                <w14:textFill>
                  <w14:solidFill>
                    <w14:srgbClr w14:val="000000">
                      <w14:alpha w14:val="100000"/>
                    </w14:srgbClr>
                  </w14:solidFill>
                </w14:textFill>
              </w:rPr>
              <w:t>|||||</w:t>
            </w:r>
            <w:r w:rsidR="00650CB8" w:rsidRPr="00650CB8">
              <w:rPr>
                <w:rFonts w:ascii="Arial Narrow" w:hAnsi="Arial Narrow"/>
                <w:color w:val="000000"/>
                <w:spacing w:val="5"/>
                <w:sz w:val="20"/>
                <w:szCs w:val="20"/>
                <w:shd w:val="solid" w:color="000000" w:fill="000000"/>
                <w:fitText w:val="440" w:id="-1435748089"/>
                <w14:textFill>
                  <w14:solidFill>
                    <w14:srgbClr w14:val="000000">
                      <w14:alpha w14:val="100000"/>
                    </w14:srgbClr>
                  </w14:solidFill>
                </w14:textFill>
              </w:rPr>
              <w:t>|</w:t>
            </w:r>
            <w:r w:rsidR="0022677F">
              <w:rPr>
                <w:rFonts w:ascii="Arial Narrow" w:hAnsi="Arial Narrow"/>
                <w:color w:val="000000"/>
                <w:sz w:val="20"/>
                <w:szCs w:val="20"/>
                <w:vertAlign w:val="superscript"/>
              </w:rPr>
              <w:t>7</w:t>
            </w:r>
          </w:p>
        </w:tc>
        <w:tc>
          <w:tcPr>
            <w:tcW w:w="586" w:type="pct"/>
            <w:shd w:val="clear" w:color="auto" w:fill="auto"/>
            <w:vAlign w:val="center"/>
          </w:tcPr>
          <w:p w14:paraId="503712A9" w14:textId="631C14B0" w:rsidR="000F4B43" w:rsidRPr="00B36948" w:rsidRDefault="000F4B43" w:rsidP="000F4B43">
            <w:pPr>
              <w:keepNext/>
              <w:jc w:val="center"/>
              <w:rPr>
                <w:rFonts w:ascii="Arial Narrow" w:hAnsi="Arial Narrow"/>
                <w:sz w:val="20"/>
                <w:szCs w:val="20"/>
              </w:rPr>
            </w:pPr>
            <w:r w:rsidRPr="00B36948">
              <w:rPr>
                <w:rFonts w:ascii="Arial Narrow" w:hAnsi="Arial Narrow"/>
                <w:sz w:val="20"/>
                <w:szCs w:val="20"/>
              </w:rPr>
              <w:t>-$</w:t>
            </w:r>
            <w:r w:rsidR="00650CB8" w:rsidRPr="00650CB8">
              <w:rPr>
                <w:rFonts w:ascii="Arial Narrow" w:hAnsi="Arial Narrow"/>
                <w:color w:val="000000"/>
                <w:spacing w:val="34"/>
                <w:sz w:val="20"/>
                <w:szCs w:val="20"/>
                <w:shd w:val="solid" w:color="000000" w:fill="000000"/>
                <w:fitText w:val="430" w:id="-1435748088"/>
                <w14:textFill>
                  <w14:solidFill>
                    <w14:srgbClr w14:val="000000">
                      <w14:alpha w14:val="100000"/>
                    </w14:srgbClr>
                  </w14:solidFill>
                </w14:textFill>
              </w:rPr>
              <w:t>|||||</w:t>
            </w:r>
            <w:r w:rsidR="00650CB8" w:rsidRPr="00650CB8">
              <w:rPr>
                <w:rFonts w:ascii="Arial Narrow" w:hAnsi="Arial Narrow"/>
                <w:color w:val="000000"/>
                <w:spacing w:val="5"/>
                <w:sz w:val="20"/>
                <w:szCs w:val="20"/>
                <w:shd w:val="solid" w:color="000000" w:fill="000000"/>
                <w:fitText w:val="430" w:id="-1435748088"/>
                <w14:textFill>
                  <w14:solidFill>
                    <w14:srgbClr w14:val="000000">
                      <w14:alpha w14:val="100000"/>
                    </w14:srgbClr>
                  </w14:solidFill>
                </w14:textFill>
              </w:rPr>
              <w:t>|</w:t>
            </w:r>
            <w:r w:rsidR="0022677F">
              <w:rPr>
                <w:rFonts w:ascii="Arial Narrow" w:hAnsi="Arial Narrow"/>
                <w:color w:val="000000"/>
                <w:sz w:val="20"/>
                <w:szCs w:val="20"/>
                <w:vertAlign w:val="superscript"/>
              </w:rPr>
              <w:t>7</w:t>
            </w:r>
          </w:p>
        </w:tc>
        <w:tc>
          <w:tcPr>
            <w:tcW w:w="586" w:type="pct"/>
            <w:shd w:val="clear" w:color="auto" w:fill="auto"/>
            <w:vAlign w:val="center"/>
          </w:tcPr>
          <w:p w14:paraId="6BD3B73B" w14:textId="105AB7CF" w:rsidR="000F4B43" w:rsidRPr="00B36948" w:rsidRDefault="000F4B43" w:rsidP="000F4B43">
            <w:pPr>
              <w:keepNext/>
              <w:jc w:val="center"/>
              <w:rPr>
                <w:rFonts w:ascii="Arial Narrow" w:hAnsi="Arial Narrow"/>
                <w:sz w:val="20"/>
                <w:szCs w:val="20"/>
              </w:rPr>
            </w:pPr>
            <w:r w:rsidRPr="00B36948">
              <w:rPr>
                <w:rFonts w:ascii="Arial Narrow" w:hAnsi="Arial Narrow"/>
                <w:sz w:val="20"/>
                <w:szCs w:val="20"/>
              </w:rPr>
              <w:t>-$</w:t>
            </w:r>
            <w:r w:rsidR="00650CB8" w:rsidRPr="00650CB8">
              <w:rPr>
                <w:rFonts w:ascii="Arial Narrow" w:hAnsi="Arial Narrow"/>
                <w:color w:val="000000"/>
                <w:spacing w:val="34"/>
                <w:sz w:val="20"/>
                <w:szCs w:val="20"/>
                <w:shd w:val="solid" w:color="000000" w:fill="000000"/>
                <w:fitText w:val="430" w:id="-1435748087"/>
                <w14:textFill>
                  <w14:solidFill>
                    <w14:srgbClr w14:val="000000">
                      <w14:alpha w14:val="100000"/>
                    </w14:srgbClr>
                  </w14:solidFill>
                </w14:textFill>
              </w:rPr>
              <w:t>|||||</w:t>
            </w:r>
            <w:r w:rsidR="00650CB8" w:rsidRPr="00650CB8">
              <w:rPr>
                <w:rFonts w:ascii="Arial Narrow" w:hAnsi="Arial Narrow"/>
                <w:color w:val="000000"/>
                <w:spacing w:val="5"/>
                <w:sz w:val="20"/>
                <w:szCs w:val="20"/>
                <w:shd w:val="solid" w:color="000000" w:fill="000000"/>
                <w:fitText w:val="430" w:id="-1435748087"/>
                <w14:textFill>
                  <w14:solidFill>
                    <w14:srgbClr w14:val="000000">
                      <w14:alpha w14:val="100000"/>
                    </w14:srgbClr>
                  </w14:solidFill>
                </w14:textFill>
              </w:rPr>
              <w:t>|</w:t>
            </w:r>
            <w:r w:rsidR="0022677F">
              <w:rPr>
                <w:rFonts w:ascii="Arial Narrow" w:hAnsi="Arial Narrow"/>
                <w:color w:val="000000"/>
                <w:sz w:val="20"/>
                <w:szCs w:val="20"/>
                <w:vertAlign w:val="superscript"/>
              </w:rPr>
              <w:t>7</w:t>
            </w:r>
          </w:p>
        </w:tc>
        <w:tc>
          <w:tcPr>
            <w:tcW w:w="586" w:type="pct"/>
            <w:shd w:val="clear" w:color="auto" w:fill="auto"/>
            <w:vAlign w:val="center"/>
          </w:tcPr>
          <w:p w14:paraId="34294A78" w14:textId="4130374D" w:rsidR="000F4B43" w:rsidRPr="00B36948" w:rsidRDefault="000F4B43" w:rsidP="000F4B43">
            <w:pPr>
              <w:keepNext/>
              <w:jc w:val="center"/>
              <w:rPr>
                <w:rFonts w:ascii="Arial Narrow" w:hAnsi="Arial Narrow"/>
                <w:sz w:val="20"/>
                <w:szCs w:val="20"/>
              </w:rPr>
            </w:pPr>
            <w:r w:rsidRPr="00B36948">
              <w:rPr>
                <w:rFonts w:ascii="Arial Narrow" w:hAnsi="Arial Narrow"/>
                <w:sz w:val="20"/>
                <w:szCs w:val="20"/>
              </w:rPr>
              <w:t>-$</w:t>
            </w:r>
            <w:r w:rsidR="00650CB8" w:rsidRPr="00650CB8">
              <w:rPr>
                <w:rFonts w:ascii="Arial Narrow" w:hAnsi="Arial Narrow"/>
                <w:color w:val="000000"/>
                <w:spacing w:val="34"/>
                <w:sz w:val="20"/>
                <w:szCs w:val="20"/>
                <w:shd w:val="solid" w:color="000000" w:fill="000000"/>
                <w:fitText w:val="430" w:id="-1435748086"/>
                <w14:textFill>
                  <w14:solidFill>
                    <w14:srgbClr w14:val="000000">
                      <w14:alpha w14:val="100000"/>
                    </w14:srgbClr>
                  </w14:solidFill>
                </w14:textFill>
              </w:rPr>
              <w:t>|||||</w:t>
            </w:r>
            <w:r w:rsidR="00650CB8" w:rsidRPr="00650CB8">
              <w:rPr>
                <w:rFonts w:ascii="Arial Narrow" w:hAnsi="Arial Narrow"/>
                <w:color w:val="000000"/>
                <w:spacing w:val="5"/>
                <w:sz w:val="20"/>
                <w:szCs w:val="20"/>
                <w:shd w:val="solid" w:color="000000" w:fill="000000"/>
                <w:fitText w:val="430" w:id="-1435748086"/>
                <w14:textFill>
                  <w14:solidFill>
                    <w14:srgbClr w14:val="000000">
                      <w14:alpha w14:val="100000"/>
                    </w14:srgbClr>
                  </w14:solidFill>
                </w14:textFill>
              </w:rPr>
              <w:t>|</w:t>
            </w:r>
            <w:r w:rsidR="0022677F">
              <w:rPr>
                <w:rFonts w:ascii="Arial Narrow" w:hAnsi="Arial Narrow"/>
                <w:color w:val="000000"/>
                <w:sz w:val="20"/>
                <w:szCs w:val="20"/>
                <w:vertAlign w:val="superscript"/>
              </w:rPr>
              <w:t>7</w:t>
            </w:r>
          </w:p>
        </w:tc>
        <w:tc>
          <w:tcPr>
            <w:tcW w:w="586" w:type="pct"/>
            <w:tcBorders>
              <w:right w:val="single" w:sz="4" w:space="0" w:color="auto"/>
            </w:tcBorders>
            <w:shd w:val="clear" w:color="auto" w:fill="auto"/>
            <w:vAlign w:val="center"/>
          </w:tcPr>
          <w:p w14:paraId="2F1AB722" w14:textId="3A4F7D3D" w:rsidR="000F4B43" w:rsidRPr="00B36948" w:rsidRDefault="000F4B43" w:rsidP="000F4B43">
            <w:pPr>
              <w:keepNext/>
              <w:jc w:val="center"/>
              <w:rPr>
                <w:rFonts w:ascii="Arial Narrow" w:hAnsi="Arial Narrow"/>
                <w:sz w:val="20"/>
                <w:szCs w:val="20"/>
              </w:rPr>
            </w:pPr>
            <w:r w:rsidRPr="00B36948">
              <w:rPr>
                <w:rFonts w:ascii="Arial Narrow" w:hAnsi="Arial Narrow"/>
                <w:sz w:val="20"/>
                <w:szCs w:val="20"/>
              </w:rPr>
              <w:t>-$</w:t>
            </w:r>
            <w:r w:rsidR="00650CB8" w:rsidRPr="00650CB8">
              <w:rPr>
                <w:rFonts w:ascii="Arial Narrow" w:hAnsi="Arial Narrow"/>
                <w:color w:val="000000"/>
                <w:spacing w:val="34"/>
                <w:sz w:val="20"/>
                <w:szCs w:val="20"/>
                <w:shd w:val="solid" w:color="000000" w:fill="000000"/>
                <w:fitText w:val="430" w:id="-1435748085"/>
                <w14:textFill>
                  <w14:solidFill>
                    <w14:srgbClr w14:val="000000">
                      <w14:alpha w14:val="100000"/>
                    </w14:srgbClr>
                  </w14:solidFill>
                </w14:textFill>
              </w:rPr>
              <w:t>|||||</w:t>
            </w:r>
            <w:r w:rsidR="00650CB8" w:rsidRPr="00650CB8">
              <w:rPr>
                <w:rFonts w:ascii="Arial Narrow" w:hAnsi="Arial Narrow"/>
                <w:color w:val="000000"/>
                <w:spacing w:val="5"/>
                <w:sz w:val="20"/>
                <w:szCs w:val="20"/>
                <w:shd w:val="solid" w:color="000000" w:fill="000000"/>
                <w:fitText w:val="430" w:id="-1435748085"/>
                <w14:textFill>
                  <w14:solidFill>
                    <w14:srgbClr w14:val="000000">
                      <w14:alpha w14:val="100000"/>
                    </w14:srgbClr>
                  </w14:solidFill>
                </w14:textFill>
              </w:rPr>
              <w:t>|</w:t>
            </w:r>
            <w:r w:rsidR="0022677F">
              <w:rPr>
                <w:rFonts w:ascii="Arial Narrow" w:hAnsi="Arial Narrow"/>
                <w:color w:val="000000"/>
                <w:sz w:val="20"/>
                <w:szCs w:val="20"/>
                <w:vertAlign w:val="superscript"/>
              </w:rPr>
              <w:t>7</w:t>
            </w:r>
          </w:p>
        </w:tc>
        <w:tc>
          <w:tcPr>
            <w:tcW w:w="586" w:type="pct"/>
            <w:tcBorders>
              <w:right w:val="single" w:sz="4" w:space="0" w:color="auto"/>
            </w:tcBorders>
            <w:vAlign w:val="center"/>
          </w:tcPr>
          <w:p w14:paraId="2EF06F84" w14:textId="52B15731" w:rsidR="000F4B43" w:rsidRPr="00B36948" w:rsidRDefault="000F4B43" w:rsidP="000F4B43">
            <w:pPr>
              <w:keepNext/>
              <w:jc w:val="center"/>
              <w:rPr>
                <w:rFonts w:ascii="Arial Narrow" w:hAnsi="Arial Narrow"/>
                <w:sz w:val="20"/>
                <w:szCs w:val="20"/>
              </w:rPr>
            </w:pPr>
            <w:r w:rsidRPr="00B36948">
              <w:rPr>
                <w:rFonts w:ascii="Arial Narrow" w:hAnsi="Arial Narrow"/>
                <w:sz w:val="20"/>
                <w:szCs w:val="20"/>
              </w:rPr>
              <w:t>-$</w:t>
            </w:r>
            <w:r w:rsidR="00650CB8" w:rsidRPr="00650CB8">
              <w:rPr>
                <w:rFonts w:ascii="Arial Narrow" w:hAnsi="Arial Narrow"/>
                <w:color w:val="000000"/>
                <w:spacing w:val="34"/>
                <w:sz w:val="20"/>
                <w:szCs w:val="20"/>
                <w:shd w:val="solid" w:color="000000" w:fill="000000"/>
                <w:fitText w:val="430" w:id="-1435748084"/>
                <w14:textFill>
                  <w14:solidFill>
                    <w14:srgbClr w14:val="000000">
                      <w14:alpha w14:val="100000"/>
                    </w14:srgbClr>
                  </w14:solidFill>
                </w14:textFill>
              </w:rPr>
              <w:t>|||||</w:t>
            </w:r>
            <w:r w:rsidR="00650CB8" w:rsidRPr="00650CB8">
              <w:rPr>
                <w:rFonts w:ascii="Arial Narrow" w:hAnsi="Arial Narrow"/>
                <w:color w:val="000000"/>
                <w:spacing w:val="5"/>
                <w:sz w:val="20"/>
                <w:szCs w:val="20"/>
                <w:shd w:val="solid" w:color="000000" w:fill="000000"/>
                <w:fitText w:val="430" w:id="-1435748084"/>
                <w14:textFill>
                  <w14:solidFill>
                    <w14:srgbClr w14:val="000000">
                      <w14:alpha w14:val="100000"/>
                    </w14:srgbClr>
                  </w14:solidFill>
                </w14:textFill>
              </w:rPr>
              <w:t>|</w:t>
            </w:r>
            <w:r w:rsidR="0022677F">
              <w:rPr>
                <w:rFonts w:ascii="Arial Narrow" w:hAnsi="Arial Narrow"/>
                <w:color w:val="000000"/>
                <w:sz w:val="20"/>
                <w:szCs w:val="20"/>
                <w:vertAlign w:val="superscript"/>
              </w:rPr>
              <w:t>7</w:t>
            </w:r>
          </w:p>
        </w:tc>
      </w:tr>
      <w:tr w:rsidR="000F4B43" w:rsidRPr="00E453D0" w14:paraId="7937C351" w14:textId="77777777" w:rsidTr="000F4B43">
        <w:tc>
          <w:tcPr>
            <w:tcW w:w="1487" w:type="pct"/>
            <w:tcBorders>
              <w:left w:val="single" w:sz="4" w:space="0" w:color="auto"/>
            </w:tcBorders>
            <w:shd w:val="clear" w:color="auto" w:fill="auto"/>
            <w:vAlign w:val="center"/>
          </w:tcPr>
          <w:p w14:paraId="784D47F4" w14:textId="77777777" w:rsidR="000F4B43" w:rsidRPr="00B36948" w:rsidRDefault="000F4B43" w:rsidP="000F4B43">
            <w:pPr>
              <w:keepNext/>
              <w:jc w:val="left"/>
              <w:rPr>
                <w:rFonts w:ascii="Arial Narrow" w:hAnsi="Arial Narrow"/>
                <w:sz w:val="20"/>
                <w:szCs w:val="20"/>
              </w:rPr>
            </w:pPr>
            <w:r w:rsidRPr="00B36948">
              <w:rPr>
                <w:rFonts w:ascii="Arial Narrow" w:eastAsia="Calibri" w:hAnsi="Arial Narrow" w:cs="Times New Roman"/>
                <w:b/>
                <w:sz w:val="20"/>
                <w:szCs w:val="20"/>
              </w:rPr>
              <w:t>Total cost less co-payment</w:t>
            </w:r>
          </w:p>
        </w:tc>
        <w:tc>
          <w:tcPr>
            <w:tcW w:w="585" w:type="pct"/>
            <w:shd w:val="clear" w:color="auto" w:fill="auto"/>
            <w:vAlign w:val="center"/>
          </w:tcPr>
          <w:p w14:paraId="47CE5BD8" w14:textId="3BFF6559" w:rsidR="000F4B43" w:rsidRPr="00B36948" w:rsidRDefault="000F4B43" w:rsidP="000F4B43">
            <w:pPr>
              <w:keepNext/>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65"/>
                <w:sz w:val="20"/>
                <w:szCs w:val="20"/>
                <w:shd w:val="solid" w:color="000000" w:fill="000000"/>
                <w:fitText w:val="380" w:id="-1435748083"/>
                <w14:textFill>
                  <w14:solidFill>
                    <w14:srgbClr w14:val="000000">
                      <w14:alpha w14:val="100000"/>
                    </w14:srgbClr>
                  </w14:solidFill>
                </w14:textFill>
              </w:rPr>
              <w:t>|||</w:t>
            </w:r>
            <w:r w:rsidR="00650CB8" w:rsidRPr="00650CB8">
              <w:rPr>
                <w:rFonts w:ascii="Arial Narrow" w:hAnsi="Arial Narrow"/>
                <w:b/>
                <w:bCs/>
                <w:color w:val="000000"/>
                <w:spacing w:val="2"/>
                <w:sz w:val="20"/>
                <w:szCs w:val="20"/>
                <w:shd w:val="solid" w:color="000000" w:fill="000000"/>
                <w:fitText w:val="380" w:id="-1435748083"/>
                <w14:textFill>
                  <w14:solidFill>
                    <w14:srgbClr w14:val="000000">
                      <w14:alpha w14:val="100000"/>
                    </w14:srgbClr>
                  </w14:solidFill>
                </w14:textFill>
              </w:rPr>
              <w:t>|</w:t>
            </w:r>
            <w:r w:rsidR="0022677F">
              <w:rPr>
                <w:rFonts w:ascii="Arial Narrow" w:hAnsi="Arial Narrow"/>
                <w:color w:val="000000"/>
                <w:sz w:val="20"/>
                <w:szCs w:val="20"/>
                <w:vertAlign w:val="superscript"/>
              </w:rPr>
              <w:t>7</w:t>
            </w:r>
          </w:p>
        </w:tc>
        <w:tc>
          <w:tcPr>
            <w:tcW w:w="586" w:type="pct"/>
            <w:shd w:val="clear" w:color="auto" w:fill="auto"/>
            <w:vAlign w:val="center"/>
          </w:tcPr>
          <w:p w14:paraId="52A63F37" w14:textId="79D44CE0" w:rsidR="000F4B43" w:rsidRPr="00B36948" w:rsidRDefault="000F4B43" w:rsidP="000F4B43">
            <w:pPr>
              <w:keepNext/>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62"/>
                <w:sz w:val="20"/>
                <w:szCs w:val="20"/>
                <w:shd w:val="solid" w:color="000000" w:fill="000000"/>
                <w:fitText w:val="370" w:id="-1435748082"/>
                <w14:textFill>
                  <w14:solidFill>
                    <w14:srgbClr w14:val="000000">
                      <w14:alpha w14:val="100000"/>
                    </w14:srgbClr>
                  </w14:solidFill>
                </w14:textFill>
              </w:rPr>
              <w:t>|||</w:t>
            </w:r>
            <w:r w:rsidR="00650CB8" w:rsidRPr="00650CB8">
              <w:rPr>
                <w:rFonts w:ascii="Arial Narrow" w:hAnsi="Arial Narrow"/>
                <w:b/>
                <w:bCs/>
                <w:color w:val="000000"/>
                <w:spacing w:val="1"/>
                <w:sz w:val="20"/>
                <w:szCs w:val="20"/>
                <w:shd w:val="solid" w:color="000000" w:fill="000000"/>
                <w:fitText w:val="370" w:id="-1435748082"/>
                <w14:textFill>
                  <w14:solidFill>
                    <w14:srgbClr w14:val="000000">
                      <w14:alpha w14:val="100000"/>
                    </w14:srgbClr>
                  </w14:solidFill>
                </w14:textFill>
              </w:rPr>
              <w:t>|</w:t>
            </w:r>
            <w:r w:rsidR="0022677F">
              <w:rPr>
                <w:rFonts w:ascii="Arial Narrow" w:hAnsi="Arial Narrow"/>
                <w:color w:val="000000"/>
                <w:sz w:val="20"/>
                <w:szCs w:val="20"/>
                <w:vertAlign w:val="superscript"/>
              </w:rPr>
              <w:t>7</w:t>
            </w:r>
          </w:p>
        </w:tc>
        <w:tc>
          <w:tcPr>
            <w:tcW w:w="586" w:type="pct"/>
            <w:shd w:val="clear" w:color="auto" w:fill="auto"/>
            <w:vAlign w:val="center"/>
          </w:tcPr>
          <w:p w14:paraId="4ED40156" w14:textId="0EF31A02" w:rsidR="000F4B43" w:rsidRPr="00B36948" w:rsidRDefault="000F4B43" w:rsidP="000F4B43">
            <w:pPr>
              <w:keepNext/>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62"/>
                <w:sz w:val="20"/>
                <w:szCs w:val="20"/>
                <w:shd w:val="solid" w:color="000000" w:fill="000000"/>
                <w:fitText w:val="370" w:id="-1435748081"/>
                <w14:textFill>
                  <w14:solidFill>
                    <w14:srgbClr w14:val="000000">
                      <w14:alpha w14:val="100000"/>
                    </w14:srgbClr>
                  </w14:solidFill>
                </w14:textFill>
              </w:rPr>
              <w:t>|||</w:t>
            </w:r>
            <w:r w:rsidR="00650CB8" w:rsidRPr="00650CB8">
              <w:rPr>
                <w:rFonts w:ascii="Arial Narrow" w:hAnsi="Arial Narrow"/>
                <w:b/>
                <w:bCs/>
                <w:color w:val="000000"/>
                <w:spacing w:val="1"/>
                <w:sz w:val="20"/>
                <w:szCs w:val="20"/>
                <w:shd w:val="solid" w:color="000000" w:fill="000000"/>
                <w:fitText w:val="370" w:id="-1435748081"/>
                <w14:textFill>
                  <w14:solidFill>
                    <w14:srgbClr w14:val="000000">
                      <w14:alpha w14:val="100000"/>
                    </w14:srgbClr>
                  </w14:solidFill>
                </w14:textFill>
              </w:rPr>
              <w:t>|</w:t>
            </w:r>
            <w:r w:rsidR="0022677F">
              <w:rPr>
                <w:rFonts w:ascii="Arial Narrow" w:hAnsi="Arial Narrow"/>
                <w:color w:val="000000"/>
                <w:sz w:val="20"/>
                <w:szCs w:val="20"/>
                <w:vertAlign w:val="superscript"/>
              </w:rPr>
              <w:t>7</w:t>
            </w:r>
          </w:p>
        </w:tc>
        <w:tc>
          <w:tcPr>
            <w:tcW w:w="586" w:type="pct"/>
            <w:shd w:val="clear" w:color="auto" w:fill="auto"/>
            <w:vAlign w:val="center"/>
          </w:tcPr>
          <w:p w14:paraId="364430B6" w14:textId="2D9DC704" w:rsidR="000F4B43" w:rsidRPr="00B36948" w:rsidRDefault="000F4B43" w:rsidP="000F4B43">
            <w:pPr>
              <w:keepNext/>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62"/>
                <w:sz w:val="20"/>
                <w:szCs w:val="20"/>
                <w:shd w:val="solid" w:color="000000" w:fill="000000"/>
                <w:fitText w:val="370" w:id="-1435748080"/>
                <w14:textFill>
                  <w14:solidFill>
                    <w14:srgbClr w14:val="000000">
                      <w14:alpha w14:val="100000"/>
                    </w14:srgbClr>
                  </w14:solidFill>
                </w14:textFill>
              </w:rPr>
              <w:t>|||</w:t>
            </w:r>
            <w:r w:rsidR="00650CB8" w:rsidRPr="00650CB8">
              <w:rPr>
                <w:rFonts w:ascii="Arial Narrow" w:hAnsi="Arial Narrow"/>
                <w:b/>
                <w:bCs/>
                <w:color w:val="000000"/>
                <w:spacing w:val="1"/>
                <w:sz w:val="20"/>
                <w:szCs w:val="20"/>
                <w:shd w:val="solid" w:color="000000" w:fill="000000"/>
                <w:fitText w:val="370" w:id="-1435748080"/>
                <w14:textFill>
                  <w14:solidFill>
                    <w14:srgbClr w14:val="000000">
                      <w14:alpha w14:val="100000"/>
                    </w14:srgbClr>
                  </w14:solidFill>
                </w14:textFill>
              </w:rPr>
              <w:t>|</w:t>
            </w:r>
            <w:r w:rsidR="0022677F">
              <w:rPr>
                <w:rFonts w:ascii="Arial Narrow" w:hAnsi="Arial Narrow"/>
                <w:color w:val="000000"/>
                <w:sz w:val="20"/>
                <w:szCs w:val="20"/>
                <w:vertAlign w:val="superscript"/>
              </w:rPr>
              <w:t>7</w:t>
            </w:r>
          </w:p>
        </w:tc>
        <w:tc>
          <w:tcPr>
            <w:tcW w:w="586" w:type="pct"/>
            <w:tcBorders>
              <w:right w:val="single" w:sz="4" w:space="0" w:color="auto"/>
            </w:tcBorders>
            <w:shd w:val="clear" w:color="auto" w:fill="auto"/>
            <w:vAlign w:val="center"/>
          </w:tcPr>
          <w:p w14:paraId="710D823E" w14:textId="5D8580B8" w:rsidR="000F4B43" w:rsidRPr="00B36948" w:rsidRDefault="000F4B43" w:rsidP="000F4B43">
            <w:pPr>
              <w:keepNext/>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62"/>
                <w:sz w:val="20"/>
                <w:szCs w:val="20"/>
                <w:shd w:val="solid" w:color="000000" w:fill="000000"/>
                <w:fitText w:val="370" w:id="-1435748096"/>
                <w14:textFill>
                  <w14:solidFill>
                    <w14:srgbClr w14:val="000000">
                      <w14:alpha w14:val="100000"/>
                    </w14:srgbClr>
                  </w14:solidFill>
                </w14:textFill>
              </w:rPr>
              <w:t>|||</w:t>
            </w:r>
            <w:r w:rsidR="00650CB8" w:rsidRPr="00650CB8">
              <w:rPr>
                <w:rFonts w:ascii="Arial Narrow" w:hAnsi="Arial Narrow"/>
                <w:b/>
                <w:bCs/>
                <w:color w:val="000000"/>
                <w:spacing w:val="1"/>
                <w:sz w:val="20"/>
                <w:szCs w:val="20"/>
                <w:shd w:val="solid" w:color="000000" w:fill="000000"/>
                <w:fitText w:val="370" w:id="-1435748096"/>
                <w14:textFill>
                  <w14:solidFill>
                    <w14:srgbClr w14:val="000000">
                      <w14:alpha w14:val="100000"/>
                    </w14:srgbClr>
                  </w14:solidFill>
                </w14:textFill>
              </w:rPr>
              <w:t>|</w:t>
            </w:r>
            <w:r w:rsidR="0022677F">
              <w:rPr>
                <w:rFonts w:ascii="Arial Narrow" w:hAnsi="Arial Narrow"/>
                <w:color w:val="000000"/>
                <w:sz w:val="20"/>
                <w:szCs w:val="20"/>
                <w:vertAlign w:val="superscript"/>
              </w:rPr>
              <w:t>7</w:t>
            </w:r>
          </w:p>
        </w:tc>
        <w:tc>
          <w:tcPr>
            <w:tcW w:w="586" w:type="pct"/>
            <w:tcBorders>
              <w:right w:val="single" w:sz="4" w:space="0" w:color="auto"/>
            </w:tcBorders>
            <w:vAlign w:val="center"/>
          </w:tcPr>
          <w:p w14:paraId="2E4A7358" w14:textId="060A7FDD" w:rsidR="000F4B43" w:rsidRPr="00E453D0" w:rsidRDefault="000F4B43" w:rsidP="000F4B43">
            <w:pPr>
              <w:keepNext/>
              <w:jc w:val="center"/>
              <w:rPr>
                <w:rFonts w:ascii="Arial Narrow" w:hAnsi="Arial Narrow"/>
                <w:b/>
                <w:bCs/>
                <w:sz w:val="20"/>
                <w:szCs w:val="20"/>
                <w:highlight w:val="darkGray"/>
              </w:rPr>
            </w:pPr>
            <w:r w:rsidRPr="00E453D0">
              <w:rPr>
                <w:rFonts w:ascii="Arial Narrow" w:hAnsi="Arial Narrow"/>
                <w:b/>
                <w:bCs/>
                <w:sz w:val="20"/>
                <w:szCs w:val="20"/>
              </w:rPr>
              <w:t>$</w:t>
            </w:r>
            <w:r w:rsidR="00650CB8" w:rsidRPr="00650CB8">
              <w:rPr>
                <w:rFonts w:ascii="Arial Narrow" w:hAnsi="Arial Narrow"/>
                <w:b/>
                <w:bCs/>
                <w:color w:val="000000"/>
                <w:spacing w:val="65"/>
                <w:sz w:val="20"/>
                <w:szCs w:val="20"/>
                <w:shd w:val="solid" w:color="000000" w:fill="000000"/>
                <w:fitText w:val="380" w:id="-1435748095"/>
                <w14:textFill>
                  <w14:solidFill>
                    <w14:srgbClr w14:val="000000">
                      <w14:alpha w14:val="100000"/>
                    </w14:srgbClr>
                  </w14:solidFill>
                </w14:textFill>
              </w:rPr>
              <w:t>|||</w:t>
            </w:r>
            <w:r w:rsidR="00650CB8" w:rsidRPr="00650CB8">
              <w:rPr>
                <w:rFonts w:ascii="Arial Narrow" w:hAnsi="Arial Narrow"/>
                <w:b/>
                <w:bCs/>
                <w:color w:val="000000"/>
                <w:spacing w:val="2"/>
                <w:sz w:val="20"/>
                <w:szCs w:val="20"/>
                <w:shd w:val="solid" w:color="000000" w:fill="000000"/>
                <w:fitText w:val="380" w:id="-1435748095"/>
                <w14:textFill>
                  <w14:solidFill>
                    <w14:srgbClr w14:val="000000">
                      <w14:alpha w14:val="100000"/>
                    </w14:srgbClr>
                  </w14:solidFill>
                </w14:textFill>
              </w:rPr>
              <w:t>|</w:t>
            </w:r>
            <w:r w:rsidR="0022677F">
              <w:rPr>
                <w:rFonts w:ascii="Arial Narrow" w:hAnsi="Arial Narrow"/>
                <w:color w:val="000000"/>
                <w:sz w:val="20"/>
                <w:szCs w:val="20"/>
                <w:vertAlign w:val="superscript"/>
              </w:rPr>
              <w:t>7</w:t>
            </w:r>
          </w:p>
        </w:tc>
      </w:tr>
    </w:tbl>
    <w:p w14:paraId="6B4CFE26" w14:textId="24A12A63" w:rsidR="000F4B43" w:rsidRPr="00B36948" w:rsidRDefault="000F4B43" w:rsidP="000F4B43">
      <w:pPr>
        <w:pStyle w:val="TableFigureFooter"/>
      </w:pPr>
      <w:r w:rsidRPr="00B36948">
        <w:t>Source: Table 4.2-2, p37; Table 4.2-3, p37; Table 4.2-5, p38 of the submission; ‘Financial Analysis_Mar 22’ Excel spreadsheet</w:t>
      </w:r>
    </w:p>
    <w:p w14:paraId="03BEDE3C" w14:textId="77777777" w:rsidR="000F4B43" w:rsidRPr="00B36948" w:rsidRDefault="000F4B43" w:rsidP="000F4B43">
      <w:pPr>
        <w:pStyle w:val="TableFigureFooter"/>
      </w:pPr>
      <w:r w:rsidRPr="00B36948">
        <w:t>Abbreviations: ASCVD, atherosclerotic cardiovascular disease; DPMQ, dispensed price for maximum quantity; FH, familial hypercholesterolaemia; LDL, low-density lipoprotein.</w:t>
      </w:r>
    </w:p>
    <w:p w14:paraId="4C6062F6" w14:textId="79CD8CB4" w:rsidR="000F4B43" w:rsidRDefault="000F4B43" w:rsidP="000F4B43">
      <w:pPr>
        <w:pStyle w:val="TableFigureFooter"/>
      </w:pPr>
      <w:r w:rsidRPr="00B36948">
        <w:rPr>
          <w:vertAlign w:val="superscript"/>
        </w:rPr>
        <w:t>1</w:t>
      </w:r>
      <w:r w:rsidRPr="00B36948">
        <w:t> Effective prices used in the submission’s calculations of financial impact were specific to the new population of patients with LDL-C 1.8 to 2.6 mmol/L</w:t>
      </w:r>
    </w:p>
    <w:p w14:paraId="5A4BAA63" w14:textId="77777777" w:rsidR="0022677F" w:rsidRPr="00181DAC" w:rsidRDefault="0022677F" w:rsidP="0022677F">
      <w:pPr>
        <w:pStyle w:val="TableFigureFooter"/>
        <w:keepNext/>
        <w:spacing w:after="0"/>
        <w:contextualSpacing w:val="0"/>
        <w:rPr>
          <w:i/>
        </w:rPr>
      </w:pPr>
      <w:r w:rsidRPr="00181DAC">
        <w:rPr>
          <w:i/>
        </w:rPr>
        <w:t>The redacted values correspond to the following ranges:</w:t>
      </w:r>
    </w:p>
    <w:p w14:paraId="23D4703B" w14:textId="1CAC705E" w:rsidR="0022677F" w:rsidRPr="00281DAB" w:rsidRDefault="0022677F" w:rsidP="0022677F">
      <w:pPr>
        <w:pStyle w:val="TableFigureFooter"/>
        <w:keepNext/>
        <w:spacing w:after="0"/>
        <w:contextualSpacing w:val="0"/>
      </w:pPr>
      <w:r w:rsidRPr="00181DAC">
        <w:rPr>
          <w:i/>
          <w:szCs w:val="18"/>
          <w:vertAlign w:val="superscript"/>
        </w:rPr>
        <w:t>1</w:t>
      </w:r>
      <w:r w:rsidRPr="00181DAC">
        <w:rPr>
          <w:i/>
          <w:szCs w:val="18"/>
        </w:rPr>
        <w:t xml:space="preserve"> </w:t>
      </w:r>
      <w:r w:rsidRPr="0022677F">
        <w:rPr>
          <w:i/>
          <w:szCs w:val="18"/>
        </w:rPr>
        <w:t>50,000 to &lt; 60,000</w:t>
      </w:r>
    </w:p>
    <w:p w14:paraId="27E2603A" w14:textId="2B784EEC" w:rsidR="0022677F" w:rsidRPr="00181DAC" w:rsidRDefault="0022677F" w:rsidP="0022677F">
      <w:pPr>
        <w:rPr>
          <w:rFonts w:ascii="Arial Narrow" w:hAnsi="Arial Narrow"/>
          <w:i/>
          <w:sz w:val="18"/>
          <w:szCs w:val="18"/>
        </w:rPr>
      </w:pPr>
      <w:r w:rsidRPr="00181DAC">
        <w:rPr>
          <w:rFonts w:ascii="Arial Narrow" w:hAnsi="Arial Narrow"/>
          <w:i/>
          <w:sz w:val="18"/>
          <w:szCs w:val="18"/>
          <w:vertAlign w:val="superscript"/>
        </w:rPr>
        <w:t>2</w:t>
      </w:r>
      <w:r w:rsidR="0043735B">
        <w:rPr>
          <w:rFonts w:ascii="Arial Narrow" w:hAnsi="Arial Narrow"/>
          <w:i/>
          <w:sz w:val="18"/>
          <w:szCs w:val="18"/>
        </w:rPr>
        <w:t xml:space="preserve"> </w:t>
      </w:r>
      <w:r w:rsidR="0043735B" w:rsidRPr="0043735B">
        <w:rPr>
          <w:rFonts w:ascii="Arial Narrow" w:hAnsi="Arial Narrow"/>
          <w:i/>
          <w:sz w:val="18"/>
          <w:szCs w:val="18"/>
        </w:rPr>
        <w:t>30,000 to &lt; 40,000</w:t>
      </w:r>
    </w:p>
    <w:p w14:paraId="32924DEA" w14:textId="11431C97" w:rsidR="0022677F" w:rsidRPr="00181DAC" w:rsidRDefault="0022677F" w:rsidP="0022677F">
      <w:pPr>
        <w:rPr>
          <w:rFonts w:ascii="Arial Narrow" w:hAnsi="Arial Narrow"/>
          <w:i/>
          <w:sz w:val="18"/>
          <w:szCs w:val="18"/>
        </w:rPr>
      </w:pPr>
      <w:r w:rsidRPr="00181DAC">
        <w:rPr>
          <w:rFonts w:ascii="Arial Narrow" w:hAnsi="Arial Narrow"/>
          <w:i/>
          <w:sz w:val="18"/>
          <w:szCs w:val="18"/>
          <w:vertAlign w:val="superscript"/>
        </w:rPr>
        <w:t xml:space="preserve">3 </w:t>
      </w:r>
      <w:r w:rsidR="0043735B" w:rsidRPr="0043735B">
        <w:rPr>
          <w:rFonts w:ascii="Arial Narrow" w:hAnsi="Arial Narrow"/>
          <w:i/>
          <w:sz w:val="18"/>
          <w:szCs w:val="18"/>
        </w:rPr>
        <w:t>40,000 to &lt; 50,000</w:t>
      </w:r>
    </w:p>
    <w:p w14:paraId="31C3D05E" w14:textId="732A106F" w:rsidR="0022677F" w:rsidRPr="00181DAC" w:rsidRDefault="0022677F" w:rsidP="0022677F">
      <w:pPr>
        <w:rPr>
          <w:rFonts w:ascii="Arial Narrow" w:hAnsi="Arial Narrow"/>
          <w:i/>
          <w:sz w:val="18"/>
          <w:szCs w:val="18"/>
        </w:rPr>
      </w:pPr>
      <w:r w:rsidRPr="00181DAC">
        <w:rPr>
          <w:rFonts w:ascii="Arial Narrow" w:hAnsi="Arial Narrow"/>
          <w:i/>
          <w:sz w:val="18"/>
          <w:szCs w:val="18"/>
          <w:vertAlign w:val="superscript"/>
        </w:rPr>
        <w:t xml:space="preserve">4 </w:t>
      </w:r>
      <w:r w:rsidR="0043735B" w:rsidRPr="0043735B">
        <w:rPr>
          <w:rFonts w:ascii="Arial Narrow" w:hAnsi="Arial Narrow"/>
          <w:i/>
          <w:sz w:val="18"/>
          <w:szCs w:val="18"/>
        </w:rPr>
        <w:t>10,000 to &lt; 20,000</w:t>
      </w:r>
    </w:p>
    <w:p w14:paraId="401D6F21" w14:textId="4A1C2C33" w:rsidR="0022677F" w:rsidRPr="00181DAC" w:rsidRDefault="0022677F" w:rsidP="0022677F">
      <w:pPr>
        <w:rPr>
          <w:rFonts w:ascii="Arial Narrow" w:hAnsi="Arial Narrow"/>
          <w:i/>
          <w:sz w:val="18"/>
          <w:szCs w:val="18"/>
        </w:rPr>
      </w:pPr>
      <w:r w:rsidRPr="00181DAC">
        <w:rPr>
          <w:rFonts w:ascii="Arial Narrow" w:hAnsi="Arial Narrow"/>
          <w:i/>
          <w:sz w:val="18"/>
          <w:szCs w:val="18"/>
          <w:vertAlign w:val="superscript"/>
        </w:rPr>
        <w:lastRenderedPageBreak/>
        <w:t>5</w:t>
      </w:r>
      <w:r w:rsidRPr="00181DAC">
        <w:rPr>
          <w:rFonts w:ascii="Arial Narrow" w:hAnsi="Arial Narrow"/>
          <w:i/>
          <w:sz w:val="18"/>
          <w:szCs w:val="18"/>
        </w:rPr>
        <w:t xml:space="preserve"> </w:t>
      </w:r>
      <w:r w:rsidR="0043735B" w:rsidRPr="0043735B">
        <w:rPr>
          <w:rFonts w:ascii="Arial Narrow" w:hAnsi="Arial Narrow"/>
          <w:i/>
          <w:sz w:val="18"/>
          <w:szCs w:val="18"/>
        </w:rPr>
        <w:t>500 to &lt; 5,000</w:t>
      </w:r>
    </w:p>
    <w:p w14:paraId="443D1BAE" w14:textId="64C67564" w:rsidR="0022677F" w:rsidRPr="00181DAC" w:rsidRDefault="0022677F" w:rsidP="0022677F">
      <w:pPr>
        <w:rPr>
          <w:rFonts w:ascii="Arial Narrow" w:hAnsi="Arial Narrow"/>
          <w:i/>
          <w:sz w:val="18"/>
          <w:szCs w:val="18"/>
        </w:rPr>
      </w:pPr>
      <w:r w:rsidRPr="00181DAC">
        <w:rPr>
          <w:rFonts w:ascii="Arial Narrow" w:hAnsi="Arial Narrow"/>
          <w:i/>
          <w:sz w:val="18"/>
          <w:szCs w:val="18"/>
          <w:vertAlign w:val="superscript"/>
        </w:rPr>
        <w:t xml:space="preserve">6 </w:t>
      </w:r>
      <w:r w:rsidR="0043735B" w:rsidRPr="0043735B">
        <w:rPr>
          <w:rFonts w:ascii="Arial Narrow" w:hAnsi="Arial Narrow"/>
          <w:i/>
          <w:sz w:val="18"/>
          <w:szCs w:val="18"/>
        </w:rPr>
        <w:t>&lt; 500</w:t>
      </w:r>
    </w:p>
    <w:p w14:paraId="775BC21E" w14:textId="2D9AB895" w:rsidR="0022677F" w:rsidRPr="00181DAC" w:rsidRDefault="0022677F" w:rsidP="0022677F">
      <w:pPr>
        <w:rPr>
          <w:rFonts w:ascii="Arial Narrow" w:hAnsi="Arial Narrow"/>
          <w:i/>
          <w:sz w:val="18"/>
          <w:szCs w:val="18"/>
          <w:vertAlign w:val="superscript"/>
        </w:rPr>
      </w:pPr>
      <w:r w:rsidRPr="00181DAC">
        <w:rPr>
          <w:rFonts w:ascii="Arial Narrow" w:hAnsi="Arial Narrow"/>
          <w:i/>
          <w:sz w:val="18"/>
          <w:szCs w:val="18"/>
          <w:vertAlign w:val="superscript"/>
        </w:rPr>
        <w:t xml:space="preserve">7 </w:t>
      </w:r>
      <w:r w:rsidR="0043735B" w:rsidRPr="0043735B">
        <w:rPr>
          <w:rFonts w:ascii="Arial Narrow" w:hAnsi="Arial Narrow"/>
          <w:i/>
          <w:sz w:val="18"/>
          <w:szCs w:val="18"/>
        </w:rPr>
        <w:t>$0 to &lt; $10 million</w:t>
      </w:r>
    </w:p>
    <w:p w14:paraId="5D9BBD64" w14:textId="77777777" w:rsidR="00985590" w:rsidRPr="00B36948" w:rsidRDefault="00985590" w:rsidP="000F4B43">
      <w:pPr>
        <w:pStyle w:val="TableFigureFooter"/>
      </w:pPr>
    </w:p>
    <w:p w14:paraId="28C155EE" w14:textId="5799EC94" w:rsidR="000F4B43" w:rsidRPr="00B36948" w:rsidRDefault="000F4B43" w:rsidP="000F4B43">
      <w:pPr>
        <w:pStyle w:val="ExecSumBodyText"/>
        <w:numPr>
          <w:ilvl w:val="1"/>
          <w:numId w:val="1"/>
        </w:numPr>
      </w:pPr>
      <w:r w:rsidRPr="00B36948">
        <w:t xml:space="preserve">Based on effective prices specific to the new population, the net cost of extending the listing of evolocumab for the treatment of patients with familial hypercholesterolaemia with ASCVD and LDL-C between 1.8 and 2.6 mmol/L was estimated to be </w:t>
      </w:r>
      <w:r w:rsidR="008D7ECF" w:rsidRPr="008D7ECF">
        <w:t>$0 to &lt; $10 million</w:t>
      </w:r>
      <w:r w:rsidRPr="00B36948">
        <w:t xml:space="preserve"> in the first year of listing, increasing to </w:t>
      </w:r>
      <w:r w:rsidR="008D7ECF" w:rsidRPr="008D7ECF">
        <w:t>$0 to &lt; $10 million</w:t>
      </w:r>
      <w:r w:rsidRPr="00B36948">
        <w:t xml:space="preserve"> in the sixth year of listing, a cumulative net cost over 6 years of </w:t>
      </w:r>
      <w:r w:rsidR="008D7ECF" w:rsidRPr="008D7ECF">
        <w:t>$0 to &lt; $10 million</w:t>
      </w:r>
      <w:r w:rsidRPr="00B36948">
        <w:t>.</w:t>
      </w:r>
    </w:p>
    <w:p w14:paraId="1C0A47C8" w14:textId="367043F3" w:rsidR="000F4B43" w:rsidRPr="00B36948" w:rsidRDefault="000F4B43" w:rsidP="000F4B43">
      <w:pPr>
        <w:pStyle w:val="ExecSumBodyText"/>
        <w:numPr>
          <w:ilvl w:val="1"/>
          <w:numId w:val="1"/>
        </w:numPr>
        <w:spacing w:after="0"/>
        <w:rPr>
          <w:iCs/>
        </w:rPr>
      </w:pPr>
      <w:r w:rsidRPr="00B36948">
        <w:rPr>
          <w:iCs/>
        </w:rPr>
        <w:t xml:space="preserve">The </w:t>
      </w:r>
      <w:r w:rsidR="00B36948" w:rsidRPr="00B36948">
        <w:rPr>
          <w:iCs/>
        </w:rPr>
        <w:t xml:space="preserve">evaluation considered that the </w:t>
      </w:r>
      <w:r w:rsidRPr="00B36948">
        <w:rPr>
          <w:iCs/>
        </w:rPr>
        <w:t>utilisation/financial estimates in the familial hypercholesterolaemia population were uncertain due to the following issues:</w:t>
      </w:r>
    </w:p>
    <w:p w14:paraId="51707F99" w14:textId="77777777" w:rsidR="000F4B43" w:rsidRPr="00B36948" w:rsidRDefault="000F4B43" w:rsidP="000E27D0">
      <w:pPr>
        <w:pStyle w:val="ListParagraph"/>
        <w:widowControl/>
        <w:numPr>
          <w:ilvl w:val="0"/>
          <w:numId w:val="18"/>
        </w:numPr>
        <w:spacing w:after="0"/>
        <w:ind w:left="1077" w:hanging="357"/>
        <w:rPr>
          <w:iCs/>
        </w:rPr>
      </w:pPr>
      <w:r w:rsidRPr="00B36948">
        <w:rPr>
          <w:iCs/>
        </w:rPr>
        <w:t xml:space="preserve">The proportion of FH patients with ASCVD used in previous submissions (and derived from the AusDiab cohort of patients aged 25 years and older) was adjusted to account for the inclusion of the total Australian population in the first step of the estimated utilisation rather than those aged over 25 as recommended by DUSC (Table 8, evolocumab PSD, November 2019 PBAC meeting). In the current submission the Australian population aged 25 years and older was appropriately used, but the adjusted proportion of FH patients with ASCVD (40%) rather than the original estimate of 51% was still applied, meaning that the number of eligible patients was underestimated. </w:t>
      </w:r>
    </w:p>
    <w:p w14:paraId="63DBF668" w14:textId="7F0A2F51" w:rsidR="000F4B43" w:rsidRPr="00B36948" w:rsidRDefault="000F4B43" w:rsidP="000E27D0">
      <w:pPr>
        <w:pStyle w:val="ListParagraph"/>
        <w:widowControl/>
        <w:numPr>
          <w:ilvl w:val="0"/>
          <w:numId w:val="18"/>
        </w:numPr>
        <w:spacing w:after="0"/>
        <w:ind w:left="1077" w:hanging="357"/>
      </w:pPr>
      <w:r w:rsidRPr="00B36948">
        <w:t xml:space="preserve">In the July 2019 submission, it was assumed that 90% of patients from the RUTHERFORD-2 trial of familial hypercholesterolaemia patients had LDL-C &gt; 2.6 mmol/L. The current submission stated that all participants in this trial had LDL-C above 1.8 mmol/L, therefore the remaining 10% of patients in this sample were assumed to have LDL-C between 1.8 and 2.6 mmol/L. The RUTHERFORD-2 trial was not </w:t>
      </w:r>
      <w:r w:rsidR="009D3E9A">
        <w:t>a reliable</w:t>
      </w:r>
      <w:r w:rsidRPr="00B36948">
        <w:t xml:space="preserve"> data source as the minimum LDL-C to be eligible for the trial was 2.6 mmol/L.</w:t>
      </w:r>
    </w:p>
    <w:p w14:paraId="0888EE38" w14:textId="44C63CC6" w:rsidR="000F4B43" w:rsidRPr="00B36948" w:rsidRDefault="000F4B43" w:rsidP="000E27D0">
      <w:pPr>
        <w:pStyle w:val="ListParagraph"/>
        <w:widowControl/>
        <w:numPr>
          <w:ilvl w:val="0"/>
          <w:numId w:val="18"/>
        </w:numPr>
        <w:spacing w:after="120"/>
        <w:ind w:left="1077" w:hanging="357"/>
      </w:pPr>
      <w:r w:rsidRPr="00B36948">
        <w:t xml:space="preserve">Uptake estimates were highly uncertain and based on sponsor assumptions applied to a small sample of data from the IQVIA database. </w:t>
      </w:r>
    </w:p>
    <w:p w14:paraId="0827862E" w14:textId="657A1930" w:rsidR="000F4B43" w:rsidRPr="00B36948" w:rsidRDefault="000F4B43" w:rsidP="000F4B43">
      <w:pPr>
        <w:pStyle w:val="ExecSumBodyText"/>
        <w:numPr>
          <w:ilvl w:val="1"/>
          <w:numId w:val="1"/>
        </w:numPr>
      </w:pPr>
      <w:r w:rsidRPr="00B36948">
        <w:fldChar w:fldCharType="begin"/>
      </w:r>
      <w:r w:rsidRPr="00B36948">
        <w:instrText xml:space="preserve"> REF _Ref102486172 \h  \* MERGEFORMAT </w:instrText>
      </w:r>
      <w:r w:rsidRPr="00B36948">
        <w:fldChar w:fldCharType="separate"/>
      </w:r>
      <w:r w:rsidR="00EB7F7C" w:rsidRPr="00B36948">
        <w:t xml:space="preserve">Table </w:t>
      </w:r>
      <w:r w:rsidR="00EB7F7C" w:rsidRPr="00B36948">
        <w:rPr>
          <w:noProof/>
        </w:rPr>
        <w:t>21</w:t>
      </w:r>
      <w:r w:rsidRPr="00B36948">
        <w:fldChar w:fldCharType="end"/>
      </w:r>
      <w:r w:rsidRPr="00B36948">
        <w:t xml:space="preserve"> below compares the estimates of utilisation in the new population with those from the existing population with LDL-C between 2.6 and 3.3 mmol/L in the November 2019 submission for patients with </w:t>
      </w:r>
      <w:proofErr w:type="spellStart"/>
      <w:r w:rsidRPr="00B36948">
        <w:t>HeFH</w:t>
      </w:r>
      <w:proofErr w:type="spellEnd"/>
      <w:r w:rsidRPr="00B36948">
        <w:t>.</w:t>
      </w:r>
    </w:p>
    <w:p w14:paraId="6F535026" w14:textId="18252F44" w:rsidR="000F4B43" w:rsidRPr="00B36948" w:rsidRDefault="000F4B43" w:rsidP="000F4B43">
      <w:pPr>
        <w:pStyle w:val="TableHeading"/>
        <w:spacing w:after="0"/>
        <w:jc w:val="both"/>
      </w:pPr>
      <w:bookmarkStart w:id="62" w:name="_Ref102486172"/>
      <w:r w:rsidRPr="00B36948">
        <w:lastRenderedPageBreak/>
        <w:t xml:space="preserve">Table </w:t>
      </w:r>
      <w:fldSimple w:instr=" SEQ Table \* ARABIC ">
        <w:r w:rsidR="00EB7F7C" w:rsidRPr="00B36948">
          <w:rPr>
            <w:noProof/>
          </w:rPr>
          <w:t>21</w:t>
        </w:r>
      </w:fldSimple>
      <w:bookmarkEnd w:id="62"/>
      <w:r w:rsidRPr="00B36948">
        <w:t>: Estimates of eligible patients and utilisation of evolocumab in current submission (LDL-C &gt; 1.8 and ≤ 2.6 mmol/L) and November 2019 submission (LDL-C &gt; 2.6 and ≤ 3.3 mmol/L) for patients with heterozygous FH and ASCVD</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1: Estimates of eligible patients and utilisation of evolocumab in current submission (LDL-C &gt; 1.8 and ≤ 2.6 mmol/L) and November 2019 submission (LDL-C &gt; 2.6 and ≤ 3.3 mmol/L) for patients with heterozygous FH and ASCVD"/>
      </w:tblPr>
      <w:tblGrid>
        <w:gridCol w:w="2405"/>
        <w:gridCol w:w="20"/>
        <w:gridCol w:w="1083"/>
        <w:gridCol w:w="16"/>
        <w:gridCol w:w="1086"/>
        <w:gridCol w:w="14"/>
        <w:gridCol w:w="1088"/>
        <w:gridCol w:w="13"/>
        <w:gridCol w:w="1090"/>
        <w:gridCol w:w="9"/>
        <w:gridCol w:w="1093"/>
        <w:gridCol w:w="7"/>
        <w:gridCol w:w="1097"/>
      </w:tblGrid>
      <w:tr w:rsidR="000F4B43" w:rsidRPr="00B36948" w14:paraId="0EAA8BE1" w14:textId="77777777" w:rsidTr="00EF5796">
        <w:trPr>
          <w:tblHeader/>
        </w:trPr>
        <w:tc>
          <w:tcPr>
            <w:tcW w:w="1344" w:type="pct"/>
            <w:gridSpan w:val="2"/>
            <w:tcBorders>
              <w:left w:val="single" w:sz="4" w:space="0" w:color="auto"/>
              <w:bottom w:val="single" w:sz="4" w:space="0" w:color="auto"/>
            </w:tcBorders>
            <w:shd w:val="clear" w:color="auto" w:fill="auto"/>
            <w:vAlign w:val="center"/>
          </w:tcPr>
          <w:p w14:paraId="6A36BFE8" w14:textId="77777777" w:rsidR="000F4B43" w:rsidRPr="00B36948" w:rsidRDefault="000F4B43" w:rsidP="000F4B43">
            <w:pPr>
              <w:keepNext/>
              <w:rPr>
                <w:rFonts w:ascii="Arial Narrow" w:eastAsia="Calibri" w:hAnsi="Arial Narrow" w:cs="Times New Roman"/>
                <w:b/>
                <w:bCs/>
                <w:sz w:val="20"/>
                <w:szCs w:val="20"/>
              </w:rPr>
            </w:pPr>
            <w:r w:rsidRPr="00B36948">
              <w:rPr>
                <w:rFonts w:ascii="Arial Narrow" w:eastAsia="Calibri" w:hAnsi="Arial Narrow" w:cs="Times New Roman"/>
                <w:b/>
                <w:bCs/>
                <w:sz w:val="20"/>
                <w:szCs w:val="20"/>
              </w:rPr>
              <w:t>HeFH patients only</w:t>
            </w:r>
          </w:p>
        </w:tc>
        <w:tc>
          <w:tcPr>
            <w:tcW w:w="609" w:type="pct"/>
            <w:gridSpan w:val="2"/>
            <w:tcBorders>
              <w:bottom w:val="single" w:sz="4" w:space="0" w:color="auto"/>
            </w:tcBorders>
            <w:shd w:val="clear" w:color="auto" w:fill="auto"/>
            <w:vAlign w:val="center"/>
          </w:tcPr>
          <w:p w14:paraId="516D1C18" w14:textId="77777777" w:rsidR="000F4B43" w:rsidRPr="00B36948" w:rsidRDefault="000F4B43" w:rsidP="000F4B43">
            <w:pPr>
              <w:keepNext/>
              <w:jc w:val="center"/>
              <w:rPr>
                <w:rFonts w:ascii="Arial Narrow" w:eastAsia="Calibri" w:hAnsi="Arial Narrow" w:cs="Times New Roman"/>
                <w:b/>
                <w:bCs/>
                <w:sz w:val="20"/>
                <w:szCs w:val="20"/>
              </w:rPr>
            </w:pPr>
            <w:r w:rsidRPr="00B36948">
              <w:rPr>
                <w:rFonts w:ascii="Arial Narrow" w:eastAsia="Calibri" w:hAnsi="Arial Narrow" w:cs="Times New Roman"/>
                <w:b/>
                <w:bCs/>
                <w:sz w:val="20"/>
                <w:szCs w:val="20"/>
              </w:rPr>
              <w:t>Year 1</w:t>
            </w:r>
          </w:p>
        </w:tc>
        <w:tc>
          <w:tcPr>
            <w:tcW w:w="610" w:type="pct"/>
            <w:gridSpan w:val="2"/>
            <w:tcBorders>
              <w:bottom w:val="single" w:sz="4" w:space="0" w:color="auto"/>
            </w:tcBorders>
            <w:shd w:val="clear" w:color="auto" w:fill="auto"/>
            <w:vAlign w:val="center"/>
          </w:tcPr>
          <w:p w14:paraId="61DBA560" w14:textId="77777777" w:rsidR="000F4B43" w:rsidRPr="00B36948" w:rsidRDefault="000F4B43" w:rsidP="000F4B43">
            <w:pPr>
              <w:keepNext/>
              <w:jc w:val="center"/>
              <w:rPr>
                <w:rFonts w:ascii="Arial Narrow" w:eastAsia="Calibri" w:hAnsi="Arial Narrow" w:cs="Times New Roman"/>
                <w:b/>
                <w:bCs/>
                <w:sz w:val="20"/>
                <w:szCs w:val="20"/>
              </w:rPr>
            </w:pPr>
            <w:r w:rsidRPr="00B36948">
              <w:rPr>
                <w:rFonts w:ascii="Arial Narrow" w:eastAsia="Calibri" w:hAnsi="Arial Narrow" w:cs="Times New Roman"/>
                <w:b/>
                <w:bCs/>
                <w:sz w:val="20"/>
                <w:szCs w:val="20"/>
              </w:rPr>
              <w:t>Year 2</w:t>
            </w:r>
          </w:p>
        </w:tc>
        <w:tc>
          <w:tcPr>
            <w:tcW w:w="610" w:type="pct"/>
            <w:gridSpan w:val="2"/>
            <w:tcBorders>
              <w:bottom w:val="single" w:sz="4" w:space="0" w:color="auto"/>
            </w:tcBorders>
            <w:shd w:val="clear" w:color="auto" w:fill="auto"/>
            <w:vAlign w:val="center"/>
          </w:tcPr>
          <w:p w14:paraId="426439DA" w14:textId="77777777" w:rsidR="000F4B43" w:rsidRPr="00B36948" w:rsidRDefault="000F4B43" w:rsidP="000F4B43">
            <w:pPr>
              <w:keepNext/>
              <w:jc w:val="center"/>
              <w:rPr>
                <w:rFonts w:ascii="Arial Narrow" w:eastAsia="Calibri" w:hAnsi="Arial Narrow" w:cs="Times New Roman"/>
                <w:b/>
                <w:bCs/>
                <w:sz w:val="20"/>
                <w:szCs w:val="20"/>
              </w:rPr>
            </w:pPr>
            <w:r w:rsidRPr="00B36948">
              <w:rPr>
                <w:rFonts w:ascii="Arial Narrow" w:eastAsia="Calibri" w:hAnsi="Arial Narrow" w:cs="Times New Roman"/>
                <w:b/>
                <w:bCs/>
                <w:sz w:val="20"/>
                <w:szCs w:val="20"/>
              </w:rPr>
              <w:t>Year 3</w:t>
            </w:r>
          </w:p>
        </w:tc>
        <w:tc>
          <w:tcPr>
            <w:tcW w:w="609" w:type="pct"/>
            <w:gridSpan w:val="2"/>
            <w:tcBorders>
              <w:bottom w:val="single" w:sz="4" w:space="0" w:color="auto"/>
            </w:tcBorders>
            <w:shd w:val="clear" w:color="auto" w:fill="auto"/>
            <w:vAlign w:val="center"/>
          </w:tcPr>
          <w:p w14:paraId="1A0C4234" w14:textId="77777777" w:rsidR="000F4B43" w:rsidRPr="00B36948" w:rsidRDefault="000F4B43" w:rsidP="000F4B43">
            <w:pPr>
              <w:keepNext/>
              <w:jc w:val="center"/>
              <w:rPr>
                <w:rFonts w:ascii="Arial Narrow" w:eastAsia="Calibri" w:hAnsi="Arial Narrow" w:cs="Times New Roman"/>
                <w:b/>
                <w:bCs/>
                <w:sz w:val="20"/>
                <w:szCs w:val="20"/>
              </w:rPr>
            </w:pPr>
            <w:r w:rsidRPr="00B36948">
              <w:rPr>
                <w:rFonts w:ascii="Arial Narrow" w:eastAsia="Calibri" w:hAnsi="Arial Narrow" w:cs="Times New Roman"/>
                <w:b/>
                <w:bCs/>
                <w:sz w:val="20"/>
                <w:szCs w:val="20"/>
              </w:rPr>
              <w:t>Year 4</w:t>
            </w:r>
          </w:p>
        </w:tc>
        <w:tc>
          <w:tcPr>
            <w:tcW w:w="610" w:type="pct"/>
            <w:gridSpan w:val="2"/>
            <w:tcBorders>
              <w:bottom w:val="single" w:sz="4" w:space="0" w:color="auto"/>
              <w:right w:val="single" w:sz="4" w:space="0" w:color="auto"/>
            </w:tcBorders>
            <w:shd w:val="clear" w:color="auto" w:fill="auto"/>
            <w:vAlign w:val="center"/>
          </w:tcPr>
          <w:p w14:paraId="63548ED8" w14:textId="77777777" w:rsidR="000F4B43" w:rsidRPr="00B36948" w:rsidRDefault="000F4B43" w:rsidP="000F4B43">
            <w:pPr>
              <w:keepNext/>
              <w:jc w:val="center"/>
              <w:rPr>
                <w:rFonts w:ascii="Arial Narrow" w:eastAsia="Calibri" w:hAnsi="Arial Narrow" w:cs="Times New Roman"/>
                <w:b/>
                <w:bCs/>
                <w:sz w:val="20"/>
                <w:szCs w:val="20"/>
              </w:rPr>
            </w:pPr>
            <w:r w:rsidRPr="00B36948">
              <w:rPr>
                <w:rFonts w:ascii="Arial Narrow" w:eastAsia="Calibri" w:hAnsi="Arial Narrow" w:cs="Times New Roman"/>
                <w:b/>
                <w:bCs/>
                <w:sz w:val="20"/>
                <w:szCs w:val="20"/>
              </w:rPr>
              <w:t>Year 5</w:t>
            </w:r>
          </w:p>
        </w:tc>
        <w:tc>
          <w:tcPr>
            <w:tcW w:w="608" w:type="pct"/>
            <w:tcBorders>
              <w:bottom w:val="single" w:sz="4" w:space="0" w:color="auto"/>
              <w:right w:val="single" w:sz="4" w:space="0" w:color="auto"/>
            </w:tcBorders>
            <w:vAlign w:val="center"/>
          </w:tcPr>
          <w:p w14:paraId="3DF8D906" w14:textId="77777777" w:rsidR="000F4B43" w:rsidRPr="00B36948" w:rsidRDefault="000F4B43" w:rsidP="000F4B43">
            <w:pPr>
              <w:keepNext/>
              <w:jc w:val="center"/>
              <w:rPr>
                <w:rFonts w:ascii="Arial Narrow" w:eastAsia="Calibri" w:hAnsi="Arial Narrow" w:cs="Times New Roman"/>
                <w:b/>
                <w:bCs/>
                <w:sz w:val="20"/>
                <w:szCs w:val="20"/>
              </w:rPr>
            </w:pPr>
            <w:r w:rsidRPr="00B36948">
              <w:rPr>
                <w:rFonts w:ascii="Arial Narrow" w:eastAsia="Calibri" w:hAnsi="Arial Narrow" w:cs="Times New Roman"/>
                <w:b/>
                <w:bCs/>
                <w:sz w:val="20"/>
                <w:szCs w:val="20"/>
              </w:rPr>
              <w:t>Year 6</w:t>
            </w:r>
          </w:p>
        </w:tc>
      </w:tr>
      <w:tr w:rsidR="000F4B43" w:rsidRPr="00B36948" w14:paraId="03F4C825" w14:textId="77777777" w:rsidTr="00EF5796">
        <w:tc>
          <w:tcPr>
            <w:tcW w:w="5000" w:type="pct"/>
            <w:gridSpan w:val="13"/>
            <w:tcBorders>
              <w:left w:val="single" w:sz="4" w:space="0" w:color="auto"/>
              <w:right w:val="single" w:sz="4" w:space="0" w:color="auto"/>
            </w:tcBorders>
            <w:shd w:val="clear" w:color="auto" w:fill="auto"/>
            <w:vAlign w:val="center"/>
          </w:tcPr>
          <w:p w14:paraId="3FC50244" w14:textId="77777777" w:rsidR="000F4B43" w:rsidRPr="00B36948" w:rsidRDefault="000F4B43" w:rsidP="000F4B43">
            <w:pPr>
              <w:keepNext/>
              <w:jc w:val="left"/>
              <w:rPr>
                <w:rFonts w:ascii="Arial Narrow" w:hAnsi="Arial Narrow"/>
                <w:b/>
                <w:sz w:val="20"/>
                <w:szCs w:val="20"/>
              </w:rPr>
            </w:pPr>
            <w:r w:rsidRPr="00B36948">
              <w:rPr>
                <w:rFonts w:ascii="Arial Narrow" w:eastAsia="Calibri" w:hAnsi="Arial Narrow" w:cs="Times New Roman"/>
                <w:b/>
                <w:bCs/>
                <w:sz w:val="20"/>
                <w:szCs w:val="20"/>
              </w:rPr>
              <w:t xml:space="preserve">Current submission: </w:t>
            </w:r>
            <w:r w:rsidRPr="00B36948">
              <w:rPr>
                <w:rFonts w:ascii="Arial Narrow" w:hAnsi="Arial Narrow"/>
                <w:b/>
                <w:bCs/>
                <w:sz w:val="20"/>
                <w:szCs w:val="20"/>
              </w:rPr>
              <w:t>LDL-C &gt; 1.8 and ≤ 2.6 mmol/L</w:t>
            </w:r>
          </w:p>
        </w:tc>
      </w:tr>
      <w:tr w:rsidR="000F4B43" w:rsidRPr="00B36948" w14:paraId="081A91EC" w14:textId="77777777" w:rsidTr="00EF5796">
        <w:tc>
          <w:tcPr>
            <w:tcW w:w="1344" w:type="pct"/>
            <w:gridSpan w:val="2"/>
            <w:tcBorders>
              <w:left w:val="single" w:sz="4" w:space="0" w:color="auto"/>
            </w:tcBorders>
            <w:shd w:val="clear" w:color="auto" w:fill="auto"/>
            <w:vAlign w:val="center"/>
          </w:tcPr>
          <w:p w14:paraId="60AED3F5" w14:textId="77777777" w:rsidR="000F4B43" w:rsidRPr="00B36948" w:rsidRDefault="000F4B43" w:rsidP="000F4B43">
            <w:pPr>
              <w:keepNext/>
              <w:jc w:val="left"/>
              <w:rPr>
                <w:rFonts w:ascii="Arial Narrow" w:eastAsia="Calibri" w:hAnsi="Arial Narrow" w:cs="Times New Roman"/>
                <w:sz w:val="20"/>
                <w:szCs w:val="20"/>
              </w:rPr>
            </w:pPr>
            <w:r w:rsidRPr="00B36948">
              <w:rPr>
                <w:rFonts w:ascii="Arial Narrow" w:eastAsia="Calibri" w:hAnsi="Arial Narrow" w:cs="Times New Roman"/>
                <w:sz w:val="20"/>
                <w:szCs w:val="20"/>
              </w:rPr>
              <w:t>Eligible patients</w:t>
            </w:r>
          </w:p>
        </w:tc>
        <w:tc>
          <w:tcPr>
            <w:tcW w:w="609" w:type="pct"/>
            <w:gridSpan w:val="2"/>
            <w:shd w:val="clear" w:color="auto" w:fill="auto"/>
            <w:vAlign w:val="center"/>
          </w:tcPr>
          <w:p w14:paraId="2E0657C4" w14:textId="3350A4F4" w:rsidR="000F4B43" w:rsidRPr="00C52845" w:rsidRDefault="00650CB8" w:rsidP="000F4B43">
            <w:pPr>
              <w:keepNext/>
              <w:jc w:val="center"/>
              <w:rPr>
                <w:rFonts w:ascii="Arial Narrow" w:hAnsi="Arial Narrow"/>
                <w:sz w:val="20"/>
                <w:szCs w:val="20"/>
                <w:highlight w:val="darkGray"/>
                <w:vertAlign w:val="superscript"/>
              </w:rPr>
            </w:pPr>
            <w:r w:rsidRPr="00650CB8">
              <w:rPr>
                <w:rFonts w:ascii="Arial Narrow" w:hAnsi="Arial Narrow"/>
                <w:color w:val="000000"/>
                <w:spacing w:val="53"/>
                <w:sz w:val="20"/>
                <w:szCs w:val="20"/>
                <w:shd w:val="solid" w:color="000000" w:fill="000000"/>
                <w:fitText w:val="330" w:id="-1435748094"/>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30" w:id="-1435748094"/>
                <w14:textFill>
                  <w14:solidFill>
                    <w14:srgbClr w14:val="000000">
                      <w14:alpha w14:val="100000"/>
                    </w14:srgbClr>
                  </w14:solidFill>
                </w14:textFill>
              </w:rPr>
              <w:t>|</w:t>
            </w:r>
            <w:r w:rsidR="00C52845" w:rsidRPr="00C52845">
              <w:rPr>
                <w:rFonts w:ascii="Arial Narrow" w:hAnsi="Arial Narrow"/>
                <w:sz w:val="20"/>
                <w:szCs w:val="20"/>
                <w:vertAlign w:val="superscript"/>
              </w:rPr>
              <w:t>1</w:t>
            </w:r>
          </w:p>
        </w:tc>
        <w:tc>
          <w:tcPr>
            <w:tcW w:w="610" w:type="pct"/>
            <w:gridSpan w:val="2"/>
            <w:shd w:val="clear" w:color="auto" w:fill="auto"/>
            <w:vAlign w:val="center"/>
          </w:tcPr>
          <w:p w14:paraId="4461B40C" w14:textId="7BE5C5E2"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56"/>
                <w:sz w:val="20"/>
                <w:szCs w:val="20"/>
                <w:shd w:val="solid" w:color="000000" w:fill="000000"/>
                <w:fitText w:val="340" w:id="-1435748093"/>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40" w:id="-1435748093"/>
                <w14:textFill>
                  <w14:solidFill>
                    <w14:srgbClr w14:val="000000">
                      <w14:alpha w14:val="100000"/>
                    </w14:srgbClr>
                  </w14:solidFill>
                </w14:textFill>
              </w:rPr>
              <w:t>|</w:t>
            </w:r>
            <w:r w:rsidR="00C52845" w:rsidRPr="00C52845">
              <w:rPr>
                <w:rFonts w:ascii="Arial Narrow" w:hAnsi="Arial Narrow"/>
                <w:sz w:val="20"/>
                <w:szCs w:val="20"/>
                <w:vertAlign w:val="superscript"/>
              </w:rPr>
              <w:t>1</w:t>
            </w:r>
          </w:p>
        </w:tc>
        <w:tc>
          <w:tcPr>
            <w:tcW w:w="610" w:type="pct"/>
            <w:gridSpan w:val="2"/>
            <w:shd w:val="clear" w:color="auto" w:fill="auto"/>
            <w:vAlign w:val="center"/>
          </w:tcPr>
          <w:p w14:paraId="734512E3" w14:textId="31BEFF9D"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56"/>
                <w:sz w:val="20"/>
                <w:szCs w:val="20"/>
                <w:shd w:val="solid" w:color="000000" w:fill="000000"/>
                <w:fitText w:val="340" w:id="-1435748092"/>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40" w:id="-1435748092"/>
                <w14:textFill>
                  <w14:solidFill>
                    <w14:srgbClr w14:val="000000">
                      <w14:alpha w14:val="100000"/>
                    </w14:srgbClr>
                  </w14:solidFill>
                </w14:textFill>
              </w:rPr>
              <w:t>|</w:t>
            </w:r>
            <w:r w:rsidR="00C52845" w:rsidRPr="00C52845">
              <w:rPr>
                <w:rFonts w:ascii="Arial Narrow" w:hAnsi="Arial Narrow"/>
                <w:sz w:val="20"/>
                <w:szCs w:val="20"/>
                <w:vertAlign w:val="superscript"/>
              </w:rPr>
              <w:t>1</w:t>
            </w:r>
          </w:p>
        </w:tc>
        <w:tc>
          <w:tcPr>
            <w:tcW w:w="609" w:type="pct"/>
            <w:gridSpan w:val="2"/>
            <w:shd w:val="clear" w:color="auto" w:fill="auto"/>
            <w:vAlign w:val="center"/>
          </w:tcPr>
          <w:p w14:paraId="3BF28933" w14:textId="54830595"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53"/>
                <w:sz w:val="20"/>
                <w:szCs w:val="20"/>
                <w:shd w:val="solid" w:color="000000" w:fill="000000"/>
                <w:fitText w:val="330" w:id="-1435748091"/>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30" w:id="-1435748091"/>
                <w14:textFill>
                  <w14:solidFill>
                    <w14:srgbClr w14:val="000000">
                      <w14:alpha w14:val="100000"/>
                    </w14:srgbClr>
                  </w14:solidFill>
                </w14:textFill>
              </w:rPr>
              <w:t>|</w:t>
            </w:r>
            <w:r w:rsidR="00C52845" w:rsidRPr="00C52845">
              <w:rPr>
                <w:rFonts w:ascii="Arial Narrow" w:hAnsi="Arial Narrow"/>
                <w:sz w:val="20"/>
                <w:szCs w:val="20"/>
                <w:vertAlign w:val="superscript"/>
              </w:rPr>
              <w:t>1</w:t>
            </w:r>
          </w:p>
        </w:tc>
        <w:tc>
          <w:tcPr>
            <w:tcW w:w="610" w:type="pct"/>
            <w:gridSpan w:val="2"/>
            <w:tcBorders>
              <w:right w:val="single" w:sz="4" w:space="0" w:color="auto"/>
            </w:tcBorders>
            <w:shd w:val="clear" w:color="auto" w:fill="auto"/>
            <w:vAlign w:val="center"/>
          </w:tcPr>
          <w:p w14:paraId="62863162" w14:textId="4678963D"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56"/>
                <w:sz w:val="20"/>
                <w:szCs w:val="20"/>
                <w:shd w:val="solid" w:color="000000" w:fill="000000"/>
                <w:fitText w:val="340" w:id="-1435748090"/>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40" w:id="-1435748090"/>
                <w14:textFill>
                  <w14:solidFill>
                    <w14:srgbClr w14:val="000000">
                      <w14:alpha w14:val="100000"/>
                    </w14:srgbClr>
                  </w14:solidFill>
                </w14:textFill>
              </w:rPr>
              <w:t>|</w:t>
            </w:r>
            <w:r w:rsidR="00C52845" w:rsidRPr="00C52845">
              <w:rPr>
                <w:rFonts w:ascii="Arial Narrow" w:hAnsi="Arial Narrow"/>
                <w:sz w:val="20"/>
                <w:szCs w:val="20"/>
                <w:vertAlign w:val="superscript"/>
              </w:rPr>
              <w:t>1</w:t>
            </w:r>
          </w:p>
        </w:tc>
        <w:tc>
          <w:tcPr>
            <w:tcW w:w="608" w:type="pct"/>
            <w:tcBorders>
              <w:right w:val="single" w:sz="4" w:space="0" w:color="auto"/>
            </w:tcBorders>
            <w:vAlign w:val="center"/>
          </w:tcPr>
          <w:p w14:paraId="51215DDC" w14:textId="5A58539E"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56"/>
                <w:sz w:val="20"/>
                <w:szCs w:val="20"/>
                <w:shd w:val="solid" w:color="000000" w:fill="000000"/>
                <w:fitText w:val="340" w:id="-1435748089"/>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40" w:id="-1435748089"/>
                <w14:textFill>
                  <w14:solidFill>
                    <w14:srgbClr w14:val="000000">
                      <w14:alpha w14:val="100000"/>
                    </w14:srgbClr>
                  </w14:solidFill>
                </w14:textFill>
              </w:rPr>
              <w:t>|</w:t>
            </w:r>
            <w:r w:rsidR="00C52845" w:rsidRPr="00C52845">
              <w:rPr>
                <w:rFonts w:ascii="Arial Narrow" w:hAnsi="Arial Narrow"/>
                <w:sz w:val="20"/>
                <w:szCs w:val="20"/>
                <w:vertAlign w:val="superscript"/>
              </w:rPr>
              <w:t>1</w:t>
            </w:r>
          </w:p>
        </w:tc>
      </w:tr>
      <w:tr w:rsidR="000F4B43" w:rsidRPr="00B36948" w14:paraId="7852983A" w14:textId="77777777" w:rsidTr="00EF5796">
        <w:tc>
          <w:tcPr>
            <w:tcW w:w="1344" w:type="pct"/>
            <w:gridSpan w:val="2"/>
            <w:tcBorders>
              <w:left w:val="single" w:sz="4" w:space="0" w:color="auto"/>
            </w:tcBorders>
            <w:shd w:val="clear" w:color="auto" w:fill="auto"/>
            <w:vAlign w:val="center"/>
          </w:tcPr>
          <w:p w14:paraId="7E5CCBC5" w14:textId="77777777" w:rsidR="000F4B43" w:rsidRPr="00B36948" w:rsidRDefault="000F4B43" w:rsidP="000F4B43">
            <w:pPr>
              <w:keepNext/>
              <w:jc w:val="left"/>
              <w:rPr>
                <w:rFonts w:ascii="Arial Narrow" w:eastAsia="Calibri" w:hAnsi="Arial Narrow" w:cs="Times New Roman"/>
                <w:sz w:val="20"/>
                <w:szCs w:val="20"/>
              </w:rPr>
            </w:pPr>
            <w:r w:rsidRPr="00B36948">
              <w:rPr>
                <w:rFonts w:ascii="Arial Narrow" w:eastAsia="Calibri" w:hAnsi="Arial Narrow" w:cs="Times New Roman"/>
                <w:sz w:val="20"/>
                <w:szCs w:val="20"/>
              </w:rPr>
              <w:t>Treated patients</w:t>
            </w:r>
          </w:p>
        </w:tc>
        <w:tc>
          <w:tcPr>
            <w:tcW w:w="609" w:type="pct"/>
            <w:gridSpan w:val="2"/>
            <w:shd w:val="clear" w:color="auto" w:fill="auto"/>
            <w:vAlign w:val="center"/>
          </w:tcPr>
          <w:p w14:paraId="490237E1" w14:textId="36821202"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53"/>
                <w:sz w:val="20"/>
                <w:szCs w:val="20"/>
                <w:shd w:val="solid" w:color="000000" w:fill="000000"/>
                <w:fitText w:val="330" w:id="-1435748088"/>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30" w:id="-1435748088"/>
                <w14:textFill>
                  <w14:solidFill>
                    <w14:srgbClr w14:val="000000">
                      <w14:alpha w14:val="100000"/>
                    </w14:srgbClr>
                  </w14:solidFill>
                </w14:textFill>
              </w:rPr>
              <w:t>|</w:t>
            </w:r>
            <w:r w:rsidR="00C52845">
              <w:rPr>
                <w:rFonts w:ascii="Arial Narrow" w:hAnsi="Arial Narrow"/>
                <w:sz w:val="20"/>
                <w:szCs w:val="20"/>
                <w:vertAlign w:val="superscript"/>
              </w:rPr>
              <w:t>2</w:t>
            </w:r>
          </w:p>
        </w:tc>
        <w:tc>
          <w:tcPr>
            <w:tcW w:w="610" w:type="pct"/>
            <w:gridSpan w:val="2"/>
            <w:shd w:val="clear" w:color="auto" w:fill="auto"/>
            <w:vAlign w:val="center"/>
          </w:tcPr>
          <w:p w14:paraId="7526A18E" w14:textId="21AA2F9D"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56"/>
                <w:sz w:val="20"/>
                <w:szCs w:val="20"/>
                <w:shd w:val="solid" w:color="000000" w:fill="000000"/>
                <w:fitText w:val="340" w:id="-1435748087"/>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40" w:id="-1435748087"/>
                <w14:textFill>
                  <w14:solidFill>
                    <w14:srgbClr w14:val="000000">
                      <w14:alpha w14:val="100000"/>
                    </w14:srgbClr>
                  </w14:solidFill>
                </w14:textFill>
              </w:rPr>
              <w:t>|</w:t>
            </w:r>
            <w:r w:rsidR="00C52845">
              <w:rPr>
                <w:rFonts w:ascii="Arial Narrow" w:hAnsi="Arial Narrow"/>
                <w:sz w:val="20"/>
                <w:szCs w:val="20"/>
                <w:vertAlign w:val="superscript"/>
              </w:rPr>
              <w:t>2</w:t>
            </w:r>
          </w:p>
        </w:tc>
        <w:tc>
          <w:tcPr>
            <w:tcW w:w="610" w:type="pct"/>
            <w:gridSpan w:val="2"/>
            <w:shd w:val="clear" w:color="auto" w:fill="auto"/>
            <w:vAlign w:val="center"/>
          </w:tcPr>
          <w:p w14:paraId="6610B739" w14:textId="640A392B"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56"/>
                <w:sz w:val="20"/>
                <w:szCs w:val="20"/>
                <w:shd w:val="solid" w:color="000000" w:fill="000000"/>
                <w:fitText w:val="340" w:id="-1435748086"/>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40" w:id="-1435748086"/>
                <w14:textFill>
                  <w14:solidFill>
                    <w14:srgbClr w14:val="000000">
                      <w14:alpha w14:val="100000"/>
                    </w14:srgbClr>
                  </w14:solidFill>
                </w14:textFill>
              </w:rPr>
              <w:t>|</w:t>
            </w:r>
            <w:r w:rsidR="00C52845">
              <w:rPr>
                <w:rFonts w:ascii="Arial Narrow" w:hAnsi="Arial Narrow"/>
                <w:sz w:val="20"/>
                <w:szCs w:val="20"/>
                <w:vertAlign w:val="superscript"/>
              </w:rPr>
              <w:t>2</w:t>
            </w:r>
          </w:p>
        </w:tc>
        <w:tc>
          <w:tcPr>
            <w:tcW w:w="609" w:type="pct"/>
            <w:gridSpan w:val="2"/>
            <w:shd w:val="clear" w:color="auto" w:fill="auto"/>
            <w:vAlign w:val="center"/>
          </w:tcPr>
          <w:p w14:paraId="2A52029D" w14:textId="68191891"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53"/>
                <w:sz w:val="20"/>
                <w:szCs w:val="20"/>
                <w:shd w:val="solid" w:color="000000" w:fill="000000"/>
                <w:fitText w:val="330" w:id="-1435748085"/>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30" w:id="-1435748085"/>
                <w14:textFill>
                  <w14:solidFill>
                    <w14:srgbClr w14:val="000000">
                      <w14:alpha w14:val="100000"/>
                    </w14:srgbClr>
                  </w14:solidFill>
                </w14:textFill>
              </w:rPr>
              <w:t>|</w:t>
            </w:r>
            <w:r w:rsidR="00C52845">
              <w:rPr>
                <w:rFonts w:ascii="Arial Narrow" w:hAnsi="Arial Narrow"/>
                <w:sz w:val="20"/>
                <w:szCs w:val="20"/>
                <w:vertAlign w:val="superscript"/>
              </w:rPr>
              <w:t>2</w:t>
            </w:r>
          </w:p>
        </w:tc>
        <w:tc>
          <w:tcPr>
            <w:tcW w:w="610" w:type="pct"/>
            <w:gridSpan w:val="2"/>
            <w:tcBorders>
              <w:right w:val="single" w:sz="4" w:space="0" w:color="auto"/>
            </w:tcBorders>
            <w:shd w:val="clear" w:color="auto" w:fill="auto"/>
            <w:vAlign w:val="center"/>
          </w:tcPr>
          <w:p w14:paraId="273B1302" w14:textId="0E27CBCF"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56"/>
                <w:sz w:val="20"/>
                <w:szCs w:val="20"/>
                <w:shd w:val="solid" w:color="000000" w:fill="000000"/>
                <w:fitText w:val="340" w:id="-1435748084"/>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40" w:id="-1435748084"/>
                <w14:textFill>
                  <w14:solidFill>
                    <w14:srgbClr w14:val="000000">
                      <w14:alpha w14:val="100000"/>
                    </w14:srgbClr>
                  </w14:solidFill>
                </w14:textFill>
              </w:rPr>
              <w:t>|</w:t>
            </w:r>
            <w:r w:rsidR="00C52845">
              <w:rPr>
                <w:rFonts w:ascii="Arial Narrow" w:hAnsi="Arial Narrow"/>
                <w:sz w:val="20"/>
                <w:szCs w:val="20"/>
                <w:vertAlign w:val="superscript"/>
              </w:rPr>
              <w:t>2</w:t>
            </w:r>
          </w:p>
        </w:tc>
        <w:tc>
          <w:tcPr>
            <w:tcW w:w="608" w:type="pct"/>
            <w:tcBorders>
              <w:right w:val="single" w:sz="4" w:space="0" w:color="auto"/>
            </w:tcBorders>
            <w:vAlign w:val="center"/>
          </w:tcPr>
          <w:p w14:paraId="205502A1" w14:textId="63A9BA82"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56"/>
                <w:sz w:val="20"/>
                <w:szCs w:val="20"/>
                <w:shd w:val="solid" w:color="000000" w:fill="000000"/>
                <w:fitText w:val="340" w:id="-1435748083"/>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40" w:id="-1435748083"/>
                <w14:textFill>
                  <w14:solidFill>
                    <w14:srgbClr w14:val="000000">
                      <w14:alpha w14:val="100000"/>
                    </w14:srgbClr>
                  </w14:solidFill>
                </w14:textFill>
              </w:rPr>
              <w:t>|</w:t>
            </w:r>
            <w:r w:rsidR="00C52845">
              <w:rPr>
                <w:rFonts w:ascii="Arial Narrow" w:hAnsi="Arial Narrow"/>
                <w:sz w:val="20"/>
                <w:szCs w:val="20"/>
                <w:vertAlign w:val="superscript"/>
              </w:rPr>
              <w:t>2</w:t>
            </w:r>
          </w:p>
        </w:tc>
      </w:tr>
      <w:tr w:rsidR="000F4B43" w:rsidRPr="00B36948" w14:paraId="0A692F60" w14:textId="77777777" w:rsidTr="00EF5796">
        <w:tc>
          <w:tcPr>
            <w:tcW w:w="1344" w:type="pct"/>
            <w:gridSpan w:val="2"/>
            <w:tcBorders>
              <w:left w:val="single" w:sz="4" w:space="0" w:color="auto"/>
            </w:tcBorders>
            <w:shd w:val="clear" w:color="auto" w:fill="auto"/>
            <w:vAlign w:val="center"/>
          </w:tcPr>
          <w:p w14:paraId="13A6DCB0" w14:textId="77777777" w:rsidR="000F4B43" w:rsidRPr="00B36948" w:rsidRDefault="000F4B43" w:rsidP="000F4B43">
            <w:pPr>
              <w:keepNext/>
              <w:jc w:val="left"/>
              <w:rPr>
                <w:rFonts w:ascii="Arial Narrow" w:hAnsi="Arial Narrow"/>
                <w:sz w:val="20"/>
                <w:szCs w:val="20"/>
              </w:rPr>
            </w:pPr>
            <w:r w:rsidRPr="00B36948">
              <w:rPr>
                <w:rFonts w:ascii="Arial Narrow" w:hAnsi="Arial Narrow"/>
                <w:sz w:val="20"/>
                <w:szCs w:val="20"/>
              </w:rPr>
              <w:t>Number of scripts</w:t>
            </w:r>
          </w:p>
        </w:tc>
        <w:tc>
          <w:tcPr>
            <w:tcW w:w="609" w:type="pct"/>
            <w:gridSpan w:val="2"/>
            <w:shd w:val="clear" w:color="auto" w:fill="auto"/>
            <w:vAlign w:val="bottom"/>
          </w:tcPr>
          <w:p w14:paraId="036D09E8" w14:textId="5FEDA50F"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53"/>
                <w:sz w:val="20"/>
                <w:szCs w:val="20"/>
                <w:shd w:val="solid" w:color="000000" w:fill="000000"/>
                <w:fitText w:val="330" w:id="-1435748082"/>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30" w:id="-1435748082"/>
                <w14:textFill>
                  <w14:solidFill>
                    <w14:srgbClr w14:val="000000">
                      <w14:alpha w14:val="100000"/>
                    </w14:srgbClr>
                  </w14:solidFill>
                </w14:textFill>
              </w:rPr>
              <w:t>|</w:t>
            </w:r>
            <w:r w:rsidR="00C52845" w:rsidRPr="00C52845">
              <w:rPr>
                <w:rFonts w:ascii="Arial Narrow" w:hAnsi="Arial Narrow"/>
                <w:sz w:val="20"/>
                <w:szCs w:val="20"/>
                <w:vertAlign w:val="superscript"/>
              </w:rPr>
              <w:t>1</w:t>
            </w:r>
          </w:p>
        </w:tc>
        <w:tc>
          <w:tcPr>
            <w:tcW w:w="610" w:type="pct"/>
            <w:gridSpan w:val="2"/>
            <w:shd w:val="clear" w:color="auto" w:fill="auto"/>
            <w:vAlign w:val="bottom"/>
          </w:tcPr>
          <w:p w14:paraId="0921C514" w14:textId="37760B4A"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56"/>
                <w:sz w:val="20"/>
                <w:szCs w:val="20"/>
                <w:shd w:val="solid" w:color="000000" w:fill="000000"/>
                <w:fitText w:val="340" w:id="-1435748081"/>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40" w:id="-1435748081"/>
                <w14:textFill>
                  <w14:solidFill>
                    <w14:srgbClr w14:val="000000">
                      <w14:alpha w14:val="100000"/>
                    </w14:srgbClr>
                  </w14:solidFill>
                </w14:textFill>
              </w:rPr>
              <w:t>|</w:t>
            </w:r>
            <w:r w:rsidR="00C52845" w:rsidRPr="00C52845">
              <w:rPr>
                <w:rFonts w:ascii="Arial Narrow" w:hAnsi="Arial Narrow"/>
                <w:sz w:val="20"/>
                <w:szCs w:val="20"/>
                <w:vertAlign w:val="superscript"/>
              </w:rPr>
              <w:t>1</w:t>
            </w:r>
          </w:p>
        </w:tc>
        <w:tc>
          <w:tcPr>
            <w:tcW w:w="610" w:type="pct"/>
            <w:gridSpan w:val="2"/>
            <w:shd w:val="clear" w:color="auto" w:fill="auto"/>
            <w:vAlign w:val="bottom"/>
          </w:tcPr>
          <w:p w14:paraId="6F9241CA" w14:textId="0F7B1408"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56"/>
                <w:sz w:val="20"/>
                <w:szCs w:val="20"/>
                <w:shd w:val="solid" w:color="000000" w:fill="000000"/>
                <w:fitText w:val="340" w:id="-1435748080"/>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40" w:id="-1435748080"/>
                <w14:textFill>
                  <w14:solidFill>
                    <w14:srgbClr w14:val="000000">
                      <w14:alpha w14:val="100000"/>
                    </w14:srgbClr>
                  </w14:solidFill>
                </w14:textFill>
              </w:rPr>
              <w:t>|</w:t>
            </w:r>
            <w:r w:rsidR="00C52845" w:rsidRPr="00C52845">
              <w:rPr>
                <w:rFonts w:ascii="Arial Narrow" w:hAnsi="Arial Narrow"/>
                <w:sz w:val="20"/>
                <w:szCs w:val="20"/>
                <w:vertAlign w:val="superscript"/>
              </w:rPr>
              <w:t>1</w:t>
            </w:r>
          </w:p>
        </w:tc>
        <w:tc>
          <w:tcPr>
            <w:tcW w:w="609" w:type="pct"/>
            <w:gridSpan w:val="2"/>
            <w:shd w:val="clear" w:color="auto" w:fill="auto"/>
            <w:vAlign w:val="bottom"/>
          </w:tcPr>
          <w:p w14:paraId="58F2E50E" w14:textId="00364961"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53"/>
                <w:sz w:val="20"/>
                <w:szCs w:val="20"/>
                <w:shd w:val="solid" w:color="000000" w:fill="000000"/>
                <w:fitText w:val="330" w:id="-1435748096"/>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30" w:id="-1435748096"/>
                <w14:textFill>
                  <w14:solidFill>
                    <w14:srgbClr w14:val="000000">
                      <w14:alpha w14:val="100000"/>
                    </w14:srgbClr>
                  </w14:solidFill>
                </w14:textFill>
              </w:rPr>
              <w:t>|</w:t>
            </w:r>
            <w:r w:rsidR="00C52845" w:rsidRPr="00C52845">
              <w:rPr>
                <w:rFonts w:ascii="Arial Narrow" w:hAnsi="Arial Narrow"/>
                <w:sz w:val="20"/>
                <w:szCs w:val="20"/>
                <w:vertAlign w:val="superscript"/>
              </w:rPr>
              <w:t>1</w:t>
            </w:r>
          </w:p>
        </w:tc>
        <w:tc>
          <w:tcPr>
            <w:tcW w:w="610" w:type="pct"/>
            <w:gridSpan w:val="2"/>
            <w:tcBorders>
              <w:right w:val="single" w:sz="4" w:space="0" w:color="auto"/>
            </w:tcBorders>
            <w:shd w:val="clear" w:color="auto" w:fill="auto"/>
            <w:vAlign w:val="bottom"/>
          </w:tcPr>
          <w:p w14:paraId="794A41E5" w14:textId="072F5345"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56"/>
                <w:sz w:val="20"/>
                <w:szCs w:val="20"/>
                <w:shd w:val="solid" w:color="000000" w:fill="000000"/>
                <w:fitText w:val="340" w:id="-1435748095"/>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40" w:id="-1435748095"/>
                <w14:textFill>
                  <w14:solidFill>
                    <w14:srgbClr w14:val="000000">
                      <w14:alpha w14:val="100000"/>
                    </w14:srgbClr>
                  </w14:solidFill>
                </w14:textFill>
              </w:rPr>
              <w:t>|</w:t>
            </w:r>
            <w:r w:rsidR="00C52845" w:rsidRPr="00C52845">
              <w:rPr>
                <w:rFonts w:ascii="Arial Narrow" w:hAnsi="Arial Narrow"/>
                <w:sz w:val="20"/>
                <w:szCs w:val="20"/>
                <w:vertAlign w:val="superscript"/>
              </w:rPr>
              <w:t>1</w:t>
            </w:r>
          </w:p>
        </w:tc>
        <w:tc>
          <w:tcPr>
            <w:tcW w:w="608" w:type="pct"/>
            <w:tcBorders>
              <w:right w:val="single" w:sz="4" w:space="0" w:color="auto"/>
            </w:tcBorders>
            <w:vAlign w:val="bottom"/>
          </w:tcPr>
          <w:p w14:paraId="30CED90A" w14:textId="1FAE5949"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56"/>
                <w:sz w:val="20"/>
                <w:szCs w:val="20"/>
                <w:shd w:val="solid" w:color="000000" w:fill="000000"/>
                <w:fitText w:val="340" w:id="-1435748094"/>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40" w:id="-1435748094"/>
                <w14:textFill>
                  <w14:solidFill>
                    <w14:srgbClr w14:val="000000">
                      <w14:alpha w14:val="100000"/>
                    </w14:srgbClr>
                  </w14:solidFill>
                </w14:textFill>
              </w:rPr>
              <w:t>|</w:t>
            </w:r>
            <w:r w:rsidR="00C52845" w:rsidRPr="00C52845">
              <w:rPr>
                <w:rFonts w:ascii="Arial Narrow" w:hAnsi="Arial Narrow"/>
                <w:sz w:val="20"/>
                <w:szCs w:val="20"/>
                <w:vertAlign w:val="superscript"/>
              </w:rPr>
              <w:t>1</w:t>
            </w:r>
          </w:p>
        </w:tc>
      </w:tr>
      <w:tr w:rsidR="000F4B43" w:rsidRPr="00B36948" w14:paraId="257742D1" w14:textId="77777777" w:rsidTr="00EF5796">
        <w:tc>
          <w:tcPr>
            <w:tcW w:w="1344" w:type="pct"/>
            <w:gridSpan w:val="2"/>
            <w:tcBorders>
              <w:left w:val="single" w:sz="4" w:space="0" w:color="auto"/>
            </w:tcBorders>
            <w:shd w:val="clear" w:color="auto" w:fill="auto"/>
            <w:vAlign w:val="center"/>
          </w:tcPr>
          <w:p w14:paraId="004B2815" w14:textId="77777777" w:rsidR="000F4B43" w:rsidRPr="00B36948" w:rsidRDefault="000F4B43" w:rsidP="000F4B43">
            <w:pPr>
              <w:keepNext/>
              <w:jc w:val="left"/>
              <w:rPr>
                <w:rFonts w:ascii="Arial Narrow" w:hAnsi="Arial Narrow"/>
                <w:sz w:val="20"/>
                <w:szCs w:val="20"/>
              </w:rPr>
            </w:pPr>
            <w:r w:rsidRPr="00B36948">
              <w:rPr>
                <w:rFonts w:ascii="Arial Narrow" w:eastAsia="Calibri" w:hAnsi="Arial Narrow" w:cs="Times New Roman"/>
                <w:b/>
                <w:sz w:val="20"/>
                <w:szCs w:val="20"/>
              </w:rPr>
              <w:t>Total cost less co-payment</w:t>
            </w:r>
          </w:p>
        </w:tc>
        <w:tc>
          <w:tcPr>
            <w:tcW w:w="609" w:type="pct"/>
            <w:gridSpan w:val="2"/>
            <w:shd w:val="clear" w:color="auto" w:fill="auto"/>
            <w:vAlign w:val="center"/>
          </w:tcPr>
          <w:p w14:paraId="5E4D5590" w14:textId="6DCD0AFD" w:rsidR="000F4B43" w:rsidRPr="00B36948" w:rsidRDefault="000F4B43" w:rsidP="000F4B43">
            <w:pPr>
              <w:keepNext/>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55"/>
                <w:sz w:val="20"/>
                <w:szCs w:val="20"/>
                <w:shd w:val="solid" w:color="000000" w:fill="000000"/>
                <w:fitText w:val="350" w:id="-1435748093"/>
                <w14:textFill>
                  <w14:solidFill>
                    <w14:srgbClr w14:val="000000">
                      <w14:alpha w14:val="100000"/>
                    </w14:srgbClr>
                  </w14:solidFill>
                </w14:textFill>
              </w:rPr>
              <w:t>|||</w:t>
            </w:r>
            <w:r w:rsidR="00650CB8" w:rsidRPr="00650CB8">
              <w:rPr>
                <w:rFonts w:ascii="Arial Narrow" w:hAnsi="Arial Narrow"/>
                <w:b/>
                <w:bCs/>
                <w:color w:val="000000"/>
                <w:spacing w:val="2"/>
                <w:sz w:val="20"/>
                <w:szCs w:val="20"/>
                <w:shd w:val="solid" w:color="000000" w:fill="000000"/>
                <w:fitText w:val="350" w:id="-1435748093"/>
                <w14:textFill>
                  <w14:solidFill>
                    <w14:srgbClr w14:val="000000">
                      <w14:alpha w14:val="100000"/>
                    </w14:srgbClr>
                  </w14:solidFill>
                </w14:textFill>
              </w:rPr>
              <w:t>|</w:t>
            </w:r>
            <w:r w:rsidR="00C52845">
              <w:rPr>
                <w:rFonts w:ascii="Arial Narrow" w:hAnsi="Arial Narrow"/>
                <w:sz w:val="20"/>
                <w:szCs w:val="20"/>
                <w:vertAlign w:val="superscript"/>
              </w:rPr>
              <w:t>3</w:t>
            </w:r>
          </w:p>
        </w:tc>
        <w:tc>
          <w:tcPr>
            <w:tcW w:w="610" w:type="pct"/>
            <w:gridSpan w:val="2"/>
            <w:shd w:val="clear" w:color="auto" w:fill="auto"/>
            <w:vAlign w:val="center"/>
          </w:tcPr>
          <w:p w14:paraId="57D86E66" w14:textId="11592DBA" w:rsidR="000F4B43" w:rsidRPr="00B36948" w:rsidRDefault="000F4B43" w:rsidP="000F4B43">
            <w:pPr>
              <w:keepNext/>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55"/>
                <w:sz w:val="20"/>
                <w:szCs w:val="20"/>
                <w:shd w:val="solid" w:color="000000" w:fill="000000"/>
                <w:fitText w:val="350" w:id="-1435748092"/>
                <w14:textFill>
                  <w14:solidFill>
                    <w14:srgbClr w14:val="000000">
                      <w14:alpha w14:val="100000"/>
                    </w14:srgbClr>
                  </w14:solidFill>
                </w14:textFill>
              </w:rPr>
              <w:t>|||</w:t>
            </w:r>
            <w:r w:rsidR="00650CB8" w:rsidRPr="00650CB8">
              <w:rPr>
                <w:rFonts w:ascii="Arial Narrow" w:hAnsi="Arial Narrow"/>
                <w:b/>
                <w:bCs/>
                <w:color w:val="000000"/>
                <w:spacing w:val="2"/>
                <w:sz w:val="20"/>
                <w:szCs w:val="20"/>
                <w:shd w:val="solid" w:color="000000" w:fill="000000"/>
                <w:fitText w:val="350" w:id="-1435748092"/>
                <w14:textFill>
                  <w14:solidFill>
                    <w14:srgbClr w14:val="000000">
                      <w14:alpha w14:val="100000"/>
                    </w14:srgbClr>
                  </w14:solidFill>
                </w14:textFill>
              </w:rPr>
              <w:t>|</w:t>
            </w:r>
            <w:r w:rsidR="00C52845">
              <w:rPr>
                <w:rFonts w:ascii="Arial Narrow" w:hAnsi="Arial Narrow"/>
                <w:sz w:val="20"/>
                <w:szCs w:val="20"/>
                <w:vertAlign w:val="superscript"/>
              </w:rPr>
              <w:t>3</w:t>
            </w:r>
          </w:p>
        </w:tc>
        <w:tc>
          <w:tcPr>
            <w:tcW w:w="610" w:type="pct"/>
            <w:gridSpan w:val="2"/>
            <w:shd w:val="clear" w:color="auto" w:fill="auto"/>
            <w:vAlign w:val="center"/>
          </w:tcPr>
          <w:p w14:paraId="2510154D" w14:textId="39C5921A" w:rsidR="000F4B43" w:rsidRPr="00B36948" w:rsidRDefault="000F4B43" w:rsidP="000F4B43">
            <w:pPr>
              <w:keepNext/>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55"/>
                <w:sz w:val="20"/>
                <w:szCs w:val="20"/>
                <w:shd w:val="solid" w:color="000000" w:fill="000000"/>
                <w:fitText w:val="350" w:id="-1435748091"/>
                <w14:textFill>
                  <w14:solidFill>
                    <w14:srgbClr w14:val="000000">
                      <w14:alpha w14:val="100000"/>
                    </w14:srgbClr>
                  </w14:solidFill>
                </w14:textFill>
              </w:rPr>
              <w:t>|||</w:t>
            </w:r>
            <w:r w:rsidR="00650CB8" w:rsidRPr="00650CB8">
              <w:rPr>
                <w:rFonts w:ascii="Arial Narrow" w:hAnsi="Arial Narrow"/>
                <w:b/>
                <w:bCs/>
                <w:color w:val="000000"/>
                <w:spacing w:val="2"/>
                <w:sz w:val="20"/>
                <w:szCs w:val="20"/>
                <w:shd w:val="solid" w:color="000000" w:fill="000000"/>
                <w:fitText w:val="350" w:id="-1435748091"/>
                <w14:textFill>
                  <w14:solidFill>
                    <w14:srgbClr w14:val="000000">
                      <w14:alpha w14:val="100000"/>
                    </w14:srgbClr>
                  </w14:solidFill>
                </w14:textFill>
              </w:rPr>
              <w:t>|</w:t>
            </w:r>
            <w:r w:rsidR="00C52845">
              <w:rPr>
                <w:rFonts w:ascii="Arial Narrow" w:hAnsi="Arial Narrow"/>
                <w:sz w:val="20"/>
                <w:szCs w:val="20"/>
                <w:vertAlign w:val="superscript"/>
              </w:rPr>
              <w:t>3</w:t>
            </w:r>
          </w:p>
        </w:tc>
        <w:tc>
          <w:tcPr>
            <w:tcW w:w="609" w:type="pct"/>
            <w:gridSpan w:val="2"/>
            <w:shd w:val="clear" w:color="auto" w:fill="auto"/>
            <w:vAlign w:val="center"/>
          </w:tcPr>
          <w:p w14:paraId="750DE111" w14:textId="45DBC0C8" w:rsidR="000F4B43" w:rsidRPr="00B36948" w:rsidRDefault="000F4B43" w:rsidP="000F4B43">
            <w:pPr>
              <w:keepNext/>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55"/>
                <w:sz w:val="20"/>
                <w:szCs w:val="20"/>
                <w:shd w:val="solid" w:color="000000" w:fill="000000"/>
                <w:fitText w:val="350" w:id="-1435748090"/>
                <w14:textFill>
                  <w14:solidFill>
                    <w14:srgbClr w14:val="000000">
                      <w14:alpha w14:val="100000"/>
                    </w14:srgbClr>
                  </w14:solidFill>
                </w14:textFill>
              </w:rPr>
              <w:t>|||</w:t>
            </w:r>
            <w:r w:rsidR="00650CB8" w:rsidRPr="00650CB8">
              <w:rPr>
                <w:rFonts w:ascii="Arial Narrow" w:hAnsi="Arial Narrow"/>
                <w:b/>
                <w:bCs/>
                <w:color w:val="000000"/>
                <w:spacing w:val="2"/>
                <w:sz w:val="20"/>
                <w:szCs w:val="20"/>
                <w:shd w:val="solid" w:color="000000" w:fill="000000"/>
                <w:fitText w:val="350" w:id="-1435748090"/>
                <w14:textFill>
                  <w14:solidFill>
                    <w14:srgbClr w14:val="000000">
                      <w14:alpha w14:val="100000"/>
                    </w14:srgbClr>
                  </w14:solidFill>
                </w14:textFill>
              </w:rPr>
              <w:t>|</w:t>
            </w:r>
            <w:r w:rsidR="00C52845">
              <w:rPr>
                <w:rFonts w:ascii="Arial Narrow" w:hAnsi="Arial Narrow"/>
                <w:sz w:val="20"/>
                <w:szCs w:val="20"/>
                <w:vertAlign w:val="superscript"/>
              </w:rPr>
              <w:t>3</w:t>
            </w:r>
          </w:p>
        </w:tc>
        <w:tc>
          <w:tcPr>
            <w:tcW w:w="610" w:type="pct"/>
            <w:gridSpan w:val="2"/>
            <w:tcBorders>
              <w:right w:val="single" w:sz="4" w:space="0" w:color="auto"/>
            </w:tcBorders>
            <w:shd w:val="clear" w:color="auto" w:fill="auto"/>
            <w:vAlign w:val="center"/>
          </w:tcPr>
          <w:p w14:paraId="30804EED" w14:textId="7E76CD6B" w:rsidR="000F4B43" w:rsidRPr="00B36948" w:rsidRDefault="000F4B43" w:rsidP="000F4B43">
            <w:pPr>
              <w:keepNext/>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55"/>
                <w:sz w:val="20"/>
                <w:szCs w:val="20"/>
                <w:shd w:val="solid" w:color="000000" w:fill="000000"/>
                <w:fitText w:val="350" w:id="-1435748089"/>
                <w14:textFill>
                  <w14:solidFill>
                    <w14:srgbClr w14:val="000000">
                      <w14:alpha w14:val="100000"/>
                    </w14:srgbClr>
                  </w14:solidFill>
                </w14:textFill>
              </w:rPr>
              <w:t>|||</w:t>
            </w:r>
            <w:r w:rsidR="00650CB8" w:rsidRPr="00650CB8">
              <w:rPr>
                <w:rFonts w:ascii="Arial Narrow" w:hAnsi="Arial Narrow"/>
                <w:b/>
                <w:bCs/>
                <w:color w:val="000000"/>
                <w:spacing w:val="2"/>
                <w:sz w:val="20"/>
                <w:szCs w:val="20"/>
                <w:shd w:val="solid" w:color="000000" w:fill="000000"/>
                <w:fitText w:val="350" w:id="-1435748089"/>
                <w14:textFill>
                  <w14:solidFill>
                    <w14:srgbClr w14:val="000000">
                      <w14:alpha w14:val="100000"/>
                    </w14:srgbClr>
                  </w14:solidFill>
                </w14:textFill>
              </w:rPr>
              <w:t>|</w:t>
            </w:r>
            <w:r w:rsidR="00C52845">
              <w:rPr>
                <w:rFonts w:ascii="Arial Narrow" w:hAnsi="Arial Narrow"/>
                <w:sz w:val="20"/>
                <w:szCs w:val="20"/>
                <w:vertAlign w:val="superscript"/>
              </w:rPr>
              <w:t>3</w:t>
            </w:r>
          </w:p>
        </w:tc>
        <w:tc>
          <w:tcPr>
            <w:tcW w:w="608" w:type="pct"/>
            <w:tcBorders>
              <w:right w:val="single" w:sz="4" w:space="0" w:color="auto"/>
            </w:tcBorders>
            <w:vAlign w:val="center"/>
          </w:tcPr>
          <w:p w14:paraId="4560966A" w14:textId="03C726F9" w:rsidR="000F4B43" w:rsidRPr="00B36948" w:rsidRDefault="000F4B43" w:rsidP="000F4B43">
            <w:pPr>
              <w:keepNext/>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55"/>
                <w:sz w:val="20"/>
                <w:szCs w:val="20"/>
                <w:shd w:val="solid" w:color="000000" w:fill="000000"/>
                <w:fitText w:val="350" w:id="-1435748088"/>
                <w14:textFill>
                  <w14:solidFill>
                    <w14:srgbClr w14:val="000000">
                      <w14:alpha w14:val="100000"/>
                    </w14:srgbClr>
                  </w14:solidFill>
                </w14:textFill>
              </w:rPr>
              <w:t>|||</w:t>
            </w:r>
            <w:r w:rsidR="00650CB8" w:rsidRPr="00650CB8">
              <w:rPr>
                <w:rFonts w:ascii="Arial Narrow" w:hAnsi="Arial Narrow"/>
                <w:b/>
                <w:bCs/>
                <w:color w:val="000000"/>
                <w:spacing w:val="2"/>
                <w:sz w:val="20"/>
                <w:szCs w:val="20"/>
                <w:shd w:val="solid" w:color="000000" w:fill="000000"/>
                <w:fitText w:val="350" w:id="-1435748088"/>
                <w14:textFill>
                  <w14:solidFill>
                    <w14:srgbClr w14:val="000000">
                      <w14:alpha w14:val="100000"/>
                    </w14:srgbClr>
                  </w14:solidFill>
                </w14:textFill>
              </w:rPr>
              <w:t>|</w:t>
            </w:r>
            <w:r w:rsidR="00C52845">
              <w:rPr>
                <w:rFonts w:ascii="Arial Narrow" w:hAnsi="Arial Narrow"/>
                <w:sz w:val="20"/>
                <w:szCs w:val="20"/>
                <w:vertAlign w:val="superscript"/>
              </w:rPr>
              <w:t>3</w:t>
            </w:r>
          </w:p>
        </w:tc>
      </w:tr>
      <w:tr w:rsidR="000F4B43" w:rsidRPr="00B36948" w14:paraId="3900CF66" w14:textId="77777777" w:rsidTr="00EF5796">
        <w:tc>
          <w:tcPr>
            <w:tcW w:w="5000" w:type="pct"/>
            <w:gridSpan w:val="13"/>
            <w:tcBorders>
              <w:left w:val="single" w:sz="4" w:space="0" w:color="auto"/>
              <w:right w:val="single" w:sz="4" w:space="0" w:color="auto"/>
            </w:tcBorders>
            <w:shd w:val="clear" w:color="auto" w:fill="auto"/>
            <w:vAlign w:val="center"/>
          </w:tcPr>
          <w:p w14:paraId="6B4B0B63" w14:textId="77777777" w:rsidR="000F4B43" w:rsidRPr="00B36948" w:rsidRDefault="000F4B43" w:rsidP="000F4B43">
            <w:pPr>
              <w:keepNext/>
              <w:jc w:val="left"/>
              <w:rPr>
                <w:rFonts w:ascii="Arial Narrow" w:hAnsi="Arial Narrow"/>
                <w:b/>
                <w:sz w:val="20"/>
                <w:szCs w:val="20"/>
              </w:rPr>
            </w:pPr>
            <w:r w:rsidRPr="00B36948">
              <w:rPr>
                <w:rFonts w:ascii="Arial Narrow" w:eastAsia="Calibri" w:hAnsi="Arial Narrow" w:cs="Times New Roman"/>
                <w:b/>
                <w:bCs/>
                <w:sz w:val="20"/>
                <w:szCs w:val="20"/>
              </w:rPr>
              <w:t xml:space="preserve">November 2019 submission: </w:t>
            </w:r>
            <w:r w:rsidRPr="00B36948">
              <w:rPr>
                <w:rFonts w:ascii="Arial Narrow" w:hAnsi="Arial Narrow"/>
                <w:b/>
                <w:bCs/>
                <w:sz w:val="20"/>
                <w:szCs w:val="20"/>
              </w:rPr>
              <w:t>LDL-C &gt; 2.6 and ≤ 3.3 mmol/L</w:t>
            </w:r>
          </w:p>
        </w:tc>
      </w:tr>
      <w:tr w:rsidR="000F4B43" w:rsidRPr="00B36948" w14:paraId="25FBB510" w14:textId="77777777" w:rsidTr="00EF5796">
        <w:tc>
          <w:tcPr>
            <w:tcW w:w="1344" w:type="pct"/>
            <w:gridSpan w:val="2"/>
            <w:tcBorders>
              <w:left w:val="single" w:sz="4" w:space="0" w:color="auto"/>
            </w:tcBorders>
            <w:shd w:val="clear" w:color="auto" w:fill="auto"/>
            <w:vAlign w:val="center"/>
          </w:tcPr>
          <w:p w14:paraId="6F214E66" w14:textId="77777777" w:rsidR="000F4B43" w:rsidRPr="00B36948" w:rsidRDefault="000F4B43" w:rsidP="000F4B43">
            <w:pPr>
              <w:keepNext/>
              <w:jc w:val="left"/>
              <w:rPr>
                <w:rFonts w:ascii="Arial Narrow" w:eastAsia="Calibri" w:hAnsi="Arial Narrow" w:cs="Times New Roman"/>
                <w:sz w:val="20"/>
                <w:szCs w:val="20"/>
              </w:rPr>
            </w:pPr>
            <w:r w:rsidRPr="00B36948">
              <w:rPr>
                <w:rFonts w:ascii="Arial Narrow" w:eastAsia="Calibri" w:hAnsi="Arial Narrow" w:cs="Times New Roman"/>
                <w:sz w:val="20"/>
                <w:szCs w:val="20"/>
              </w:rPr>
              <w:t>Eligible patients</w:t>
            </w:r>
          </w:p>
        </w:tc>
        <w:tc>
          <w:tcPr>
            <w:tcW w:w="609" w:type="pct"/>
            <w:gridSpan w:val="2"/>
            <w:tcBorders>
              <w:top w:val="single" w:sz="4" w:space="0" w:color="auto"/>
              <w:left w:val="nil"/>
              <w:bottom w:val="single" w:sz="4" w:space="0" w:color="auto"/>
              <w:right w:val="single" w:sz="4" w:space="0" w:color="auto"/>
            </w:tcBorders>
            <w:shd w:val="clear" w:color="auto" w:fill="auto"/>
            <w:vAlign w:val="center"/>
          </w:tcPr>
          <w:p w14:paraId="6BC990CB" w14:textId="100E39C1"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53"/>
                <w:sz w:val="20"/>
                <w:szCs w:val="20"/>
                <w:shd w:val="solid" w:color="000000" w:fill="000000"/>
                <w:fitText w:val="330" w:id="-1435748087"/>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30" w:id="-1435748087"/>
                <w14:textFill>
                  <w14:solidFill>
                    <w14:srgbClr w14:val="000000">
                      <w14:alpha w14:val="100000"/>
                    </w14:srgbClr>
                  </w14:solidFill>
                </w14:textFill>
              </w:rPr>
              <w:t>|</w:t>
            </w:r>
            <w:r w:rsidR="00C52845">
              <w:rPr>
                <w:rFonts w:ascii="Arial Narrow" w:hAnsi="Arial Narrow"/>
                <w:sz w:val="20"/>
                <w:szCs w:val="20"/>
                <w:vertAlign w:val="superscript"/>
              </w:rPr>
              <w:t>4</w:t>
            </w:r>
          </w:p>
        </w:tc>
        <w:tc>
          <w:tcPr>
            <w:tcW w:w="6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C4B1C2" w14:textId="29A57D69"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56"/>
                <w:sz w:val="20"/>
                <w:szCs w:val="20"/>
                <w:shd w:val="solid" w:color="000000" w:fill="000000"/>
                <w:fitText w:val="340" w:id="-1435748086"/>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40" w:id="-1435748086"/>
                <w14:textFill>
                  <w14:solidFill>
                    <w14:srgbClr w14:val="000000">
                      <w14:alpha w14:val="100000"/>
                    </w14:srgbClr>
                  </w14:solidFill>
                </w14:textFill>
              </w:rPr>
              <w:t>|</w:t>
            </w:r>
            <w:r w:rsidR="00C52845">
              <w:rPr>
                <w:rFonts w:ascii="Arial Narrow" w:hAnsi="Arial Narrow"/>
                <w:sz w:val="20"/>
                <w:szCs w:val="20"/>
                <w:vertAlign w:val="superscript"/>
              </w:rPr>
              <w:t>4</w:t>
            </w:r>
          </w:p>
        </w:tc>
        <w:tc>
          <w:tcPr>
            <w:tcW w:w="6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E43C9D" w14:textId="3CD851BF"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56"/>
                <w:sz w:val="20"/>
                <w:szCs w:val="20"/>
                <w:shd w:val="solid" w:color="000000" w:fill="000000"/>
                <w:fitText w:val="340" w:id="-1435748085"/>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40" w:id="-1435748085"/>
                <w14:textFill>
                  <w14:solidFill>
                    <w14:srgbClr w14:val="000000">
                      <w14:alpha w14:val="100000"/>
                    </w14:srgbClr>
                  </w14:solidFill>
                </w14:textFill>
              </w:rPr>
              <w:t>|</w:t>
            </w:r>
            <w:r w:rsidR="00C52845">
              <w:rPr>
                <w:rFonts w:ascii="Arial Narrow" w:hAnsi="Arial Narrow"/>
                <w:sz w:val="20"/>
                <w:szCs w:val="20"/>
                <w:vertAlign w:val="superscript"/>
              </w:rPr>
              <w:t>5</w:t>
            </w:r>
          </w:p>
        </w:tc>
        <w:tc>
          <w:tcPr>
            <w:tcW w:w="6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F62469" w14:textId="67A02293"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53"/>
                <w:sz w:val="20"/>
                <w:szCs w:val="20"/>
                <w:shd w:val="solid" w:color="000000" w:fill="000000"/>
                <w:fitText w:val="330" w:id="-1435748084"/>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30" w:id="-1435748084"/>
                <w14:textFill>
                  <w14:solidFill>
                    <w14:srgbClr w14:val="000000">
                      <w14:alpha w14:val="100000"/>
                    </w14:srgbClr>
                  </w14:solidFill>
                </w14:textFill>
              </w:rPr>
              <w:t>|</w:t>
            </w:r>
            <w:r w:rsidR="00C52845">
              <w:rPr>
                <w:rFonts w:ascii="Arial Narrow" w:hAnsi="Arial Narrow"/>
                <w:sz w:val="20"/>
                <w:szCs w:val="20"/>
                <w:vertAlign w:val="superscript"/>
              </w:rPr>
              <w:t>5</w:t>
            </w:r>
          </w:p>
        </w:tc>
        <w:tc>
          <w:tcPr>
            <w:tcW w:w="6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DF8DA8" w14:textId="225C6629"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56"/>
                <w:sz w:val="20"/>
                <w:szCs w:val="20"/>
                <w:shd w:val="solid" w:color="000000" w:fill="000000"/>
                <w:fitText w:val="340" w:id="-1435748083"/>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40" w:id="-1435748083"/>
                <w14:textFill>
                  <w14:solidFill>
                    <w14:srgbClr w14:val="000000">
                      <w14:alpha w14:val="100000"/>
                    </w14:srgbClr>
                  </w14:solidFill>
                </w14:textFill>
              </w:rPr>
              <w:t>|</w:t>
            </w:r>
            <w:r w:rsidR="00C52845">
              <w:rPr>
                <w:rFonts w:ascii="Arial Narrow" w:hAnsi="Arial Narrow"/>
                <w:sz w:val="20"/>
                <w:szCs w:val="20"/>
                <w:vertAlign w:val="superscript"/>
              </w:rPr>
              <w:t>5</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344A6B1B" w14:textId="059CD574"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56"/>
                <w:sz w:val="20"/>
                <w:szCs w:val="20"/>
                <w:shd w:val="solid" w:color="000000" w:fill="000000"/>
                <w:fitText w:val="340" w:id="-1435748082"/>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40" w:id="-1435748082"/>
                <w14:textFill>
                  <w14:solidFill>
                    <w14:srgbClr w14:val="000000">
                      <w14:alpha w14:val="100000"/>
                    </w14:srgbClr>
                  </w14:solidFill>
                </w14:textFill>
              </w:rPr>
              <w:t>|</w:t>
            </w:r>
            <w:r w:rsidR="00C52845">
              <w:rPr>
                <w:rFonts w:ascii="Arial Narrow" w:hAnsi="Arial Narrow"/>
                <w:sz w:val="20"/>
                <w:szCs w:val="20"/>
                <w:vertAlign w:val="superscript"/>
              </w:rPr>
              <w:t>5</w:t>
            </w:r>
          </w:p>
        </w:tc>
      </w:tr>
      <w:tr w:rsidR="000F4B43" w:rsidRPr="00B36948" w14:paraId="6ED51B13" w14:textId="77777777" w:rsidTr="00EF5796">
        <w:tc>
          <w:tcPr>
            <w:tcW w:w="1344" w:type="pct"/>
            <w:gridSpan w:val="2"/>
            <w:tcBorders>
              <w:left w:val="single" w:sz="4" w:space="0" w:color="auto"/>
            </w:tcBorders>
            <w:shd w:val="clear" w:color="auto" w:fill="auto"/>
            <w:vAlign w:val="center"/>
          </w:tcPr>
          <w:p w14:paraId="445E00E0" w14:textId="77777777" w:rsidR="000F4B43" w:rsidRPr="00B36948" w:rsidRDefault="000F4B43" w:rsidP="000F4B43">
            <w:pPr>
              <w:keepNext/>
              <w:jc w:val="left"/>
              <w:rPr>
                <w:rFonts w:ascii="Arial Narrow" w:eastAsia="Calibri" w:hAnsi="Arial Narrow" w:cs="Times New Roman"/>
                <w:sz w:val="20"/>
                <w:szCs w:val="20"/>
              </w:rPr>
            </w:pPr>
            <w:r w:rsidRPr="00B36948">
              <w:rPr>
                <w:rFonts w:ascii="Arial Narrow" w:eastAsia="Calibri" w:hAnsi="Arial Narrow" w:cs="Times New Roman"/>
                <w:sz w:val="20"/>
                <w:szCs w:val="20"/>
              </w:rPr>
              <w:t>Treated patients</w:t>
            </w:r>
          </w:p>
        </w:tc>
        <w:tc>
          <w:tcPr>
            <w:tcW w:w="609" w:type="pct"/>
            <w:gridSpan w:val="2"/>
            <w:tcBorders>
              <w:top w:val="single" w:sz="4" w:space="0" w:color="auto"/>
              <w:left w:val="nil"/>
              <w:bottom w:val="single" w:sz="4" w:space="0" w:color="auto"/>
              <w:right w:val="single" w:sz="4" w:space="0" w:color="auto"/>
            </w:tcBorders>
            <w:shd w:val="clear" w:color="auto" w:fill="auto"/>
            <w:vAlign w:val="center"/>
          </w:tcPr>
          <w:p w14:paraId="655477F3" w14:textId="4A2DBFC3"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53"/>
                <w:sz w:val="20"/>
                <w:szCs w:val="20"/>
                <w:shd w:val="solid" w:color="000000" w:fill="000000"/>
                <w:fitText w:val="330" w:id="-1435748081"/>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30" w:id="-1435748081"/>
                <w14:textFill>
                  <w14:solidFill>
                    <w14:srgbClr w14:val="000000">
                      <w14:alpha w14:val="100000"/>
                    </w14:srgbClr>
                  </w14:solidFill>
                </w14:textFill>
              </w:rPr>
              <w:t>|</w:t>
            </w:r>
            <w:r w:rsidR="00C52845" w:rsidRPr="00C52845">
              <w:rPr>
                <w:rFonts w:ascii="Arial Narrow" w:hAnsi="Arial Narrow"/>
                <w:sz w:val="20"/>
                <w:szCs w:val="20"/>
                <w:vertAlign w:val="superscript"/>
              </w:rPr>
              <w:t>1</w:t>
            </w:r>
          </w:p>
        </w:tc>
        <w:tc>
          <w:tcPr>
            <w:tcW w:w="6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A98AA" w14:textId="6F6A7442"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56"/>
                <w:sz w:val="20"/>
                <w:szCs w:val="20"/>
                <w:shd w:val="solid" w:color="000000" w:fill="000000"/>
                <w:fitText w:val="340" w:id="-1435748080"/>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40" w:id="-1435748080"/>
                <w14:textFill>
                  <w14:solidFill>
                    <w14:srgbClr w14:val="000000">
                      <w14:alpha w14:val="100000"/>
                    </w14:srgbClr>
                  </w14:solidFill>
                </w14:textFill>
              </w:rPr>
              <w:t>|</w:t>
            </w:r>
            <w:r w:rsidR="00C52845">
              <w:rPr>
                <w:rFonts w:ascii="Arial Narrow" w:hAnsi="Arial Narrow"/>
                <w:sz w:val="20"/>
                <w:szCs w:val="20"/>
                <w:vertAlign w:val="superscript"/>
              </w:rPr>
              <w:t>4</w:t>
            </w:r>
          </w:p>
        </w:tc>
        <w:tc>
          <w:tcPr>
            <w:tcW w:w="6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FA779" w14:textId="54A23848"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56"/>
                <w:sz w:val="20"/>
                <w:szCs w:val="20"/>
                <w:shd w:val="solid" w:color="000000" w:fill="000000"/>
                <w:fitText w:val="340" w:id="-1435748096"/>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40" w:id="-1435748096"/>
                <w14:textFill>
                  <w14:solidFill>
                    <w14:srgbClr w14:val="000000">
                      <w14:alpha w14:val="100000"/>
                    </w14:srgbClr>
                  </w14:solidFill>
                </w14:textFill>
              </w:rPr>
              <w:t>|</w:t>
            </w:r>
            <w:r w:rsidR="00C52845">
              <w:rPr>
                <w:rFonts w:ascii="Arial Narrow" w:hAnsi="Arial Narrow"/>
                <w:sz w:val="20"/>
                <w:szCs w:val="20"/>
                <w:vertAlign w:val="superscript"/>
              </w:rPr>
              <w:t>4</w:t>
            </w:r>
          </w:p>
        </w:tc>
        <w:tc>
          <w:tcPr>
            <w:tcW w:w="6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988E38" w14:textId="59E400F6"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53"/>
                <w:sz w:val="20"/>
                <w:szCs w:val="20"/>
                <w:shd w:val="solid" w:color="000000" w:fill="000000"/>
                <w:fitText w:val="330" w:id="-1435748095"/>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30" w:id="-1435748095"/>
                <w14:textFill>
                  <w14:solidFill>
                    <w14:srgbClr w14:val="000000">
                      <w14:alpha w14:val="100000"/>
                    </w14:srgbClr>
                  </w14:solidFill>
                </w14:textFill>
              </w:rPr>
              <w:t>|</w:t>
            </w:r>
            <w:r w:rsidR="00C52845">
              <w:rPr>
                <w:rFonts w:ascii="Arial Narrow" w:hAnsi="Arial Narrow"/>
                <w:sz w:val="20"/>
                <w:szCs w:val="20"/>
                <w:vertAlign w:val="superscript"/>
              </w:rPr>
              <w:t>4</w:t>
            </w:r>
          </w:p>
        </w:tc>
        <w:tc>
          <w:tcPr>
            <w:tcW w:w="6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94DC33" w14:textId="545579C1"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56"/>
                <w:sz w:val="20"/>
                <w:szCs w:val="20"/>
                <w:shd w:val="solid" w:color="000000" w:fill="000000"/>
                <w:fitText w:val="340" w:id="-1435748094"/>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40" w:id="-1435748094"/>
                <w14:textFill>
                  <w14:solidFill>
                    <w14:srgbClr w14:val="000000">
                      <w14:alpha w14:val="100000"/>
                    </w14:srgbClr>
                  </w14:solidFill>
                </w14:textFill>
              </w:rPr>
              <w:t>|</w:t>
            </w:r>
            <w:r w:rsidR="00C52845">
              <w:rPr>
                <w:rFonts w:ascii="Arial Narrow" w:hAnsi="Arial Narrow"/>
                <w:sz w:val="20"/>
                <w:szCs w:val="20"/>
                <w:vertAlign w:val="superscript"/>
              </w:rPr>
              <w:t>4</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03D072EA" w14:textId="48B8A9DD"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56"/>
                <w:sz w:val="20"/>
                <w:szCs w:val="20"/>
                <w:shd w:val="solid" w:color="000000" w:fill="000000"/>
                <w:fitText w:val="340" w:id="-1435748093"/>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40" w:id="-1435748093"/>
                <w14:textFill>
                  <w14:solidFill>
                    <w14:srgbClr w14:val="000000">
                      <w14:alpha w14:val="100000"/>
                    </w14:srgbClr>
                  </w14:solidFill>
                </w14:textFill>
              </w:rPr>
              <w:t>|</w:t>
            </w:r>
            <w:r w:rsidR="00C52845">
              <w:rPr>
                <w:rFonts w:ascii="Arial Narrow" w:hAnsi="Arial Narrow"/>
                <w:sz w:val="20"/>
                <w:szCs w:val="20"/>
                <w:vertAlign w:val="superscript"/>
              </w:rPr>
              <w:t>4</w:t>
            </w:r>
          </w:p>
        </w:tc>
      </w:tr>
      <w:tr w:rsidR="000F4B43" w:rsidRPr="00B36948" w14:paraId="79AA9A61" w14:textId="77777777" w:rsidTr="00EF5796">
        <w:tc>
          <w:tcPr>
            <w:tcW w:w="1344" w:type="pct"/>
            <w:gridSpan w:val="2"/>
            <w:tcBorders>
              <w:left w:val="single" w:sz="4" w:space="0" w:color="auto"/>
            </w:tcBorders>
            <w:shd w:val="clear" w:color="auto" w:fill="auto"/>
            <w:vAlign w:val="center"/>
          </w:tcPr>
          <w:p w14:paraId="007C9E38" w14:textId="77777777" w:rsidR="000F4B43" w:rsidRPr="00B36948" w:rsidRDefault="000F4B43" w:rsidP="000F4B43">
            <w:pPr>
              <w:keepNext/>
              <w:jc w:val="left"/>
              <w:rPr>
                <w:rFonts w:ascii="Arial Narrow" w:eastAsia="Calibri" w:hAnsi="Arial Narrow" w:cs="Times New Roman"/>
                <w:sz w:val="20"/>
                <w:szCs w:val="20"/>
                <w:vertAlign w:val="superscript"/>
              </w:rPr>
            </w:pPr>
            <w:r w:rsidRPr="00B36948">
              <w:rPr>
                <w:rFonts w:ascii="Arial Narrow" w:hAnsi="Arial Narrow"/>
                <w:sz w:val="20"/>
                <w:szCs w:val="20"/>
              </w:rPr>
              <w:t>Number of scripts</w:t>
            </w:r>
          </w:p>
        </w:tc>
        <w:tc>
          <w:tcPr>
            <w:tcW w:w="609" w:type="pct"/>
            <w:gridSpan w:val="2"/>
            <w:tcBorders>
              <w:top w:val="single" w:sz="4" w:space="0" w:color="auto"/>
            </w:tcBorders>
            <w:shd w:val="clear" w:color="auto" w:fill="auto"/>
            <w:vAlign w:val="center"/>
          </w:tcPr>
          <w:p w14:paraId="47CE76A0" w14:textId="58EF6851"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53"/>
                <w:sz w:val="20"/>
                <w:szCs w:val="20"/>
                <w:shd w:val="solid" w:color="000000" w:fill="000000"/>
                <w:fitText w:val="330" w:id="-1435748092"/>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30" w:id="-1435748092"/>
                <w14:textFill>
                  <w14:solidFill>
                    <w14:srgbClr w14:val="000000">
                      <w14:alpha w14:val="100000"/>
                    </w14:srgbClr>
                  </w14:solidFill>
                </w14:textFill>
              </w:rPr>
              <w:t>|</w:t>
            </w:r>
            <w:r w:rsidR="00C52845">
              <w:rPr>
                <w:rFonts w:ascii="Arial Narrow" w:hAnsi="Arial Narrow"/>
                <w:sz w:val="20"/>
                <w:szCs w:val="20"/>
                <w:vertAlign w:val="superscript"/>
              </w:rPr>
              <w:t>6</w:t>
            </w:r>
          </w:p>
        </w:tc>
        <w:tc>
          <w:tcPr>
            <w:tcW w:w="610" w:type="pct"/>
            <w:gridSpan w:val="2"/>
            <w:tcBorders>
              <w:top w:val="single" w:sz="4" w:space="0" w:color="auto"/>
            </w:tcBorders>
            <w:shd w:val="clear" w:color="auto" w:fill="auto"/>
            <w:vAlign w:val="center"/>
          </w:tcPr>
          <w:p w14:paraId="56A9BF60" w14:textId="0CFED3FD" w:rsidR="000F4B43" w:rsidRPr="00C52845" w:rsidRDefault="00650CB8" w:rsidP="000F4B43">
            <w:pPr>
              <w:keepNext/>
              <w:jc w:val="center"/>
              <w:rPr>
                <w:rFonts w:ascii="Arial Narrow" w:hAnsi="Arial Narrow"/>
                <w:sz w:val="20"/>
                <w:szCs w:val="20"/>
                <w:highlight w:val="darkGray"/>
                <w:vertAlign w:val="superscript"/>
              </w:rPr>
            </w:pPr>
            <w:r w:rsidRPr="00650CB8">
              <w:rPr>
                <w:rFonts w:ascii="Arial Narrow" w:hAnsi="Arial Narrow"/>
                <w:color w:val="000000"/>
                <w:spacing w:val="56"/>
                <w:sz w:val="20"/>
                <w:szCs w:val="20"/>
                <w:shd w:val="solid" w:color="000000" w:fill="000000"/>
                <w:fitText w:val="340" w:id="-1435748091"/>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40" w:id="-1435748091"/>
                <w14:textFill>
                  <w14:solidFill>
                    <w14:srgbClr w14:val="000000">
                      <w14:alpha w14:val="100000"/>
                    </w14:srgbClr>
                  </w14:solidFill>
                </w14:textFill>
              </w:rPr>
              <w:t>|</w:t>
            </w:r>
            <w:r w:rsidR="00C52845" w:rsidRPr="00C52845">
              <w:rPr>
                <w:rFonts w:ascii="Arial Narrow" w:hAnsi="Arial Narrow"/>
                <w:sz w:val="20"/>
                <w:szCs w:val="20"/>
                <w:vertAlign w:val="superscript"/>
              </w:rPr>
              <w:t>7</w:t>
            </w:r>
          </w:p>
        </w:tc>
        <w:tc>
          <w:tcPr>
            <w:tcW w:w="610" w:type="pct"/>
            <w:gridSpan w:val="2"/>
            <w:tcBorders>
              <w:top w:val="single" w:sz="4" w:space="0" w:color="auto"/>
            </w:tcBorders>
            <w:shd w:val="clear" w:color="auto" w:fill="auto"/>
            <w:vAlign w:val="center"/>
          </w:tcPr>
          <w:p w14:paraId="491FB6B7" w14:textId="174FD640" w:rsidR="000F4B43" w:rsidRPr="00C52845" w:rsidRDefault="00650CB8" w:rsidP="000F4B43">
            <w:pPr>
              <w:keepNext/>
              <w:jc w:val="center"/>
              <w:rPr>
                <w:rFonts w:ascii="Arial Narrow" w:hAnsi="Arial Narrow"/>
                <w:sz w:val="20"/>
                <w:szCs w:val="20"/>
                <w:highlight w:val="darkGray"/>
                <w:vertAlign w:val="superscript"/>
              </w:rPr>
            </w:pPr>
            <w:r w:rsidRPr="00650CB8">
              <w:rPr>
                <w:rFonts w:ascii="Arial Narrow" w:hAnsi="Arial Narrow"/>
                <w:color w:val="000000"/>
                <w:spacing w:val="56"/>
                <w:sz w:val="20"/>
                <w:szCs w:val="20"/>
                <w:shd w:val="solid" w:color="000000" w:fill="000000"/>
                <w:fitText w:val="340" w:id="-1435748090"/>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40" w:id="-1435748090"/>
                <w14:textFill>
                  <w14:solidFill>
                    <w14:srgbClr w14:val="000000">
                      <w14:alpha w14:val="100000"/>
                    </w14:srgbClr>
                  </w14:solidFill>
                </w14:textFill>
              </w:rPr>
              <w:t>|</w:t>
            </w:r>
            <w:r w:rsidR="00C52845" w:rsidRPr="00C52845">
              <w:rPr>
                <w:rFonts w:ascii="Arial Narrow" w:hAnsi="Arial Narrow"/>
                <w:sz w:val="20"/>
                <w:szCs w:val="20"/>
                <w:vertAlign w:val="superscript"/>
              </w:rPr>
              <w:t>8</w:t>
            </w:r>
          </w:p>
        </w:tc>
        <w:tc>
          <w:tcPr>
            <w:tcW w:w="609" w:type="pct"/>
            <w:gridSpan w:val="2"/>
            <w:tcBorders>
              <w:top w:val="single" w:sz="4" w:space="0" w:color="auto"/>
            </w:tcBorders>
            <w:shd w:val="clear" w:color="auto" w:fill="auto"/>
            <w:vAlign w:val="center"/>
          </w:tcPr>
          <w:p w14:paraId="60B17973" w14:textId="37C42703"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53"/>
                <w:sz w:val="20"/>
                <w:szCs w:val="20"/>
                <w:shd w:val="solid" w:color="000000" w:fill="000000"/>
                <w:fitText w:val="330" w:id="-1435748089"/>
                <w14:textFill>
                  <w14:solidFill>
                    <w14:srgbClr w14:val="000000">
                      <w14:alpha w14:val="100000"/>
                    </w14:srgbClr>
                  </w14:solidFill>
                </w14:textFill>
              </w:rPr>
              <w:t>|||</w:t>
            </w:r>
            <w:r w:rsidRPr="00650CB8">
              <w:rPr>
                <w:rFonts w:ascii="Arial Narrow" w:hAnsi="Arial Narrow"/>
                <w:color w:val="000000"/>
                <w:spacing w:val="1"/>
                <w:sz w:val="20"/>
                <w:szCs w:val="20"/>
                <w:shd w:val="solid" w:color="000000" w:fill="000000"/>
                <w:fitText w:val="330" w:id="-1435748089"/>
                <w14:textFill>
                  <w14:solidFill>
                    <w14:srgbClr w14:val="000000">
                      <w14:alpha w14:val="100000"/>
                    </w14:srgbClr>
                  </w14:solidFill>
                </w14:textFill>
              </w:rPr>
              <w:t>|</w:t>
            </w:r>
            <w:r w:rsidR="00C52845">
              <w:rPr>
                <w:rFonts w:ascii="Arial Narrow" w:hAnsi="Arial Narrow"/>
                <w:sz w:val="20"/>
                <w:szCs w:val="20"/>
                <w:vertAlign w:val="superscript"/>
              </w:rPr>
              <w:t>9</w:t>
            </w:r>
          </w:p>
        </w:tc>
        <w:tc>
          <w:tcPr>
            <w:tcW w:w="610" w:type="pct"/>
            <w:gridSpan w:val="2"/>
            <w:tcBorders>
              <w:top w:val="single" w:sz="4" w:space="0" w:color="auto"/>
              <w:right w:val="single" w:sz="4" w:space="0" w:color="auto"/>
            </w:tcBorders>
            <w:shd w:val="clear" w:color="auto" w:fill="auto"/>
            <w:vAlign w:val="center"/>
          </w:tcPr>
          <w:p w14:paraId="138D0AFE" w14:textId="39EAC717"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56"/>
                <w:sz w:val="20"/>
                <w:szCs w:val="20"/>
                <w:shd w:val="solid" w:color="000000" w:fill="000000"/>
                <w:fitText w:val="340" w:id="-1435748088"/>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40" w:id="-1435748088"/>
                <w14:textFill>
                  <w14:solidFill>
                    <w14:srgbClr w14:val="000000">
                      <w14:alpha w14:val="100000"/>
                    </w14:srgbClr>
                  </w14:solidFill>
                </w14:textFill>
              </w:rPr>
              <w:t>|</w:t>
            </w:r>
            <w:r w:rsidR="00C52845">
              <w:rPr>
                <w:rFonts w:ascii="Arial Narrow" w:hAnsi="Arial Narrow"/>
                <w:sz w:val="20"/>
                <w:szCs w:val="20"/>
                <w:vertAlign w:val="superscript"/>
              </w:rPr>
              <w:t>9</w:t>
            </w:r>
          </w:p>
        </w:tc>
        <w:tc>
          <w:tcPr>
            <w:tcW w:w="608" w:type="pct"/>
            <w:tcBorders>
              <w:top w:val="single" w:sz="4" w:space="0" w:color="auto"/>
              <w:right w:val="single" w:sz="4" w:space="0" w:color="auto"/>
            </w:tcBorders>
            <w:vAlign w:val="center"/>
          </w:tcPr>
          <w:p w14:paraId="24EB806D" w14:textId="66E6B397"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56"/>
                <w:sz w:val="20"/>
                <w:szCs w:val="20"/>
                <w:shd w:val="solid" w:color="000000" w:fill="000000"/>
                <w:fitText w:val="340" w:id="-1435748087"/>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40" w:id="-1435748087"/>
                <w14:textFill>
                  <w14:solidFill>
                    <w14:srgbClr w14:val="000000">
                      <w14:alpha w14:val="100000"/>
                    </w14:srgbClr>
                  </w14:solidFill>
                </w14:textFill>
              </w:rPr>
              <w:t>|</w:t>
            </w:r>
            <w:r w:rsidR="00C52845">
              <w:rPr>
                <w:rFonts w:ascii="Arial Narrow" w:hAnsi="Arial Narrow"/>
                <w:sz w:val="20"/>
                <w:szCs w:val="20"/>
                <w:vertAlign w:val="superscript"/>
              </w:rPr>
              <w:t>9</w:t>
            </w:r>
          </w:p>
        </w:tc>
      </w:tr>
      <w:tr w:rsidR="000F4B43" w:rsidRPr="00B36948" w14:paraId="1E02F09C" w14:textId="77777777" w:rsidTr="00EF5796">
        <w:tc>
          <w:tcPr>
            <w:tcW w:w="1344" w:type="pct"/>
            <w:gridSpan w:val="2"/>
            <w:tcBorders>
              <w:left w:val="single" w:sz="4" w:space="0" w:color="auto"/>
            </w:tcBorders>
            <w:shd w:val="clear" w:color="auto" w:fill="auto"/>
            <w:vAlign w:val="center"/>
          </w:tcPr>
          <w:p w14:paraId="20F171B4" w14:textId="77777777" w:rsidR="000F4B43" w:rsidRPr="00B36948" w:rsidRDefault="000F4B43" w:rsidP="000F4B43">
            <w:pPr>
              <w:keepNext/>
              <w:jc w:val="left"/>
              <w:rPr>
                <w:rFonts w:ascii="Arial Narrow" w:hAnsi="Arial Narrow"/>
                <w:sz w:val="20"/>
                <w:szCs w:val="20"/>
              </w:rPr>
            </w:pPr>
            <w:r w:rsidRPr="00B36948">
              <w:rPr>
                <w:rFonts w:ascii="Arial Narrow" w:eastAsia="Calibri" w:hAnsi="Arial Narrow" w:cs="Times New Roman"/>
                <w:b/>
                <w:sz w:val="20"/>
                <w:szCs w:val="20"/>
              </w:rPr>
              <w:t>Total cost less co-payment</w:t>
            </w:r>
          </w:p>
        </w:tc>
        <w:tc>
          <w:tcPr>
            <w:tcW w:w="609" w:type="pct"/>
            <w:gridSpan w:val="2"/>
            <w:shd w:val="clear" w:color="auto" w:fill="auto"/>
            <w:vAlign w:val="bottom"/>
          </w:tcPr>
          <w:p w14:paraId="69A3C09C" w14:textId="580C7EBC" w:rsidR="000F4B43" w:rsidRPr="00B36948" w:rsidRDefault="000F4B43" w:rsidP="000F4B43">
            <w:pPr>
              <w:keepNext/>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55"/>
                <w:sz w:val="20"/>
                <w:szCs w:val="20"/>
                <w:shd w:val="solid" w:color="000000" w:fill="000000"/>
                <w:fitText w:val="350" w:id="-1435748086"/>
                <w14:textFill>
                  <w14:solidFill>
                    <w14:srgbClr w14:val="000000">
                      <w14:alpha w14:val="100000"/>
                    </w14:srgbClr>
                  </w14:solidFill>
                </w14:textFill>
              </w:rPr>
              <w:t>|||</w:t>
            </w:r>
            <w:r w:rsidR="00650CB8" w:rsidRPr="00650CB8">
              <w:rPr>
                <w:rFonts w:ascii="Arial Narrow" w:hAnsi="Arial Narrow"/>
                <w:b/>
                <w:bCs/>
                <w:color w:val="000000"/>
                <w:spacing w:val="2"/>
                <w:sz w:val="20"/>
                <w:szCs w:val="20"/>
                <w:shd w:val="solid" w:color="000000" w:fill="000000"/>
                <w:fitText w:val="350" w:id="-1435748086"/>
                <w14:textFill>
                  <w14:solidFill>
                    <w14:srgbClr w14:val="000000">
                      <w14:alpha w14:val="100000"/>
                    </w14:srgbClr>
                  </w14:solidFill>
                </w14:textFill>
              </w:rPr>
              <w:t>|</w:t>
            </w:r>
            <w:r w:rsidR="00C52845">
              <w:rPr>
                <w:rFonts w:ascii="Arial Narrow" w:hAnsi="Arial Narrow"/>
                <w:sz w:val="20"/>
                <w:szCs w:val="20"/>
                <w:vertAlign w:val="superscript"/>
              </w:rPr>
              <w:t>3</w:t>
            </w:r>
          </w:p>
        </w:tc>
        <w:tc>
          <w:tcPr>
            <w:tcW w:w="610" w:type="pct"/>
            <w:gridSpan w:val="2"/>
            <w:shd w:val="clear" w:color="auto" w:fill="auto"/>
            <w:vAlign w:val="bottom"/>
          </w:tcPr>
          <w:p w14:paraId="4A20FFAE" w14:textId="30D42F81" w:rsidR="000F4B43" w:rsidRPr="00B36948" w:rsidRDefault="000F4B43" w:rsidP="000F4B43">
            <w:pPr>
              <w:keepNext/>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65"/>
                <w:sz w:val="20"/>
                <w:szCs w:val="20"/>
                <w:shd w:val="solid" w:color="000000" w:fill="000000"/>
                <w:fitText w:val="380" w:id="-1435748085"/>
                <w14:textFill>
                  <w14:solidFill>
                    <w14:srgbClr w14:val="000000">
                      <w14:alpha w14:val="100000"/>
                    </w14:srgbClr>
                  </w14:solidFill>
                </w14:textFill>
              </w:rPr>
              <w:t>|||</w:t>
            </w:r>
            <w:r w:rsidR="00650CB8" w:rsidRPr="00650CB8">
              <w:rPr>
                <w:rFonts w:ascii="Arial Narrow" w:hAnsi="Arial Narrow"/>
                <w:b/>
                <w:bCs/>
                <w:color w:val="000000"/>
                <w:spacing w:val="2"/>
                <w:sz w:val="20"/>
                <w:szCs w:val="20"/>
                <w:shd w:val="solid" w:color="000000" w:fill="000000"/>
                <w:fitText w:val="380" w:id="-1435748085"/>
                <w14:textFill>
                  <w14:solidFill>
                    <w14:srgbClr w14:val="000000">
                      <w14:alpha w14:val="100000"/>
                    </w14:srgbClr>
                  </w14:solidFill>
                </w14:textFill>
              </w:rPr>
              <w:t>|</w:t>
            </w:r>
            <w:r w:rsidR="00201F4E">
              <w:rPr>
                <w:rFonts w:ascii="Arial Narrow" w:hAnsi="Arial Narrow"/>
                <w:sz w:val="20"/>
                <w:szCs w:val="20"/>
                <w:vertAlign w:val="superscript"/>
              </w:rPr>
              <w:t>10</w:t>
            </w:r>
          </w:p>
        </w:tc>
        <w:tc>
          <w:tcPr>
            <w:tcW w:w="610" w:type="pct"/>
            <w:gridSpan w:val="2"/>
            <w:shd w:val="clear" w:color="auto" w:fill="auto"/>
            <w:vAlign w:val="bottom"/>
          </w:tcPr>
          <w:p w14:paraId="6EFD9C56" w14:textId="578DAA58" w:rsidR="000F4B43" w:rsidRPr="00201F4E" w:rsidRDefault="000F4B43" w:rsidP="000F4B43">
            <w:pPr>
              <w:keepNext/>
              <w:jc w:val="center"/>
              <w:rPr>
                <w:rFonts w:ascii="Arial Narrow" w:hAnsi="Arial Narrow"/>
                <w:b/>
                <w:bCs/>
                <w:sz w:val="20"/>
                <w:szCs w:val="20"/>
                <w:vertAlign w:val="superscript"/>
              </w:rPr>
            </w:pPr>
            <w:r w:rsidRPr="00B36948">
              <w:rPr>
                <w:rFonts w:ascii="Arial Narrow" w:hAnsi="Arial Narrow"/>
                <w:b/>
                <w:bCs/>
                <w:sz w:val="20"/>
                <w:szCs w:val="20"/>
              </w:rPr>
              <w:t>$</w:t>
            </w:r>
            <w:r w:rsidR="00650CB8" w:rsidRPr="00650CB8">
              <w:rPr>
                <w:rFonts w:ascii="Arial Narrow" w:hAnsi="Arial Narrow"/>
                <w:b/>
                <w:bCs/>
                <w:color w:val="000000"/>
                <w:spacing w:val="65"/>
                <w:sz w:val="20"/>
                <w:szCs w:val="20"/>
                <w:shd w:val="solid" w:color="000000" w:fill="000000"/>
                <w:fitText w:val="380" w:id="-1435748084"/>
                <w14:textFill>
                  <w14:solidFill>
                    <w14:srgbClr w14:val="000000">
                      <w14:alpha w14:val="100000"/>
                    </w14:srgbClr>
                  </w14:solidFill>
                </w14:textFill>
              </w:rPr>
              <w:t>|||</w:t>
            </w:r>
            <w:r w:rsidR="00650CB8" w:rsidRPr="00650CB8">
              <w:rPr>
                <w:rFonts w:ascii="Arial Narrow" w:hAnsi="Arial Narrow"/>
                <w:b/>
                <w:bCs/>
                <w:color w:val="000000"/>
                <w:spacing w:val="2"/>
                <w:sz w:val="20"/>
                <w:szCs w:val="20"/>
                <w:shd w:val="solid" w:color="000000" w:fill="000000"/>
                <w:fitText w:val="380" w:id="-1435748084"/>
                <w14:textFill>
                  <w14:solidFill>
                    <w14:srgbClr w14:val="000000">
                      <w14:alpha w14:val="100000"/>
                    </w14:srgbClr>
                  </w14:solidFill>
                </w14:textFill>
              </w:rPr>
              <w:t>|</w:t>
            </w:r>
            <w:r w:rsidR="00201F4E" w:rsidRPr="00201F4E">
              <w:rPr>
                <w:rFonts w:ascii="Arial Narrow" w:hAnsi="Arial Narrow"/>
                <w:sz w:val="20"/>
                <w:szCs w:val="20"/>
                <w:vertAlign w:val="superscript"/>
              </w:rPr>
              <w:t>10</w:t>
            </w:r>
          </w:p>
        </w:tc>
        <w:tc>
          <w:tcPr>
            <w:tcW w:w="609" w:type="pct"/>
            <w:gridSpan w:val="2"/>
            <w:shd w:val="clear" w:color="auto" w:fill="auto"/>
            <w:vAlign w:val="bottom"/>
          </w:tcPr>
          <w:p w14:paraId="12637F30" w14:textId="43543DE6" w:rsidR="000F4B43" w:rsidRPr="00B36948" w:rsidRDefault="000F4B43" w:rsidP="000F4B43">
            <w:pPr>
              <w:keepNext/>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65"/>
                <w:sz w:val="20"/>
                <w:szCs w:val="20"/>
                <w:shd w:val="solid" w:color="000000" w:fill="000000"/>
                <w:fitText w:val="380" w:id="-1435748083"/>
                <w14:textFill>
                  <w14:solidFill>
                    <w14:srgbClr w14:val="000000">
                      <w14:alpha w14:val="100000"/>
                    </w14:srgbClr>
                  </w14:solidFill>
                </w14:textFill>
              </w:rPr>
              <w:t>|||</w:t>
            </w:r>
            <w:r w:rsidR="00650CB8" w:rsidRPr="00650CB8">
              <w:rPr>
                <w:rFonts w:ascii="Arial Narrow" w:hAnsi="Arial Narrow"/>
                <w:b/>
                <w:bCs/>
                <w:color w:val="000000"/>
                <w:spacing w:val="2"/>
                <w:sz w:val="20"/>
                <w:szCs w:val="20"/>
                <w:shd w:val="solid" w:color="000000" w:fill="000000"/>
                <w:fitText w:val="380" w:id="-1435748083"/>
                <w14:textFill>
                  <w14:solidFill>
                    <w14:srgbClr w14:val="000000">
                      <w14:alpha w14:val="100000"/>
                    </w14:srgbClr>
                  </w14:solidFill>
                </w14:textFill>
              </w:rPr>
              <w:t>|</w:t>
            </w:r>
            <w:r w:rsidR="00201F4E" w:rsidRPr="00201F4E">
              <w:rPr>
                <w:rFonts w:ascii="Arial Narrow" w:hAnsi="Arial Narrow"/>
                <w:sz w:val="20"/>
                <w:szCs w:val="20"/>
                <w:vertAlign w:val="superscript"/>
              </w:rPr>
              <w:t>10</w:t>
            </w:r>
          </w:p>
        </w:tc>
        <w:tc>
          <w:tcPr>
            <w:tcW w:w="610" w:type="pct"/>
            <w:gridSpan w:val="2"/>
            <w:tcBorders>
              <w:right w:val="single" w:sz="4" w:space="0" w:color="auto"/>
            </w:tcBorders>
            <w:shd w:val="clear" w:color="auto" w:fill="auto"/>
            <w:vAlign w:val="bottom"/>
          </w:tcPr>
          <w:p w14:paraId="0E13164E" w14:textId="3E829600" w:rsidR="000F4B43" w:rsidRPr="00B36948" w:rsidRDefault="000F4B43" w:rsidP="000F4B43">
            <w:pPr>
              <w:keepNext/>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65"/>
                <w:sz w:val="20"/>
                <w:szCs w:val="20"/>
                <w:shd w:val="solid" w:color="000000" w:fill="000000"/>
                <w:fitText w:val="380" w:id="-1435748082"/>
                <w14:textFill>
                  <w14:solidFill>
                    <w14:srgbClr w14:val="000000">
                      <w14:alpha w14:val="100000"/>
                    </w14:srgbClr>
                  </w14:solidFill>
                </w14:textFill>
              </w:rPr>
              <w:t>|||</w:t>
            </w:r>
            <w:r w:rsidR="00650CB8" w:rsidRPr="00650CB8">
              <w:rPr>
                <w:rFonts w:ascii="Arial Narrow" w:hAnsi="Arial Narrow"/>
                <w:b/>
                <w:bCs/>
                <w:color w:val="000000"/>
                <w:spacing w:val="2"/>
                <w:sz w:val="20"/>
                <w:szCs w:val="20"/>
                <w:shd w:val="solid" w:color="000000" w:fill="000000"/>
                <w:fitText w:val="380" w:id="-1435748082"/>
                <w14:textFill>
                  <w14:solidFill>
                    <w14:srgbClr w14:val="000000">
                      <w14:alpha w14:val="100000"/>
                    </w14:srgbClr>
                  </w14:solidFill>
                </w14:textFill>
              </w:rPr>
              <w:t>|</w:t>
            </w:r>
            <w:r w:rsidR="00201F4E" w:rsidRPr="00201F4E">
              <w:rPr>
                <w:rFonts w:ascii="Arial Narrow" w:hAnsi="Arial Narrow"/>
                <w:sz w:val="20"/>
                <w:szCs w:val="20"/>
                <w:vertAlign w:val="superscript"/>
              </w:rPr>
              <w:t>10</w:t>
            </w:r>
          </w:p>
        </w:tc>
        <w:tc>
          <w:tcPr>
            <w:tcW w:w="608" w:type="pct"/>
            <w:tcBorders>
              <w:right w:val="single" w:sz="4" w:space="0" w:color="auto"/>
            </w:tcBorders>
            <w:vAlign w:val="bottom"/>
          </w:tcPr>
          <w:p w14:paraId="0D4B54DA" w14:textId="10C064D9" w:rsidR="000F4B43" w:rsidRPr="00B36948" w:rsidRDefault="000F4B43" w:rsidP="000F4B43">
            <w:pPr>
              <w:keepNext/>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65"/>
                <w:sz w:val="20"/>
                <w:szCs w:val="20"/>
                <w:shd w:val="solid" w:color="000000" w:fill="000000"/>
                <w:fitText w:val="380" w:id="-1435748081"/>
                <w14:textFill>
                  <w14:solidFill>
                    <w14:srgbClr w14:val="000000">
                      <w14:alpha w14:val="100000"/>
                    </w14:srgbClr>
                  </w14:solidFill>
                </w14:textFill>
              </w:rPr>
              <w:t>|||</w:t>
            </w:r>
            <w:r w:rsidR="00650CB8" w:rsidRPr="00650CB8">
              <w:rPr>
                <w:rFonts w:ascii="Arial Narrow" w:hAnsi="Arial Narrow"/>
                <w:b/>
                <w:bCs/>
                <w:color w:val="000000"/>
                <w:spacing w:val="2"/>
                <w:sz w:val="20"/>
                <w:szCs w:val="20"/>
                <w:shd w:val="solid" w:color="000000" w:fill="000000"/>
                <w:fitText w:val="380" w:id="-1435748081"/>
                <w14:textFill>
                  <w14:solidFill>
                    <w14:srgbClr w14:val="000000">
                      <w14:alpha w14:val="100000"/>
                    </w14:srgbClr>
                  </w14:solidFill>
                </w14:textFill>
              </w:rPr>
              <w:t>|</w:t>
            </w:r>
            <w:r w:rsidR="00201F4E" w:rsidRPr="00201F4E">
              <w:rPr>
                <w:rFonts w:ascii="Arial Narrow" w:hAnsi="Arial Narrow"/>
                <w:sz w:val="20"/>
                <w:szCs w:val="20"/>
                <w:vertAlign w:val="superscript"/>
              </w:rPr>
              <w:t>10</w:t>
            </w:r>
          </w:p>
        </w:tc>
      </w:tr>
      <w:tr w:rsidR="000F4B43" w:rsidRPr="00B36948" w14:paraId="20EE7196" w14:textId="77777777" w:rsidTr="00EF5796">
        <w:tc>
          <w:tcPr>
            <w:tcW w:w="5000" w:type="pct"/>
            <w:gridSpan w:val="13"/>
            <w:tcBorders>
              <w:left w:val="single" w:sz="4" w:space="0" w:color="auto"/>
              <w:right w:val="single" w:sz="4" w:space="0" w:color="auto"/>
            </w:tcBorders>
            <w:shd w:val="clear" w:color="auto" w:fill="auto"/>
            <w:vAlign w:val="center"/>
          </w:tcPr>
          <w:p w14:paraId="71D55A19" w14:textId="77777777" w:rsidR="000F4B43" w:rsidRPr="00B36948" w:rsidRDefault="000F4B43" w:rsidP="000F4B43">
            <w:pPr>
              <w:keepNext/>
              <w:jc w:val="left"/>
              <w:rPr>
                <w:rFonts w:ascii="Arial Narrow" w:hAnsi="Arial Narrow"/>
                <w:b/>
                <w:sz w:val="20"/>
                <w:szCs w:val="20"/>
              </w:rPr>
            </w:pPr>
            <w:r w:rsidRPr="00B36948">
              <w:rPr>
                <w:rFonts w:ascii="Arial Narrow" w:hAnsi="Arial Narrow"/>
                <w:b/>
                <w:sz w:val="20"/>
                <w:szCs w:val="20"/>
              </w:rPr>
              <w:t xml:space="preserve">November 2019 DUSC re-analysis: </w:t>
            </w:r>
            <w:r w:rsidRPr="00B36948">
              <w:rPr>
                <w:rFonts w:ascii="Arial Narrow" w:hAnsi="Arial Narrow"/>
                <w:b/>
                <w:bCs/>
                <w:sz w:val="20"/>
                <w:szCs w:val="20"/>
              </w:rPr>
              <w:t>LDL-C &gt; 2.6 and ≤ 3.3 mmol/L</w:t>
            </w:r>
          </w:p>
        </w:tc>
      </w:tr>
      <w:tr w:rsidR="000F4B43" w:rsidRPr="00B36948" w14:paraId="4A467C44" w14:textId="77777777" w:rsidTr="00EF5796">
        <w:tc>
          <w:tcPr>
            <w:tcW w:w="1333" w:type="pct"/>
            <w:tcBorders>
              <w:left w:val="single" w:sz="4" w:space="0" w:color="auto"/>
            </w:tcBorders>
            <w:shd w:val="clear" w:color="auto" w:fill="auto"/>
            <w:vAlign w:val="center"/>
          </w:tcPr>
          <w:p w14:paraId="76884EBF" w14:textId="77777777" w:rsidR="000F4B43" w:rsidRPr="00B36948" w:rsidRDefault="000F4B43" w:rsidP="000F4B43">
            <w:pPr>
              <w:keepNext/>
              <w:jc w:val="left"/>
              <w:rPr>
                <w:rFonts w:ascii="Arial Narrow" w:hAnsi="Arial Narrow"/>
                <w:bCs/>
                <w:sz w:val="20"/>
                <w:szCs w:val="20"/>
              </w:rPr>
            </w:pPr>
            <w:r w:rsidRPr="00B36948">
              <w:rPr>
                <w:rFonts w:ascii="Arial Narrow" w:hAnsi="Arial Narrow"/>
                <w:sz w:val="20"/>
                <w:szCs w:val="20"/>
              </w:rPr>
              <w:t>Eligible patients</w:t>
            </w:r>
          </w:p>
        </w:tc>
        <w:tc>
          <w:tcPr>
            <w:tcW w:w="611" w:type="pct"/>
            <w:gridSpan w:val="2"/>
            <w:shd w:val="clear" w:color="auto" w:fill="auto"/>
            <w:vAlign w:val="center"/>
          </w:tcPr>
          <w:p w14:paraId="6641EB9F" w14:textId="403C3104"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56"/>
                <w:sz w:val="20"/>
                <w:szCs w:val="20"/>
                <w:shd w:val="solid" w:color="000000" w:fill="000000"/>
                <w:fitText w:val="340" w:id="-1435748080"/>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40" w:id="-1435748080"/>
                <w14:textFill>
                  <w14:solidFill>
                    <w14:srgbClr w14:val="000000">
                      <w14:alpha w14:val="100000"/>
                    </w14:srgbClr>
                  </w14:solidFill>
                </w14:textFill>
              </w:rPr>
              <w:t>|</w:t>
            </w:r>
            <w:r w:rsidR="00C52845">
              <w:rPr>
                <w:rFonts w:ascii="Arial Narrow" w:hAnsi="Arial Narrow"/>
                <w:sz w:val="20"/>
                <w:szCs w:val="20"/>
                <w:vertAlign w:val="superscript"/>
              </w:rPr>
              <w:t>4</w:t>
            </w:r>
          </w:p>
        </w:tc>
        <w:tc>
          <w:tcPr>
            <w:tcW w:w="611" w:type="pct"/>
            <w:gridSpan w:val="2"/>
            <w:shd w:val="clear" w:color="auto" w:fill="auto"/>
            <w:vAlign w:val="center"/>
          </w:tcPr>
          <w:p w14:paraId="09F924E2" w14:textId="47156F42"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56"/>
                <w:sz w:val="20"/>
                <w:szCs w:val="20"/>
                <w:shd w:val="solid" w:color="000000" w:fill="000000"/>
                <w:fitText w:val="340" w:id="-1435748096"/>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40" w:id="-1435748096"/>
                <w14:textFill>
                  <w14:solidFill>
                    <w14:srgbClr w14:val="000000">
                      <w14:alpha w14:val="100000"/>
                    </w14:srgbClr>
                  </w14:solidFill>
                </w14:textFill>
              </w:rPr>
              <w:t>|</w:t>
            </w:r>
            <w:r w:rsidR="00C52845">
              <w:rPr>
                <w:rFonts w:ascii="Arial Narrow" w:hAnsi="Arial Narrow"/>
                <w:sz w:val="20"/>
                <w:szCs w:val="20"/>
                <w:vertAlign w:val="superscript"/>
              </w:rPr>
              <w:t>4</w:t>
            </w:r>
          </w:p>
        </w:tc>
        <w:tc>
          <w:tcPr>
            <w:tcW w:w="611" w:type="pct"/>
            <w:gridSpan w:val="2"/>
            <w:shd w:val="clear" w:color="auto" w:fill="auto"/>
            <w:vAlign w:val="center"/>
          </w:tcPr>
          <w:p w14:paraId="360897B7" w14:textId="3FB0E23B"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56"/>
                <w:sz w:val="20"/>
                <w:szCs w:val="20"/>
                <w:shd w:val="solid" w:color="000000" w:fill="000000"/>
                <w:fitText w:val="340" w:id="-1435748095"/>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40" w:id="-1435748095"/>
                <w14:textFill>
                  <w14:solidFill>
                    <w14:srgbClr w14:val="000000">
                      <w14:alpha w14:val="100000"/>
                    </w14:srgbClr>
                  </w14:solidFill>
                </w14:textFill>
              </w:rPr>
              <w:t>|</w:t>
            </w:r>
            <w:r w:rsidR="00C52845">
              <w:rPr>
                <w:rFonts w:ascii="Arial Narrow" w:hAnsi="Arial Narrow"/>
                <w:sz w:val="20"/>
                <w:szCs w:val="20"/>
                <w:vertAlign w:val="superscript"/>
              </w:rPr>
              <w:t>4</w:t>
            </w:r>
          </w:p>
        </w:tc>
        <w:tc>
          <w:tcPr>
            <w:tcW w:w="611" w:type="pct"/>
            <w:gridSpan w:val="2"/>
            <w:shd w:val="clear" w:color="auto" w:fill="auto"/>
            <w:vAlign w:val="center"/>
          </w:tcPr>
          <w:p w14:paraId="02B1285E" w14:textId="0AFF372C"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56"/>
                <w:sz w:val="20"/>
                <w:szCs w:val="20"/>
                <w:shd w:val="solid" w:color="000000" w:fill="000000"/>
                <w:fitText w:val="340" w:id="-1435748094"/>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40" w:id="-1435748094"/>
                <w14:textFill>
                  <w14:solidFill>
                    <w14:srgbClr w14:val="000000">
                      <w14:alpha w14:val="100000"/>
                    </w14:srgbClr>
                  </w14:solidFill>
                </w14:textFill>
              </w:rPr>
              <w:t>|</w:t>
            </w:r>
            <w:r w:rsidR="00C52845">
              <w:rPr>
                <w:rFonts w:ascii="Arial Narrow" w:hAnsi="Arial Narrow"/>
                <w:sz w:val="20"/>
                <w:szCs w:val="20"/>
                <w:vertAlign w:val="superscript"/>
              </w:rPr>
              <w:t>4</w:t>
            </w:r>
          </w:p>
        </w:tc>
        <w:tc>
          <w:tcPr>
            <w:tcW w:w="611" w:type="pct"/>
            <w:gridSpan w:val="2"/>
            <w:tcBorders>
              <w:right w:val="single" w:sz="4" w:space="0" w:color="auto"/>
            </w:tcBorders>
            <w:shd w:val="clear" w:color="auto" w:fill="auto"/>
            <w:vAlign w:val="center"/>
          </w:tcPr>
          <w:p w14:paraId="61664C4D" w14:textId="4FB38F34"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56"/>
                <w:sz w:val="20"/>
                <w:szCs w:val="20"/>
                <w:shd w:val="solid" w:color="000000" w:fill="000000"/>
                <w:fitText w:val="340" w:id="-1435748093"/>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40" w:id="-1435748093"/>
                <w14:textFill>
                  <w14:solidFill>
                    <w14:srgbClr w14:val="000000">
                      <w14:alpha w14:val="100000"/>
                    </w14:srgbClr>
                  </w14:solidFill>
                </w14:textFill>
              </w:rPr>
              <w:t>|</w:t>
            </w:r>
            <w:r w:rsidR="00C52845">
              <w:rPr>
                <w:rFonts w:ascii="Arial Narrow" w:hAnsi="Arial Narrow"/>
                <w:sz w:val="20"/>
                <w:szCs w:val="20"/>
                <w:vertAlign w:val="superscript"/>
              </w:rPr>
              <w:t>4</w:t>
            </w:r>
          </w:p>
        </w:tc>
        <w:tc>
          <w:tcPr>
            <w:tcW w:w="612" w:type="pct"/>
            <w:gridSpan w:val="2"/>
            <w:tcBorders>
              <w:right w:val="single" w:sz="4" w:space="0" w:color="auto"/>
            </w:tcBorders>
            <w:vAlign w:val="center"/>
          </w:tcPr>
          <w:p w14:paraId="2C8A21FC" w14:textId="3BCA63A7"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56"/>
                <w:sz w:val="20"/>
                <w:szCs w:val="20"/>
                <w:shd w:val="solid" w:color="000000" w:fill="000000"/>
                <w:fitText w:val="340" w:id="-1435748092"/>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40" w:id="-1435748092"/>
                <w14:textFill>
                  <w14:solidFill>
                    <w14:srgbClr w14:val="000000">
                      <w14:alpha w14:val="100000"/>
                    </w14:srgbClr>
                  </w14:solidFill>
                </w14:textFill>
              </w:rPr>
              <w:t>|</w:t>
            </w:r>
            <w:r w:rsidR="00C52845">
              <w:rPr>
                <w:rFonts w:ascii="Arial Narrow" w:hAnsi="Arial Narrow"/>
                <w:sz w:val="20"/>
                <w:szCs w:val="20"/>
                <w:vertAlign w:val="superscript"/>
              </w:rPr>
              <w:t>4</w:t>
            </w:r>
          </w:p>
        </w:tc>
      </w:tr>
      <w:tr w:rsidR="000F4B43" w:rsidRPr="00B36948" w14:paraId="1E3F89F6" w14:textId="77777777" w:rsidTr="00EF5796">
        <w:tc>
          <w:tcPr>
            <w:tcW w:w="1333" w:type="pct"/>
            <w:tcBorders>
              <w:left w:val="single" w:sz="4" w:space="0" w:color="auto"/>
            </w:tcBorders>
            <w:shd w:val="clear" w:color="auto" w:fill="auto"/>
            <w:vAlign w:val="center"/>
          </w:tcPr>
          <w:p w14:paraId="0D1A0DA1" w14:textId="77777777" w:rsidR="000F4B43" w:rsidRPr="00B36948" w:rsidRDefault="000F4B43" w:rsidP="000F4B43">
            <w:pPr>
              <w:keepNext/>
              <w:jc w:val="left"/>
              <w:rPr>
                <w:rFonts w:ascii="Arial Narrow" w:hAnsi="Arial Narrow"/>
                <w:bCs/>
                <w:sz w:val="20"/>
                <w:szCs w:val="20"/>
              </w:rPr>
            </w:pPr>
            <w:r w:rsidRPr="00B36948">
              <w:rPr>
                <w:rFonts w:ascii="Arial Narrow" w:hAnsi="Arial Narrow"/>
                <w:sz w:val="20"/>
                <w:szCs w:val="20"/>
              </w:rPr>
              <w:t>Treated patients</w:t>
            </w:r>
          </w:p>
        </w:tc>
        <w:tc>
          <w:tcPr>
            <w:tcW w:w="611" w:type="pct"/>
            <w:gridSpan w:val="2"/>
            <w:tcBorders>
              <w:bottom w:val="single" w:sz="4" w:space="0" w:color="auto"/>
            </w:tcBorders>
            <w:shd w:val="clear" w:color="auto" w:fill="auto"/>
            <w:vAlign w:val="center"/>
          </w:tcPr>
          <w:p w14:paraId="3B89938F" w14:textId="3CD26FCE" w:rsidR="000F4B43" w:rsidRPr="00C52845" w:rsidRDefault="00650CB8" w:rsidP="000F4B43">
            <w:pPr>
              <w:keepNext/>
              <w:jc w:val="center"/>
              <w:rPr>
                <w:rFonts w:ascii="Arial Narrow" w:hAnsi="Arial Narrow"/>
                <w:sz w:val="20"/>
                <w:szCs w:val="20"/>
                <w:highlight w:val="darkGray"/>
                <w:vertAlign w:val="superscript"/>
              </w:rPr>
            </w:pPr>
            <w:r w:rsidRPr="00650CB8">
              <w:rPr>
                <w:rFonts w:ascii="Arial Narrow" w:hAnsi="Arial Narrow"/>
                <w:color w:val="000000"/>
                <w:spacing w:val="56"/>
                <w:sz w:val="20"/>
                <w:szCs w:val="20"/>
                <w:shd w:val="solid" w:color="000000" w:fill="000000"/>
                <w:fitText w:val="340" w:id="-1435748091"/>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40" w:id="-1435748091"/>
                <w14:textFill>
                  <w14:solidFill>
                    <w14:srgbClr w14:val="000000">
                      <w14:alpha w14:val="100000"/>
                    </w14:srgbClr>
                  </w14:solidFill>
                </w14:textFill>
              </w:rPr>
              <w:t>|</w:t>
            </w:r>
            <w:r w:rsidR="00C52845" w:rsidRPr="00C52845">
              <w:rPr>
                <w:rFonts w:ascii="Arial Narrow" w:hAnsi="Arial Narrow"/>
                <w:sz w:val="20"/>
                <w:szCs w:val="20"/>
                <w:vertAlign w:val="superscript"/>
              </w:rPr>
              <w:t>1</w:t>
            </w:r>
          </w:p>
        </w:tc>
        <w:tc>
          <w:tcPr>
            <w:tcW w:w="611" w:type="pct"/>
            <w:gridSpan w:val="2"/>
            <w:tcBorders>
              <w:bottom w:val="single" w:sz="4" w:space="0" w:color="auto"/>
            </w:tcBorders>
            <w:shd w:val="clear" w:color="auto" w:fill="auto"/>
            <w:vAlign w:val="center"/>
          </w:tcPr>
          <w:p w14:paraId="27EEA606" w14:textId="5E4949E2"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56"/>
                <w:sz w:val="20"/>
                <w:szCs w:val="20"/>
                <w:shd w:val="solid" w:color="000000" w:fill="000000"/>
                <w:fitText w:val="340" w:id="-1435748090"/>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40" w:id="-1435748090"/>
                <w14:textFill>
                  <w14:solidFill>
                    <w14:srgbClr w14:val="000000">
                      <w14:alpha w14:val="100000"/>
                    </w14:srgbClr>
                  </w14:solidFill>
                </w14:textFill>
              </w:rPr>
              <w:t>|</w:t>
            </w:r>
            <w:r w:rsidR="00C52845" w:rsidRPr="00C52845">
              <w:rPr>
                <w:rFonts w:ascii="Arial Narrow" w:hAnsi="Arial Narrow"/>
                <w:sz w:val="20"/>
                <w:szCs w:val="20"/>
                <w:vertAlign w:val="superscript"/>
              </w:rPr>
              <w:t>1</w:t>
            </w:r>
          </w:p>
        </w:tc>
        <w:tc>
          <w:tcPr>
            <w:tcW w:w="611" w:type="pct"/>
            <w:gridSpan w:val="2"/>
            <w:tcBorders>
              <w:bottom w:val="single" w:sz="4" w:space="0" w:color="auto"/>
            </w:tcBorders>
            <w:shd w:val="clear" w:color="auto" w:fill="auto"/>
            <w:vAlign w:val="center"/>
          </w:tcPr>
          <w:p w14:paraId="0963FC30" w14:textId="25FA4F90"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56"/>
                <w:sz w:val="20"/>
                <w:szCs w:val="20"/>
                <w:shd w:val="solid" w:color="000000" w:fill="000000"/>
                <w:fitText w:val="340" w:id="-1435748089"/>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40" w:id="-1435748089"/>
                <w14:textFill>
                  <w14:solidFill>
                    <w14:srgbClr w14:val="000000">
                      <w14:alpha w14:val="100000"/>
                    </w14:srgbClr>
                  </w14:solidFill>
                </w14:textFill>
              </w:rPr>
              <w:t>|</w:t>
            </w:r>
            <w:r w:rsidR="00C52845" w:rsidRPr="00C52845">
              <w:rPr>
                <w:rFonts w:ascii="Arial Narrow" w:hAnsi="Arial Narrow"/>
                <w:sz w:val="20"/>
                <w:szCs w:val="20"/>
                <w:vertAlign w:val="superscript"/>
              </w:rPr>
              <w:t>1</w:t>
            </w:r>
          </w:p>
        </w:tc>
        <w:tc>
          <w:tcPr>
            <w:tcW w:w="611" w:type="pct"/>
            <w:gridSpan w:val="2"/>
            <w:tcBorders>
              <w:bottom w:val="single" w:sz="4" w:space="0" w:color="auto"/>
            </w:tcBorders>
            <w:shd w:val="clear" w:color="auto" w:fill="auto"/>
            <w:vAlign w:val="center"/>
          </w:tcPr>
          <w:p w14:paraId="5BCE8644" w14:textId="52B1FF97"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56"/>
                <w:sz w:val="20"/>
                <w:szCs w:val="20"/>
                <w:shd w:val="solid" w:color="000000" w:fill="000000"/>
                <w:fitText w:val="340" w:id="-1435748088"/>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40" w:id="-1435748088"/>
                <w14:textFill>
                  <w14:solidFill>
                    <w14:srgbClr w14:val="000000">
                      <w14:alpha w14:val="100000"/>
                    </w14:srgbClr>
                  </w14:solidFill>
                </w14:textFill>
              </w:rPr>
              <w:t>|</w:t>
            </w:r>
            <w:r w:rsidR="00C52845">
              <w:rPr>
                <w:rFonts w:ascii="Arial Narrow" w:hAnsi="Arial Narrow"/>
                <w:sz w:val="20"/>
                <w:szCs w:val="20"/>
                <w:vertAlign w:val="superscript"/>
              </w:rPr>
              <w:t>4</w:t>
            </w:r>
          </w:p>
        </w:tc>
        <w:tc>
          <w:tcPr>
            <w:tcW w:w="611" w:type="pct"/>
            <w:gridSpan w:val="2"/>
            <w:tcBorders>
              <w:bottom w:val="single" w:sz="4" w:space="0" w:color="auto"/>
              <w:right w:val="single" w:sz="4" w:space="0" w:color="auto"/>
            </w:tcBorders>
            <w:shd w:val="clear" w:color="auto" w:fill="auto"/>
            <w:vAlign w:val="center"/>
          </w:tcPr>
          <w:p w14:paraId="1D01CDD3" w14:textId="061A871B"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56"/>
                <w:sz w:val="20"/>
                <w:szCs w:val="20"/>
                <w:shd w:val="solid" w:color="000000" w:fill="000000"/>
                <w:fitText w:val="340" w:id="-1435748087"/>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40" w:id="-1435748087"/>
                <w14:textFill>
                  <w14:solidFill>
                    <w14:srgbClr w14:val="000000">
                      <w14:alpha w14:val="100000"/>
                    </w14:srgbClr>
                  </w14:solidFill>
                </w14:textFill>
              </w:rPr>
              <w:t>|</w:t>
            </w:r>
            <w:r w:rsidR="00C52845">
              <w:rPr>
                <w:rFonts w:ascii="Arial Narrow" w:hAnsi="Arial Narrow"/>
                <w:sz w:val="20"/>
                <w:szCs w:val="20"/>
                <w:vertAlign w:val="superscript"/>
              </w:rPr>
              <w:t>4</w:t>
            </w:r>
          </w:p>
        </w:tc>
        <w:tc>
          <w:tcPr>
            <w:tcW w:w="612" w:type="pct"/>
            <w:gridSpan w:val="2"/>
            <w:tcBorders>
              <w:bottom w:val="single" w:sz="4" w:space="0" w:color="auto"/>
              <w:right w:val="single" w:sz="4" w:space="0" w:color="auto"/>
            </w:tcBorders>
            <w:vAlign w:val="center"/>
          </w:tcPr>
          <w:p w14:paraId="6941D970" w14:textId="73EF39FC"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56"/>
                <w:sz w:val="20"/>
                <w:szCs w:val="20"/>
                <w:shd w:val="solid" w:color="000000" w:fill="000000"/>
                <w:fitText w:val="340" w:id="-1435748086"/>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40" w:id="-1435748086"/>
                <w14:textFill>
                  <w14:solidFill>
                    <w14:srgbClr w14:val="000000">
                      <w14:alpha w14:val="100000"/>
                    </w14:srgbClr>
                  </w14:solidFill>
                </w14:textFill>
              </w:rPr>
              <w:t>|</w:t>
            </w:r>
            <w:r w:rsidR="00C52845">
              <w:rPr>
                <w:rFonts w:ascii="Arial Narrow" w:hAnsi="Arial Narrow"/>
                <w:sz w:val="20"/>
                <w:szCs w:val="20"/>
                <w:vertAlign w:val="superscript"/>
              </w:rPr>
              <w:t>4</w:t>
            </w:r>
          </w:p>
        </w:tc>
      </w:tr>
      <w:tr w:rsidR="000F4B43" w:rsidRPr="00B36948" w14:paraId="5102AA97" w14:textId="77777777" w:rsidTr="00EF5796">
        <w:tc>
          <w:tcPr>
            <w:tcW w:w="1333" w:type="pct"/>
            <w:tcBorders>
              <w:left w:val="single" w:sz="4" w:space="0" w:color="auto"/>
            </w:tcBorders>
            <w:shd w:val="clear" w:color="auto" w:fill="auto"/>
            <w:vAlign w:val="center"/>
          </w:tcPr>
          <w:p w14:paraId="069C67E8" w14:textId="77777777" w:rsidR="000F4B43" w:rsidRPr="00B36948" w:rsidRDefault="000F4B43" w:rsidP="000F4B43">
            <w:pPr>
              <w:keepNext/>
              <w:jc w:val="left"/>
              <w:rPr>
                <w:rFonts w:ascii="Arial Narrow" w:hAnsi="Arial Narrow"/>
                <w:sz w:val="20"/>
                <w:szCs w:val="20"/>
              </w:rPr>
            </w:pPr>
            <w:r w:rsidRPr="00B36948">
              <w:rPr>
                <w:rFonts w:ascii="Arial Narrow" w:hAnsi="Arial Narrow"/>
                <w:sz w:val="20"/>
                <w:szCs w:val="20"/>
              </w:rPr>
              <w:t>Number of scripts</w:t>
            </w:r>
          </w:p>
        </w:tc>
        <w:tc>
          <w:tcPr>
            <w:tcW w:w="611" w:type="pct"/>
            <w:gridSpan w:val="2"/>
            <w:tcBorders>
              <w:top w:val="single" w:sz="4" w:space="0" w:color="auto"/>
              <w:left w:val="nil"/>
              <w:bottom w:val="single" w:sz="4" w:space="0" w:color="auto"/>
              <w:right w:val="single" w:sz="4" w:space="0" w:color="auto"/>
            </w:tcBorders>
            <w:shd w:val="clear" w:color="auto" w:fill="auto"/>
            <w:vAlign w:val="center"/>
          </w:tcPr>
          <w:p w14:paraId="394AD1F9" w14:textId="28AF38CD"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66"/>
                <w:sz w:val="20"/>
                <w:szCs w:val="20"/>
                <w:shd w:val="solid" w:color="000000" w:fill="000000"/>
                <w:fitText w:val="370" w:id="-1435748085"/>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70" w:id="-1435748085"/>
                <w14:textFill>
                  <w14:solidFill>
                    <w14:srgbClr w14:val="000000">
                      <w14:alpha w14:val="100000"/>
                    </w14:srgbClr>
                  </w14:solidFill>
                </w14:textFill>
              </w:rPr>
              <w:t>|</w:t>
            </w:r>
            <w:r w:rsidR="00C52845" w:rsidRPr="00C52845">
              <w:rPr>
                <w:rFonts w:ascii="Arial Narrow" w:hAnsi="Arial Narrow"/>
                <w:sz w:val="20"/>
                <w:szCs w:val="20"/>
                <w:vertAlign w:val="superscript"/>
              </w:rPr>
              <w:t>1</w:t>
            </w:r>
            <w:r w:rsidR="00201F4E">
              <w:rPr>
                <w:rFonts w:ascii="Arial Narrow" w:hAnsi="Arial Narrow"/>
                <w:sz w:val="20"/>
                <w:szCs w:val="20"/>
                <w:vertAlign w:val="superscript"/>
              </w:rPr>
              <w:t>1</w:t>
            </w:r>
          </w:p>
        </w:tc>
        <w:tc>
          <w:tcPr>
            <w:tcW w:w="6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661B1F" w14:textId="546974B0"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66"/>
                <w:sz w:val="20"/>
                <w:szCs w:val="20"/>
                <w:shd w:val="solid" w:color="000000" w:fill="000000"/>
                <w:fitText w:val="370" w:id="-1435748084"/>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70" w:id="-1435748084"/>
                <w14:textFill>
                  <w14:solidFill>
                    <w14:srgbClr w14:val="000000">
                      <w14:alpha w14:val="100000"/>
                    </w14:srgbClr>
                  </w14:solidFill>
                </w14:textFill>
              </w:rPr>
              <w:t>|</w:t>
            </w:r>
            <w:r w:rsidR="00C52845" w:rsidRPr="00C52845">
              <w:rPr>
                <w:rFonts w:ascii="Arial Narrow" w:hAnsi="Arial Narrow"/>
                <w:sz w:val="20"/>
                <w:szCs w:val="20"/>
                <w:vertAlign w:val="superscript"/>
              </w:rPr>
              <w:t>1</w:t>
            </w:r>
            <w:r w:rsidR="00201F4E">
              <w:rPr>
                <w:rFonts w:ascii="Arial Narrow" w:hAnsi="Arial Narrow"/>
                <w:sz w:val="20"/>
                <w:szCs w:val="20"/>
                <w:vertAlign w:val="superscript"/>
              </w:rPr>
              <w:t>2</w:t>
            </w:r>
          </w:p>
        </w:tc>
        <w:tc>
          <w:tcPr>
            <w:tcW w:w="6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2B29B0" w14:textId="6AF0C274"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56"/>
                <w:sz w:val="20"/>
                <w:szCs w:val="20"/>
                <w:shd w:val="solid" w:color="000000" w:fill="000000"/>
                <w:fitText w:val="340" w:id="-1435748083"/>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40" w:id="-1435748083"/>
                <w14:textFill>
                  <w14:solidFill>
                    <w14:srgbClr w14:val="000000">
                      <w14:alpha w14:val="100000"/>
                    </w14:srgbClr>
                  </w14:solidFill>
                </w14:textFill>
              </w:rPr>
              <w:t>|</w:t>
            </w:r>
            <w:r w:rsidR="00C52845">
              <w:rPr>
                <w:rFonts w:ascii="Arial Narrow" w:hAnsi="Arial Narrow"/>
                <w:sz w:val="20"/>
                <w:szCs w:val="20"/>
                <w:vertAlign w:val="superscript"/>
              </w:rPr>
              <w:t>6</w:t>
            </w:r>
          </w:p>
        </w:tc>
        <w:tc>
          <w:tcPr>
            <w:tcW w:w="6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EB0BF9" w14:textId="157B27EE"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56"/>
                <w:sz w:val="20"/>
                <w:szCs w:val="20"/>
                <w:shd w:val="solid" w:color="000000" w:fill="000000"/>
                <w:fitText w:val="340" w:id="-1435748082"/>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40" w:id="-1435748082"/>
                <w14:textFill>
                  <w14:solidFill>
                    <w14:srgbClr w14:val="000000">
                      <w14:alpha w14:val="100000"/>
                    </w14:srgbClr>
                  </w14:solidFill>
                </w14:textFill>
              </w:rPr>
              <w:t>|</w:t>
            </w:r>
            <w:r w:rsidR="00C52845" w:rsidRPr="00C52845">
              <w:rPr>
                <w:rFonts w:ascii="Arial Narrow" w:hAnsi="Arial Narrow"/>
                <w:sz w:val="20"/>
                <w:szCs w:val="20"/>
                <w:vertAlign w:val="superscript"/>
              </w:rPr>
              <w:t>7</w:t>
            </w:r>
          </w:p>
        </w:tc>
        <w:tc>
          <w:tcPr>
            <w:tcW w:w="6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370A6D" w14:textId="728766AB"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56"/>
                <w:sz w:val="20"/>
                <w:szCs w:val="20"/>
                <w:shd w:val="solid" w:color="000000" w:fill="000000"/>
                <w:fitText w:val="340" w:id="-1435748081"/>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40" w:id="-1435748081"/>
                <w14:textFill>
                  <w14:solidFill>
                    <w14:srgbClr w14:val="000000">
                      <w14:alpha w14:val="100000"/>
                    </w14:srgbClr>
                  </w14:solidFill>
                </w14:textFill>
              </w:rPr>
              <w:t>|</w:t>
            </w:r>
            <w:r w:rsidR="00C52845" w:rsidRPr="00C52845">
              <w:rPr>
                <w:rFonts w:ascii="Arial Narrow" w:hAnsi="Arial Narrow"/>
                <w:sz w:val="20"/>
                <w:szCs w:val="20"/>
                <w:vertAlign w:val="superscript"/>
              </w:rPr>
              <w:t>7</w:t>
            </w:r>
          </w:p>
        </w:tc>
        <w:tc>
          <w:tcPr>
            <w:tcW w:w="6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97CF90" w14:textId="6E8CEBC1" w:rsidR="000F4B43" w:rsidRPr="00E736F6" w:rsidRDefault="00650CB8" w:rsidP="000F4B43">
            <w:pPr>
              <w:keepNext/>
              <w:jc w:val="center"/>
              <w:rPr>
                <w:rFonts w:ascii="Arial Narrow" w:hAnsi="Arial Narrow"/>
                <w:sz w:val="20"/>
                <w:szCs w:val="20"/>
                <w:highlight w:val="darkGray"/>
              </w:rPr>
            </w:pPr>
            <w:r w:rsidRPr="00650CB8">
              <w:rPr>
                <w:rFonts w:ascii="Arial Narrow" w:hAnsi="Arial Narrow"/>
                <w:color w:val="000000"/>
                <w:spacing w:val="56"/>
                <w:sz w:val="20"/>
                <w:szCs w:val="20"/>
                <w:shd w:val="solid" w:color="000000" w:fill="000000"/>
                <w:fitText w:val="340" w:id="-1435748080"/>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40" w:id="-1435748080"/>
                <w14:textFill>
                  <w14:solidFill>
                    <w14:srgbClr w14:val="000000">
                      <w14:alpha w14:val="100000"/>
                    </w14:srgbClr>
                  </w14:solidFill>
                </w14:textFill>
              </w:rPr>
              <w:t>|</w:t>
            </w:r>
            <w:r w:rsidR="00C52845" w:rsidRPr="00C52845">
              <w:rPr>
                <w:rFonts w:ascii="Arial Narrow" w:hAnsi="Arial Narrow"/>
                <w:sz w:val="20"/>
                <w:szCs w:val="20"/>
                <w:vertAlign w:val="superscript"/>
              </w:rPr>
              <w:t>7</w:t>
            </w:r>
          </w:p>
        </w:tc>
      </w:tr>
      <w:tr w:rsidR="000F4B43" w:rsidRPr="00B36948" w14:paraId="0F49374C" w14:textId="77777777" w:rsidTr="00EF5796">
        <w:tc>
          <w:tcPr>
            <w:tcW w:w="1333" w:type="pct"/>
            <w:tcBorders>
              <w:left w:val="single" w:sz="4" w:space="0" w:color="auto"/>
              <w:bottom w:val="single" w:sz="4" w:space="0" w:color="auto"/>
            </w:tcBorders>
            <w:shd w:val="clear" w:color="auto" w:fill="auto"/>
            <w:vAlign w:val="center"/>
          </w:tcPr>
          <w:p w14:paraId="6E57569E" w14:textId="77777777" w:rsidR="000F4B43" w:rsidRPr="00B36948" w:rsidRDefault="000F4B43" w:rsidP="000F4B43">
            <w:pPr>
              <w:keepNext/>
              <w:jc w:val="left"/>
              <w:rPr>
                <w:rFonts w:ascii="Arial Narrow" w:hAnsi="Arial Narrow"/>
                <w:bCs/>
                <w:sz w:val="20"/>
                <w:szCs w:val="20"/>
              </w:rPr>
            </w:pPr>
            <w:r w:rsidRPr="00B36948">
              <w:rPr>
                <w:rFonts w:ascii="Arial Narrow" w:hAnsi="Arial Narrow"/>
                <w:b/>
                <w:sz w:val="20"/>
                <w:szCs w:val="20"/>
              </w:rPr>
              <w:t>Total cost less copayment</w:t>
            </w:r>
          </w:p>
        </w:tc>
        <w:tc>
          <w:tcPr>
            <w:tcW w:w="611" w:type="pct"/>
            <w:gridSpan w:val="2"/>
            <w:tcBorders>
              <w:top w:val="single" w:sz="4" w:space="0" w:color="auto"/>
            </w:tcBorders>
            <w:shd w:val="clear" w:color="auto" w:fill="auto"/>
            <w:vAlign w:val="bottom"/>
          </w:tcPr>
          <w:p w14:paraId="27A2DD97" w14:textId="7B8DD417" w:rsidR="000F4B43" w:rsidRPr="00B36948" w:rsidRDefault="000F4B43" w:rsidP="000F4B43">
            <w:pPr>
              <w:keepNext/>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55"/>
                <w:sz w:val="20"/>
                <w:szCs w:val="20"/>
                <w:shd w:val="solid" w:color="000000" w:fill="000000"/>
                <w:fitText w:val="350" w:id="-1435748096"/>
                <w14:textFill>
                  <w14:solidFill>
                    <w14:srgbClr w14:val="000000">
                      <w14:alpha w14:val="100000"/>
                    </w14:srgbClr>
                  </w14:solidFill>
                </w14:textFill>
              </w:rPr>
              <w:t>|||</w:t>
            </w:r>
            <w:r w:rsidR="00650CB8" w:rsidRPr="00650CB8">
              <w:rPr>
                <w:rFonts w:ascii="Arial Narrow" w:hAnsi="Arial Narrow"/>
                <w:b/>
                <w:bCs/>
                <w:color w:val="000000"/>
                <w:spacing w:val="2"/>
                <w:sz w:val="20"/>
                <w:szCs w:val="20"/>
                <w:shd w:val="solid" w:color="000000" w:fill="000000"/>
                <w:fitText w:val="350" w:id="-1435748096"/>
                <w14:textFill>
                  <w14:solidFill>
                    <w14:srgbClr w14:val="000000">
                      <w14:alpha w14:val="100000"/>
                    </w14:srgbClr>
                  </w14:solidFill>
                </w14:textFill>
              </w:rPr>
              <w:t>|</w:t>
            </w:r>
            <w:r w:rsidR="00C52845">
              <w:rPr>
                <w:rFonts w:ascii="Arial Narrow" w:hAnsi="Arial Narrow"/>
                <w:sz w:val="20"/>
                <w:szCs w:val="20"/>
                <w:vertAlign w:val="superscript"/>
              </w:rPr>
              <w:t>3</w:t>
            </w:r>
          </w:p>
        </w:tc>
        <w:tc>
          <w:tcPr>
            <w:tcW w:w="611" w:type="pct"/>
            <w:gridSpan w:val="2"/>
            <w:tcBorders>
              <w:top w:val="single" w:sz="4" w:space="0" w:color="auto"/>
            </w:tcBorders>
            <w:shd w:val="clear" w:color="auto" w:fill="auto"/>
            <w:vAlign w:val="bottom"/>
          </w:tcPr>
          <w:p w14:paraId="2E1BBCCD" w14:textId="29FCA7CF" w:rsidR="000F4B43" w:rsidRPr="00B36948" w:rsidRDefault="000F4B43" w:rsidP="000F4B43">
            <w:pPr>
              <w:keepNext/>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55"/>
                <w:sz w:val="20"/>
                <w:szCs w:val="20"/>
                <w:shd w:val="solid" w:color="000000" w:fill="000000"/>
                <w:fitText w:val="350" w:id="-1435748095"/>
                <w14:textFill>
                  <w14:solidFill>
                    <w14:srgbClr w14:val="000000">
                      <w14:alpha w14:val="100000"/>
                    </w14:srgbClr>
                  </w14:solidFill>
                </w14:textFill>
              </w:rPr>
              <w:t>|||</w:t>
            </w:r>
            <w:r w:rsidR="00650CB8" w:rsidRPr="00650CB8">
              <w:rPr>
                <w:rFonts w:ascii="Arial Narrow" w:hAnsi="Arial Narrow"/>
                <w:b/>
                <w:bCs/>
                <w:color w:val="000000"/>
                <w:spacing w:val="2"/>
                <w:sz w:val="20"/>
                <w:szCs w:val="20"/>
                <w:shd w:val="solid" w:color="000000" w:fill="000000"/>
                <w:fitText w:val="350" w:id="-1435748095"/>
                <w14:textFill>
                  <w14:solidFill>
                    <w14:srgbClr w14:val="000000">
                      <w14:alpha w14:val="100000"/>
                    </w14:srgbClr>
                  </w14:solidFill>
                </w14:textFill>
              </w:rPr>
              <w:t>|</w:t>
            </w:r>
            <w:r w:rsidR="00C52845">
              <w:rPr>
                <w:rFonts w:ascii="Arial Narrow" w:hAnsi="Arial Narrow"/>
                <w:sz w:val="20"/>
                <w:szCs w:val="20"/>
                <w:vertAlign w:val="superscript"/>
              </w:rPr>
              <w:t>3</w:t>
            </w:r>
          </w:p>
        </w:tc>
        <w:tc>
          <w:tcPr>
            <w:tcW w:w="611" w:type="pct"/>
            <w:gridSpan w:val="2"/>
            <w:tcBorders>
              <w:top w:val="single" w:sz="4" w:space="0" w:color="auto"/>
            </w:tcBorders>
            <w:shd w:val="clear" w:color="auto" w:fill="auto"/>
            <w:vAlign w:val="bottom"/>
          </w:tcPr>
          <w:p w14:paraId="7926E13B" w14:textId="5083E1EA" w:rsidR="000F4B43" w:rsidRPr="00B36948" w:rsidRDefault="000F4B43" w:rsidP="000F4B43">
            <w:pPr>
              <w:keepNext/>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55"/>
                <w:sz w:val="20"/>
                <w:szCs w:val="20"/>
                <w:shd w:val="solid" w:color="000000" w:fill="000000"/>
                <w:fitText w:val="350" w:id="-1435748094"/>
                <w14:textFill>
                  <w14:solidFill>
                    <w14:srgbClr w14:val="000000">
                      <w14:alpha w14:val="100000"/>
                    </w14:srgbClr>
                  </w14:solidFill>
                </w14:textFill>
              </w:rPr>
              <w:t>|||</w:t>
            </w:r>
            <w:r w:rsidR="00650CB8" w:rsidRPr="00650CB8">
              <w:rPr>
                <w:rFonts w:ascii="Arial Narrow" w:hAnsi="Arial Narrow"/>
                <w:b/>
                <w:bCs/>
                <w:color w:val="000000"/>
                <w:spacing w:val="2"/>
                <w:sz w:val="20"/>
                <w:szCs w:val="20"/>
                <w:shd w:val="solid" w:color="000000" w:fill="000000"/>
                <w:fitText w:val="350" w:id="-1435748094"/>
                <w14:textFill>
                  <w14:solidFill>
                    <w14:srgbClr w14:val="000000">
                      <w14:alpha w14:val="100000"/>
                    </w14:srgbClr>
                  </w14:solidFill>
                </w14:textFill>
              </w:rPr>
              <w:t>|</w:t>
            </w:r>
            <w:r w:rsidR="00C52845">
              <w:rPr>
                <w:rFonts w:ascii="Arial Narrow" w:hAnsi="Arial Narrow"/>
                <w:sz w:val="20"/>
                <w:szCs w:val="20"/>
                <w:vertAlign w:val="superscript"/>
              </w:rPr>
              <w:t>3</w:t>
            </w:r>
          </w:p>
        </w:tc>
        <w:tc>
          <w:tcPr>
            <w:tcW w:w="611" w:type="pct"/>
            <w:gridSpan w:val="2"/>
            <w:tcBorders>
              <w:top w:val="single" w:sz="4" w:space="0" w:color="auto"/>
            </w:tcBorders>
            <w:shd w:val="clear" w:color="auto" w:fill="auto"/>
            <w:vAlign w:val="bottom"/>
          </w:tcPr>
          <w:p w14:paraId="639B8FB0" w14:textId="02D43047" w:rsidR="000F4B43" w:rsidRPr="00B36948" w:rsidRDefault="000F4B43" w:rsidP="000F4B43">
            <w:pPr>
              <w:keepNext/>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65"/>
                <w:sz w:val="20"/>
                <w:szCs w:val="20"/>
                <w:shd w:val="solid" w:color="000000" w:fill="000000"/>
                <w:fitText w:val="380" w:id="-1435748093"/>
                <w14:textFill>
                  <w14:solidFill>
                    <w14:srgbClr w14:val="000000">
                      <w14:alpha w14:val="100000"/>
                    </w14:srgbClr>
                  </w14:solidFill>
                </w14:textFill>
              </w:rPr>
              <w:t>|||</w:t>
            </w:r>
            <w:r w:rsidR="00650CB8" w:rsidRPr="00650CB8">
              <w:rPr>
                <w:rFonts w:ascii="Arial Narrow" w:hAnsi="Arial Narrow"/>
                <w:b/>
                <w:bCs/>
                <w:color w:val="000000"/>
                <w:spacing w:val="2"/>
                <w:sz w:val="20"/>
                <w:szCs w:val="20"/>
                <w:shd w:val="solid" w:color="000000" w:fill="000000"/>
                <w:fitText w:val="380" w:id="-1435748093"/>
                <w14:textFill>
                  <w14:solidFill>
                    <w14:srgbClr w14:val="000000">
                      <w14:alpha w14:val="100000"/>
                    </w14:srgbClr>
                  </w14:solidFill>
                </w14:textFill>
              </w:rPr>
              <w:t>|</w:t>
            </w:r>
            <w:r w:rsidR="00201F4E" w:rsidRPr="00201F4E">
              <w:rPr>
                <w:rFonts w:ascii="Arial Narrow" w:hAnsi="Arial Narrow"/>
                <w:sz w:val="20"/>
                <w:szCs w:val="20"/>
                <w:vertAlign w:val="superscript"/>
              </w:rPr>
              <w:t>10</w:t>
            </w:r>
          </w:p>
        </w:tc>
        <w:tc>
          <w:tcPr>
            <w:tcW w:w="611" w:type="pct"/>
            <w:gridSpan w:val="2"/>
            <w:tcBorders>
              <w:top w:val="single" w:sz="4" w:space="0" w:color="auto"/>
              <w:right w:val="single" w:sz="4" w:space="0" w:color="auto"/>
            </w:tcBorders>
            <w:shd w:val="clear" w:color="auto" w:fill="auto"/>
            <w:vAlign w:val="bottom"/>
          </w:tcPr>
          <w:p w14:paraId="61E44B7F" w14:textId="4C137B04" w:rsidR="000F4B43" w:rsidRPr="00B36948" w:rsidRDefault="000F4B43" w:rsidP="000F4B43">
            <w:pPr>
              <w:keepNext/>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65"/>
                <w:sz w:val="20"/>
                <w:szCs w:val="20"/>
                <w:shd w:val="solid" w:color="000000" w:fill="000000"/>
                <w:fitText w:val="380" w:id="-1435748092"/>
                <w14:textFill>
                  <w14:solidFill>
                    <w14:srgbClr w14:val="000000">
                      <w14:alpha w14:val="100000"/>
                    </w14:srgbClr>
                  </w14:solidFill>
                </w14:textFill>
              </w:rPr>
              <w:t>|||</w:t>
            </w:r>
            <w:r w:rsidR="00650CB8" w:rsidRPr="00650CB8">
              <w:rPr>
                <w:rFonts w:ascii="Arial Narrow" w:hAnsi="Arial Narrow"/>
                <w:b/>
                <w:bCs/>
                <w:color w:val="000000"/>
                <w:spacing w:val="2"/>
                <w:sz w:val="20"/>
                <w:szCs w:val="20"/>
                <w:shd w:val="solid" w:color="000000" w:fill="000000"/>
                <w:fitText w:val="380" w:id="-1435748092"/>
                <w14:textFill>
                  <w14:solidFill>
                    <w14:srgbClr w14:val="000000">
                      <w14:alpha w14:val="100000"/>
                    </w14:srgbClr>
                  </w14:solidFill>
                </w14:textFill>
              </w:rPr>
              <w:t>|</w:t>
            </w:r>
            <w:r w:rsidR="00201F4E" w:rsidRPr="00201F4E">
              <w:rPr>
                <w:rFonts w:ascii="Arial Narrow" w:hAnsi="Arial Narrow"/>
                <w:sz w:val="20"/>
                <w:szCs w:val="20"/>
                <w:vertAlign w:val="superscript"/>
              </w:rPr>
              <w:t>10</w:t>
            </w:r>
          </w:p>
        </w:tc>
        <w:tc>
          <w:tcPr>
            <w:tcW w:w="612" w:type="pct"/>
            <w:gridSpan w:val="2"/>
            <w:tcBorders>
              <w:top w:val="single" w:sz="4" w:space="0" w:color="auto"/>
              <w:right w:val="single" w:sz="4" w:space="0" w:color="auto"/>
            </w:tcBorders>
            <w:vAlign w:val="bottom"/>
          </w:tcPr>
          <w:p w14:paraId="0E312AF2" w14:textId="408EB07D" w:rsidR="000F4B43" w:rsidRPr="00B36948" w:rsidRDefault="000F4B43" w:rsidP="000F4B43">
            <w:pPr>
              <w:keepNext/>
              <w:jc w:val="center"/>
              <w:rPr>
                <w:rFonts w:ascii="Arial Narrow" w:hAnsi="Arial Narrow"/>
                <w:b/>
                <w:bCs/>
                <w:sz w:val="20"/>
                <w:szCs w:val="20"/>
              </w:rPr>
            </w:pPr>
            <w:r w:rsidRPr="00B36948">
              <w:rPr>
                <w:rFonts w:ascii="Arial Narrow" w:hAnsi="Arial Narrow"/>
                <w:b/>
                <w:bCs/>
                <w:sz w:val="20"/>
                <w:szCs w:val="20"/>
              </w:rPr>
              <w:t>$</w:t>
            </w:r>
            <w:r w:rsidR="00650CB8" w:rsidRPr="00650CB8">
              <w:rPr>
                <w:rFonts w:ascii="Arial Narrow" w:hAnsi="Arial Narrow"/>
                <w:b/>
                <w:bCs/>
                <w:color w:val="000000"/>
                <w:spacing w:val="65"/>
                <w:sz w:val="20"/>
                <w:szCs w:val="20"/>
                <w:shd w:val="solid" w:color="000000" w:fill="000000"/>
                <w:fitText w:val="380" w:id="-1435748091"/>
                <w14:textFill>
                  <w14:solidFill>
                    <w14:srgbClr w14:val="000000">
                      <w14:alpha w14:val="100000"/>
                    </w14:srgbClr>
                  </w14:solidFill>
                </w14:textFill>
              </w:rPr>
              <w:t>|||</w:t>
            </w:r>
            <w:r w:rsidR="00650CB8" w:rsidRPr="00650CB8">
              <w:rPr>
                <w:rFonts w:ascii="Arial Narrow" w:hAnsi="Arial Narrow"/>
                <w:b/>
                <w:bCs/>
                <w:color w:val="000000"/>
                <w:spacing w:val="2"/>
                <w:sz w:val="20"/>
                <w:szCs w:val="20"/>
                <w:shd w:val="solid" w:color="000000" w:fill="000000"/>
                <w:fitText w:val="380" w:id="-1435748091"/>
                <w14:textFill>
                  <w14:solidFill>
                    <w14:srgbClr w14:val="000000">
                      <w14:alpha w14:val="100000"/>
                    </w14:srgbClr>
                  </w14:solidFill>
                </w14:textFill>
              </w:rPr>
              <w:t>|</w:t>
            </w:r>
            <w:r w:rsidR="00201F4E" w:rsidRPr="00201F4E">
              <w:rPr>
                <w:rFonts w:ascii="Arial Narrow" w:hAnsi="Arial Narrow"/>
                <w:sz w:val="20"/>
                <w:szCs w:val="20"/>
                <w:vertAlign w:val="superscript"/>
              </w:rPr>
              <w:t>10</w:t>
            </w:r>
          </w:p>
        </w:tc>
      </w:tr>
    </w:tbl>
    <w:p w14:paraId="06DB06A0" w14:textId="2733644E" w:rsidR="000F4B43" w:rsidRPr="00B36948" w:rsidRDefault="000F4B43" w:rsidP="000F4B43">
      <w:pPr>
        <w:pStyle w:val="TableFigureFooter"/>
      </w:pPr>
      <w:r w:rsidRPr="00B36948">
        <w:t xml:space="preserve">Source: Table 4.2-2, p37; Table 4.2-3, p37; Table 4.2-5, p38 of the submission; ‘Financial Analysis_Mar 22’ Excel spreadsheet; ‘Financial estimates_additional use only with </w:t>
      </w:r>
      <w:r w:rsidR="00650CB8" w:rsidRPr="00650CB8">
        <w:rPr>
          <w:color w:val="000000"/>
          <w:spacing w:val="16"/>
          <w:shd w:val="solid" w:color="000000" w:fill="000000"/>
          <w:fitText w:val="430" w:id="-1435748090"/>
          <w14:textFill>
            <w14:solidFill>
              <w14:srgbClr w14:val="000000">
                <w14:alpha w14:val="100000"/>
              </w14:srgbClr>
            </w14:solidFill>
          </w14:textFill>
        </w:rPr>
        <w:t>|||  ||</w:t>
      </w:r>
      <w:r w:rsidR="00650CB8" w:rsidRPr="00650CB8">
        <w:rPr>
          <w:color w:val="000000"/>
          <w:spacing w:val="6"/>
          <w:shd w:val="solid" w:color="000000" w:fill="000000"/>
          <w:fitText w:val="430" w:id="-1435748090"/>
          <w14:textFill>
            <w14:solidFill>
              <w14:srgbClr w14:val="000000">
                <w14:alpha w14:val="100000"/>
              </w14:srgbClr>
            </w14:solidFill>
          </w14:textFill>
        </w:rPr>
        <w:t>|</w:t>
      </w:r>
      <w:r w:rsidRPr="00B36948">
        <w:t>% rebate’ Excel spreadsheet, November 2019 PBAC submission; DUSC re-analysis, November 2019 PBAC submission.</w:t>
      </w:r>
    </w:p>
    <w:p w14:paraId="1B99DB74" w14:textId="0FD6D51E" w:rsidR="000F4B43" w:rsidRDefault="000F4B43" w:rsidP="000F4B43">
      <w:pPr>
        <w:pStyle w:val="TableFigureFooter"/>
      </w:pPr>
      <w:r w:rsidRPr="00B36948">
        <w:t>Abbreviations: ASCVD, atherosclerotic cardiovascular disease; DPMQ, dispensed price for maximum quantity; FH, familial hypercholesterolaemia; LDL, low-density lipoprotein.</w:t>
      </w:r>
    </w:p>
    <w:p w14:paraId="76D97755" w14:textId="77777777" w:rsidR="00C52845" w:rsidRPr="00181DAC" w:rsidRDefault="00C52845" w:rsidP="00C52845">
      <w:pPr>
        <w:pStyle w:val="TableFigureFooter"/>
        <w:keepNext/>
        <w:spacing w:after="0"/>
        <w:contextualSpacing w:val="0"/>
        <w:rPr>
          <w:i/>
        </w:rPr>
      </w:pPr>
      <w:bookmarkStart w:id="63" w:name="_Hlk113890947"/>
      <w:bookmarkStart w:id="64" w:name="_Hlk113885555"/>
      <w:r w:rsidRPr="00181DAC">
        <w:rPr>
          <w:i/>
        </w:rPr>
        <w:t>The redacted values correspond to the following ranges:</w:t>
      </w:r>
    </w:p>
    <w:p w14:paraId="0FC3F4A3" w14:textId="77777777" w:rsidR="00C52845" w:rsidRPr="00281DAB" w:rsidRDefault="00C52845" w:rsidP="00C52845">
      <w:pPr>
        <w:pStyle w:val="TableFigureFooter"/>
        <w:keepNext/>
        <w:spacing w:after="0"/>
        <w:contextualSpacing w:val="0"/>
      </w:pPr>
      <w:r w:rsidRPr="00181DAC">
        <w:rPr>
          <w:i/>
          <w:szCs w:val="18"/>
          <w:vertAlign w:val="superscript"/>
        </w:rPr>
        <w:t>1</w:t>
      </w:r>
      <w:r w:rsidRPr="00181DAC">
        <w:rPr>
          <w:i/>
          <w:szCs w:val="18"/>
        </w:rPr>
        <w:t xml:space="preserve"> 500 &lt;5,000</w:t>
      </w:r>
    </w:p>
    <w:p w14:paraId="6B8CD553" w14:textId="77777777" w:rsidR="00C52845" w:rsidRPr="00181DAC" w:rsidRDefault="00C52845" w:rsidP="00C52845">
      <w:pPr>
        <w:rPr>
          <w:rFonts w:ascii="Arial Narrow" w:hAnsi="Arial Narrow"/>
          <w:i/>
          <w:sz w:val="18"/>
          <w:szCs w:val="18"/>
        </w:rPr>
      </w:pPr>
      <w:r w:rsidRPr="00181DAC">
        <w:rPr>
          <w:rFonts w:ascii="Arial Narrow" w:hAnsi="Arial Narrow"/>
          <w:i/>
          <w:sz w:val="18"/>
          <w:szCs w:val="18"/>
          <w:vertAlign w:val="superscript"/>
        </w:rPr>
        <w:t>2</w:t>
      </w:r>
      <w:r w:rsidRPr="00181DAC">
        <w:rPr>
          <w:rFonts w:ascii="Arial Narrow" w:hAnsi="Arial Narrow"/>
          <w:i/>
          <w:sz w:val="18"/>
          <w:szCs w:val="18"/>
        </w:rPr>
        <w:t xml:space="preserve"> &lt;500</w:t>
      </w:r>
    </w:p>
    <w:p w14:paraId="14E0AF44" w14:textId="2C533020" w:rsidR="00C52845" w:rsidRPr="00181DAC" w:rsidRDefault="00C52845" w:rsidP="00C52845">
      <w:pPr>
        <w:rPr>
          <w:rFonts w:ascii="Arial Narrow" w:hAnsi="Arial Narrow"/>
          <w:i/>
          <w:sz w:val="18"/>
          <w:szCs w:val="18"/>
        </w:rPr>
      </w:pPr>
      <w:r w:rsidRPr="00181DAC">
        <w:rPr>
          <w:rFonts w:ascii="Arial Narrow" w:hAnsi="Arial Narrow"/>
          <w:i/>
          <w:sz w:val="18"/>
          <w:szCs w:val="18"/>
          <w:vertAlign w:val="superscript"/>
        </w:rPr>
        <w:t xml:space="preserve">3 </w:t>
      </w:r>
      <w:r w:rsidR="00201F4E" w:rsidRPr="00201F4E">
        <w:rPr>
          <w:rFonts w:ascii="Arial Narrow" w:hAnsi="Arial Narrow"/>
          <w:i/>
          <w:sz w:val="18"/>
          <w:szCs w:val="18"/>
        </w:rPr>
        <w:t>$0 to &lt; $10 million</w:t>
      </w:r>
    </w:p>
    <w:p w14:paraId="0AB07C94" w14:textId="6AA56AD1" w:rsidR="00C52845" w:rsidRPr="00181DAC" w:rsidRDefault="00C52845" w:rsidP="00C52845">
      <w:pPr>
        <w:rPr>
          <w:rFonts w:ascii="Arial Narrow" w:hAnsi="Arial Narrow"/>
          <w:i/>
          <w:sz w:val="18"/>
          <w:szCs w:val="18"/>
        </w:rPr>
      </w:pPr>
      <w:r w:rsidRPr="00181DAC">
        <w:rPr>
          <w:rFonts w:ascii="Arial Narrow" w:hAnsi="Arial Narrow"/>
          <w:i/>
          <w:sz w:val="18"/>
          <w:szCs w:val="18"/>
          <w:vertAlign w:val="superscript"/>
        </w:rPr>
        <w:t xml:space="preserve">4 </w:t>
      </w:r>
      <w:r w:rsidR="00201F4E" w:rsidRPr="00201F4E">
        <w:rPr>
          <w:rFonts w:ascii="Arial Narrow" w:hAnsi="Arial Narrow"/>
          <w:i/>
          <w:sz w:val="18"/>
          <w:szCs w:val="18"/>
        </w:rPr>
        <w:t>5,000 to &lt; 10,000</w:t>
      </w:r>
    </w:p>
    <w:p w14:paraId="2FA7E813" w14:textId="3DB6A694" w:rsidR="00C52845" w:rsidRPr="00181DAC" w:rsidRDefault="00C52845" w:rsidP="00C52845">
      <w:pPr>
        <w:rPr>
          <w:rFonts w:ascii="Arial Narrow" w:hAnsi="Arial Narrow"/>
          <w:i/>
          <w:sz w:val="18"/>
          <w:szCs w:val="18"/>
        </w:rPr>
      </w:pPr>
      <w:r w:rsidRPr="00181DAC">
        <w:rPr>
          <w:rFonts w:ascii="Arial Narrow" w:hAnsi="Arial Narrow"/>
          <w:i/>
          <w:sz w:val="18"/>
          <w:szCs w:val="18"/>
          <w:vertAlign w:val="superscript"/>
        </w:rPr>
        <w:t>5</w:t>
      </w:r>
      <w:r w:rsidRPr="00181DAC">
        <w:rPr>
          <w:rFonts w:ascii="Arial Narrow" w:hAnsi="Arial Narrow"/>
          <w:i/>
          <w:sz w:val="18"/>
          <w:szCs w:val="18"/>
        </w:rPr>
        <w:t xml:space="preserve"> </w:t>
      </w:r>
      <w:r w:rsidR="00201F4E" w:rsidRPr="00201F4E">
        <w:rPr>
          <w:rFonts w:ascii="Arial Narrow" w:hAnsi="Arial Narrow"/>
          <w:i/>
          <w:sz w:val="18"/>
          <w:szCs w:val="18"/>
        </w:rPr>
        <w:t>10,000 to &lt; 20,000</w:t>
      </w:r>
    </w:p>
    <w:p w14:paraId="577EDE1E" w14:textId="6DBF4384" w:rsidR="00C52845" w:rsidRPr="00181DAC" w:rsidRDefault="00C52845" w:rsidP="00C52845">
      <w:pPr>
        <w:rPr>
          <w:rFonts w:ascii="Arial Narrow" w:hAnsi="Arial Narrow"/>
          <w:i/>
          <w:sz w:val="18"/>
          <w:szCs w:val="18"/>
        </w:rPr>
      </w:pPr>
      <w:r w:rsidRPr="00181DAC">
        <w:rPr>
          <w:rFonts w:ascii="Arial Narrow" w:hAnsi="Arial Narrow"/>
          <w:i/>
          <w:sz w:val="18"/>
          <w:szCs w:val="18"/>
          <w:vertAlign w:val="superscript"/>
        </w:rPr>
        <w:t xml:space="preserve">6 </w:t>
      </w:r>
      <w:r w:rsidR="00201F4E" w:rsidRPr="00201F4E">
        <w:rPr>
          <w:rFonts w:ascii="Arial Narrow" w:hAnsi="Arial Narrow"/>
          <w:i/>
          <w:sz w:val="18"/>
          <w:szCs w:val="18"/>
        </w:rPr>
        <w:t>40,000 to &lt; 50,000</w:t>
      </w:r>
    </w:p>
    <w:p w14:paraId="391C0E19" w14:textId="630E62C3" w:rsidR="00C52845" w:rsidRPr="00181DAC" w:rsidRDefault="00C52845" w:rsidP="00C52845">
      <w:pPr>
        <w:rPr>
          <w:rFonts w:ascii="Arial Narrow" w:hAnsi="Arial Narrow"/>
          <w:i/>
          <w:sz w:val="18"/>
          <w:szCs w:val="18"/>
          <w:vertAlign w:val="superscript"/>
        </w:rPr>
      </w:pPr>
      <w:r w:rsidRPr="00181DAC">
        <w:rPr>
          <w:rFonts w:ascii="Arial Narrow" w:hAnsi="Arial Narrow"/>
          <w:i/>
          <w:sz w:val="18"/>
          <w:szCs w:val="18"/>
          <w:vertAlign w:val="superscript"/>
        </w:rPr>
        <w:t xml:space="preserve">7 </w:t>
      </w:r>
      <w:r w:rsidR="00201F4E" w:rsidRPr="00201F4E">
        <w:rPr>
          <w:rFonts w:ascii="Arial Narrow" w:hAnsi="Arial Narrow"/>
          <w:i/>
          <w:sz w:val="18"/>
          <w:szCs w:val="18"/>
        </w:rPr>
        <w:t>60,000 to &lt; 70,000</w:t>
      </w:r>
    </w:p>
    <w:bookmarkEnd w:id="63"/>
    <w:p w14:paraId="0455AFD3" w14:textId="3C87A437" w:rsidR="00C52845" w:rsidRPr="00181DAC" w:rsidRDefault="00C52845" w:rsidP="00C52845">
      <w:pPr>
        <w:rPr>
          <w:rFonts w:ascii="Arial Narrow" w:hAnsi="Arial Narrow"/>
          <w:i/>
          <w:sz w:val="18"/>
          <w:szCs w:val="18"/>
          <w:vertAlign w:val="superscript"/>
        </w:rPr>
      </w:pPr>
      <w:r w:rsidRPr="00181DAC">
        <w:rPr>
          <w:rFonts w:ascii="Arial Narrow" w:hAnsi="Arial Narrow"/>
          <w:sz w:val="18"/>
          <w:szCs w:val="18"/>
          <w:vertAlign w:val="superscript"/>
        </w:rPr>
        <w:t xml:space="preserve">8 </w:t>
      </w:r>
      <w:r w:rsidR="00201F4E">
        <w:rPr>
          <w:rFonts w:ascii="Arial Narrow" w:hAnsi="Arial Narrow"/>
          <w:i/>
          <w:sz w:val="18"/>
          <w:szCs w:val="18"/>
        </w:rPr>
        <w:t>8</w:t>
      </w:r>
      <w:r w:rsidR="00201F4E" w:rsidRPr="00201F4E">
        <w:rPr>
          <w:rFonts w:ascii="Arial Narrow" w:hAnsi="Arial Narrow"/>
          <w:i/>
          <w:sz w:val="18"/>
          <w:szCs w:val="18"/>
        </w:rPr>
        <w:t>0,000 to &lt; 90,000</w:t>
      </w:r>
    </w:p>
    <w:p w14:paraId="6646E3DA" w14:textId="19DB526A" w:rsidR="00C52845" w:rsidRDefault="00C52845" w:rsidP="00C52845">
      <w:pPr>
        <w:rPr>
          <w:rFonts w:ascii="Arial Narrow" w:hAnsi="Arial Narrow"/>
          <w:i/>
          <w:sz w:val="18"/>
          <w:szCs w:val="18"/>
        </w:rPr>
      </w:pPr>
      <w:r w:rsidRPr="00181DAC">
        <w:rPr>
          <w:rFonts w:ascii="Arial Narrow" w:hAnsi="Arial Narrow"/>
          <w:sz w:val="18"/>
          <w:szCs w:val="18"/>
          <w:vertAlign w:val="superscript"/>
        </w:rPr>
        <w:t>9</w:t>
      </w:r>
      <w:r>
        <w:rPr>
          <w:rFonts w:ascii="Arial Narrow" w:hAnsi="Arial Narrow"/>
          <w:sz w:val="18"/>
          <w:szCs w:val="18"/>
          <w:vertAlign w:val="superscript"/>
        </w:rPr>
        <w:t xml:space="preserve"> </w:t>
      </w:r>
      <w:r w:rsidR="00201F4E" w:rsidRPr="00201F4E">
        <w:rPr>
          <w:rFonts w:ascii="Arial Narrow" w:hAnsi="Arial Narrow"/>
          <w:i/>
          <w:sz w:val="18"/>
          <w:szCs w:val="18"/>
        </w:rPr>
        <w:t>90,000 to &lt; 100,000</w:t>
      </w:r>
    </w:p>
    <w:p w14:paraId="0DF55C64" w14:textId="41B2E296" w:rsidR="00201F4E" w:rsidRPr="00181DAC" w:rsidRDefault="00201F4E" w:rsidP="00C52845">
      <w:pPr>
        <w:rPr>
          <w:rFonts w:ascii="Arial Narrow" w:hAnsi="Arial Narrow"/>
          <w:i/>
          <w:sz w:val="18"/>
          <w:szCs w:val="18"/>
        </w:rPr>
      </w:pPr>
      <w:r>
        <w:rPr>
          <w:rFonts w:ascii="Arial Narrow" w:hAnsi="Arial Narrow"/>
          <w:i/>
          <w:sz w:val="18"/>
          <w:szCs w:val="18"/>
          <w:vertAlign w:val="superscript"/>
        </w:rPr>
        <w:t>10</w:t>
      </w:r>
      <w:r w:rsidRPr="00181DAC">
        <w:rPr>
          <w:rFonts w:ascii="Arial Narrow" w:hAnsi="Arial Narrow"/>
          <w:i/>
          <w:sz w:val="18"/>
          <w:szCs w:val="18"/>
        </w:rPr>
        <w:t xml:space="preserve"> </w:t>
      </w:r>
      <w:r w:rsidRPr="00201F4E">
        <w:rPr>
          <w:rFonts w:ascii="Arial Narrow" w:hAnsi="Arial Narrow"/>
          <w:i/>
          <w:sz w:val="18"/>
          <w:szCs w:val="18"/>
        </w:rPr>
        <w:t>$10 million to &lt; $20 million</w:t>
      </w:r>
    </w:p>
    <w:p w14:paraId="48A016DC" w14:textId="1E9DADB9" w:rsidR="00C52845" w:rsidRPr="00181DAC" w:rsidRDefault="00201F4E" w:rsidP="00C52845">
      <w:pPr>
        <w:rPr>
          <w:rFonts w:ascii="Arial Narrow" w:hAnsi="Arial Narrow"/>
          <w:i/>
          <w:sz w:val="18"/>
          <w:szCs w:val="18"/>
        </w:rPr>
      </w:pPr>
      <w:r>
        <w:rPr>
          <w:rFonts w:ascii="Arial Narrow" w:hAnsi="Arial Narrow"/>
          <w:i/>
          <w:sz w:val="18"/>
          <w:szCs w:val="18"/>
          <w:vertAlign w:val="superscript"/>
        </w:rPr>
        <w:t>11</w:t>
      </w:r>
      <w:r w:rsidR="00C52845" w:rsidRPr="00181DAC">
        <w:rPr>
          <w:rFonts w:ascii="Arial Narrow" w:hAnsi="Arial Narrow"/>
          <w:i/>
          <w:sz w:val="18"/>
          <w:szCs w:val="18"/>
        </w:rPr>
        <w:t xml:space="preserve"> </w:t>
      </w:r>
      <w:r w:rsidRPr="00201F4E">
        <w:rPr>
          <w:rFonts w:ascii="Arial Narrow" w:hAnsi="Arial Narrow"/>
          <w:i/>
          <w:sz w:val="18"/>
          <w:szCs w:val="18"/>
        </w:rPr>
        <w:t>20,000 to &lt; 30,000</w:t>
      </w:r>
    </w:p>
    <w:bookmarkEnd w:id="64"/>
    <w:p w14:paraId="3FBAA85B" w14:textId="00CE2072" w:rsidR="00C52845" w:rsidRPr="00C52845" w:rsidRDefault="00C52845" w:rsidP="00C52845">
      <w:pPr>
        <w:rPr>
          <w:rFonts w:ascii="Arial Narrow" w:hAnsi="Arial Narrow"/>
          <w:i/>
          <w:sz w:val="18"/>
          <w:szCs w:val="18"/>
        </w:rPr>
      </w:pPr>
      <w:r>
        <w:rPr>
          <w:rFonts w:ascii="Arial Narrow" w:hAnsi="Arial Narrow"/>
          <w:i/>
          <w:sz w:val="18"/>
          <w:szCs w:val="18"/>
          <w:vertAlign w:val="superscript"/>
        </w:rPr>
        <w:t>1</w:t>
      </w:r>
      <w:r w:rsidR="00201F4E">
        <w:rPr>
          <w:rFonts w:ascii="Arial Narrow" w:hAnsi="Arial Narrow"/>
          <w:i/>
          <w:sz w:val="18"/>
          <w:szCs w:val="18"/>
          <w:vertAlign w:val="superscript"/>
        </w:rPr>
        <w:t>2</w:t>
      </w:r>
      <w:r w:rsidRPr="00181DAC">
        <w:rPr>
          <w:rFonts w:ascii="Arial Narrow" w:hAnsi="Arial Narrow"/>
          <w:i/>
          <w:sz w:val="18"/>
          <w:szCs w:val="18"/>
        </w:rPr>
        <w:t xml:space="preserve"> </w:t>
      </w:r>
      <w:r w:rsidR="00201F4E" w:rsidRPr="00201F4E">
        <w:rPr>
          <w:rFonts w:ascii="Arial Narrow" w:hAnsi="Arial Narrow"/>
          <w:i/>
          <w:sz w:val="18"/>
          <w:szCs w:val="18"/>
        </w:rPr>
        <w:t>30,000 to &lt; 40,000</w:t>
      </w:r>
    </w:p>
    <w:p w14:paraId="218E1B9C" w14:textId="77777777" w:rsidR="00985590" w:rsidRPr="00B36948" w:rsidRDefault="00985590" w:rsidP="000F4B43">
      <w:pPr>
        <w:pStyle w:val="TableFigureFooter"/>
      </w:pPr>
    </w:p>
    <w:p w14:paraId="7884B4DF" w14:textId="77777777" w:rsidR="000F4B43" w:rsidRPr="009D3E9A" w:rsidRDefault="000F4B43" w:rsidP="000F4B43">
      <w:pPr>
        <w:pStyle w:val="ExecSumBodyText"/>
        <w:numPr>
          <w:ilvl w:val="1"/>
          <w:numId w:val="1"/>
        </w:numPr>
      </w:pPr>
      <w:r w:rsidRPr="009D3E9A">
        <w:t>The number of eligible and treated familial hypercholesterolaemia patients with LDL</w:t>
      </w:r>
      <w:r w:rsidRPr="009D3E9A">
        <w:noBreakHyphen/>
        <w:t xml:space="preserve">C between 1.8 and 2.6 mmol/L estimated in the current submission was considerably smaller than the number of patients with LDL-C between 2.6 and 3.3 mmol/L estimated in the November 2019 submission. </w:t>
      </w:r>
    </w:p>
    <w:p w14:paraId="161BD702" w14:textId="2438367B" w:rsidR="000F4B43" w:rsidRPr="00B36948" w:rsidRDefault="000F4B43" w:rsidP="009D3E9A">
      <w:pPr>
        <w:pStyle w:val="ExecSumBodyText"/>
        <w:numPr>
          <w:ilvl w:val="1"/>
          <w:numId w:val="1"/>
        </w:numPr>
      </w:pPr>
      <w:r w:rsidRPr="00B36948">
        <w:t xml:space="preserve">The total financial implications across all patient populations using the </w:t>
      </w:r>
      <w:r w:rsidR="009D3E9A">
        <w:t xml:space="preserve">base case </w:t>
      </w:r>
      <w:r w:rsidRPr="00B36948">
        <w:t xml:space="preserve">effective price specific to the new population are summarised in </w:t>
      </w:r>
      <w:r w:rsidRPr="00B36948">
        <w:fldChar w:fldCharType="begin"/>
      </w:r>
      <w:r w:rsidRPr="00B36948">
        <w:instrText xml:space="preserve"> REF _Ref102486158 \h  \* MERGEFORMAT </w:instrText>
      </w:r>
      <w:r w:rsidRPr="00B36948">
        <w:fldChar w:fldCharType="separate"/>
      </w:r>
      <w:r w:rsidR="00B36948" w:rsidRPr="00B36948">
        <w:rPr>
          <w:noProof/>
        </w:rPr>
        <w:t>Table</w:t>
      </w:r>
      <w:r w:rsidR="00B36948" w:rsidRPr="00B36948">
        <w:t xml:space="preserve"> </w:t>
      </w:r>
      <w:r w:rsidR="00B36948" w:rsidRPr="00B36948">
        <w:rPr>
          <w:noProof/>
        </w:rPr>
        <w:t>22</w:t>
      </w:r>
      <w:r w:rsidRPr="00B36948">
        <w:fldChar w:fldCharType="end"/>
      </w:r>
      <w:r w:rsidRPr="00B36948">
        <w:t>.</w:t>
      </w:r>
    </w:p>
    <w:p w14:paraId="45143547" w14:textId="77777777" w:rsidR="000F4B43" w:rsidRPr="00B36948" w:rsidRDefault="000F4B43" w:rsidP="000F4B43">
      <w:pPr>
        <w:jc w:val="left"/>
        <w:rPr>
          <w:rFonts w:ascii="Arial Narrow" w:eastAsiaTheme="minorHAnsi" w:hAnsi="Arial Narrow" w:cstheme="minorBidi"/>
          <w:b/>
          <w:sz w:val="20"/>
          <w:szCs w:val="22"/>
          <w:lang w:eastAsia="en-US"/>
        </w:rPr>
      </w:pPr>
      <w:bookmarkStart w:id="65" w:name="_Ref102486158"/>
      <w:r w:rsidRPr="00B36948">
        <w:br w:type="page"/>
      </w:r>
    </w:p>
    <w:p w14:paraId="334CBE8F" w14:textId="6592FB99" w:rsidR="000F4B43" w:rsidRPr="009D3E9A" w:rsidRDefault="000F4B43" w:rsidP="000F4B43">
      <w:pPr>
        <w:pStyle w:val="TableHeading"/>
        <w:spacing w:after="0"/>
        <w:jc w:val="both"/>
      </w:pPr>
      <w:r w:rsidRPr="009D3E9A">
        <w:lastRenderedPageBreak/>
        <w:t xml:space="preserve">Table </w:t>
      </w:r>
      <w:fldSimple w:instr=" SEQ Table \* ARABIC ">
        <w:r w:rsidR="00EB7F7C" w:rsidRPr="009D3E9A">
          <w:rPr>
            <w:noProof/>
          </w:rPr>
          <w:t>22</w:t>
        </w:r>
      </w:fldSimple>
      <w:bookmarkEnd w:id="65"/>
      <w:r w:rsidRPr="009D3E9A">
        <w:t>: Estimated budget impact of extending the PBS/RPBS listing of evolocumab for patients with LDL-C 1.8 to 2.6 mmol/L</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22: Estimated budget impact of extending the PBS/RPBS listing of evolocumab for patients with LDL-C 1.8 to 2.6 mmol/L"/>
      </w:tblPr>
      <w:tblGrid>
        <w:gridCol w:w="2159"/>
        <w:gridCol w:w="1144"/>
        <w:gridCol w:w="1144"/>
        <w:gridCol w:w="1144"/>
        <w:gridCol w:w="1144"/>
        <w:gridCol w:w="1144"/>
        <w:gridCol w:w="1142"/>
      </w:tblGrid>
      <w:tr w:rsidR="000F4B43" w:rsidRPr="009D3E9A" w14:paraId="4CEE4C53" w14:textId="77777777" w:rsidTr="000F4B43">
        <w:trPr>
          <w:tblHeader/>
        </w:trPr>
        <w:tc>
          <w:tcPr>
            <w:tcW w:w="1197" w:type="pct"/>
            <w:tcBorders>
              <w:left w:val="single" w:sz="4" w:space="0" w:color="auto"/>
              <w:bottom w:val="single" w:sz="4" w:space="0" w:color="auto"/>
            </w:tcBorders>
            <w:shd w:val="clear" w:color="auto" w:fill="auto"/>
            <w:vAlign w:val="center"/>
          </w:tcPr>
          <w:p w14:paraId="22373EA8" w14:textId="77777777" w:rsidR="000F4B43" w:rsidRPr="009D3E9A" w:rsidRDefault="000F4B43" w:rsidP="000F4B43">
            <w:pPr>
              <w:rPr>
                <w:rFonts w:ascii="Arial Narrow" w:eastAsia="Calibri" w:hAnsi="Arial Narrow" w:cs="Times New Roman"/>
                <w:sz w:val="20"/>
                <w:szCs w:val="20"/>
              </w:rPr>
            </w:pPr>
          </w:p>
        </w:tc>
        <w:tc>
          <w:tcPr>
            <w:tcW w:w="634" w:type="pct"/>
            <w:tcBorders>
              <w:bottom w:val="single" w:sz="4" w:space="0" w:color="auto"/>
            </w:tcBorders>
            <w:shd w:val="clear" w:color="auto" w:fill="auto"/>
            <w:vAlign w:val="center"/>
          </w:tcPr>
          <w:p w14:paraId="3C6B6A2E" w14:textId="77777777" w:rsidR="000F4B43" w:rsidRPr="009D3E9A" w:rsidRDefault="000F4B43" w:rsidP="000F4B43">
            <w:pPr>
              <w:keepNext/>
              <w:jc w:val="center"/>
              <w:rPr>
                <w:rFonts w:ascii="Arial Narrow" w:eastAsia="Calibri" w:hAnsi="Arial Narrow" w:cs="Times New Roman"/>
                <w:b/>
                <w:bCs/>
                <w:sz w:val="20"/>
                <w:szCs w:val="20"/>
              </w:rPr>
            </w:pPr>
            <w:r w:rsidRPr="009D3E9A">
              <w:rPr>
                <w:rFonts w:ascii="Arial Narrow" w:eastAsia="Calibri" w:hAnsi="Arial Narrow" w:cs="Times New Roman"/>
                <w:b/>
                <w:bCs/>
                <w:sz w:val="20"/>
                <w:szCs w:val="20"/>
              </w:rPr>
              <w:t>Year 1</w:t>
            </w:r>
          </w:p>
          <w:p w14:paraId="7FD5348F" w14:textId="77777777" w:rsidR="000F4B43" w:rsidRPr="009D3E9A" w:rsidRDefault="000F4B43" w:rsidP="000F4B43">
            <w:pPr>
              <w:jc w:val="center"/>
              <w:rPr>
                <w:rFonts w:ascii="Arial Narrow" w:eastAsia="Calibri" w:hAnsi="Arial Narrow" w:cs="Times New Roman"/>
                <w:b/>
                <w:bCs/>
                <w:sz w:val="20"/>
                <w:szCs w:val="20"/>
              </w:rPr>
            </w:pPr>
            <w:r w:rsidRPr="009D3E9A">
              <w:rPr>
                <w:rFonts w:ascii="Arial Narrow" w:eastAsia="Calibri" w:hAnsi="Arial Narrow" w:cs="Times New Roman"/>
                <w:b/>
                <w:bCs/>
                <w:sz w:val="20"/>
                <w:szCs w:val="20"/>
              </w:rPr>
              <w:t>(2022)</w:t>
            </w:r>
          </w:p>
        </w:tc>
        <w:tc>
          <w:tcPr>
            <w:tcW w:w="634" w:type="pct"/>
            <w:tcBorders>
              <w:bottom w:val="single" w:sz="4" w:space="0" w:color="auto"/>
            </w:tcBorders>
            <w:shd w:val="clear" w:color="auto" w:fill="auto"/>
            <w:vAlign w:val="center"/>
          </w:tcPr>
          <w:p w14:paraId="314E4796" w14:textId="77777777" w:rsidR="000F4B43" w:rsidRPr="009D3E9A" w:rsidRDefault="000F4B43" w:rsidP="000F4B43">
            <w:pPr>
              <w:keepNext/>
              <w:jc w:val="center"/>
              <w:rPr>
                <w:rFonts w:ascii="Arial Narrow" w:eastAsia="Calibri" w:hAnsi="Arial Narrow" w:cs="Times New Roman"/>
                <w:b/>
                <w:bCs/>
                <w:sz w:val="20"/>
                <w:szCs w:val="20"/>
              </w:rPr>
            </w:pPr>
            <w:r w:rsidRPr="009D3E9A">
              <w:rPr>
                <w:rFonts w:ascii="Arial Narrow" w:eastAsia="Calibri" w:hAnsi="Arial Narrow" w:cs="Times New Roman"/>
                <w:b/>
                <w:bCs/>
                <w:sz w:val="20"/>
                <w:szCs w:val="20"/>
              </w:rPr>
              <w:t>Year 2</w:t>
            </w:r>
          </w:p>
          <w:p w14:paraId="231D263A" w14:textId="77777777" w:rsidR="000F4B43" w:rsidRPr="009D3E9A" w:rsidRDefault="000F4B43" w:rsidP="000F4B43">
            <w:pPr>
              <w:jc w:val="center"/>
              <w:rPr>
                <w:rFonts w:ascii="Arial Narrow" w:eastAsia="Calibri" w:hAnsi="Arial Narrow" w:cs="Times New Roman"/>
                <w:b/>
                <w:bCs/>
                <w:sz w:val="20"/>
                <w:szCs w:val="20"/>
              </w:rPr>
            </w:pPr>
            <w:r w:rsidRPr="009D3E9A">
              <w:rPr>
                <w:rFonts w:ascii="Arial Narrow" w:eastAsia="Calibri" w:hAnsi="Arial Narrow" w:cs="Times New Roman"/>
                <w:b/>
                <w:bCs/>
                <w:sz w:val="20"/>
                <w:szCs w:val="20"/>
              </w:rPr>
              <w:t>(2023)</w:t>
            </w:r>
          </w:p>
        </w:tc>
        <w:tc>
          <w:tcPr>
            <w:tcW w:w="634" w:type="pct"/>
            <w:tcBorders>
              <w:bottom w:val="single" w:sz="4" w:space="0" w:color="auto"/>
            </w:tcBorders>
            <w:shd w:val="clear" w:color="auto" w:fill="auto"/>
            <w:vAlign w:val="center"/>
          </w:tcPr>
          <w:p w14:paraId="305045A7" w14:textId="77777777" w:rsidR="000F4B43" w:rsidRPr="009D3E9A" w:rsidRDefault="000F4B43" w:rsidP="000F4B43">
            <w:pPr>
              <w:keepNext/>
              <w:jc w:val="center"/>
              <w:rPr>
                <w:rFonts w:ascii="Arial Narrow" w:eastAsia="Calibri" w:hAnsi="Arial Narrow" w:cs="Times New Roman"/>
                <w:b/>
                <w:bCs/>
                <w:sz w:val="20"/>
                <w:szCs w:val="20"/>
              </w:rPr>
            </w:pPr>
            <w:r w:rsidRPr="009D3E9A">
              <w:rPr>
                <w:rFonts w:ascii="Arial Narrow" w:eastAsia="Calibri" w:hAnsi="Arial Narrow" w:cs="Times New Roman"/>
                <w:b/>
                <w:bCs/>
                <w:sz w:val="20"/>
                <w:szCs w:val="20"/>
              </w:rPr>
              <w:t>Year 3</w:t>
            </w:r>
          </w:p>
          <w:p w14:paraId="128CF58E" w14:textId="77777777" w:rsidR="000F4B43" w:rsidRPr="009D3E9A" w:rsidRDefault="000F4B43" w:rsidP="000F4B43">
            <w:pPr>
              <w:jc w:val="center"/>
              <w:rPr>
                <w:rFonts w:ascii="Arial Narrow" w:eastAsia="Calibri" w:hAnsi="Arial Narrow" w:cs="Times New Roman"/>
                <w:b/>
                <w:bCs/>
                <w:sz w:val="20"/>
                <w:szCs w:val="20"/>
              </w:rPr>
            </w:pPr>
            <w:r w:rsidRPr="009D3E9A">
              <w:rPr>
                <w:rFonts w:ascii="Arial Narrow" w:eastAsia="Calibri" w:hAnsi="Arial Narrow" w:cs="Times New Roman"/>
                <w:b/>
                <w:bCs/>
                <w:sz w:val="20"/>
                <w:szCs w:val="20"/>
              </w:rPr>
              <w:t>(2024)</w:t>
            </w:r>
          </w:p>
        </w:tc>
        <w:tc>
          <w:tcPr>
            <w:tcW w:w="634" w:type="pct"/>
            <w:tcBorders>
              <w:bottom w:val="single" w:sz="4" w:space="0" w:color="auto"/>
            </w:tcBorders>
            <w:shd w:val="clear" w:color="auto" w:fill="auto"/>
            <w:vAlign w:val="center"/>
          </w:tcPr>
          <w:p w14:paraId="44B512EA" w14:textId="77777777" w:rsidR="000F4B43" w:rsidRPr="009D3E9A" w:rsidRDefault="000F4B43" w:rsidP="000F4B43">
            <w:pPr>
              <w:keepNext/>
              <w:jc w:val="center"/>
              <w:rPr>
                <w:rFonts w:ascii="Arial Narrow" w:eastAsia="Calibri" w:hAnsi="Arial Narrow" w:cs="Times New Roman"/>
                <w:b/>
                <w:bCs/>
                <w:sz w:val="20"/>
                <w:szCs w:val="20"/>
              </w:rPr>
            </w:pPr>
            <w:r w:rsidRPr="009D3E9A">
              <w:rPr>
                <w:rFonts w:ascii="Arial Narrow" w:eastAsia="Calibri" w:hAnsi="Arial Narrow" w:cs="Times New Roman"/>
                <w:b/>
                <w:bCs/>
                <w:sz w:val="20"/>
                <w:szCs w:val="20"/>
              </w:rPr>
              <w:t>Year 4</w:t>
            </w:r>
          </w:p>
          <w:p w14:paraId="71A37C0A" w14:textId="77777777" w:rsidR="000F4B43" w:rsidRPr="009D3E9A" w:rsidRDefault="000F4B43" w:rsidP="000F4B43">
            <w:pPr>
              <w:jc w:val="center"/>
              <w:rPr>
                <w:rFonts w:ascii="Arial Narrow" w:eastAsia="Calibri" w:hAnsi="Arial Narrow" w:cs="Times New Roman"/>
                <w:b/>
                <w:bCs/>
                <w:sz w:val="20"/>
                <w:szCs w:val="20"/>
              </w:rPr>
            </w:pPr>
            <w:r w:rsidRPr="009D3E9A">
              <w:rPr>
                <w:rFonts w:ascii="Arial Narrow" w:eastAsia="Calibri" w:hAnsi="Arial Narrow" w:cs="Times New Roman"/>
                <w:b/>
                <w:bCs/>
                <w:sz w:val="20"/>
                <w:szCs w:val="20"/>
              </w:rPr>
              <w:t>(2025)</w:t>
            </w:r>
          </w:p>
        </w:tc>
        <w:tc>
          <w:tcPr>
            <w:tcW w:w="634" w:type="pct"/>
            <w:tcBorders>
              <w:bottom w:val="single" w:sz="4" w:space="0" w:color="auto"/>
              <w:right w:val="single" w:sz="4" w:space="0" w:color="auto"/>
            </w:tcBorders>
            <w:shd w:val="clear" w:color="auto" w:fill="auto"/>
            <w:vAlign w:val="center"/>
          </w:tcPr>
          <w:p w14:paraId="27DA6E17" w14:textId="77777777" w:rsidR="000F4B43" w:rsidRPr="009D3E9A" w:rsidRDefault="000F4B43" w:rsidP="000F4B43">
            <w:pPr>
              <w:keepNext/>
              <w:jc w:val="center"/>
              <w:rPr>
                <w:rFonts w:ascii="Arial Narrow" w:eastAsia="Calibri" w:hAnsi="Arial Narrow" w:cs="Times New Roman"/>
                <w:b/>
                <w:bCs/>
                <w:sz w:val="20"/>
                <w:szCs w:val="20"/>
              </w:rPr>
            </w:pPr>
            <w:r w:rsidRPr="009D3E9A">
              <w:rPr>
                <w:rFonts w:ascii="Arial Narrow" w:eastAsia="Calibri" w:hAnsi="Arial Narrow" w:cs="Times New Roman"/>
                <w:b/>
                <w:bCs/>
                <w:sz w:val="20"/>
                <w:szCs w:val="20"/>
              </w:rPr>
              <w:t xml:space="preserve">Year 5 </w:t>
            </w:r>
          </w:p>
          <w:p w14:paraId="01BE35E9" w14:textId="77777777" w:rsidR="000F4B43" w:rsidRPr="009D3E9A" w:rsidRDefault="000F4B43" w:rsidP="000F4B43">
            <w:pPr>
              <w:jc w:val="center"/>
              <w:rPr>
                <w:rFonts w:ascii="Arial Narrow" w:eastAsia="Calibri" w:hAnsi="Arial Narrow" w:cs="Times New Roman"/>
                <w:b/>
                <w:bCs/>
                <w:sz w:val="20"/>
                <w:szCs w:val="20"/>
              </w:rPr>
            </w:pPr>
            <w:r w:rsidRPr="009D3E9A">
              <w:rPr>
                <w:rFonts w:ascii="Arial Narrow" w:eastAsia="Calibri" w:hAnsi="Arial Narrow" w:cs="Times New Roman"/>
                <w:b/>
                <w:bCs/>
                <w:sz w:val="20"/>
                <w:szCs w:val="20"/>
              </w:rPr>
              <w:t>(2026)</w:t>
            </w:r>
          </w:p>
        </w:tc>
        <w:tc>
          <w:tcPr>
            <w:tcW w:w="633" w:type="pct"/>
            <w:tcBorders>
              <w:bottom w:val="single" w:sz="4" w:space="0" w:color="auto"/>
              <w:right w:val="single" w:sz="4" w:space="0" w:color="auto"/>
            </w:tcBorders>
            <w:vAlign w:val="center"/>
          </w:tcPr>
          <w:p w14:paraId="7926DF0B" w14:textId="77777777" w:rsidR="000F4B43" w:rsidRPr="009D3E9A" w:rsidRDefault="000F4B43" w:rsidP="000F4B43">
            <w:pPr>
              <w:keepNext/>
              <w:jc w:val="center"/>
              <w:rPr>
                <w:rFonts w:ascii="Arial Narrow" w:eastAsia="Calibri" w:hAnsi="Arial Narrow" w:cs="Times New Roman"/>
                <w:b/>
                <w:bCs/>
                <w:sz w:val="20"/>
                <w:szCs w:val="20"/>
              </w:rPr>
            </w:pPr>
            <w:r w:rsidRPr="009D3E9A">
              <w:rPr>
                <w:rFonts w:ascii="Arial Narrow" w:eastAsia="Calibri" w:hAnsi="Arial Narrow" w:cs="Times New Roman"/>
                <w:b/>
                <w:bCs/>
                <w:sz w:val="20"/>
                <w:szCs w:val="20"/>
              </w:rPr>
              <w:t xml:space="preserve">Year 6 </w:t>
            </w:r>
          </w:p>
          <w:p w14:paraId="63479A10" w14:textId="77777777" w:rsidR="000F4B43" w:rsidRPr="009D3E9A" w:rsidRDefault="000F4B43" w:rsidP="000F4B43">
            <w:pPr>
              <w:jc w:val="center"/>
              <w:rPr>
                <w:rFonts w:ascii="Arial Narrow" w:eastAsia="Calibri" w:hAnsi="Arial Narrow" w:cs="Times New Roman"/>
                <w:b/>
                <w:bCs/>
                <w:sz w:val="20"/>
                <w:szCs w:val="20"/>
              </w:rPr>
            </w:pPr>
            <w:r w:rsidRPr="009D3E9A">
              <w:rPr>
                <w:rFonts w:ascii="Arial Narrow" w:eastAsia="Calibri" w:hAnsi="Arial Narrow" w:cs="Times New Roman"/>
                <w:b/>
                <w:bCs/>
                <w:sz w:val="20"/>
                <w:szCs w:val="20"/>
              </w:rPr>
              <w:t>(2027)</w:t>
            </w:r>
          </w:p>
        </w:tc>
      </w:tr>
      <w:tr w:rsidR="000F4B43" w:rsidRPr="009D3E9A" w14:paraId="6F61B962" w14:textId="77777777" w:rsidTr="000F4B43">
        <w:trPr>
          <w:tblHeader/>
        </w:trPr>
        <w:tc>
          <w:tcPr>
            <w:tcW w:w="1197" w:type="pct"/>
            <w:tcBorders>
              <w:left w:val="single" w:sz="4" w:space="0" w:color="auto"/>
              <w:bottom w:val="single" w:sz="4" w:space="0" w:color="auto"/>
            </w:tcBorders>
            <w:shd w:val="clear" w:color="auto" w:fill="auto"/>
            <w:vAlign w:val="center"/>
          </w:tcPr>
          <w:p w14:paraId="6CF2F74C" w14:textId="77777777" w:rsidR="000F4B43" w:rsidRPr="009D3E9A" w:rsidRDefault="000F4B43" w:rsidP="000F4B43">
            <w:pPr>
              <w:rPr>
                <w:rFonts w:ascii="Arial Narrow" w:eastAsia="Calibri" w:hAnsi="Arial Narrow" w:cs="Times New Roman"/>
                <w:sz w:val="20"/>
                <w:szCs w:val="20"/>
              </w:rPr>
            </w:pPr>
            <w:r w:rsidRPr="009D3E9A">
              <w:rPr>
                <w:rFonts w:ascii="Arial Narrow" w:eastAsia="Calibri" w:hAnsi="Arial Narrow" w:cs="Times New Roman"/>
                <w:sz w:val="20"/>
                <w:szCs w:val="20"/>
              </w:rPr>
              <w:t>Total scripts</w:t>
            </w:r>
          </w:p>
        </w:tc>
        <w:tc>
          <w:tcPr>
            <w:tcW w:w="634" w:type="pct"/>
            <w:tcBorders>
              <w:bottom w:val="single" w:sz="4" w:space="0" w:color="auto"/>
            </w:tcBorders>
            <w:shd w:val="clear" w:color="auto" w:fill="auto"/>
          </w:tcPr>
          <w:p w14:paraId="40061512" w14:textId="121FD606" w:rsidR="000F4B43" w:rsidRPr="002643CB" w:rsidRDefault="00650CB8" w:rsidP="000F4B43">
            <w:pPr>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089"/>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089"/>
                <w14:textFill>
                  <w14:solidFill>
                    <w14:srgbClr w14:val="000000">
                      <w14:alpha w14:val="100000"/>
                    </w14:srgbClr>
                  </w14:solidFill>
                </w14:textFill>
              </w:rPr>
              <w:t>|</w:t>
            </w:r>
            <w:r w:rsidR="00F152B1" w:rsidRPr="00F152B1">
              <w:rPr>
                <w:rFonts w:ascii="Arial Narrow" w:hAnsi="Arial Narrow"/>
                <w:sz w:val="20"/>
                <w:szCs w:val="20"/>
                <w:vertAlign w:val="superscript"/>
              </w:rPr>
              <w:t>1</w:t>
            </w:r>
            <w:r w:rsidRPr="00650CB8">
              <w:rPr>
                <w:rFonts w:ascii="Arial Narrow" w:hAnsi="Arial Narrow"/>
                <w:sz w:val="20"/>
                <w:szCs w:val="20"/>
              </w:rPr>
              <w:t xml:space="preserve"> </w:t>
            </w:r>
          </w:p>
        </w:tc>
        <w:tc>
          <w:tcPr>
            <w:tcW w:w="634" w:type="pct"/>
            <w:tcBorders>
              <w:bottom w:val="single" w:sz="4" w:space="0" w:color="auto"/>
            </w:tcBorders>
            <w:shd w:val="clear" w:color="auto" w:fill="auto"/>
          </w:tcPr>
          <w:p w14:paraId="4463341F" w14:textId="635309E4" w:rsidR="000F4B43" w:rsidRPr="002643CB" w:rsidRDefault="00650CB8" w:rsidP="000F4B43">
            <w:pPr>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088"/>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088"/>
                <w14:textFill>
                  <w14:solidFill>
                    <w14:srgbClr w14:val="000000">
                      <w14:alpha w14:val="100000"/>
                    </w14:srgbClr>
                  </w14:solidFill>
                </w14:textFill>
              </w:rPr>
              <w:t>|</w:t>
            </w:r>
            <w:r w:rsidR="00F152B1">
              <w:rPr>
                <w:rFonts w:ascii="Arial Narrow" w:hAnsi="Arial Narrow"/>
                <w:sz w:val="20"/>
                <w:szCs w:val="20"/>
                <w:vertAlign w:val="superscript"/>
              </w:rPr>
              <w:t>2</w:t>
            </w:r>
          </w:p>
        </w:tc>
        <w:tc>
          <w:tcPr>
            <w:tcW w:w="634" w:type="pct"/>
            <w:tcBorders>
              <w:bottom w:val="single" w:sz="4" w:space="0" w:color="auto"/>
            </w:tcBorders>
            <w:shd w:val="clear" w:color="auto" w:fill="auto"/>
          </w:tcPr>
          <w:p w14:paraId="2CD36846" w14:textId="61A870F4" w:rsidR="000F4B43" w:rsidRPr="002643CB" w:rsidRDefault="00650CB8" w:rsidP="000F4B43">
            <w:pPr>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087"/>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087"/>
                <w14:textFill>
                  <w14:solidFill>
                    <w14:srgbClr w14:val="000000">
                      <w14:alpha w14:val="100000"/>
                    </w14:srgbClr>
                  </w14:solidFill>
                </w14:textFill>
              </w:rPr>
              <w:t>|</w:t>
            </w:r>
            <w:r w:rsidR="00F152B1">
              <w:rPr>
                <w:rFonts w:ascii="Arial Narrow" w:hAnsi="Arial Narrow"/>
                <w:sz w:val="20"/>
                <w:szCs w:val="20"/>
                <w:vertAlign w:val="superscript"/>
              </w:rPr>
              <w:t>3</w:t>
            </w:r>
          </w:p>
        </w:tc>
        <w:tc>
          <w:tcPr>
            <w:tcW w:w="634" w:type="pct"/>
            <w:tcBorders>
              <w:bottom w:val="single" w:sz="4" w:space="0" w:color="auto"/>
            </w:tcBorders>
            <w:shd w:val="clear" w:color="auto" w:fill="auto"/>
          </w:tcPr>
          <w:p w14:paraId="45540532" w14:textId="0E90CB9E" w:rsidR="000F4B43" w:rsidRPr="002643CB" w:rsidRDefault="00650CB8" w:rsidP="000F4B43">
            <w:pPr>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086"/>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086"/>
                <w14:textFill>
                  <w14:solidFill>
                    <w14:srgbClr w14:val="000000">
                      <w14:alpha w14:val="100000"/>
                    </w14:srgbClr>
                  </w14:solidFill>
                </w14:textFill>
              </w:rPr>
              <w:t>|</w:t>
            </w:r>
            <w:r w:rsidR="00F152B1">
              <w:rPr>
                <w:rFonts w:ascii="Arial Narrow" w:hAnsi="Arial Narrow"/>
                <w:sz w:val="20"/>
                <w:szCs w:val="20"/>
                <w:vertAlign w:val="superscript"/>
              </w:rPr>
              <w:t>3</w:t>
            </w:r>
          </w:p>
        </w:tc>
        <w:tc>
          <w:tcPr>
            <w:tcW w:w="634" w:type="pct"/>
            <w:tcBorders>
              <w:bottom w:val="single" w:sz="4" w:space="0" w:color="auto"/>
              <w:right w:val="single" w:sz="4" w:space="0" w:color="auto"/>
            </w:tcBorders>
            <w:shd w:val="clear" w:color="auto" w:fill="auto"/>
          </w:tcPr>
          <w:p w14:paraId="435818BE" w14:textId="0AC6C644" w:rsidR="000F4B43" w:rsidRPr="002643CB" w:rsidRDefault="00650CB8" w:rsidP="000F4B43">
            <w:pPr>
              <w:jc w:val="center"/>
              <w:rPr>
                <w:rFonts w:ascii="Arial Narrow" w:hAnsi="Arial Narrow"/>
                <w:sz w:val="20"/>
                <w:szCs w:val="20"/>
                <w:highlight w:val="darkGray"/>
              </w:rPr>
            </w:pPr>
            <w:r w:rsidRPr="00650CB8">
              <w:rPr>
                <w:rFonts w:ascii="Arial Narrow" w:hAnsi="Arial Narrow"/>
                <w:color w:val="000000"/>
                <w:spacing w:val="49"/>
                <w:sz w:val="20"/>
                <w:szCs w:val="20"/>
                <w:shd w:val="solid" w:color="000000" w:fill="000000"/>
                <w:fitText w:val="320" w:id="-1435748085"/>
                <w14:textFill>
                  <w14:solidFill>
                    <w14:srgbClr w14:val="000000">
                      <w14:alpha w14:val="100000"/>
                    </w14:srgbClr>
                  </w14:solidFill>
                </w14:textFill>
              </w:rPr>
              <w:t>|||</w:t>
            </w:r>
            <w:r w:rsidRPr="00650CB8">
              <w:rPr>
                <w:rFonts w:ascii="Arial Narrow" w:hAnsi="Arial Narrow"/>
                <w:color w:val="000000"/>
                <w:spacing w:val="3"/>
                <w:sz w:val="20"/>
                <w:szCs w:val="20"/>
                <w:shd w:val="solid" w:color="000000" w:fill="000000"/>
                <w:fitText w:val="320" w:id="-1435748085"/>
                <w14:textFill>
                  <w14:solidFill>
                    <w14:srgbClr w14:val="000000">
                      <w14:alpha w14:val="100000"/>
                    </w14:srgbClr>
                  </w14:solidFill>
                </w14:textFill>
              </w:rPr>
              <w:t>|</w:t>
            </w:r>
            <w:r w:rsidR="00F152B1">
              <w:rPr>
                <w:rFonts w:ascii="Arial Narrow" w:hAnsi="Arial Narrow"/>
                <w:sz w:val="20"/>
                <w:szCs w:val="20"/>
                <w:vertAlign w:val="superscript"/>
              </w:rPr>
              <w:t>3</w:t>
            </w:r>
            <w:r w:rsidRPr="00650CB8">
              <w:rPr>
                <w:rFonts w:ascii="Arial Narrow" w:hAnsi="Arial Narrow"/>
                <w:sz w:val="20"/>
                <w:szCs w:val="20"/>
              </w:rPr>
              <w:t xml:space="preserve"> </w:t>
            </w:r>
          </w:p>
        </w:tc>
        <w:tc>
          <w:tcPr>
            <w:tcW w:w="633" w:type="pct"/>
            <w:tcBorders>
              <w:bottom w:val="single" w:sz="4" w:space="0" w:color="auto"/>
              <w:right w:val="single" w:sz="4" w:space="0" w:color="auto"/>
            </w:tcBorders>
          </w:tcPr>
          <w:p w14:paraId="25BA191A" w14:textId="2F7A3A57" w:rsidR="000F4B43" w:rsidRPr="002643CB" w:rsidRDefault="00650CB8" w:rsidP="000F4B43">
            <w:pPr>
              <w:jc w:val="center"/>
              <w:rPr>
                <w:rFonts w:ascii="Arial Narrow" w:hAnsi="Arial Narrow"/>
                <w:sz w:val="20"/>
                <w:szCs w:val="20"/>
                <w:highlight w:val="darkGray"/>
              </w:rPr>
            </w:pPr>
            <w:r w:rsidRPr="00650CB8">
              <w:rPr>
                <w:rFonts w:ascii="Arial Narrow" w:hAnsi="Arial Narrow"/>
                <w:color w:val="000000"/>
                <w:spacing w:val="56"/>
                <w:sz w:val="20"/>
                <w:szCs w:val="20"/>
                <w:shd w:val="solid" w:color="000000" w:fill="000000"/>
                <w:fitText w:val="340" w:id="-1435748084"/>
                <w14:textFill>
                  <w14:solidFill>
                    <w14:srgbClr w14:val="000000">
                      <w14:alpha w14:val="100000"/>
                    </w14:srgbClr>
                  </w14:solidFill>
                </w14:textFill>
              </w:rPr>
              <w:t>|||</w:t>
            </w:r>
            <w:r w:rsidRPr="00650CB8">
              <w:rPr>
                <w:rFonts w:ascii="Arial Narrow" w:hAnsi="Arial Narrow"/>
                <w:color w:val="000000"/>
                <w:spacing w:val="2"/>
                <w:sz w:val="20"/>
                <w:szCs w:val="20"/>
                <w:shd w:val="solid" w:color="000000" w:fill="000000"/>
                <w:fitText w:val="340" w:id="-1435748084"/>
                <w14:textFill>
                  <w14:solidFill>
                    <w14:srgbClr w14:val="000000">
                      <w14:alpha w14:val="100000"/>
                    </w14:srgbClr>
                  </w14:solidFill>
                </w14:textFill>
              </w:rPr>
              <w:t>|</w:t>
            </w:r>
            <w:r w:rsidRPr="00650CB8">
              <w:rPr>
                <w:rFonts w:ascii="Arial Narrow" w:hAnsi="Arial Narrow"/>
                <w:sz w:val="20"/>
                <w:szCs w:val="20"/>
              </w:rPr>
              <w:t xml:space="preserve"> </w:t>
            </w:r>
            <w:r w:rsidR="00F152B1">
              <w:rPr>
                <w:rFonts w:ascii="Arial Narrow" w:hAnsi="Arial Narrow"/>
                <w:sz w:val="20"/>
                <w:szCs w:val="20"/>
                <w:vertAlign w:val="superscript"/>
              </w:rPr>
              <w:t>3</w:t>
            </w:r>
          </w:p>
        </w:tc>
      </w:tr>
      <w:tr w:rsidR="000F4B43" w:rsidRPr="009D3E9A" w14:paraId="7ADE5D37" w14:textId="77777777" w:rsidTr="000F4B43">
        <w:tc>
          <w:tcPr>
            <w:tcW w:w="1197" w:type="pct"/>
            <w:tcBorders>
              <w:left w:val="single" w:sz="4" w:space="0" w:color="auto"/>
              <w:bottom w:val="single" w:sz="4" w:space="0" w:color="auto"/>
            </w:tcBorders>
            <w:shd w:val="clear" w:color="auto" w:fill="auto"/>
            <w:vAlign w:val="center"/>
          </w:tcPr>
          <w:p w14:paraId="1311D49F" w14:textId="77777777" w:rsidR="000F4B43" w:rsidRPr="009D3E9A" w:rsidRDefault="000F4B43" w:rsidP="000F4B43">
            <w:pPr>
              <w:jc w:val="left"/>
              <w:rPr>
                <w:rFonts w:ascii="Arial Narrow" w:eastAsia="Calibri" w:hAnsi="Arial Narrow" w:cs="Times New Roman"/>
                <w:sz w:val="20"/>
                <w:szCs w:val="20"/>
              </w:rPr>
            </w:pPr>
            <w:r w:rsidRPr="009D3E9A">
              <w:rPr>
                <w:rFonts w:ascii="Arial Narrow" w:eastAsia="Calibri" w:hAnsi="Arial Narrow" w:cs="Times New Roman"/>
                <w:sz w:val="20"/>
                <w:szCs w:val="20"/>
              </w:rPr>
              <w:t>Expanded non-FH listing</w:t>
            </w:r>
          </w:p>
        </w:tc>
        <w:tc>
          <w:tcPr>
            <w:tcW w:w="634" w:type="pct"/>
            <w:shd w:val="clear" w:color="auto" w:fill="auto"/>
            <w:vAlign w:val="center"/>
          </w:tcPr>
          <w:p w14:paraId="2E16A085" w14:textId="1A8F3377" w:rsidR="000F4B43" w:rsidRPr="009D3E9A" w:rsidRDefault="000F4B43" w:rsidP="000F4B43">
            <w:pPr>
              <w:jc w:val="center"/>
              <w:rPr>
                <w:rFonts w:ascii="Arial Narrow" w:hAnsi="Arial Narrow"/>
                <w:sz w:val="20"/>
                <w:szCs w:val="20"/>
              </w:rPr>
            </w:pPr>
            <w:r w:rsidRPr="009D3E9A">
              <w:rPr>
                <w:rFonts w:ascii="Arial Narrow" w:hAnsi="Arial Narrow"/>
                <w:sz w:val="20"/>
                <w:szCs w:val="20"/>
              </w:rPr>
              <w:t>$</w:t>
            </w:r>
            <w:r w:rsidR="00650CB8" w:rsidRPr="00650CB8">
              <w:rPr>
                <w:rFonts w:ascii="Arial Narrow" w:hAnsi="Arial Narrow"/>
                <w:color w:val="000000"/>
                <w:spacing w:val="63"/>
                <w:sz w:val="20"/>
                <w:szCs w:val="20"/>
                <w:shd w:val="solid" w:color="000000" w:fill="000000"/>
                <w:fitText w:val="360" w:id="-1435748083"/>
                <w14:textFill>
                  <w14:solidFill>
                    <w14:srgbClr w14:val="000000">
                      <w14:alpha w14:val="100000"/>
                    </w14:srgbClr>
                  </w14:solidFill>
                </w14:textFill>
              </w:rPr>
              <w:t>|||</w:t>
            </w:r>
            <w:r w:rsidR="00650CB8" w:rsidRPr="00650CB8">
              <w:rPr>
                <w:rFonts w:ascii="Arial Narrow" w:hAnsi="Arial Narrow"/>
                <w:color w:val="000000"/>
                <w:spacing w:val="1"/>
                <w:sz w:val="20"/>
                <w:szCs w:val="20"/>
                <w:shd w:val="solid" w:color="000000" w:fill="000000"/>
                <w:fitText w:val="360" w:id="-1435748083"/>
                <w14:textFill>
                  <w14:solidFill>
                    <w14:srgbClr w14:val="000000">
                      <w14:alpha w14:val="100000"/>
                    </w14:srgbClr>
                  </w14:solidFill>
                </w14:textFill>
              </w:rPr>
              <w:t>|</w:t>
            </w:r>
            <w:r w:rsidR="00F152B1">
              <w:rPr>
                <w:rFonts w:ascii="Arial Narrow" w:hAnsi="Arial Narrow"/>
                <w:sz w:val="20"/>
                <w:szCs w:val="20"/>
                <w:vertAlign w:val="superscript"/>
              </w:rPr>
              <w:t>4</w:t>
            </w:r>
          </w:p>
        </w:tc>
        <w:tc>
          <w:tcPr>
            <w:tcW w:w="634" w:type="pct"/>
            <w:shd w:val="clear" w:color="auto" w:fill="auto"/>
            <w:vAlign w:val="center"/>
          </w:tcPr>
          <w:p w14:paraId="3518D01B" w14:textId="158173A2" w:rsidR="000F4B43" w:rsidRPr="009D3E9A" w:rsidRDefault="000F4B43" w:rsidP="000F4B43">
            <w:pPr>
              <w:jc w:val="center"/>
              <w:rPr>
                <w:rFonts w:ascii="Arial Narrow" w:hAnsi="Arial Narrow"/>
                <w:sz w:val="20"/>
                <w:szCs w:val="20"/>
              </w:rPr>
            </w:pPr>
            <w:r w:rsidRPr="009D3E9A">
              <w:rPr>
                <w:rFonts w:ascii="Arial Narrow" w:hAnsi="Arial Narrow"/>
                <w:sz w:val="20"/>
                <w:szCs w:val="20"/>
              </w:rPr>
              <w:t>$</w:t>
            </w:r>
            <w:r w:rsidR="00650CB8" w:rsidRPr="00650CB8">
              <w:rPr>
                <w:rFonts w:ascii="Arial Narrow" w:hAnsi="Arial Narrow"/>
                <w:color w:val="000000"/>
                <w:spacing w:val="63"/>
                <w:sz w:val="20"/>
                <w:szCs w:val="20"/>
                <w:shd w:val="solid" w:color="000000" w:fill="000000"/>
                <w:fitText w:val="360" w:id="-1435748082"/>
                <w14:textFill>
                  <w14:solidFill>
                    <w14:srgbClr w14:val="000000">
                      <w14:alpha w14:val="100000"/>
                    </w14:srgbClr>
                  </w14:solidFill>
                </w14:textFill>
              </w:rPr>
              <w:t>|||</w:t>
            </w:r>
            <w:r w:rsidR="00650CB8" w:rsidRPr="00650CB8">
              <w:rPr>
                <w:rFonts w:ascii="Arial Narrow" w:hAnsi="Arial Narrow"/>
                <w:color w:val="000000"/>
                <w:spacing w:val="1"/>
                <w:sz w:val="20"/>
                <w:szCs w:val="20"/>
                <w:shd w:val="solid" w:color="000000" w:fill="000000"/>
                <w:fitText w:val="360" w:id="-1435748082"/>
                <w14:textFill>
                  <w14:solidFill>
                    <w14:srgbClr w14:val="000000">
                      <w14:alpha w14:val="100000"/>
                    </w14:srgbClr>
                  </w14:solidFill>
                </w14:textFill>
              </w:rPr>
              <w:t>|</w:t>
            </w:r>
            <w:r w:rsidR="00F152B1">
              <w:rPr>
                <w:rFonts w:ascii="Arial Narrow" w:hAnsi="Arial Narrow"/>
                <w:sz w:val="20"/>
                <w:szCs w:val="20"/>
                <w:vertAlign w:val="superscript"/>
              </w:rPr>
              <w:t>4</w:t>
            </w:r>
          </w:p>
        </w:tc>
        <w:tc>
          <w:tcPr>
            <w:tcW w:w="634" w:type="pct"/>
            <w:shd w:val="clear" w:color="auto" w:fill="auto"/>
            <w:vAlign w:val="center"/>
          </w:tcPr>
          <w:p w14:paraId="13F461B8" w14:textId="031853A0" w:rsidR="000F4B43" w:rsidRPr="009D3E9A" w:rsidRDefault="000F4B43" w:rsidP="000F4B43">
            <w:pPr>
              <w:jc w:val="center"/>
              <w:rPr>
                <w:rFonts w:ascii="Arial Narrow" w:hAnsi="Arial Narrow"/>
                <w:sz w:val="20"/>
                <w:szCs w:val="20"/>
              </w:rPr>
            </w:pPr>
            <w:r w:rsidRPr="009D3E9A">
              <w:rPr>
                <w:rFonts w:ascii="Arial Narrow" w:hAnsi="Arial Narrow"/>
                <w:sz w:val="20"/>
                <w:szCs w:val="20"/>
              </w:rPr>
              <w:t>$</w:t>
            </w:r>
            <w:r w:rsidR="00650CB8" w:rsidRPr="00650CB8">
              <w:rPr>
                <w:rFonts w:ascii="Arial Narrow" w:hAnsi="Arial Narrow"/>
                <w:color w:val="000000"/>
                <w:spacing w:val="63"/>
                <w:sz w:val="20"/>
                <w:szCs w:val="20"/>
                <w:shd w:val="solid" w:color="000000" w:fill="000000"/>
                <w:fitText w:val="360" w:id="-1435748081"/>
                <w14:textFill>
                  <w14:solidFill>
                    <w14:srgbClr w14:val="000000">
                      <w14:alpha w14:val="100000"/>
                    </w14:srgbClr>
                  </w14:solidFill>
                </w14:textFill>
              </w:rPr>
              <w:t>|||</w:t>
            </w:r>
            <w:r w:rsidR="00650CB8" w:rsidRPr="00650CB8">
              <w:rPr>
                <w:rFonts w:ascii="Arial Narrow" w:hAnsi="Arial Narrow"/>
                <w:color w:val="000000"/>
                <w:spacing w:val="1"/>
                <w:sz w:val="20"/>
                <w:szCs w:val="20"/>
                <w:shd w:val="solid" w:color="000000" w:fill="000000"/>
                <w:fitText w:val="360" w:id="-1435748081"/>
                <w14:textFill>
                  <w14:solidFill>
                    <w14:srgbClr w14:val="000000">
                      <w14:alpha w14:val="100000"/>
                    </w14:srgbClr>
                  </w14:solidFill>
                </w14:textFill>
              </w:rPr>
              <w:t>|</w:t>
            </w:r>
            <w:r w:rsidR="00F152B1">
              <w:rPr>
                <w:rFonts w:ascii="Arial Narrow" w:hAnsi="Arial Narrow"/>
                <w:sz w:val="20"/>
                <w:szCs w:val="20"/>
                <w:vertAlign w:val="superscript"/>
              </w:rPr>
              <w:t>5</w:t>
            </w:r>
          </w:p>
        </w:tc>
        <w:tc>
          <w:tcPr>
            <w:tcW w:w="634" w:type="pct"/>
            <w:shd w:val="clear" w:color="auto" w:fill="auto"/>
            <w:vAlign w:val="center"/>
          </w:tcPr>
          <w:p w14:paraId="21559561" w14:textId="64800E4A" w:rsidR="000F4B43" w:rsidRPr="009D3E9A" w:rsidRDefault="000F4B43" w:rsidP="000F4B43">
            <w:pPr>
              <w:jc w:val="center"/>
              <w:rPr>
                <w:rFonts w:ascii="Arial Narrow" w:hAnsi="Arial Narrow"/>
                <w:sz w:val="20"/>
                <w:szCs w:val="20"/>
              </w:rPr>
            </w:pPr>
            <w:r w:rsidRPr="009D3E9A">
              <w:rPr>
                <w:rFonts w:ascii="Arial Narrow" w:hAnsi="Arial Narrow"/>
                <w:sz w:val="20"/>
                <w:szCs w:val="20"/>
              </w:rPr>
              <w:t>$</w:t>
            </w:r>
            <w:r w:rsidR="00650CB8" w:rsidRPr="00650CB8">
              <w:rPr>
                <w:rFonts w:ascii="Arial Narrow" w:hAnsi="Arial Narrow"/>
                <w:color w:val="000000"/>
                <w:spacing w:val="63"/>
                <w:sz w:val="20"/>
                <w:szCs w:val="20"/>
                <w:shd w:val="solid" w:color="000000" w:fill="000000"/>
                <w:fitText w:val="360" w:id="-1435748080"/>
                <w14:textFill>
                  <w14:solidFill>
                    <w14:srgbClr w14:val="000000">
                      <w14:alpha w14:val="100000"/>
                    </w14:srgbClr>
                  </w14:solidFill>
                </w14:textFill>
              </w:rPr>
              <w:t>|||</w:t>
            </w:r>
            <w:r w:rsidR="00650CB8" w:rsidRPr="00650CB8">
              <w:rPr>
                <w:rFonts w:ascii="Arial Narrow" w:hAnsi="Arial Narrow"/>
                <w:color w:val="000000"/>
                <w:spacing w:val="1"/>
                <w:sz w:val="20"/>
                <w:szCs w:val="20"/>
                <w:shd w:val="solid" w:color="000000" w:fill="000000"/>
                <w:fitText w:val="360" w:id="-1435748080"/>
                <w14:textFill>
                  <w14:solidFill>
                    <w14:srgbClr w14:val="000000">
                      <w14:alpha w14:val="100000"/>
                    </w14:srgbClr>
                  </w14:solidFill>
                </w14:textFill>
              </w:rPr>
              <w:t>|</w:t>
            </w:r>
            <w:r w:rsidR="00F152B1">
              <w:rPr>
                <w:rFonts w:ascii="Arial Narrow" w:hAnsi="Arial Narrow"/>
                <w:sz w:val="20"/>
                <w:szCs w:val="20"/>
                <w:vertAlign w:val="superscript"/>
              </w:rPr>
              <w:t>5</w:t>
            </w:r>
          </w:p>
        </w:tc>
        <w:tc>
          <w:tcPr>
            <w:tcW w:w="634" w:type="pct"/>
            <w:tcBorders>
              <w:right w:val="single" w:sz="4" w:space="0" w:color="auto"/>
            </w:tcBorders>
            <w:shd w:val="clear" w:color="auto" w:fill="auto"/>
            <w:vAlign w:val="center"/>
          </w:tcPr>
          <w:p w14:paraId="6B50734B" w14:textId="5B69A9B8" w:rsidR="000F4B43" w:rsidRPr="009D3E9A" w:rsidRDefault="000F4B43" w:rsidP="000F4B43">
            <w:pPr>
              <w:jc w:val="center"/>
              <w:rPr>
                <w:rFonts w:ascii="Arial Narrow" w:hAnsi="Arial Narrow"/>
                <w:sz w:val="20"/>
                <w:szCs w:val="20"/>
              </w:rPr>
            </w:pPr>
            <w:r w:rsidRPr="009D3E9A">
              <w:rPr>
                <w:rFonts w:ascii="Arial Narrow" w:hAnsi="Arial Narrow"/>
                <w:sz w:val="20"/>
                <w:szCs w:val="20"/>
              </w:rPr>
              <w:t>$</w:t>
            </w:r>
            <w:r w:rsidR="00650CB8" w:rsidRPr="00650CB8">
              <w:rPr>
                <w:rFonts w:ascii="Arial Narrow" w:hAnsi="Arial Narrow"/>
                <w:color w:val="000000"/>
                <w:spacing w:val="63"/>
                <w:sz w:val="20"/>
                <w:szCs w:val="20"/>
                <w:shd w:val="solid" w:color="000000" w:fill="000000"/>
                <w:fitText w:val="360" w:id="-1435748096"/>
                <w14:textFill>
                  <w14:solidFill>
                    <w14:srgbClr w14:val="000000">
                      <w14:alpha w14:val="100000"/>
                    </w14:srgbClr>
                  </w14:solidFill>
                </w14:textFill>
              </w:rPr>
              <w:t>|||</w:t>
            </w:r>
            <w:r w:rsidR="00650CB8" w:rsidRPr="00650CB8">
              <w:rPr>
                <w:rFonts w:ascii="Arial Narrow" w:hAnsi="Arial Narrow"/>
                <w:color w:val="000000"/>
                <w:spacing w:val="1"/>
                <w:sz w:val="20"/>
                <w:szCs w:val="20"/>
                <w:shd w:val="solid" w:color="000000" w:fill="000000"/>
                <w:fitText w:val="360" w:id="-1435748096"/>
                <w14:textFill>
                  <w14:solidFill>
                    <w14:srgbClr w14:val="000000">
                      <w14:alpha w14:val="100000"/>
                    </w14:srgbClr>
                  </w14:solidFill>
                </w14:textFill>
              </w:rPr>
              <w:t>|</w:t>
            </w:r>
            <w:r w:rsidR="00F152B1">
              <w:rPr>
                <w:rFonts w:ascii="Arial Narrow" w:hAnsi="Arial Narrow"/>
                <w:sz w:val="20"/>
                <w:szCs w:val="20"/>
                <w:vertAlign w:val="superscript"/>
              </w:rPr>
              <w:t>5</w:t>
            </w:r>
          </w:p>
        </w:tc>
        <w:tc>
          <w:tcPr>
            <w:tcW w:w="633" w:type="pct"/>
            <w:tcBorders>
              <w:right w:val="single" w:sz="4" w:space="0" w:color="auto"/>
            </w:tcBorders>
            <w:vAlign w:val="center"/>
          </w:tcPr>
          <w:p w14:paraId="0863E1E9" w14:textId="5DF6EA99" w:rsidR="000F4B43" w:rsidRPr="009D3E9A" w:rsidRDefault="000F4B43" w:rsidP="002643CB">
            <w:pPr>
              <w:jc w:val="center"/>
              <w:rPr>
                <w:rFonts w:ascii="Arial Narrow" w:hAnsi="Arial Narrow"/>
                <w:sz w:val="20"/>
                <w:szCs w:val="20"/>
              </w:rPr>
            </w:pPr>
            <w:r w:rsidRPr="009D3E9A">
              <w:rPr>
                <w:rFonts w:ascii="Arial Narrow" w:hAnsi="Arial Narrow"/>
                <w:sz w:val="20"/>
                <w:szCs w:val="20"/>
              </w:rPr>
              <w:t>$</w:t>
            </w:r>
            <w:r w:rsidR="00650CB8" w:rsidRPr="00650CB8">
              <w:rPr>
                <w:rFonts w:ascii="Arial Narrow" w:hAnsi="Arial Narrow"/>
                <w:color w:val="000000"/>
                <w:spacing w:val="66"/>
                <w:sz w:val="20"/>
                <w:szCs w:val="20"/>
                <w:shd w:val="solid" w:color="000000" w:fill="000000"/>
                <w:fitText w:val="370" w:id="-1435748095"/>
                <w14:textFill>
                  <w14:solidFill>
                    <w14:srgbClr w14:val="000000">
                      <w14:alpha w14:val="100000"/>
                    </w14:srgbClr>
                  </w14:solidFill>
                </w14:textFill>
              </w:rPr>
              <w:t>|||</w:t>
            </w:r>
            <w:r w:rsidR="00650CB8" w:rsidRPr="00650CB8">
              <w:rPr>
                <w:rFonts w:ascii="Arial Narrow" w:hAnsi="Arial Narrow"/>
                <w:color w:val="000000"/>
                <w:spacing w:val="2"/>
                <w:sz w:val="20"/>
                <w:szCs w:val="20"/>
                <w:shd w:val="solid" w:color="000000" w:fill="000000"/>
                <w:fitText w:val="370" w:id="-1435748095"/>
                <w14:textFill>
                  <w14:solidFill>
                    <w14:srgbClr w14:val="000000">
                      <w14:alpha w14:val="100000"/>
                    </w14:srgbClr>
                  </w14:solidFill>
                </w14:textFill>
              </w:rPr>
              <w:t>|</w:t>
            </w:r>
            <w:r w:rsidR="00F152B1">
              <w:rPr>
                <w:rFonts w:ascii="Arial Narrow" w:hAnsi="Arial Narrow"/>
                <w:sz w:val="20"/>
                <w:szCs w:val="20"/>
                <w:vertAlign w:val="superscript"/>
              </w:rPr>
              <w:t>5</w:t>
            </w:r>
          </w:p>
        </w:tc>
      </w:tr>
      <w:tr w:rsidR="000F4B43" w:rsidRPr="009D3E9A" w14:paraId="5FDDDD91" w14:textId="77777777" w:rsidTr="000F4B43">
        <w:tc>
          <w:tcPr>
            <w:tcW w:w="1197" w:type="pct"/>
            <w:tcBorders>
              <w:left w:val="single" w:sz="4" w:space="0" w:color="auto"/>
              <w:bottom w:val="single" w:sz="4" w:space="0" w:color="auto"/>
            </w:tcBorders>
            <w:shd w:val="clear" w:color="auto" w:fill="auto"/>
            <w:vAlign w:val="center"/>
          </w:tcPr>
          <w:p w14:paraId="3FAB0250" w14:textId="77777777" w:rsidR="000F4B43" w:rsidRPr="009D3E9A" w:rsidRDefault="000F4B43" w:rsidP="000F4B43">
            <w:pPr>
              <w:jc w:val="left"/>
              <w:rPr>
                <w:rFonts w:ascii="Arial Narrow" w:eastAsia="Calibri" w:hAnsi="Arial Narrow" w:cs="Times New Roman"/>
                <w:sz w:val="20"/>
                <w:szCs w:val="20"/>
              </w:rPr>
            </w:pPr>
            <w:r w:rsidRPr="009D3E9A">
              <w:rPr>
                <w:rFonts w:ascii="Arial Narrow" w:eastAsia="Calibri" w:hAnsi="Arial Narrow" w:cs="Times New Roman"/>
                <w:sz w:val="20"/>
                <w:szCs w:val="20"/>
              </w:rPr>
              <w:t>Expanded FH listing</w:t>
            </w:r>
          </w:p>
        </w:tc>
        <w:tc>
          <w:tcPr>
            <w:tcW w:w="634" w:type="pct"/>
            <w:shd w:val="clear" w:color="auto" w:fill="auto"/>
            <w:vAlign w:val="center"/>
          </w:tcPr>
          <w:p w14:paraId="1E84904E" w14:textId="1C3A5B26" w:rsidR="000F4B43" w:rsidRPr="009D3E9A" w:rsidRDefault="000F4B43" w:rsidP="000F4B43">
            <w:pPr>
              <w:jc w:val="center"/>
              <w:rPr>
                <w:rFonts w:ascii="Arial Narrow" w:hAnsi="Arial Narrow"/>
                <w:sz w:val="20"/>
                <w:szCs w:val="20"/>
              </w:rPr>
            </w:pPr>
            <w:r w:rsidRPr="009D3E9A">
              <w:rPr>
                <w:rFonts w:ascii="Arial Narrow" w:hAnsi="Arial Narrow"/>
                <w:sz w:val="20"/>
                <w:szCs w:val="20"/>
              </w:rPr>
              <w:t>$</w:t>
            </w:r>
            <w:r w:rsidR="00650CB8" w:rsidRPr="00650CB8">
              <w:rPr>
                <w:rFonts w:ascii="Arial Narrow" w:hAnsi="Arial Narrow"/>
                <w:color w:val="000000"/>
                <w:spacing w:val="63"/>
                <w:sz w:val="20"/>
                <w:szCs w:val="20"/>
                <w:shd w:val="solid" w:color="000000" w:fill="000000"/>
                <w:fitText w:val="360" w:id="-1435748094"/>
                <w14:textFill>
                  <w14:solidFill>
                    <w14:srgbClr w14:val="000000">
                      <w14:alpha w14:val="100000"/>
                    </w14:srgbClr>
                  </w14:solidFill>
                </w14:textFill>
              </w:rPr>
              <w:t>|||</w:t>
            </w:r>
            <w:r w:rsidR="00650CB8" w:rsidRPr="00650CB8">
              <w:rPr>
                <w:rFonts w:ascii="Arial Narrow" w:hAnsi="Arial Narrow"/>
                <w:color w:val="000000"/>
                <w:spacing w:val="1"/>
                <w:sz w:val="20"/>
                <w:szCs w:val="20"/>
                <w:shd w:val="solid" w:color="000000" w:fill="000000"/>
                <w:fitText w:val="360" w:id="-1435748094"/>
                <w14:textFill>
                  <w14:solidFill>
                    <w14:srgbClr w14:val="000000">
                      <w14:alpha w14:val="100000"/>
                    </w14:srgbClr>
                  </w14:solidFill>
                </w14:textFill>
              </w:rPr>
              <w:t>|</w:t>
            </w:r>
            <w:r w:rsidR="00C142C3">
              <w:rPr>
                <w:rFonts w:ascii="Arial Narrow" w:hAnsi="Arial Narrow"/>
                <w:sz w:val="20"/>
                <w:szCs w:val="20"/>
                <w:vertAlign w:val="superscript"/>
              </w:rPr>
              <w:t>4</w:t>
            </w:r>
          </w:p>
        </w:tc>
        <w:tc>
          <w:tcPr>
            <w:tcW w:w="634" w:type="pct"/>
            <w:shd w:val="clear" w:color="auto" w:fill="auto"/>
            <w:vAlign w:val="center"/>
          </w:tcPr>
          <w:p w14:paraId="5EA0C09F" w14:textId="1CD41B1C" w:rsidR="000F4B43" w:rsidRPr="009D3E9A" w:rsidRDefault="000F4B43" w:rsidP="000F4B43">
            <w:pPr>
              <w:jc w:val="center"/>
              <w:rPr>
                <w:rFonts w:ascii="Arial Narrow" w:hAnsi="Arial Narrow"/>
                <w:sz w:val="20"/>
                <w:szCs w:val="20"/>
              </w:rPr>
            </w:pPr>
            <w:r w:rsidRPr="009D3E9A">
              <w:rPr>
                <w:rFonts w:ascii="Arial Narrow" w:hAnsi="Arial Narrow"/>
                <w:sz w:val="20"/>
                <w:szCs w:val="20"/>
              </w:rPr>
              <w:t>$</w:t>
            </w:r>
            <w:r w:rsidR="00650CB8" w:rsidRPr="00650CB8">
              <w:rPr>
                <w:rFonts w:ascii="Arial Narrow" w:hAnsi="Arial Narrow"/>
                <w:color w:val="000000"/>
                <w:spacing w:val="63"/>
                <w:sz w:val="20"/>
                <w:szCs w:val="20"/>
                <w:shd w:val="solid" w:color="000000" w:fill="000000"/>
                <w:fitText w:val="360" w:id="-1435748093"/>
                <w14:textFill>
                  <w14:solidFill>
                    <w14:srgbClr w14:val="000000">
                      <w14:alpha w14:val="100000"/>
                    </w14:srgbClr>
                  </w14:solidFill>
                </w14:textFill>
              </w:rPr>
              <w:t>|||</w:t>
            </w:r>
            <w:r w:rsidR="00650CB8" w:rsidRPr="00650CB8">
              <w:rPr>
                <w:rFonts w:ascii="Arial Narrow" w:hAnsi="Arial Narrow"/>
                <w:color w:val="000000"/>
                <w:spacing w:val="1"/>
                <w:sz w:val="20"/>
                <w:szCs w:val="20"/>
                <w:shd w:val="solid" w:color="000000" w:fill="000000"/>
                <w:fitText w:val="360" w:id="-1435748093"/>
                <w14:textFill>
                  <w14:solidFill>
                    <w14:srgbClr w14:val="000000">
                      <w14:alpha w14:val="100000"/>
                    </w14:srgbClr>
                  </w14:solidFill>
                </w14:textFill>
              </w:rPr>
              <w:t>|</w:t>
            </w:r>
            <w:r w:rsidR="00C142C3">
              <w:rPr>
                <w:rFonts w:ascii="Arial Narrow" w:hAnsi="Arial Narrow"/>
                <w:sz w:val="20"/>
                <w:szCs w:val="20"/>
                <w:vertAlign w:val="superscript"/>
              </w:rPr>
              <w:t>4</w:t>
            </w:r>
          </w:p>
        </w:tc>
        <w:tc>
          <w:tcPr>
            <w:tcW w:w="634" w:type="pct"/>
            <w:shd w:val="clear" w:color="auto" w:fill="auto"/>
            <w:vAlign w:val="center"/>
          </w:tcPr>
          <w:p w14:paraId="580A8E1E" w14:textId="4F05600C" w:rsidR="000F4B43" w:rsidRPr="009D3E9A" w:rsidRDefault="000F4B43" w:rsidP="000F4B43">
            <w:pPr>
              <w:jc w:val="center"/>
              <w:rPr>
                <w:rFonts w:ascii="Arial Narrow" w:hAnsi="Arial Narrow"/>
                <w:sz w:val="20"/>
                <w:szCs w:val="20"/>
              </w:rPr>
            </w:pPr>
            <w:r w:rsidRPr="009D3E9A">
              <w:rPr>
                <w:rFonts w:ascii="Arial Narrow" w:hAnsi="Arial Narrow"/>
                <w:sz w:val="20"/>
                <w:szCs w:val="20"/>
              </w:rPr>
              <w:t>$</w:t>
            </w:r>
            <w:r w:rsidR="00650CB8" w:rsidRPr="00650CB8">
              <w:rPr>
                <w:rFonts w:ascii="Arial Narrow" w:hAnsi="Arial Narrow"/>
                <w:color w:val="000000"/>
                <w:spacing w:val="63"/>
                <w:sz w:val="20"/>
                <w:szCs w:val="20"/>
                <w:shd w:val="solid" w:color="000000" w:fill="000000"/>
                <w:fitText w:val="360" w:id="-1435748092"/>
                <w14:textFill>
                  <w14:solidFill>
                    <w14:srgbClr w14:val="000000">
                      <w14:alpha w14:val="100000"/>
                    </w14:srgbClr>
                  </w14:solidFill>
                </w14:textFill>
              </w:rPr>
              <w:t>|||</w:t>
            </w:r>
            <w:r w:rsidR="00650CB8" w:rsidRPr="00650CB8">
              <w:rPr>
                <w:rFonts w:ascii="Arial Narrow" w:hAnsi="Arial Narrow"/>
                <w:color w:val="000000"/>
                <w:spacing w:val="1"/>
                <w:sz w:val="20"/>
                <w:szCs w:val="20"/>
                <w:shd w:val="solid" w:color="000000" w:fill="000000"/>
                <w:fitText w:val="360" w:id="-1435748092"/>
                <w14:textFill>
                  <w14:solidFill>
                    <w14:srgbClr w14:val="000000">
                      <w14:alpha w14:val="100000"/>
                    </w14:srgbClr>
                  </w14:solidFill>
                </w14:textFill>
              </w:rPr>
              <w:t>|</w:t>
            </w:r>
            <w:r w:rsidR="00C142C3">
              <w:rPr>
                <w:rFonts w:ascii="Arial Narrow" w:hAnsi="Arial Narrow"/>
                <w:sz w:val="20"/>
                <w:szCs w:val="20"/>
                <w:vertAlign w:val="superscript"/>
              </w:rPr>
              <w:t>4</w:t>
            </w:r>
          </w:p>
        </w:tc>
        <w:tc>
          <w:tcPr>
            <w:tcW w:w="634" w:type="pct"/>
            <w:shd w:val="clear" w:color="auto" w:fill="auto"/>
            <w:vAlign w:val="center"/>
          </w:tcPr>
          <w:p w14:paraId="27FB067E" w14:textId="7DED28F3" w:rsidR="000F4B43" w:rsidRPr="009D3E9A" w:rsidRDefault="000F4B43" w:rsidP="000F4B43">
            <w:pPr>
              <w:jc w:val="center"/>
              <w:rPr>
                <w:rFonts w:ascii="Arial Narrow" w:hAnsi="Arial Narrow"/>
                <w:sz w:val="20"/>
                <w:szCs w:val="20"/>
              </w:rPr>
            </w:pPr>
            <w:r w:rsidRPr="009D3E9A">
              <w:rPr>
                <w:rFonts w:ascii="Arial Narrow" w:hAnsi="Arial Narrow"/>
                <w:sz w:val="20"/>
                <w:szCs w:val="20"/>
              </w:rPr>
              <w:t>$</w:t>
            </w:r>
            <w:r w:rsidR="00650CB8" w:rsidRPr="00650CB8">
              <w:rPr>
                <w:rFonts w:ascii="Arial Narrow" w:hAnsi="Arial Narrow"/>
                <w:color w:val="000000"/>
                <w:spacing w:val="63"/>
                <w:sz w:val="20"/>
                <w:szCs w:val="20"/>
                <w:shd w:val="solid" w:color="000000" w:fill="000000"/>
                <w:fitText w:val="360" w:id="-1435748091"/>
                <w14:textFill>
                  <w14:solidFill>
                    <w14:srgbClr w14:val="000000">
                      <w14:alpha w14:val="100000"/>
                    </w14:srgbClr>
                  </w14:solidFill>
                </w14:textFill>
              </w:rPr>
              <w:t>|||</w:t>
            </w:r>
            <w:r w:rsidR="00650CB8" w:rsidRPr="00650CB8">
              <w:rPr>
                <w:rFonts w:ascii="Arial Narrow" w:hAnsi="Arial Narrow"/>
                <w:color w:val="000000"/>
                <w:spacing w:val="1"/>
                <w:sz w:val="20"/>
                <w:szCs w:val="20"/>
                <w:shd w:val="solid" w:color="000000" w:fill="000000"/>
                <w:fitText w:val="360" w:id="-1435748091"/>
                <w14:textFill>
                  <w14:solidFill>
                    <w14:srgbClr w14:val="000000">
                      <w14:alpha w14:val="100000"/>
                    </w14:srgbClr>
                  </w14:solidFill>
                </w14:textFill>
              </w:rPr>
              <w:t>|</w:t>
            </w:r>
            <w:r w:rsidR="00C142C3">
              <w:rPr>
                <w:rFonts w:ascii="Arial Narrow" w:hAnsi="Arial Narrow"/>
                <w:sz w:val="20"/>
                <w:szCs w:val="20"/>
                <w:vertAlign w:val="superscript"/>
              </w:rPr>
              <w:t>4</w:t>
            </w:r>
          </w:p>
        </w:tc>
        <w:tc>
          <w:tcPr>
            <w:tcW w:w="634" w:type="pct"/>
            <w:tcBorders>
              <w:right w:val="single" w:sz="4" w:space="0" w:color="auto"/>
            </w:tcBorders>
            <w:shd w:val="clear" w:color="auto" w:fill="auto"/>
            <w:vAlign w:val="center"/>
          </w:tcPr>
          <w:p w14:paraId="6434D155" w14:textId="4C1DD9FA" w:rsidR="000F4B43" w:rsidRPr="009D3E9A" w:rsidRDefault="000F4B43" w:rsidP="000F4B43">
            <w:pPr>
              <w:jc w:val="center"/>
              <w:rPr>
                <w:rFonts w:ascii="Arial Narrow" w:hAnsi="Arial Narrow"/>
                <w:sz w:val="20"/>
                <w:szCs w:val="20"/>
              </w:rPr>
            </w:pPr>
            <w:r w:rsidRPr="009D3E9A">
              <w:rPr>
                <w:rFonts w:ascii="Arial Narrow" w:hAnsi="Arial Narrow"/>
                <w:sz w:val="20"/>
                <w:szCs w:val="20"/>
              </w:rPr>
              <w:t>$</w:t>
            </w:r>
            <w:r w:rsidR="00650CB8" w:rsidRPr="00650CB8">
              <w:rPr>
                <w:rFonts w:ascii="Arial Narrow" w:hAnsi="Arial Narrow"/>
                <w:color w:val="000000"/>
                <w:spacing w:val="63"/>
                <w:sz w:val="20"/>
                <w:szCs w:val="20"/>
                <w:shd w:val="solid" w:color="000000" w:fill="000000"/>
                <w:fitText w:val="360" w:id="-1435748090"/>
                <w14:textFill>
                  <w14:solidFill>
                    <w14:srgbClr w14:val="000000">
                      <w14:alpha w14:val="100000"/>
                    </w14:srgbClr>
                  </w14:solidFill>
                </w14:textFill>
              </w:rPr>
              <w:t>|||</w:t>
            </w:r>
            <w:r w:rsidR="00650CB8" w:rsidRPr="00650CB8">
              <w:rPr>
                <w:rFonts w:ascii="Arial Narrow" w:hAnsi="Arial Narrow"/>
                <w:color w:val="000000"/>
                <w:spacing w:val="1"/>
                <w:sz w:val="20"/>
                <w:szCs w:val="20"/>
                <w:shd w:val="solid" w:color="000000" w:fill="000000"/>
                <w:fitText w:val="360" w:id="-1435748090"/>
                <w14:textFill>
                  <w14:solidFill>
                    <w14:srgbClr w14:val="000000">
                      <w14:alpha w14:val="100000"/>
                    </w14:srgbClr>
                  </w14:solidFill>
                </w14:textFill>
              </w:rPr>
              <w:t>|</w:t>
            </w:r>
            <w:r w:rsidR="00C142C3">
              <w:rPr>
                <w:rFonts w:ascii="Arial Narrow" w:hAnsi="Arial Narrow"/>
                <w:sz w:val="20"/>
                <w:szCs w:val="20"/>
                <w:vertAlign w:val="superscript"/>
              </w:rPr>
              <w:t>4</w:t>
            </w:r>
          </w:p>
        </w:tc>
        <w:tc>
          <w:tcPr>
            <w:tcW w:w="633" w:type="pct"/>
            <w:tcBorders>
              <w:right w:val="single" w:sz="4" w:space="0" w:color="auto"/>
            </w:tcBorders>
            <w:vAlign w:val="center"/>
          </w:tcPr>
          <w:p w14:paraId="594FA79B" w14:textId="19503385" w:rsidR="000F4B43" w:rsidRPr="009D3E9A" w:rsidRDefault="000F4B43" w:rsidP="000F4B43">
            <w:pPr>
              <w:jc w:val="center"/>
              <w:rPr>
                <w:rFonts w:ascii="Arial Narrow" w:hAnsi="Arial Narrow"/>
                <w:sz w:val="20"/>
                <w:szCs w:val="20"/>
              </w:rPr>
            </w:pPr>
            <w:r w:rsidRPr="009D3E9A">
              <w:rPr>
                <w:rFonts w:ascii="Arial Narrow" w:hAnsi="Arial Narrow"/>
                <w:sz w:val="20"/>
                <w:szCs w:val="20"/>
              </w:rPr>
              <w:t>$</w:t>
            </w:r>
            <w:r w:rsidR="00650CB8" w:rsidRPr="00650CB8">
              <w:rPr>
                <w:rFonts w:ascii="Arial Narrow" w:hAnsi="Arial Narrow"/>
                <w:color w:val="000000"/>
                <w:spacing w:val="66"/>
                <w:sz w:val="20"/>
                <w:szCs w:val="20"/>
                <w:shd w:val="solid" w:color="000000" w:fill="000000"/>
                <w:fitText w:val="370" w:id="-1435748089"/>
                <w14:textFill>
                  <w14:solidFill>
                    <w14:srgbClr w14:val="000000">
                      <w14:alpha w14:val="100000"/>
                    </w14:srgbClr>
                  </w14:solidFill>
                </w14:textFill>
              </w:rPr>
              <w:t>|||</w:t>
            </w:r>
            <w:r w:rsidR="00650CB8" w:rsidRPr="00650CB8">
              <w:rPr>
                <w:rFonts w:ascii="Arial Narrow" w:hAnsi="Arial Narrow"/>
                <w:color w:val="000000"/>
                <w:spacing w:val="2"/>
                <w:sz w:val="20"/>
                <w:szCs w:val="20"/>
                <w:shd w:val="solid" w:color="000000" w:fill="000000"/>
                <w:fitText w:val="370" w:id="-1435748089"/>
                <w14:textFill>
                  <w14:solidFill>
                    <w14:srgbClr w14:val="000000">
                      <w14:alpha w14:val="100000"/>
                    </w14:srgbClr>
                  </w14:solidFill>
                </w14:textFill>
              </w:rPr>
              <w:t>|</w:t>
            </w:r>
            <w:r w:rsidR="00C142C3">
              <w:rPr>
                <w:rFonts w:ascii="Arial Narrow" w:hAnsi="Arial Narrow"/>
                <w:sz w:val="20"/>
                <w:szCs w:val="20"/>
                <w:vertAlign w:val="superscript"/>
              </w:rPr>
              <w:t>4</w:t>
            </w:r>
          </w:p>
        </w:tc>
      </w:tr>
      <w:tr w:rsidR="000F4B43" w:rsidRPr="009D3E9A" w14:paraId="41C379C0" w14:textId="77777777" w:rsidTr="000F4B43">
        <w:tc>
          <w:tcPr>
            <w:tcW w:w="1197" w:type="pct"/>
            <w:tcBorders>
              <w:left w:val="single" w:sz="4" w:space="0" w:color="auto"/>
              <w:bottom w:val="single" w:sz="4" w:space="0" w:color="auto"/>
            </w:tcBorders>
            <w:shd w:val="clear" w:color="auto" w:fill="auto"/>
            <w:vAlign w:val="center"/>
          </w:tcPr>
          <w:p w14:paraId="5D89F1F8" w14:textId="77777777" w:rsidR="000F4B43" w:rsidRPr="009D3E9A" w:rsidRDefault="000F4B43" w:rsidP="000F4B43">
            <w:pPr>
              <w:jc w:val="left"/>
              <w:rPr>
                <w:rFonts w:ascii="Arial Narrow" w:eastAsia="Calibri" w:hAnsi="Arial Narrow" w:cs="Times New Roman"/>
                <w:b/>
                <w:sz w:val="20"/>
                <w:szCs w:val="20"/>
              </w:rPr>
            </w:pPr>
            <w:r w:rsidRPr="009D3E9A">
              <w:rPr>
                <w:rFonts w:ascii="Arial Narrow" w:eastAsia="Calibri" w:hAnsi="Arial Narrow" w:cs="Times New Roman"/>
                <w:b/>
                <w:sz w:val="20"/>
                <w:szCs w:val="20"/>
              </w:rPr>
              <w:t>Total cost to PBS/RPBS</w:t>
            </w:r>
          </w:p>
        </w:tc>
        <w:tc>
          <w:tcPr>
            <w:tcW w:w="634" w:type="pct"/>
            <w:shd w:val="clear" w:color="auto" w:fill="auto"/>
          </w:tcPr>
          <w:p w14:paraId="10149F52" w14:textId="263D250B" w:rsidR="000F4B43" w:rsidRPr="009D3E9A" w:rsidRDefault="000F4B43" w:rsidP="000F4B43">
            <w:pPr>
              <w:jc w:val="center"/>
              <w:rPr>
                <w:rFonts w:ascii="Arial Narrow" w:hAnsi="Arial Narrow"/>
                <w:b/>
                <w:bCs/>
                <w:sz w:val="20"/>
                <w:szCs w:val="20"/>
              </w:rPr>
            </w:pPr>
            <w:r w:rsidRPr="009D3E9A">
              <w:rPr>
                <w:rFonts w:ascii="Arial Narrow" w:hAnsi="Arial Narrow"/>
                <w:b/>
                <w:bCs/>
                <w:sz w:val="20"/>
                <w:szCs w:val="20"/>
              </w:rPr>
              <w:t>$</w:t>
            </w:r>
            <w:r w:rsidR="00650CB8" w:rsidRPr="00650CB8">
              <w:rPr>
                <w:rFonts w:ascii="Arial Narrow" w:hAnsi="Arial Narrow"/>
                <w:b/>
                <w:bCs/>
                <w:color w:val="000000"/>
                <w:spacing w:val="48"/>
                <w:sz w:val="20"/>
                <w:szCs w:val="20"/>
                <w:shd w:val="solid" w:color="000000" w:fill="000000"/>
                <w:fitText w:val="330" w:id="-1435748088"/>
                <w14:textFill>
                  <w14:solidFill>
                    <w14:srgbClr w14:val="000000">
                      <w14:alpha w14:val="100000"/>
                    </w14:srgbClr>
                  </w14:solidFill>
                </w14:textFill>
              </w:rPr>
              <w:t>|||</w:t>
            </w:r>
            <w:r w:rsidR="00650CB8" w:rsidRPr="00650CB8">
              <w:rPr>
                <w:rFonts w:ascii="Arial Narrow" w:hAnsi="Arial Narrow"/>
                <w:b/>
                <w:bCs/>
                <w:color w:val="000000"/>
                <w:spacing w:val="3"/>
                <w:sz w:val="20"/>
                <w:szCs w:val="20"/>
                <w:shd w:val="solid" w:color="000000" w:fill="000000"/>
                <w:fitText w:val="330" w:id="-1435748088"/>
                <w14:textFill>
                  <w14:solidFill>
                    <w14:srgbClr w14:val="000000">
                      <w14:alpha w14:val="100000"/>
                    </w14:srgbClr>
                  </w14:solidFill>
                </w14:textFill>
              </w:rPr>
              <w:t>|</w:t>
            </w:r>
            <w:r w:rsidR="00C142C3">
              <w:rPr>
                <w:rFonts w:ascii="Arial Narrow" w:hAnsi="Arial Narrow"/>
                <w:sz w:val="20"/>
                <w:szCs w:val="20"/>
                <w:vertAlign w:val="superscript"/>
              </w:rPr>
              <w:t>4</w:t>
            </w:r>
          </w:p>
        </w:tc>
        <w:tc>
          <w:tcPr>
            <w:tcW w:w="634" w:type="pct"/>
            <w:shd w:val="clear" w:color="auto" w:fill="auto"/>
          </w:tcPr>
          <w:p w14:paraId="0230D9AB" w14:textId="2E548577" w:rsidR="000F4B43" w:rsidRPr="009D3E9A" w:rsidRDefault="000F4B43" w:rsidP="000F4B43">
            <w:pPr>
              <w:jc w:val="center"/>
              <w:rPr>
                <w:rFonts w:ascii="Arial Narrow" w:hAnsi="Arial Narrow"/>
                <w:b/>
                <w:bCs/>
                <w:sz w:val="20"/>
                <w:szCs w:val="20"/>
              </w:rPr>
            </w:pPr>
            <w:r w:rsidRPr="009D3E9A">
              <w:rPr>
                <w:rFonts w:ascii="Arial Narrow" w:hAnsi="Arial Narrow"/>
                <w:b/>
                <w:bCs/>
                <w:sz w:val="20"/>
                <w:szCs w:val="20"/>
              </w:rPr>
              <w:t>$</w:t>
            </w:r>
            <w:r w:rsidR="00650CB8" w:rsidRPr="00650CB8">
              <w:rPr>
                <w:rFonts w:ascii="Arial Narrow" w:hAnsi="Arial Narrow"/>
                <w:b/>
                <w:bCs/>
                <w:color w:val="000000"/>
                <w:spacing w:val="48"/>
                <w:sz w:val="20"/>
                <w:szCs w:val="20"/>
                <w:shd w:val="solid" w:color="000000" w:fill="000000"/>
                <w:fitText w:val="330" w:id="-1435748087"/>
                <w14:textFill>
                  <w14:solidFill>
                    <w14:srgbClr w14:val="000000">
                      <w14:alpha w14:val="100000"/>
                    </w14:srgbClr>
                  </w14:solidFill>
                </w14:textFill>
              </w:rPr>
              <w:t>|||</w:t>
            </w:r>
            <w:r w:rsidR="00650CB8" w:rsidRPr="00650CB8">
              <w:rPr>
                <w:rFonts w:ascii="Arial Narrow" w:hAnsi="Arial Narrow"/>
                <w:b/>
                <w:bCs/>
                <w:color w:val="000000"/>
                <w:spacing w:val="3"/>
                <w:sz w:val="20"/>
                <w:szCs w:val="20"/>
                <w:shd w:val="solid" w:color="000000" w:fill="000000"/>
                <w:fitText w:val="330" w:id="-1435748087"/>
                <w14:textFill>
                  <w14:solidFill>
                    <w14:srgbClr w14:val="000000">
                      <w14:alpha w14:val="100000"/>
                    </w14:srgbClr>
                  </w14:solidFill>
                </w14:textFill>
              </w:rPr>
              <w:t>|</w:t>
            </w:r>
            <w:r w:rsidR="00C142C3">
              <w:rPr>
                <w:rFonts w:ascii="Arial Narrow" w:hAnsi="Arial Narrow"/>
                <w:sz w:val="20"/>
                <w:szCs w:val="20"/>
                <w:vertAlign w:val="superscript"/>
              </w:rPr>
              <w:t>5</w:t>
            </w:r>
          </w:p>
        </w:tc>
        <w:tc>
          <w:tcPr>
            <w:tcW w:w="634" w:type="pct"/>
            <w:shd w:val="clear" w:color="auto" w:fill="auto"/>
          </w:tcPr>
          <w:p w14:paraId="271B3689" w14:textId="34A14B33" w:rsidR="000F4B43" w:rsidRPr="009D3E9A" w:rsidRDefault="000F4B43" w:rsidP="000F4B43">
            <w:pPr>
              <w:jc w:val="center"/>
              <w:rPr>
                <w:rFonts w:ascii="Arial Narrow" w:hAnsi="Arial Narrow"/>
                <w:b/>
                <w:bCs/>
                <w:sz w:val="20"/>
                <w:szCs w:val="20"/>
              </w:rPr>
            </w:pPr>
            <w:r w:rsidRPr="009D3E9A">
              <w:rPr>
                <w:rFonts w:ascii="Arial Narrow" w:hAnsi="Arial Narrow"/>
                <w:b/>
                <w:bCs/>
                <w:sz w:val="20"/>
                <w:szCs w:val="20"/>
              </w:rPr>
              <w:t>$</w:t>
            </w:r>
            <w:r w:rsidR="00650CB8" w:rsidRPr="00650CB8">
              <w:rPr>
                <w:rFonts w:ascii="Arial Narrow" w:hAnsi="Arial Narrow"/>
                <w:b/>
                <w:bCs/>
                <w:color w:val="000000"/>
                <w:spacing w:val="48"/>
                <w:sz w:val="20"/>
                <w:szCs w:val="20"/>
                <w:shd w:val="solid" w:color="000000" w:fill="000000"/>
                <w:fitText w:val="330" w:id="-1435748086"/>
                <w14:textFill>
                  <w14:solidFill>
                    <w14:srgbClr w14:val="000000">
                      <w14:alpha w14:val="100000"/>
                    </w14:srgbClr>
                  </w14:solidFill>
                </w14:textFill>
              </w:rPr>
              <w:t>|||</w:t>
            </w:r>
            <w:r w:rsidR="00650CB8" w:rsidRPr="00650CB8">
              <w:rPr>
                <w:rFonts w:ascii="Arial Narrow" w:hAnsi="Arial Narrow"/>
                <w:b/>
                <w:bCs/>
                <w:color w:val="000000"/>
                <w:spacing w:val="3"/>
                <w:sz w:val="20"/>
                <w:szCs w:val="20"/>
                <w:shd w:val="solid" w:color="000000" w:fill="000000"/>
                <w:fitText w:val="330" w:id="-1435748086"/>
                <w14:textFill>
                  <w14:solidFill>
                    <w14:srgbClr w14:val="000000">
                      <w14:alpha w14:val="100000"/>
                    </w14:srgbClr>
                  </w14:solidFill>
                </w14:textFill>
              </w:rPr>
              <w:t>|</w:t>
            </w:r>
            <w:r w:rsidR="00C142C3">
              <w:rPr>
                <w:rFonts w:ascii="Arial Narrow" w:hAnsi="Arial Narrow"/>
                <w:sz w:val="20"/>
                <w:szCs w:val="20"/>
                <w:vertAlign w:val="superscript"/>
              </w:rPr>
              <w:t>5</w:t>
            </w:r>
          </w:p>
        </w:tc>
        <w:tc>
          <w:tcPr>
            <w:tcW w:w="634" w:type="pct"/>
            <w:shd w:val="clear" w:color="auto" w:fill="auto"/>
          </w:tcPr>
          <w:p w14:paraId="5A07EF33" w14:textId="21C85345" w:rsidR="000F4B43" w:rsidRPr="009D3E9A" w:rsidRDefault="000F4B43" w:rsidP="000F4B43">
            <w:pPr>
              <w:jc w:val="center"/>
              <w:rPr>
                <w:rFonts w:ascii="Arial Narrow" w:hAnsi="Arial Narrow"/>
                <w:b/>
                <w:bCs/>
                <w:sz w:val="20"/>
                <w:szCs w:val="20"/>
              </w:rPr>
            </w:pPr>
            <w:r w:rsidRPr="009D3E9A">
              <w:rPr>
                <w:rFonts w:ascii="Arial Narrow" w:hAnsi="Arial Narrow"/>
                <w:b/>
                <w:bCs/>
                <w:sz w:val="20"/>
                <w:szCs w:val="20"/>
              </w:rPr>
              <w:t>$</w:t>
            </w:r>
            <w:r w:rsidR="00650CB8" w:rsidRPr="00650CB8">
              <w:rPr>
                <w:rFonts w:ascii="Arial Narrow" w:hAnsi="Arial Narrow"/>
                <w:b/>
                <w:bCs/>
                <w:color w:val="000000"/>
                <w:spacing w:val="48"/>
                <w:sz w:val="20"/>
                <w:szCs w:val="20"/>
                <w:shd w:val="solid" w:color="000000" w:fill="000000"/>
                <w:fitText w:val="330" w:id="-1435748085"/>
                <w14:textFill>
                  <w14:solidFill>
                    <w14:srgbClr w14:val="000000">
                      <w14:alpha w14:val="100000"/>
                    </w14:srgbClr>
                  </w14:solidFill>
                </w14:textFill>
              </w:rPr>
              <w:t>|||</w:t>
            </w:r>
            <w:r w:rsidR="00650CB8" w:rsidRPr="00650CB8">
              <w:rPr>
                <w:rFonts w:ascii="Arial Narrow" w:hAnsi="Arial Narrow"/>
                <w:b/>
                <w:bCs/>
                <w:color w:val="000000"/>
                <w:spacing w:val="3"/>
                <w:sz w:val="20"/>
                <w:szCs w:val="20"/>
                <w:shd w:val="solid" w:color="000000" w:fill="000000"/>
                <w:fitText w:val="330" w:id="-1435748085"/>
                <w14:textFill>
                  <w14:solidFill>
                    <w14:srgbClr w14:val="000000">
                      <w14:alpha w14:val="100000"/>
                    </w14:srgbClr>
                  </w14:solidFill>
                </w14:textFill>
              </w:rPr>
              <w:t>|</w:t>
            </w:r>
            <w:r w:rsidR="00C142C3">
              <w:rPr>
                <w:rFonts w:ascii="Arial Narrow" w:hAnsi="Arial Narrow"/>
                <w:sz w:val="20"/>
                <w:szCs w:val="20"/>
                <w:vertAlign w:val="superscript"/>
              </w:rPr>
              <w:t>5</w:t>
            </w:r>
          </w:p>
        </w:tc>
        <w:tc>
          <w:tcPr>
            <w:tcW w:w="634" w:type="pct"/>
            <w:tcBorders>
              <w:right w:val="single" w:sz="4" w:space="0" w:color="auto"/>
            </w:tcBorders>
            <w:shd w:val="clear" w:color="auto" w:fill="auto"/>
          </w:tcPr>
          <w:p w14:paraId="7D7068AA" w14:textId="0D8140D9" w:rsidR="000F4B43" w:rsidRPr="009D3E9A" w:rsidRDefault="000F4B43" w:rsidP="000F4B43">
            <w:pPr>
              <w:jc w:val="center"/>
              <w:rPr>
                <w:rFonts w:ascii="Arial Narrow" w:hAnsi="Arial Narrow"/>
                <w:b/>
                <w:bCs/>
                <w:sz w:val="20"/>
                <w:szCs w:val="20"/>
              </w:rPr>
            </w:pPr>
            <w:r w:rsidRPr="009D3E9A">
              <w:rPr>
                <w:rFonts w:ascii="Arial Narrow" w:hAnsi="Arial Narrow"/>
                <w:b/>
                <w:bCs/>
                <w:sz w:val="20"/>
                <w:szCs w:val="20"/>
              </w:rPr>
              <w:t>$</w:t>
            </w:r>
            <w:r w:rsidR="00650CB8" w:rsidRPr="00650CB8">
              <w:rPr>
                <w:rFonts w:ascii="Arial Narrow" w:hAnsi="Arial Narrow"/>
                <w:b/>
                <w:bCs/>
                <w:color w:val="000000"/>
                <w:spacing w:val="48"/>
                <w:sz w:val="20"/>
                <w:szCs w:val="20"/>
                <w:shd w:val="solid" w:color="000000" w:fill="000000"/>
                <w:fitText w:val="330" w:id="-1435748084"/>
                <w14:textFill>
                  <w14:solidFill>
                    <w14:srgbClr w14:val="000000">
                      <w14:alpha w14:val="100000"/>
                    </w14:srgbClr>
                  </w14:solidFill>
                </w14:textFill>
              </w:rPr>
              <w:t>|||</w:t>
            </w:r>
            <w:r w:rsidR="00650CB8" w:rsidRPr="00650CB8">
              <w:rPr>
                <w:rFonts w:ascii="Arial Narrow" w:hAnsi="Arial Narrow"/>
                <w:b/>
                <w:bCs/>
                <w:color w:val="000000"/>
                <w:spacing w:val="3"/>
                <w:sz w:val="20"/>
                <w:szCs w:val="20"/>
                <w:shd w:val="solid" w:color="000000" w:fill="000000"/>
                <w:fitText w:val="330" w:id="-1435748084"/>
                <w14:textFill>
                  <w14:solidFill>
                    <w14:srgbClr w14:val="000000">
                      <w14:alpha w14:val="100000"/>
                    </w14:srgbClr>
                  </w14:solidFill>
                </w14:textFill>
              </w:rPr>
              <w:t>|</w:t>
            </w:r>
            <w:r w:rsidR="00C142C3">
              <w:rPr>
                <w:rFonts w:ascii="Arial Narrow" w:hAnsi="Arial Narrow"/>
                <w:sz w:val="20"/>
                <w:szCs w:val="20"/>
                <w:vertAlign w:val="superscript"/>
              </w:rPr>
              <w:t>5</w:t>
            </w:r>
          </w:p>
        </w:tc>
        <w:tc>
          <w:tcPr>
            <w:tcW w:w="633" w:type="pct"/>
            <w:tcBorders>
              <w:right w:val="single" w:sz="4" w:space="0" w:color="auto"/>
            </w:tcBorders>
          </w:tcPr>
          <w:p w14:paraId="5C6C4C99" w14:textId="5D51B972" w:rsidR="000F4B43" w:rsidRPr="009D3E9A" w:rsidRDefault="000F4B43" w:rsidP="000F4B43">
            <w:pPr>
              <w:jc w:val="center"/>
              <w:rPr>
                <w:rFonts w:ascii="Arial Narrow" w:hAnsi="Arial Narrow"/>
                <w:b/>
                <w:bCs/>
                <w:sz w:val="20"/>
                <w:szCs w:val="20"/>
              </w:rPr>
            </w:pPr>
            <w:r w:rsidRPr="009D3E9A">
              <w:rPr>
                <w:rFonts w:ascii="Arial Narrow" w:hAnsi="Arial Narrow"/>
                <w:b/>
                <w:bCs/>
                <w:sz w:val="20"/>
                <w:szCs w:val="20"/>
              </w:rPr>
              <w:t>$</w:t>
            </w:r>
            <w:r w:rsidR="00650CB8" w:rsidRPr="00650CB8">
              <w:rPr>
                <w:rFonts w:ascii="Arial Narrow" w:hAnsi="Arial Narrow"/>
                <w:b/>
                <w:bCs/>
                <w:color w:val="000000"/>
                <w:spacing w:val="48"/>
                <w:sz w:val="20"/>
                <w:szCs w:val="20"/>
                <w:shd w:val="solid" w:color="000000" w:fill="000000"/>
                <w:fitText w:val="330" w:id="-1435748083"/>
                <w14:textFill>
                  <w14:solidFill>
                    <w14:srgbClr w14:val="000000">
                      <w14:alpha w14:val="100000"/>
                    </w14:srgbClr>
                  </w14:solidFill>
                </w14:textFill>
              </w:rPr>
              <w:t>|||</w:t>
            </w:r>
            <w:r w:rsidR="00650CB8" w:rsidRPr="00650CB8">
              <w:rPr>
                <w:rFonts w:ascii="Arial Narrow" w:hAnsi="Arial Narrow"/>
                <w:b/>
                <w:bCs/>
                <w:color w:val="000000"/>
                <w:spacing w:val="3"/>
                <w:sz w:val="20"/>
                <w:szCs w:val="20"/>
                <w:shd w:val="solid" w:color="000000" w:fill="000000"/>
                <w:fitText w:val="330" w:id="-1435748083"/>
                <w14:textFill>
                  <w14:solidFill>
                    <w14:srgbClr w14:val="000000">
                      <w14:alpha w14:val="100000"/>
                    </w14:srgbClr>
                  </w14:solidFill>
                </w14:textFill>
              </w:rPr>
              <w:t>|</w:t>
            </w:r>
            <w:r w:rsidR="00C142C3">
              <w:rPr>
                <w:rFonts w:ascii="Arial Narrow" w:hAnsi="Arial Narrow"/>
                <w:sz w:val="20"/>
                <w:szCs w:val="20"/>
                <w:vertAlign w:val="superscript"/>
              </w:rPr>
              <w:t>5</w:t>
            </w:r>
          </w:p>
        </w:tc>
      </w:tr>
    </w:tbl>
    <w:p w14:paraId="0322915F" w14:textId="77777777" w:rsidR="000F4B43" w:rsidRPr="009D3E9A" w:rsidRDefault="000F4B43" w:rsidP="000F4B43">
      <w:pPr>
        <w:pStyle w:val="TableFigureFooter"/>
      </w:pPr>
      <w:r w:rsidRPr="009D3E9A">
        <w:t>Source: Table 4.2-7, p39 of the submission</w:t>
      </w:r>
    </w:p>
    <w:p w14:paraId="602F9C16" w14:textId="77777777" w:rsidR="000F4B43" w:rsidRPr="009D3E9A" w:rsidRDefault="000F4B43" w:rsidP="000F4B43">
      <w:pPr>
        <w:pStyle w:val="TableFigureFooter"/>
      </w:pPr>
      <w:r w:rsidRPr="009D3E9A">
        <w:t>Abbreviations: FH, familial hypercholesterolaemia</w:t>
      </w:r>
    </w:p>
    <w:p w14:paraId="1D83E924" w14:textId="63C5E7F1" w:rsidR="000F4B43" w:rsidRDefault="000F4B43" w:rsidP="000F4B43">
      <w:pPr>
        <w:pStyle w:val="TableFigureFooter"/>
      </w:pPr>
      <w:r w:rsidRPr="009D3E9A">
        <w:t>Note: Effective prices used in the submission’s calculations of financial impact were specific to the new population of patients with LDL-C 1.8 to 2.6 mmol/L</w:t>
      </w:r>
    </w:p>
    <w:p w14:paraId="52C428D3" w14:textId="77777777" w:rsidR="00C142C3" w:rsidRPr="00181DAC" w:rsidRDefault="00C142C3" w:rsidP="00C142C3">
      <w:pPr>
        <w:pStyle w:val="TableFigureFooter"/>
        <w:keepNext/>
        <w:spacing w:after="0"/>
        <w:contextualSpacing w:val="0"/>
        <w:rPr>
          <w:i/>
        </w:rPr>
      </w:pPr>
      <w:r w:rsidRPr="00181DAC">
        <w:rPr>
          <w:i/>
        </w:rPr>
        <w:t>The redacted values correspond to the following ranges:</w:t>
      </w:r>
    </w:p>
    <w:p w14:paraId="4A5F11B9" w14:textId="1B8D6331" w:rsidR="00C142C3" w:rsidRPr="00281DAB" w:rsidRDefault="00C142C3" w:rsidP="00C142C3">
      <w:pPr>
        <w:pStyle w:val="TableFigureFooter"/>
        <w:keepNext/>
        <w:spacing w:after="0"/>
        <w:contextualSpacing w:val="0"/>
      </w:pPr>
      <w:r w:rsidRPr="00181DAC">
        <w:rPr>
          <w:i/>
          <w:szCs w:val="18"/>
          <w:vertAlign w:val="superscript"/>
        </w:rPr>
        <w:t>1</w:t>
      </w:r>
      <w:r w:rsidRPr="00181DAC">
        <w:rPr>
          <w:i/>
          <w:szCs w:val="18"/>
        </w:rPr>
        <w:t xml:space="preserve"> </w:t>
      </w:r>
      <w:r w:rsidRPr="00C142C3">
        <w:rPr>
          <w:i/>
          <w:szCs w:val="18"/>
        </w:rPr>
        <w:t>40,000 to &lt; 50,000</w:t>
      </w:r>
    </w:p>
    <w:p w14:paraId="3C37D5B3" w14:textId="30AEADB7" w:rsidR="00C142C3" w:rsidRPr="00181DAC" w:rsidRDefault="00C142C3" w:rsidP="00C142C3">
      <w:pPr>
        <w:rPr>
          <w:rFonts w:ascii="Arial Narrow" w:hAnsi="Arial Narrow"/>
          <w:i/>
          <w:sz w:val="18"/>
          <w:szCs w:val="18"/>
        </w:rPr>
      </w:pPr>
      <w:r w:rsidRPr="00181DAC">
        <w:rPr>
          <w:rFonts w:ascii="Arial Narrow" w:hAnsi="Arial Narrow"/>
          <w:i/>
          <w:sz w:val="18"/>
          <w:szCs w:val="18"/>
          <w:vertAlign w:val="superscript"/>
        </w:rPr>
        <w:t>2</w:t>
      </w:r>
      <w:r w:rsidRPr="00181DAC">
        <w:rPr>
          <w:rFonts w:ascii="Arial Narrow" w:hAnsi="Arial Narrow"/>
          <w:i/>
          <w:sz w:val="18"/>
          <w:szCs w:val="18"/>
        </w:rPr>
        <w:t xml:space="preserve"> </w:t>
      </w:r>
      <w:r w:rsidRPr="00C142C3">
        <w:rPr>
          <w:rFonts w:ascii="Arial Narrow" w:hAnsi="Arial Narrow"/>
          <w:i/>
          <w:sz w:val="18"/>
          <w:szCs w:val="18"/>
        </w:rPr>
        <w:t>80,000 to &lt; 90,000</w:t>
      </w:r>
    </w:p>
    <w:p w14:paraId="450E18A8" w14:textId="6283A95A" w:rsidR="00C142C3" w:rsidRPr="00181DAC" w:rsidRDefault="00C142C3" w:rsidP="00C142C3">
      <w:pPr>
        <w:rPr>
          <w:rFonts w:ascii="Arial Narrow" w:hAnsi="Arial Narrow"/>
          <w:i/>
          <w:sz w:val="18"/>
          <w:szCs w:val="18"/>
        </w:rPr>
      </w:pPr>
      <w:r w:rsidRPr="00181DAC">
        <w:rPr>
          <w:rFonts w:ascii="Arial Narrow" w:hAnsi="Arial Narrow"/>
          <w:i/>
          <w:sz w:val="18"/>
          <w:szCs w:val="18"/>
          <w:vertAlign w:val="superscript"/>
        </w:rPr>
        <w:t xml:space="preserve">3 </w:t>
      </w:r>
      <w:r w:rsidRPr="00C142C3">
        <w:rPr>
          <w:rFonts w:ascii="Arial Narrow" w:hAnsi="Arial Narrow"/>
          <w:i/>
          <w:sz w:val="18"/>
          <w:szCs w:val="18"/>
        </w:rPr>
        <w:t>100,000 to &lt; 200,000</w:t>
      </w:r>
    </w:p>
    <w:p w14:paraId="48D4BCB2" w14:textId="0BA09C12" w:rsidR="00C142C3" w:rsidRPr="00181DAC" w:rsidRDefault="00C142C3" w:rsidP="00C142C3">
      <w:pPr>
        <w:rPr>
          <w:rFonts w:ascii="Arial Narrow" w:hAnsi="Arial Narrow"/>
          <w:i/>
          <w:sz w:val="18"/>
          <w:szCs w:val="18"/>
        </w:rPr>
      </w:pPr>
      <w:r w:rsidRPr="00181DAC">
        <w:rPr>
          <w:rFonts w:ascii="Arial Narrow" w:hAnsi="Arial Narrow"/>
          <w:i/>
          <w:sz w:val="18"/>
          <w:szCs w:val="18"/>
          <w:vertAlign w:val="superscript"/>
        </w:rPr>
        <w:t xml:space="preserve">4 </w:t>
      </w:r>
      <w:r w:rsidRPr="00C142C3">
        <w:rPr>
          <w:rFonts w:ascii="Arial Narrow" w:hAnsi="Arial Narrow"/>
          <w:i/>
          <w:sz w:val="18"/>
          <w:szCs w:val="18"/>
        </w:rPr>
        <w:t>$0 to &lt; $10 million</w:t>
      </w:r>
    </w:p>
    <w:p w14:paraId="2457E670" w14:textId="7F795EAA" w:rsidR="00C142C3" w:rsidRPr="00181DAC" w:rsidRDefault="00C142C3" w:rsidP="00C142C3">
      <w:pPr>
        <w:rPr>
          <w:rFonts w:ascii="Arial Narrow" w:hAnsi="Arial Narrow"/>
          <w:i/>
          <w:sz w:val="18"/>
          <w:szCs w:val="18"/>
        </w:rPr>
      </w:pPr>
      <w:r w:rsidRPr="00181DAC">
        <w:rPr>
          <w:rFonts w:ascii="Arial Narrow" w:hAnsi="Arial Narrow"/>
          <w:i/>
          <w:sz w:val="18"/>
          <w:szCs w:val="18"/>
          <w:vertAlign w:val="superscript"/>
        </w:rPr>
        <w:t>5</w:t>
      </w:r>
      <w:r>
        <w:rPr>
          <w:rFonts w:ascii="Arial Narrow" w:hAnsi="Arial Narrow"/>
          <w:i/>
          <w:sz w:val="18"/>
          <w:szCs w:val="18"/>
        </w:rPr>
        <w:t xml:space="preserve"> </w:t>
      </w:r>
      <w:r w:rsidRPr="00C142C3">
        <w:rPr>
          <w:rFonts w:ascii="Arial Narrow" w:hAnsi="Arial Narrow"/>
          <w:i/>
          <w:sz w:val="18"/>
          <w:szCs w:val="18"/>
        </w:rPr>
        <w:t>$10 million to &lt; $20 million</w:t>
      </w:r>
    </w:p>
    <w:p w14:paraId="3A5FF233" w14:textId="77777777" w:rsidR="00985590" w:rsidRPr="009D3E9A" w:rsidRDefault="00985590" w:rsidP="000F4B43">
      <w:pPr>
        <w:pStyle w:val="TableFigureFooter"/>
      </w:pPr>
    </w:p>
    <w:p w14:paraId="6893B8D5" w14:textId="44BB9740" w:rsidR="000F4B43" w:rsidRPr="009D3E9A" w:rsidRDefault="000F4B43" w:rsidP="000F4B43">
      <w:pPr>
        <w:pStyle w:val="ExecSumBodyText"/>
        <w:numPr>
          <w:ilvl w:val="1"/>
          <w:numId w:val="1"/>
        </w:numPr>
        <w:rPr>
          <w:i/>
          <w:iCs/>
        </w:rPr>
      </w:pPr>
      <w:r w:rsidRPr="009D3E9A">
        <w:t xml:space="preserve">The estimated cumulative net cost across the new population was </w:t>
      </w:r>
      <w:r w:rsidR="00B95C7E" w:rsidRPr="00B95C7E">
        <w:t>$70 million to &lt; $80 million</w:t>
      </w:r>
      <w:r w:rsidRPr="009D3E9A">
        <w:t xml:space="preserve"> over 6 years. </w:t>
      </w:r>
    </w:p>
    <w:p w14:paraId="12D33A99" w14:textId="77777777" w:rsidR="000F4B43" w:rsidRPr="009D3E9A" w:rsidRDefault="000F4B43" w:rsidP="000F4B43">
      <w:pPr>
        <w:pStyle w:val="3-SubsectionHeading"/>
      </w:pPr>
      <w:bookmarkStart w:id="66" w:name="_Toc22897648"/>
      <w:bookmarkStart w:id="67" w:name="_Toc103773804"/>
      <w:r w:rsidRPr="009D3E9A">
        <w:t>Quality Use of Medicines</w:t>
      </w:r>
      <w:bookmarkEnd w:id="66"/>
      <w:bookmarkEnd w:id="67"/>
    </w:p>
    <w:p w14:paraId="4C7BB3F5" w14:textId="42A320D8" w:rsidR="000F4B43" w:rsidRPr="009D3E9A" w:rsidRDefault="000F4B43" w:rsidP="009D3E9A">
      <w:pPr>
        <w:pStyle w:val="ExecSumBodyText"/>
        <w:numPr>
          <w:ilvl w:val="1"/>
          <w:numId w:val="1"/>
        </w:numPr>
        <w:rPr>
          <w:bCs/>
        </w:rPr>
      </w:pPr>
      <w:bookmarkStart w:id="68" w:name="_Toc22897649"/>
      <w:r w:rsidRPr="009D3E9A">
        <w:rPr>
          <w:bCs/>
          <w:iCs/>
          <w:snapToGrid/>
        </w:rPr>
        <w:t>Quality use of medicines issues were not addressed in the submission.</w:t>
      </w:r>
      <w:r w:rsidR="009D3E9A" w:rsidRPr="009D3E9A">
        <w:rPr>
          <w:bCs/>
          <w:iCs/>
          <w:snapToGrid/>
        </w:rPr>
        <w:t xml:space="preserve"> The DUSC</w:t>
      </w:r>
      <w:r w:rsidRPr="009D3E9A">
        <w:rPr>
          <w:bCs/>
          <w:iCs/>
        </w:rPr>
        <w:t xml:space="preserve"> </w:t>
      </w:r>
      <w:r w:rsidR="009D3E9A" w:rsidRPr="009D3E9A">
        <w:rPr>
          <w:bCs/>
          <w:iCs/>
        </w:rPr>
        <w:t>noted that evolocumab is no longer a novel agent. However, training programs should be implemented to further familiarise GPs with evolocumab.</w:t>
      </w:r>
    </w:p>
    <w:p w14:paraId="40B39692" w14:textId="77777777" w:rsidR="000F4B43" w:rsidRPr="009D3E9A" w:rsidRDefault="000F4B43" w:rsidP="000F4B43">
      <w:pPr>
        <w:pStyle w:val="3-SubsectionHeading"/>
      </w:pPr>
      <w:bookmarkStart w:id="69" w:name="_Toc103773805"/>
      <w:r w:rsidRPr="009D3E9A">
        <w:t>Financial Management – Risk Sharing Arrangements</w:t>
      </w:r>
      <w:bookmarkEnd w:id="68"/>
      <w:bookmarkEnd w:id="69"/>
    </w:p>
    <w:p w14:paraId="44A42D57" w14:textId="0469B84B" w:rsidR="000F4B43" w:rsidRPr="009D3E9A" w:rsidRDefault="000F4B43" w:rsidP="000F4B43">
      <w:pPr>
        <w:pStyle w:val="ExecSumBodyText"/>
        <w:numPr>
          <w:ilvl w:val="1"/>
          <w:numId w:val="1"/>
        </w:numPr>
        <w:rPr>
          <w:color w:val="0066FF"/>
        </w:rPr>
      </w:pPr>
      <w:r w:rsidRPr="009D3E9A">
        <w:t xml:space="preserve">The submission noted there is an established two-tier subsidisation cap arrangement based on forecast utilisation for the PCSK9 inhibitor class for current PBS listings. Any expenditure between Tier 1 and 2 caps attracts an additional </w:t>
      </w:r>
      <w:r w:rsidR="00650CB8" w:rsidRPr="00F35BF1">
        <w:rPr>
          <w:color w:val="000000"/>
          <w:w w:val="15"/>
          <w:shd w:val="solid" w:color="000000" w:fill="000000"/>
          <w:fitText w:val="-20" w:id="-1435748082"/>
          <w14:textFill>
            <w14:solidFill>
              <w14:srgbClr w14:val="000000">
                <w14:alpha w14:val="100000"/>
              </w14:srgbClr>
            </w14:solidFill>
          </w14:textFill>
        </w:rPr>
        <w:t xml:space="preserve">|  </w:t>
      </w:r>
      <w:r w:rsidR="00650CB8" w:rsidRPr="00F35BF1">
        <w:rPr>
          <w:color w:val="000000"/>
          <w:spacing w:val="-69"/>
          <w:w w:val="15"/>
          <w:shd w:val="solid" w:color="000000" w:fill="000000"/>
          <w:fitText w:val="-20" w:id="-1435748082"/>
          <w14:textFill>
            <w14:solidFill>
              <w14:srgbClr w14:val="000000">
                <w14:alpha w14:val="100000"/>
              </w14:srgbClr>
            </w14:solidFill>
          </w14:textFill>
        </w:rPr>
        <w:t>|</w:t>
      </w:r>
      <w:r w:rsidRPr="009D3E9A">
        <w:t xml:space="preserve">% rebate and any expenditure over Tier 2 caps would be rebated in full. The submission stated that the sponsor is willing to agree to a revised arrangement for evolocumab that mirrors the existing arrangement with an increase in caps reflective of the increase in patient numbers and cost to the PBS/RPBS represented by the proposed expanded listing. </w:t>
      </w:r>
    </w:p>
    <w:p w14:paraId="696C3553" w14:textId="017E8306" w:rsidR="000F4B43" w:rsidRPr="009D3E9A" w:rsidRDefault="000F4B43" w:rsidP="000F4B43">
      <w:pPr>
        <w:pStyle w:val="ExecSumBodyText"/>
        <w:numPr>
          <w:ilvl w:val="1"/>
          <w:numId w:val="1"/>
        </w:numPr>
      </w:pPr>
      <w:r w:rsidRPr="009D3E9A">
        <w:t>The sponsor ha</w:t>
      </w:r>
      <w:r w:rsidR="009D3E9A">
        <w:t>d</w:t>
      </w:r>
      <w:r w:rsidRPr="009D3E9A">
        <w:t xml:space="preserve"> previously stated that the financial estimates and patient numbers of the current RSA were calculated based on the assumption that GPs would be able to initiate treatment in consultation with a specialist physician (para 2.3, evolocumab PSD, November 2020 PBAC meeting).</w:t>
      </w:r>
      <w:r w:rsidRPr="009D3E9A">
        <w:rPr>
          <w:color w:val="0066FF"/>
        </w:rPr>
        <w:t xml:space="preserve"> </w:t>
      </w:r>
    </w:p>
    <w:p w14:paraId="77469F5E" w14:textId="77777777" w:rsidR="000F4B43" w:rsidRPr="009D3E9A" w:rsidRDefault="000F4B43" w:rsidP="000F4B43">
      <w:pPr>
        <w:jc w:val="left"/>
        <w:rPr>
          <w:rFonts w:ascii="Arial Narrow" w:eastAsiaTheme="minorHAnsi" w:hAnsi="Arial Narrow" w:cstheme="minorBidi"/>
          <w:b/>
          <w:sz w:val="20"/>
          <w:szCs w:val="22"/>
          <w:lang w:eastAsia="en-US"/>
        </w:rPr>
      </w:pPr>
      <w:bookmarkStart w:id="70" w:name="_Ref102486705"/>
      <w:bookmarkStart w:id="71" w:name="_Hlk103674096"/>
      <w:r w:rsidRPr="009D3E9A">
        <w:br w:type="page"/>
      </w:r>
    </w:p>
    <w:p w14:paraId="5226D9A0" w14:textId="77777777" w:rsidR="000F4B43" w:rsidRPr="0090150D" w:rsidRDefault="000F4B43" w:rsidP="00DA2BDF">
      <w:pPr>
        <w:pStyle w:val="2-SectionHeading"/>
        <w:numPr>
          <w:ilvl w:val="0"/>
          <w:numId w:val="1"/>
        </w:numPr>
      </w:pPr>
      <w:bookmarkStart w:id="72" w:name="_Hlk76381249"/>
      <w:bookmarkStart w:id="73" w:name="_Hlk76377955"/>
      <w:bookmarkEnd w:id="70"/>
      <w:bookmarkEnd w:id="71"/>
      <w:r w:rsidRPr="0090150D">
        <w:lastRenderedPageBreak/>
        <w:t>PBAC Outcome</w:t>
      </w:r>
    </w:p>
    <w:p w14:paraId="06126C77" w14:textId="37A2E1A0" w:rsidR="000F4B43" w:rsidRPr="00DA2BDF" w:rsidRDefault="000F4B43" w:rsidP="007C6FFF">
      <w:pPr>
        <w:widowControl w:val="0"/>
        <w:numPr>
          <w:ilvl w:val="1"/>
          <w:numId w:val="1"/>
        </w:numPr>
        <w:spacing w:after="120"/>
        <w:rPr>
          <w:rFonts w:asciiTheme="minorHAnsi" w:hAnsiTheme="minorHAnsi"/>
          <w:snapToGrid w:val="0"/>
          <w:lang w:val="en-GB"/>
        </w:rPr>
      </w:pPr>
      <w:r w:rsidRPr="00DA2BDF">
        <w:rPr>
          <w:rFonts w:asciiTheme="minorHAnsi" w:hAnsiTheme="minorHAnsi"/>
          <w:snapToGrid w:val="0"/>
          <w:lang w:val="en-GB"/>
        </w:rPr>
        <w:t xml:space="preserve">The PBAC recommended </w:t>
      </w:r>
      <w:r w:rsidR="00DC64D3" w:rsidRPr="00DA2BDF">
        <w:rPr>
          <w:rFonts w:asciiTheme="minorHAnsi" w:hAnsiTheme="minorHAnsi"/>
          <w:snapToGrid w:val="0"/>
          <w:lang w:val="en-GB"/>
        </w:rPr>
        <w:t xml:space="preserve">extending the existing PBS listings for evolocumab for </w:t>
      </w:r>
      <w:r w:rsidR="00DC64D3">
        <w:t>hypercholesterolaemia, to include patients who have an LDL-C level between 1.8 and 2.6 mmol/L</w:t>
      </w:r>
      <w:r w:rsidR="008625B0">
        <w:t xml:space="preserve"> despite optimised treatment with statins and ezetimibe</w:t>
      </w:r>
      <w:r w:rsidR="00DC64D3" w:rsidRPr="00DA2BDF">
        <w:rPr>
          <w:rFonts w:asciiTheme="minorHAnsi" w:hAnsiTheme="minorHAnsi"/>
          <w:snapToGrid w:val="0"/>
          <w:lang w:val="en-GB"/>
        </w:rPr>
        <w:t>, and to allow initial prescribing by any medical practitioner in consultation with a specialist physician.</w:t>
      </w:r>
    </w:p>
    <w:p w14:paraId="0BD7C17D" w14:textId="7219BA54" w:rsidR="000F4B43" w:rsidRDefault="000F4B43" w:rsidP="000F4B43">
      <w:pPr>
        <w:widowControl w:val="0"/>
        <w:numPr>
          <w:ilvl w:val="1"/>
          <w:numId w:val="1"/>
        </w:numPr>
        <w:spacing w:after="120"/>
        <w:rPr>
          <w:rFonts w:asciiTheme="minorHAnsi" w:hAnsiTheme="minorHAnsi"/>
          <w:snapToGrid w:val="0"/>
          <w:lang w:val="en-GB"/>
        </w:rPr>
      </w:pPr>
      <w:r w:rsidRPr="00CE42B4">
        <w:rPr>
          <w:rFonts w:asciiTheme="minorHAnsi" w:hAnsiTheme="minorHAnsi"/>
          <w:snapToGrid w:val="0"/>
          <w:lang w:val="en-GB"/>
        </w:rPr>
        <w:t xml:space="preserve">The PBAC is satisfied that </w:t>
      </w:r>
      <w:r w:rsidR="00DC64D3">
        <w:rPr>
          <w:rFonts w:asciiTheme="minorHAnsi" w:hAnsiTheme="minorHAnsi"/>
          <w:snapToGrid w:val="0"/>
          <w:lang w:val="en-GB"/>
        </w:rPr>
        <w:t xml:space="preserve">evolocumab </w:t>
      </w:r>
      <w:r w:rsidRPr="00CE42B4">
        <w:rPr>
          <w:rFonts w:asciiTheme="minorHAnsi" w:hAnsiTheme="minorHAnsi"/>
          <w:snapToGrid w:val="0"/>
          <w:lang w:val="en-GB"/>
        </w:rPr>
        <w:t xml:space="preserve">provides, for some patients, a significant improvement in efficacy over </w:t>
      </w:r>
      <w:r w:rsidR="00DC64D3">
        <w:rPr>
          <w:rFonts w:asciiTheme="minorHAnsi" w:hAnsiTheme="minorHAnsi"/>
          <w:snapToGrid w:val="0"/>
          <w:lang w:val="en-GB"/>
        </w:rPr>
        <w:t xml:space="preserve">optimised background treatment, in </w:t>
      </w:r>
      <w:r w:rsidR="00DA2BDF">
        <w:rPr>
          <w:rFonts w:asciiTheme="minorHAnsi" w:hAnsiTheme="minorHAnsi"/>
          <w:snapToGrid w:val="0"/>
          <w:lang w:val="en-GB"/>
        </w:rPr>
        <w:t>the</w:t>
      </w:r>
      <w:r w:rsidR="00DC64D3">
        <w:rPr>
          <w:rFonts w:asciiTheme="minorHAnsi" w:hAnsiTheme="minorHAnsi"/>
          <w:snapToGrid w:val="0"/>
          <w:lang w:val="en-GB"/>
        </w:rPr>
        <w:t xml:space="preserve"> extended population. </w:t>
      </w:r>
      <w:r w:rsidR="00492CAC">
        <w:rPr>
          <w:rFonts w:asciiTheme="minorHAnsi" w:hAnsiTheme="minorHAnsi"/>
          <w:snapToGrid w:val="0"/>
          <w:lang w:val="en-GB"/>
        </w:rPr>
        <w:t xml:space="preserve"> </w:t>
      </w:r>
    </w:p>
    <w:p w14:paraId="600E122A" w14:textId="6BA63D07" w:rsidR="007C6FFF" w:rsidRDefault="007C6FFF" w:rsidP="00F06FB3">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w:t>
      </w:r>
      <w:r w:rsidR="00F06FB3">
        <w:rPr>
          <w:rFonts w:asciiTheme="minorHAnsi" w:hAnsiTheme="minorHAnsi"/>
          <w:snapToGrid w:val="0"/>
          <w:lang w:val="en-GB"/>
        </w:rPr>
        <w:t xml:space="preserve">advised that the </w:t>
      </w:r>
      <w:r>
        <w:rPr>
          <w:rFonts w:asciiTheme="minorHAnsi" w:hAnsiTheme="minorHAnsi"/>
          <w:snapToGrid w:val="0"/>
          <w:lang w:val="en-GB"/>
        </w:rPr>
        <w:t>expanded</w:t>
      </w:r>
      <w:r w:rsidR="00F06FB3">
        <w:rPr>
          <w:rFonts w:asciiTheme="minorHAnsi" w:hAnsiTheme="minorHAnsi"/>
          <w:snapToGrid w:val="0"/>
          <w:lang w:val="en-GB"/>
        </w:rPr>
        <w:t xml:space="preserve"> LDL-C criteria were</w:t>
      </w:r>
      <w:r>
        <w:rPr>
          <w:rFonts w:asciiTheme="minorHAnsi" w:hAnsiTheme="minorHAnsi"/>
          <w:snapToGrid w:val="0"/>
          <w:lang w:val="en-GB"/>
        </w:rPr>
        <w:t xml:space="preserve"> consistent with current </w:t>
      </w:r>
      <w:r w:rsidR="00F06FB3">
        <w:rPr>
          <w:rFonts w:asciiTheme="minorHAnsi" w:hAnsiTheme="minorHAnsi"/>
          <w:snapToGrid w:val="0"/>
          <w:lang w:val="en-GB"/>
        </w:rPr>
        <w:t>international clinical guidelines and the expanded prescriber criteria would reduce current equity and access issues associated with initiation only by specialists. The PBAC also advised that</w:t>
      </w:r>
      <w:r w:rsidR="00F06FB3" w:rsidRPr="00F06FB3">
        <w:rPr>
          <w:rFonts w:asciiTheme="minorHAnsi" w:hAnsiTheme="minorHAnsi"/>
          <w:snapToGrid w:val="0"/>
          <w:lang w:val="en-GB"/>
        </w:rPr>
        <w:t xml:space="preserve"> the listing would be cost-effective at a reduced price</w:t>
      </w:r>
      <w:r w:rsidR="000D0515">
        <w:rPr>
          <w:rFonts w:asciiTheme="minorHAnsi" w:hAnsiTheme="minorHAnsi"/>
          <w:snapToGrid w:val="0"/>
          <w:lang w:val="en-GB"/>
        </w:rPr>
        <w:t xml:space="preserve"> resulting in an incremental cost-effectiveness ratio (ICER) of </w:t>
      </w:r>
      <w:r w:rsidR="00B95C7E" w:rsidRPr="00B95C7E">
        <w:rPr>
          <w:rFonts w:asciiTheme="minorHAnsi" w:hAnsiTheme="minorHAnsi"/>
          <w:snapToGrid w:val="0"/>
          <w:lang w:val="en-GB"/>
        </w:rPr>
        <w:t>$25,000 to &lt; $35,000</w:t>
      </w:r>
      <w:r w:rsidR="000D0515">
        <w:rPr>
          <w:rFonts w:asciiTheme="minorHAnsi" w:hAnsiTheme="minorHAnsi"/>
          <w:snapToGrid w:val="0"/>
          <w:lang w:val="en-GB"/>
        </w:rPr>
        <w:t xml:space="preserve"> per QALY gained</w:t>
      </w:r>
      <w:r w:rsidR="00F06FB3" w:rsidRPr="00F06FB3">
        <w:rPr>
          <w:rFonts w:asciiTheme="minorHAnsi" w:hAnsiTheme="minorHAnsi"/>
          <w:snapToGrid w:val="0"/>
          <w:lang w:val="en-GB"/>
        </w:rPr>
        <w:t xml:space="preserve">, but that no increases to the current expenditure caps under the existing Risk Sharing Arrangement </w:t>
      </w:r>
      <w:r w:rsidR="00F06FB3">
        <w:rPr>
          <w:rFonts w:asciiTheme="minorHAnsi" w:hAnsiTheme="minorHAnsi"/>
          <w:snapToGrid w:val="0"/>
          <w:lang w:val="en-GB"/>
        </w:rPr>
        <w:t xml:space="preserve">(RSA) </w:t>
      </w:r>
      <w:r w:rsidR="00F06FB3" w:rsidRPr="00F06FB3">
        <w:rPr>
          <w:rFonts w:asciiTheme="minorHAnsi" w:hAnsiTheme="minorHAnsi"/>
          <w:snapToGrid w:val="0"/>
          <w:lang w:val="en-GB"/>
        </w:rPr>
        <w:t>were justified.</w:t>
      </w:r>
    </w:p>
    <w:p w14:paraId="765068AB" w14:textId="38F4DCD5" w:rsidR="00F06FB3" w:rsidRPr="00F16603" w:rsidRDefault="00F06FB3" w:rsidP="00F06FB3">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w:t>
      </w:r>
      <w:r w:rsidR="00F16603">
        <w:rPr>
          <w:rFonts w:asciiTheme="minorHAnsi" w:hAnsiTheme="minorHAnsi"/>
          <w:snapToGrid w:val="0"/>
          <w:lang w:val="en-GB"/>
        </w:rPr>
        <w:t>noted</w:t>
      </w:r>
      <w:r>
        <w:rPr>
          <w:rFonts w:asciiTheme="minorHAnsi" w:hAnsiTheme="minorHAnsi"/>
          <w:snapToGrid w:val="0"/>
          <w:lang w:val="en-GB"/>
        </w:rPr>
        <w:t xml:space="preserve"> that the consumer comments were supportive of the </w:t>
      </w:r>
      <w:r w:rsidR="00F16603">
        <w:rPr>
          <w:rFonts w:asciiTheme="minorHAnsi" w:hAnsiTheme="minorHAnsi"/>
          <w:snapToGrid w:val="0"/>
          <w:lang w:val="en-GB"/>
        </w:rPr>
        <w:t>expanded listing, and that they highlighted how</w:t>
      </w:r>
      <w:r w:rsidR="00F16603" w:rsidRPr="00F16603">
        <w:rPr>
          <w:rFonts w:asciiTheme="minorHAnsi" w:hAnsiTheme="minorHAnsi"/>
          <w:bCs/>
          <w:snapToGrid w:val="0"/>
        </w:rPr>
        <w:t xml:space="preserve"> initiation</w:t>
      </w:r>
      <w:r w:rsidR="000D0515">
        <w:rPr>
          <w:rFonts w:asciiTheme="minorHAnsi" w:hAnsiTheme="minorHAnsi"/>
          <w:bCs/>
          <w:snapToGrid w:val="0"/>
        </w:rPr>
        <w:t xml:space="preserve"> only</w:t>
      </w:r>
      <w:r w:rsidR="00F16603">
        <w:rPr>
          <w:rFonts w:asciiTheme="minorHAnsi" w:hAnsiTheme="minorHAnsi"/>
          <w:bCs/>
          <w:snapToGrid w:val="0"/>
        </w:rPr>
        <w:t xml:space="preserve"> by specialists </w:t>
      </w:r>
      <w:r w:rsidR="00F16603" w:rsidRPr="00F16603">
        <w:rPr>
          <w:rFonts w:asciiTheme="minorHAnsi" w:hAnsiTheme="minorHAnsi"/>
          <w:bCs/>
          <w:snapToGrid w:val="0"/>
        </w:rPr>
        <w:t>raised equity issues</w:t>
      </w:r>
      <w:r w:rsidR="007B65D3">
        <w:rPr>
          <w:rFonts w:asciiTheme="minorHAnsi" w:hAnsiTheme="minorHAnsi"/>
          <w:bCs/>
          <w:snapToGrid w:val="0"/>
        </w:rPr>
        <w:t xml:space="preserve">, in particular </w:t>
      </w:r>
      <w:r w:rsidR="00F16603" w:rsidRPr="00F16603">
        <w:rPr>
          <w:rFonts w:asciiTheme="minorHAnsi" w:hAnsiTheme="minorHAnsi"/>
          <w:bCs/>
          <w:snapToGrid w:val="0"/>
        </w:rPr>
        <w:t>for patients outside major urban centres, for patients with lower socio-economic status or poor mental health, as well as for older Australians and Aboriginal and/or Torres Strait Islander populations.</w:t>
      </w:r>
    </w:p>
    <w:p w14:paraId="51880BC8" w14:textId="2077796A" w:rsidR="00F16603" w:rsidRPr="00F06FB3" w:rsidRDefault="00F16603" w:rsidP="00F06FB3">
      <w:pPr>
        <w:widowControl w:val="0"/>
        <w:numPr>
          <w:ilvl w:val="1"/>
          <w:numId w:val="1"/>
        </w:numPr>
        <w:spacing w:after="120"/>
        <w:rPr>
          <w:rFonts w:asciiTheme="minorHAnsi" w:hAnsiTheme="minorHAnsi"/>
          <w:snapToGrid w:val="0"/>
          <w:lang w:val="en-GB"/>
        </w:rPr>
      </w:pPr>
      <w:r>
        <w:rPr>
          <w:rFonts w:asciiTheme="minorHAnsi" w:hAnsiTheme="minorHAnsi"/>
          <w:bCs/>
          <w:snapToGrid w:val="0"/>
        </w:rPr>
        <w:t xml:space="preserve">The PBAC considered that the clinical positioning of evolocumab </w:t>
      </w:r>
      <w:r w:rsidR="007B65D3">
        <w:rPr>
          <w:rFonts w:asciiTheme="minorHAnsi" w:hAnsiTheme="minorHAnsi"/>
          <w:bCs/>
          <w:snapToGrid w:val="0"/>
        </w:rPr>
        <w:t xml:space="preserve">was appropriate – </w:t>
      </w:r>
      <w:r>
        <w:t>as a treatment option in patients with</w:t>
      </w:r>
      <w:r w:rsidRPr="005F2E00">
        <w:t xml:space="preserve"> </w:t>
      </w:r>
      <w:r>
        <w:t xml:space="preserve">LDL-C </w:t>
      </w:r>
      <w:r w:rsidRPr="005F2E00">
        <w:t xml:space="preserve">levels above </w:t>
      </w:r>
      <w:r>
        <w:t>1.8</w:t>
      </w:r>
      <w:r w:rsidRPr="005F2E00">
        <w:t xml:space="preserve"> mmol/L despite optimised treatment with statins and ezetimibe</w:t>
      </w:r>
      <w:r>
        <w:t xml:space="preserve"> </w:t>
      </w:r>
      <w:r w:rsidRPr="001F281D">
        <w:rPr>
          <w:iCs/>
        </w:rPr>
        <w:t>(</w:t>
      </w:r>
      <w:r>
        <w:rPr>
          <w:iCs/>
        </w:rPr>
        <w:t>or despite</w:t>
      </w:r>
      <w:r w:rsidRPr="001F281D">
        <w:rPr>
          <w:iCs/>
        </w:rPr>
        <w:t xml:space="preserve"> optimised treatment with statins</w:t>
      </w:r>
      <w:r>
        <w:rPr>
          <w:iCs/>
        </w:rPr>
        <w:t xml:space="preserve"> for HoFH patients</w:t>
      </w:r>
      <w:r w:rsidRPr="001F281D">
        <w:rPr>
          <w:iCs/>
        </w:rPr>
        <w:t>)</w:t>
      </w:r>
      <w:r>
        <w:rPr>
          <w:iCs/>
        </w:rPr>
        <w:t xml:space="preserve">. </w:t>
      </w:r>
      <w:r w:rsidR="00C75925">
        <w:rPr>
          <w:iCs/>
        </w:rPr>
        <w:t xml:space="preserve">It noted that the threshold was generally consistent with current international clinical guidelines, as well as previous guidelines, but that the original listing had been targeted to a more restricted population in whom the treatment was expected to be most cost-effective. </w:t>
      </w:r>
    </w:p>
    <w:p w14:paraId="2518988D" w14:textId="645A278C" w:rsidR="000F4B43" w:rsidRPr="00DA2BDF" w:rsidRDefault="00C75925" w:rsidP="000F4B43">
      <w:pPr>
        <w:widowControl w:val="0"/>
        <w:numPr>
          <w:ilvl w:val="1"/>
          <w:numId w:val="1"/>
        </w:numPr>
        <w:spacing w:after="120"/>
        <w:rPr>
          <w:rFonts w:asciiTheme="minorHAnsi" w:hAnsiTheme="minorHAnsi"/>
          <w:snapToGrid w:val="0"/>
          <w:color w:val="0070C0"/>
          <w:lang w:val="en-GB"/>
        </w:rPr>
      </w:pPr>
      <w:r>
        <w:rPr>
          <w:rFonts w:asciiTheme="minorHAnsi" w:hAnsiTheme="minorHAnsi"/>
          <w:snapToGrid w:val="0"/>
          <w:lang w:val="en-GB"/>
        </w:rPr>
        <w:t>The PBAC remained of the view that optimised background treatment was the appropriate comparator</w:t>
      </w:r>
      <w:r w:rsidR="007B65D3">
        <w:rPr>
          <w:rFonts w:asciiTheme="minorHAnsi" w:hAnsiTheme="minorHAnsi"/>
          <w:snapToGrid w:val="0"/>
          <w:lang w:val="en-GB"/>
        </w:rPr>
        <w:t xml:space="preserve"> in the expanded population</w:t>
      </w:r>
      <w:r>
        <w:rPr>
          <w:rFonts w:asciiTheme="minorHAnsi" w:hAnsiTheme="minorHAnsi"/>
          <w:snapToGrid w:val="0"/>
          <w:lang w:val="en-GB"/>
        </w:rPr>
        <w:t>.</w:t>
      </w:r>
    </w:p>
    <w:p w14:paraId="7E2D787F" w14:textId="19F9D637" w:rsidR="00C75925" w:rsidRPr="00C75925" w:rsidRDefault="00C75925" w:rsidP="000F4B43">
      <w:pPr>
        <w:widowControl w:val="0"/>
        <w:numPr>
          <w:ilvl w:val="1"/>
          <w:numId w:val="1"/>
        </w:numPr>
        <w:spacing w:after="120"/>
        <w:rPr>
          <w:rFonts w:asciiTheme="minorHAnsi" w:hAnsiTheme="minorHAnsi"/>
          <w:snapToGrid w:val="0"/>
          <w:lang w:val="en-GB"/>
        </w:rPr>
      </w:pPr>
      <w:r w:rsidRPr="00C75925">
        <w:rPr>
          <w:rFonts w:asciiTheme="minorHAnsi" w:hAnsiTheme="minorHAnsi"/>
          <w:snapToGrid w:val="0"/>
          <w:lang w:val="en-GB"/>
        </w:rPr>
        <w:t xml:space="preserve">The PBAC </w:t>
      </w:r>
      <w:r>
        <w:rPr>
          <w:rFonts w:asciiTheme="minorHAnsi" w:hAnsiTheme="minorHAnsi"/>
          <w:snapToGrid w:val="0"/>
          <w:lang w:val="en-GB"/>
        </w:rPr>
        <w:t>noted that</w:t>
      </w:r>
      <w:r w:rsidR="006257F1">
        <w:rPr>
          <w:rFonts w:asciiTheme="minorHAnsi" w:hAnsiTheme="minorHAnsi"/>
          <w:snapToGrid w:val="0"/>
          <w:lang w:val="en-GB"/>
        </w:rPr>
        <w:t xml:space="preserve"> it had previously reviewed the</w:t>
      </w:r>
      <w:r>
        <w:rPr>
          <w:rFonts w:asciiTheme="minorHAnsi" w:hAnsiTheme="minorHAnsi"/>
          <w:snapToGrid w:val="0"/>
          <w:lang w:val="en-GB"/>
        </w:rPr>
        <w:t xml:space="preserve"> key clinical evidence to support the listing </w:t>
      </w:r>
      <w:r w:rsidR="006257F1">
        <w:rPr>
          <w:rFonts w:asciiTheme="minorHAnsi" w:hAnsiTheme="minorHAnsi"/>
          <w:snapToGrid w:val="0"/>
          <w:lang w:val="en-GB"/>
        </w:rPr>
        <w:t>– the FOURIER trial,</w:t>
      </w:r>
      <w:r>
        <w:rPr>
          <w:rFonts w:asciiTheme="minorHAnsi" w:hAnsiTheme="minorHAnsi"/>
          <w:snapToGrid w:val="0"/>
          <w:lang w:val="en-GB"/>
        </w:rPr>
        <w:t xml:space="preserve"> a randomised double-blind </w:t>
      </w:r>
      <w:r w:rsidR="00AD2349">
        <w:rPr>
          <w:rFonts w:asciiTheme="minorHAnsi" w:hAnsiTheme="minorHAnsi"/>
          <w:snapToGrid w:val="0"/>
          <w:lang w:val="en-GB"/>
        </w:rPr>
        <w:t>head-to-head</w:t>
      </w:r>
      <w:r>
        <w:rPr>
          <w:rFonts w:asciiTheme="minorHAnsi" w:hAnsiTheme="minorHAnsi"/>
          <w:snapToGrid w:val="0"/>
          <w:lang w:val="en-GB"/>
        </w:rPr>
        <w:t xml:space="preserve"> comparison </w:t>
      </w:r>
      <w:r w:rsidR="006257F1" w:rsidRPr="001359C8">
        <w:rPr>
          <w:lang w:val="en-US"/>
        </w:rPr>
        <w:t>of cardiovascular outcomes with evolocumab versus placebo in hypercholesterolaemia patients with atherosclerotic cardiovascular disease</w:t>
      </w:r>
      <w:r w:rsidR="006257F1">
        <w:rPr>
          <w:lang w:val="en-US"/>
        </w:rPr>
        <w:t xml:space="preserve">. The PBAC recalled that majority of patients in the FOURIER trial had baseline LDL-C levels between 1.8 and 2.6 mmol/L, with an average of 2.532 and 2.529 mmol/L in the evolocumab and placebo arms respectively. </w:t>
      </w:r>
    </w:p>
    <w:p w14:paraId="55A860FA" w14:textId="0BBC1390" w:rsidR="00AD2349" w:rsidRPr="00AD2349" w:rsidRDefault="00AD2349" w:rsidP="000F4B43">
      <w:pPr>
        <w:widowControl w:val="0"/>
        <w:numPr>
          <w:ilvl w:val="1"/>
          <w:numId w:val="1"/>
        </w:numPr>
        <w:spacing w:after="120"/>
        <w:rPr>
          <w:rFonts w:asciiTheme="minorHAnsi" w:hAnsiTheme="minorHAnsi"/>
          <w:snapToGrid w:val="0"/>
          <w:lang w:val="en-GB"/>
        </w:rPr>
      </w:pPr>
      <w:r w:rsidRPr="00AD2349">
        <w:rPr>
          <w:rFonts w:asciiTheme="minorHAnsi" w:hAnsiTheme="minorHAnsi"/>
          <w:snapToGrid w:val="0"/>
          <w:lang w:val="en-GB"/>
        </w:rPr>
        <w:t xml:space="preserve">The PBAC </w:t>
      </w:r>
      <w:r>
        <w:rPr>
          <w:rFonts w:asciiTheme="minorHAnsi" w:hAnsiTheme="minorHAnsi"/>
          <w:snapToGrid w:val="0"/>
          <w:lang w:val="en-GB"/>
        </w:rPr>
        <w:t xml:space="preserve">recalled that treatment with evolocumab </w:t>
      </w:r>
      <w:r w:rsidRPr="00AD2349">
        <w:rPr>
          <w:rFonts w:asciiTheme="minorHAnsi" w:hAnsiTheme="minorHAnsi"/>
          <w:snapToGrid w:val="0"/>
        </w:rPr>
        <w:t xml:space="preserve">was associated with a statistically significant decreased risk of cardiovascular events compared to </w:t>
      </w:r>
      <w:r>
        <w:rPr>
          <w:rFonts w:asciiTheme="minorHAnsi" w:hAnsiTheme="minorHAnsi"/>
          <w:snapToGrid w:val="0"/>
        </w:rPr>
        <w:t>‘</w:t>
      </w:r>
      <w:r w:rsidRPr="00AD2349">
        <w:rPr>
          <w:rFonts w:asciiTheme="minorHAnsi" w:hAnsiTheme="minorHAnsi"/>
          <w:snapToGrid w:val="0"/>
        </w:rPr>
        <w:t>placebo</w:t>
      </w:r>
      <w:r>
        <w:rPr>
          <w:rFonts w:asciiTheme="minorHAnsi" w:hAnsiTheme="minorHAnsi"/>
          <w:snapToGrid w:val="0"/>
        </w:rPr>
        <w:t xml:space="preserve">’ and noted that benefits of evolocumab were largely consistent across major subgroups. </w:t>
      </w:r>
    </w:p>
    <w:p w14:paraId="03359E3F" w14:textId="49E0B84E" w:rsidR="00A10AD5" w:rsidRPr="00A10AD5" w:rsidRDefault="00326F1B" w:rsidP="00A10AD5">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lastRenderedPageBreak/>
        <w:t>Based on the FOURIER trial, t</w:t>
      </w:r>
      <w:r w:rsidR="00AD2349" w:rsidRPr="00AD2349">
        <w:rPr>
          <w:rFonts w:asciiTheme="minorHAnsi" w:hAnsiTheme="minorHAnsi"/>
          <w:snapToGrid w:val="0"/>
          <w:lang w:val="en-GB"/>
        </w:rPr>
        <w:t xml:space="preserve">he PBAC </w:t>
      </w:r>
      <w:r w:rsidR="00AD2349">
        <w:rPr>
          <w:rFonts w:asciiTheme="minorHAnsi" w:hAnsiTheme="minorHAnsi"/>
          <w:snapToGrid w:val="0"/>
          <w:lang w:val="en-GB"/>
        </w:rPr>
        <w:t xml:space="preserve">considered that evolocumab </w:t>
      </w:r>
      <w:r>
        <w:rPr>
          <w:rFonts w:asciiTheme="minorHAnsi" w:hAnsiTheme="minorHAnsi"/>
          <w:snapToGrid w:val="0"/>
          <w:lang w:val="en-GB"/>
        </w:rPr>
        <w:t xml:space="preserve">plus optimised background treatment has superior effectiveness compared with </w:t>
      </w:r>
      <w:r w:rsidR="00AD2349">
        <w:rPr>
          <w:rFonts w:asciiTheme="minorHAnsi" w:hAnsiTheme="minorHAnsi"/>
          <w:snapToGrid w:val="0"/>
          <w:lang w:val="en-GB"/>
        </w:rPr>
        <w:t xml:space="preserve">optimised </w:t>
      </w:r>
      <w:r>
        <w:rPr>
          <w:rFonts w:asciiTheme="minorHAnsi" w:hAnsiTheme="minorHAnsi"/>
          <w:snapToGrid w:val="0"/>
          <w:lang w:val="en-GB"/>
        </w:rPr>
        <w:t xml:space="preserve">background treatment for the expanded population. </w:t>
      </w:r>
      <w:r w:rsidR="00332DC8">
        <w:rPr>
          <w:rFonts w:asciiTheme="minorHAnsi" w:hAnsiTheme="minorHAnsi"/>
          <w:snapToGrid w:val="0"/>
        </w:rPr>
        <w:t xml:space="preserve">The PBAC agreed with the ESC’s assessment that the same proportional benefit was expected to be </w:t>
      </w:r>
      <w:r w:rsidR="00332DC8" w:rsidRPr="00333D95">
        <w:rPr>
          <w:rFonts w:asciiTheme="minorHAnsi" w:hAnsiTheme="minorHAnsi"/>
          <w:snapToGrid w:val="0"/>
        </w:rPr>
        <w:t>achieved across different LDL-C percentile ranges</w:t>
      </w:r>
      <w:r w:rsidR="00332DC8">
        <w:rPr>
          <w:rFonts w:asciiTheme="minorHAnsi" w:hAnsiTheme="minorHAnsi"/>
          <w:iCs/>
          <w:snapToGrid w:val="0"/>
        </w:rPr>
        <w:t xml:space="preserve">, </w:t>
      </w:r>
      <w:r w:rsidR="00332DC8" w:rsidRPr="00333D95">
        <w:rPr>
          <w:rFonts w:asciiTheme="minorHAnsi" w:hAnsiTheme="minorHAnsi"/>
          <w:iCs/>
          <w:snapToGrid w:val="0"/>
        </w:rPr>
        <w:t>with lower absolute treatment benefit expected due to lower baseline risk in the proposed additional</w:t>
      </w:r>
      <w:r w:rsidR="00332DC8" w:rsidRPr="00333D95">
        <w:rPr>
          <w:rFonts w:asciiTheme="minorHAnsi" w:hAnsiTheme="minorHAnsi"/>
          <w:snapToGrid w:val="0"/>
        </w:rPr>
        <w:t xml:space="preserve"> patient group</w:t>
      </w:r>
      <w:r w:rsidR="00332DC8">
        <w:rPr>
          <w:rFonts w:asciiTheme="minorHAnsi" w:hAnsiTheme="minorHAnsi"/>
          <w:snapToGrid w:val="0"/>
        </w:rPr>
        <w:t xml:space="preserve">. </w:t>
      </w:r>
      <w:r w:rsidR="00A10AD5">
        <w:rPr>
          <w:rFonts w:asciiTheme="minorHAnsi" w:hAnsiTheme="minorHAnsi"/>
          <w:snapToGrid w:val="0"/>
          <w:lang w:val="en-GB"/>
        </w:rPr>
        <w:t xml:space="preserve">The PBAC considered that the safety would be similar </w:t>
      </w:r>
      <w:r w:rsidR="00332DC8">
        <w:rPr>
          <w:rFonts w:asciiTheme="minorHAnsi" w:hAnsiTheme="minorHAnsi"/>
          <w:snapToGrid w:val="0"/>
          <w:lang w:val="en-GB"/>
        </w:rPr>
        <w:t>compared to optimised background treatment.</w:t>
      </w:r>
    </w:p>
    <w:p w14:paraId="14DFEB4E" w14:textId="447321FC" w:rsidR="00554EA6" w:rsidRPr="0064629F" w:rsidRDefault="00DB7728" w:rsidP="00EB7F7C">
      <w:pPr>
        <w:widowControl w:val="0"/>
        <w:numPr>
          <w:ilvl w:val="1"/>
          <w:numId w:val="1"/>
        </w:numPr>
        <w:spacing w:after="120"/>
        <w:rPr>
          <w:rFonts w:asciiTheme="minorHAnsi" w:hAnsiTheme="minorHAnsi"/>
          <w:snapToGrid w:val="0"/>
          <w:color w:val="0070C0"/>
          <w:lang w:val="en-GB"/>
        </w:rPr>
      </w:pPr>
      <w:r w:rsidRPr="00C011BC">
        <w:rPr>
          <w:rFonts w:asciiTheme="minorHAnsi" w:hAnsiTheme="minorHAnsi"/>
          <w:snapToGrid w:val="0"/>
          <w:lang w:val="en-GB"/>
        </w:rPr>
        <w:t xml:space="preserve">The PBAC noted that the submission presented a cost-utility analysis of </w:t>
      </w:r>
      <w:r w:rsidRPr="00C011BC">
        <w:rPr>
          <w:rFonts w:asciiTheme="minorHAnsi" w:hAnsiTheme="minorHAnsi"/>
          <w:snapToGrid w:val="0"/>
        </w:rPr>
        <w:t xml:space="preserve">evolocumab for the treatment of non-familial hypercholesterolaemia patients with atherosclerotic disease and additional risk factors, who have an LDL-C level between 1.8 and 2.6 mmol/L despite optimised treatment with statins and ezetimibe. </w:t>
      </w:r>
      <w:r w:rsidR="00CC49E2" w:rsidRPr="00C011BC">
        <w:rPr>
          <w:rFonts w:asciiTheme="minorHAnsi" w:hAnsiTheme="minorHAnsi"/>
          <w:snapToGrid w:val="0"/>
        </w:rPr>
        <w:t xml:space="preserve">The PBAC noted that the model was broadly similar to that it had previously considered (see paragraphs </w:t>
      </w:r>
      <w:r w:rsidR="00CC49E2" w:rsidRPr="00C011BC">
        <w:rPr>
          <w:rFonts w:asciiTheme="minorHAnsi" w:hAnsiTheme="minorHAnsi"/>
          <w:snapToGrid w:val="0"/>
        </w:rPr>
        <w:fldChar w:fldCharType="begin"/>
      </w:r>
      <w:r w:rsidR="00CC49E2" w:rsidRPr="00C011BC">
        <w:rPr>
          <w:rFonts w:asciiTheme="minorHAnsi" w:hAnsiTheme="minorHAnsi"/>
          <w:snapToGrid w:val="0"/>
        </w:rPr>
        <w:instrText xml:space="preserve"> REF _Ref109302785 \r \h </w:instrText>
      </w:r>
      <w:r w:rsidR="00CC49E2" w:rsidRPr="00C011BC">
        <w:rPr>
          <w:rFonts w:asciiTheme="minorHAnsi" w:hAnsiTheme="minorHAnsi"/>
          <w:snapToGrid w:val="0"/>
        </w:rPr>
      </w:r>
      <w:r w:rsidR="00CC49E2" w:rsidRPr="00C011BC">
        <w:rPr>
          <w:rFonts w:asciiTheme="minorHAnsi" w:hAnsiTheme="minorHAnsi"/>
          <w:snapToGrid w:val="0"/>
        </w:rPr>
        <w:fldChar w:fldCharType="separate"/>
      </w:r>
      <w:r w:rsidR="00B14BC2">
        <w:rPr>
          <w:rFonts w:asciiTheme="minorHAnsi" w:hAnsiTheme="minorHAnsi"/>
          <w:snapToGrid w:val="0"/>
        </w:rPr>
        <w:t>6.25</w:t>
      </w:r>
      <w:r w:rsidR="00CC49E2" w:rsidRPr="00C011BC">
        <w:rPr>
          <w:rFonts w:asciiTheme="minorHAnsi" w:hAnsiTheme="minorHAnsi"/>
          <w:snapToGrid w:val="0"/>
        </w:rPr>
        <w:fldChar w:fldCharType="end"/>
      </w:r>
      <w:r w:rsidR="00CC49E2" w:rsidRPr="00C011BC">
        <w:rPr>
          <w:rFonts w:asciiTheme="minorHAnsi" w:hAnsiTheme="minorHAnsi"/>
          <w:snapToGrid w:val="0"/>
        </w:rPr>
        <w:t xml:space="preserve"> and </w:t>
      </w:r>
      <w:r w:rsidR="00CC49E2" w:rsidRPr="00C011BC">
        <w:rPr>
          <w:rFonts w:asciiTheme="minorHAnsi" w:hAnsiTheme="minorHAnsi"/>
          <w:snapToGrid w:val="0"/>
        </w:rPr>
        <w:fldChar w:fldCharType="begin"/>
      </w:r>
      <w:r w:rsidR="00CC49E2" w:rsidRPr="00C011BC">
        <w:rPr>
          <w:rFonts w:asciiTheme="minorHAnsi" w:hAnsiTheme="minorHAnsi"/>
          <w:snapToGrid w:val="0"/>
        </w:rPr>
        <w:instrText xml:space="preserve"> REF _Ref109302787 \r \h </w:instrText>
      </w:r>
      <w:r w:rsidR="00CC49E2" w:rsidRPr="00C011BC">
        <w:rPr>
          <w:rFonts w:asciiTheme="minorHAnsi" w:hAnsiTheme="minorHAnsi"/>
          <w:snapToGrid w:val="0"/>
        </w:rPr>
      </w:r>
      <w:r w:rsidR="00CC49E2" w:rsidRPr="00C011BC">
        <w:rPr>
          <w:rFonts w:asciiTheme="minorHAnsi" w:hAnsiTheme="minorHAnsi"/>
          <w:snapToGrid w:val="0"/>
        </w:rPr>
        <w:fldChar w:fldCharType="separate"/>
      </w:r>
      <w:r w:rsidR="00B14BC2">
        <w:rPr>
          <w:rFonts w:asciiTheme="minorHAnsi" w:hAnsiTheme="minorHAnsi"/>
          <w:snapToGrid w:val="0"/>
        </w:rPr>
        <w:t>6.26</w:t>
      </w:r>
      <w:r w:rsidR="00CC49E2" w:rsidRPr="00C011BC">
        <w:rPr>
          <w:rFonts w:asciiTheme="minorHAnsi" w:hAnsiTheme="minorHAnsi"/>
          <w:snapToGrid w:val="0"/>
        </w:rPr>
        <w:fldChar w:fldCharType="end"/>
      </w:r>
      <w:r w:rsidR="00CC49E2" w:rsidRPr="00C011BC">
        <w:rPr>
          <w:rFonts w:asciiTheme="minorHAnsi" w:hAnsiTheme="minorHAnsi"/>
          <w:snapToGrid w:val="0"/>
        </w:rPr>
        <w:t xml:space="preserve">), and whilst it agreed with the ESC that a marginal analysis would have been technically preferable (paragraph </w:t>
      </w:r>
      <w:r w:rsidR="00CC49E2" w:rsidRPr="00C011BC">
        <w:rPr>
          <w:rFonts w:asciiTheme="minorHAnsi" w:hAnsiTheme="minorHAnsi"/>
          <w:snapToGrid w:val="0"/>
        </w:rPr>
        <w:fldChar w:fldCharType="begin"/>
      </w:r>
      <w:r w:rsidR="00CC49E2" w:rsidRPr="00C011BC">
        <w:rPr>
          <w:rFonts w:asciiTheme="minorHAnsi" w:hAnsiTheme="minorHAnsi"/>
          <w:snapToGrid w:val="0"/>
        </w:rPr>
        <w:instrText xml:space="preserve"> REF _Ref109302971 \r \h </w:instrText>
      </w:r>
      <w:r w:rsidR="00CC49E2" w:rsidRPr="00C011BC">
        <w:rPr>
          <w:rFonts w:asciiTheme="minorHAnsi" w:hAnsiTheme="minorHAnsi"/>
          <w:snapToGrid w:val="0"/>
        </w:rPr>
      </w:r>
      <w:r w:rsidR="00CC49E2" w:rsidRPr="00C011BC">
        <w:rPr>
          <w:rFonts w:asciiTheme="minorHAnsi" w:hAnsiTheme="minorHAnsi"/>
          <w:snapToGrid w:val="0"/>
        </w:rPr>
        <w:fldChar w:fldCharType="separate"/>
      </w:r>
      <w:r w:rsidR="00B14BC2">
        <w:rPr>
          <w:rFonts w:asciiTheme="minorHAnsi" w:hAnsiTheme="minorHAnsi"/>
          <w:snapToGrid w:val="0"/>
        </w:rPr>
        <w:t>6.28</w:t>
      </w:r>
      <w:r w:rsidR="00CC49E2" w:rsidRPr="00C011BC">
        <w:rPr>
          <w:rFonts w:asciiTheme="minorHAnsi" w:hAnsiTheme="minorHAnsi"/>
          <w:snapToGrid w:val="0"/>
        </w:rPr>
        <w:fldChar w:fldCharType="end"/>
      </w:r>
      <w:r w:rsidR="00CC49E2" w:rsidRPr="00C011BC">
        <w:rPr>
          <w:rFonts w:asciiTheme="minorHAnsi" w:hAnsiTheme="minorHAnsi"/>
          <w:snapToGrid w:val="0"/>
        </w:rPr>
        <w:t xml:space="preserve">), it accepted the submitted model structure </w:t>
      </w:r>
      <w:r w:rsidR="00CD6650">
        <w:rPr>
          <w:rFonts w:asciiTheme="minorHAnsi" w:hAnsiTheme="minorHAnsi"/>
          <w:snapToGrid w:val="0"/>
        </w:rPr>
        <w:t>had been relied on previously and was</w:t>
      </w:r>
      <w:r w:rsidR="00CC49E2" w:rsidRPr="00C011BC">
        <w:rPr>
          <w:rFonts w:asciiTheme="minorHAnsi" w:hAnsiTheme="minorHAnsi"/>
          <w:snapToGrid w:val="0"/>
        </w:rPr>
        <w:t xml:space="preserve"> adequate for decision making.</w:t>
      </w:r>
      <w:r w:rsidR="008C4F76" w:rsidRPr="00C011BC">
        <w:rPr>
          <w:rFonts w:asciiTheme="minorHAnsi" w:hAnsiTheme="minorHAnsi"/>
          <w:snapToGrid w:val="0"/>
        </w:rPr>
        <w:t xml:space="preserve"> </w:t>
      </w:r>
      <w:r w:rsidR="00C011BC" w:rsidRPr="00C011BC">
        <w:rPr>
          <w:rFonts w:asciiTheme="minorHAnsi" w:hAnsiTheme="minorHAnsi"/>
          <w:snapToGrid w:val="0"/>
        </w:rPr>
        <w:t xml:space="preserve">However, the </w:t>
      </w:r>
      <w:r w:rsidR="00CD6650">
        <w:rPr>
          <w:rFonts w:asciiTheme="minorHAnsi" w:hAnsiTheme="minorHAnsi"/>
          <w:snapToGrid w:val="0"/>
        </w:rPr>
        <w:t xml:space="preserve">modelled </w:t>
      </w:r>
      <w:r w:rsidR="00C011BC" w:rsidRPr="00C011BC">
        <w:rPr>
          <w:rFonts w:asciiTheme="minorHAnsi" w:hAnsiTheme="minorHAnsi"/>
          <w:snapToGrid w:val="0"/>
        </w:rPr>
        <w:t>average baseline LDL-C level (2.325 mmol/L)</w:t>
      </w:r>
      <w:r w:rsidR="00C011BC">
        <w:rPr>
          <w:rFonts w:asciiTheme="minorHAnsi" w:hAnsiTheme="minorHAnsi"/>
          <w:snapToGrid w:val="0"/>
        </w:rPr>
        <w:t xml:space="preserve"> </w:t>
      </w:r>
      <w:r w:rsidR="00C011BC" w:rsidRPr="00C011BC">
        <w:rPr>
          <w:rFonts w:asciiTheme="minorHAnsi" w:hAnsiTheme="minorHAnsi"/>
          <w:snapToGrid w:val="0"/>
        </w:rPr>
        <w:t>was</w:t>
      </w:r>
      <w:r w:rsidR="00D0369C" w:rsidRPr="00C011BC">
        <w:rPr>
          <w:rFonts w:asciiTheme="minorHAnsi" w:hAnsiTheme="minorHAnsi"/>
          <w:snapToGrid w:val="0"/>
        </w:rPr>
        <w:t xml:space="preserve"> derived using a sponsor</w:t>
      </w:r>
      <w:r w:rsidR="007B65D3">
        <w:rPr>
          <w:rFonts w:asciiTheme="minorHAnsi" w:hAnsiTheme="minorHAnsi"/>
          <w:snapToGrid w:val="0"/>
        </w:rPr>
        <w:t>-</w:t>
      </w:r>
      <w:r w:rsidR="00D0369C" w:rsidRPr="00C011BC">
        <w:rPr>
          <w:rFonts w:asciiTheme="minorHAnsi" w:hAnsiTheme="minorHAnsi"/>
          <w:snapToGrid w:val="0"/>
        </w:rPr>
        <w:t xml:space="preserve">commissioned study of GP records </w:t>
      </w:r>
      <w:r w:rsidR="007B65D3">
        <w:rPr>
          <w:rFonts w:asciiTheme="minorHAnsi" w:hAnsiTheme="minorHAnsi"/>
          <w:snapToGrid w:val="0"/>
        </w:rPr>
        <w:t>combined with somewhat arbitrary</w:t>
      </w:r>
      <w:r w:rsidR="00D0369C" w:rsidRPr="00C011BC">
        <w:rPr>
          <w:rFonts w:asciiTheme="minorHAnsi" w:hAnsiTheme="minorHAnsi"/>
          <w:snapToGrid w:val="0"/>
        </w:rPr>
        <w:t xml:space="preserve"> uptake assumptions, which </w:t>
      </w:r>
      <w:r w:rsidR="00CD6650">
        <w:rPr>
          <w:rFonts w:asciiTheme="minorHAnsi" w:hAnsiTheme="minorHAnsi"/>
          <w:snapToGrid w:val="0"/>
        </w:rPr>
        <w:t>was a</w:t>
      </w:r>
      <w:r w:rsidR="00D0369C" w:rsidRPr="00C011BC">
        <w:rPr>
          <w:rFonts w:asciiTheme="minorHAnsi" w:hAnsiTheme="minorHAnsi"/>
          <w:snapToGrid w:val="0"/>
        </w:rPr>
        <w:t xml:space="preserve"> less reliable methodology than using individual patient data from the FOURIER trial</w:t>
      </w:r>
      <w:r w:rsidR="00C011BC">
        <w:rPr>
          <w:rFonts w:asciiTheme="minorHAnsi" w:hAnsiTheme="minorHAnsi"/>
          <w:snapToGrid w:val="0"/>
        </w:rPr>
        <w:t xml:space="preserve"> (</w:t>
      </w:r>
      <w:r w:rsidR="007B65D3">
        <w:rPr>
          <w:rFonts w:asciiTheme="minorHAnsi" w:hAnsiTheme="minorHAnsi"/>
          <w:snapToGrid w:val="0"/>
        </w:rPr>
        <w:t xml:space="preserve">resulting in baseline mean of </w:t>
      </w:r>
      <w:r w:rsidR="00C011BC">
        <w:rPr>
          <w:rFonts w:asciiTheme="minorHAnsi" w:hAnsiTheme="minorHAnsi"/>
          <w:snapToGrid w:val="0"/>
        </w:rPr>
        <w:t>2.2</w:t>
      </w:r>
      <w:r w:rsidR="007B65D3">
        <w:rPr>
          <w:rFonts w:asciiTheme="minorHAnsi" w:hAnsiTheme="minorHAnsi"/>
          <w:snapToGrid w:val="0"/>
        </w:rPr>
        <w:t> </w:t>
      </w:r>
      <w:r w:rsidR="00C011BC">
        <w:rPr>
          <w:rFonts w:asciiTheme="minorHAnsi" w:hAnsiTheme="minorHAnsi"/>
          <w:snapToGrid w:val="0"/>
        </w:rPr>
        <w:t>mmol/L),</w:t>
      </w:r>
      <w:r w:rsidR="00CD6650">
        <w:rPr>
          <w:rFonts w:asciiTheme="minorHAnsi" w:hAnsiTheme="minorHAnsi"/>
          <w:snapToGrid w:val="0"/>
        </w:rPr>
        <w:t xml:space="preserve"> which </w:t>
      </w:r>
      <w:r w:rsidR="00C011BC">
        <w:rPr>
          <w:rFonts w:asciiTheme="minorHAnsi" w:hAnsiTheme="minorHAnsi"/>
          <w:snapToGrid w:val="0"/>
        </w:rPr>
        <w:t xml:space="preserve">had been the approach in previous </w:t>
      </w:r>
      <w:r w:rsidR="007B65D3">
        <w:rPr>
          <w:rFonts w:asciiTheme="minorHAnsi" w:hAnsiTheme="minorHAnsi"/>
          <w:snapToGrid w:val="0"/>
        </w:rPr>
        <w:t>submissions,</w:t>
      </w:r>
      <w:r w:rsidR="00C011BC">
        <w:rPr>
          <w:rFonts w:asciiTheme="minorHAnsi" w:hAnsiTheme="minorHAnsi"/>
          <w:snapToGrid w:val="0"/>
        </w:rPr>
        <w:t xml:space="preserve"> and which was </w:t>
      </w:r>
      <w:r w:rsidR="007B65D3">
        <w:rPr>
          <w:rFonts w:asciiTheme="minorHAnsi" w:hAnsiTheme="minorHAnsi"/>
          <w:snapToGrid w:val="0"/>
        </w:rPr>
        <w:t xml:space="preserve">calculated for </w:t>
      </w:r>
      <w:r w:rsidR="00C011BC" w:rsidRPr="0064629F">
        <w:rPr>
          <w:rFonts w:asciiTheme="minorHAnsi" w:hAnsiTheme="minorHAnsi"/>
          <w:snapToGrid w:val="0"/>
        </w:rPr>
        <w:t xml:space="preserve">the PSCR. Furthermore, the PBAC noted that the submissions’ base case </w:t>
      </w:r>
      <w:r w:rsidR="007B65D3">
        <w:rPr>
          <w:rFonts w:asciiTheme="minorHAnsi" w:hAnsiTheme="minorHAnsi"/>
          <w:snapToGrid w:val="0"/>
        </w:rPr>
        <w:t>ICER</w:t>
      </w:r>
      <w:r w:rsidR="00C011BC" w:rsidRPr="0064629F">
        <w:rPr>
          <w:rFonts w:asciiTheme="minorHAnsi" w:hAnsiTheme="minorHAnsi"/>
          <w:snapToGrid w:val="0"/>
        </w:rPr>
        <w:t xml:space="preserve"> of </w:t>
      </w:r>
      <w:r w:rsidR="00B95C7E" w:rsidRPr="00B95C7E">
        <w:rPr>
          <w:rFonts w:asciiTheme="minorHAnsi" w:hAnsiTheme="minorHAnsi"/>
          <w:snapToGrid w:val="0"/>
        </w:rPr>
        <w:t>$25,000 to &lt; $35,000</w:t>
      </w:r>
      <w:r w:rsidR="00C011BC" w:rsidRPr="0064629F">
        <w:rPr>
          <w:rFonts w:asciiTheme="minorHAnsi" w:hAnsiTheme="minorHAnsi"/>
          <w:snapToGrid w:val="0"/>
        </w:rPr>
        <w:t xml:space="preserve"> per QALY gained</w:t>
      </w:r>
      <w:r w:rsidR="004D5E3C" w:rsidRPr="0064629F">
        <w:rPr>
          <w:rFonts w:asciiTheme="minorHAnsi" w:hAnsiTheme="minorHAnsi"/>
          <w:snapToGrid w:val="0"/>
        </w:rPr>
        <w:t xml:space="preserve"> increased to </w:t>
      </w:r>
      <w:r w:rsidR="00B95C7E" w:rsidRPr="00B95C7E">
        <w:rPr>
          <w:rFonts w:asciiTheme="minorHAnsi" w:hAnsiTheme="minorHAnsi"/>
          <w:snapToGrid w:val="0"/>
        </w:rPr>
        <w:t>$25,000 to &lt; $35,000</w:t>
      </w:r>
      <w:r w:rsidR="004D5E3C" w:rsidRPr="0064629F">
        <w:rPr>
          <w:rFonts w:asciiTheme="minorHAnsi" w:hAnsiTheme="minorHAnsi"/>
          <w:snapToGrid w:val="0"/>
        </w:rPr>
        <w:t xml:space="preserve"> per QALY gained </w:t>
      </w:r>
      <w:r w:rsidR="00CD6650" w:rsidRPr="0064629F">
        <w:rPr>
          <w:rFonts w:asciiTheme="minorHAnsi" w:hAnsiTheme="minorHAnsi"/>
          <w:snapToGrid w:val="0"/>
        </w:rPr>
        <w:t xml:space="preserve">when a mean </w:t>
      </w:r>
      <w:r w:rsidR="004D5E3C" w:rsidRPr="0064629F">
        <w:rPr>
          <w:rFonts w:asciiTheme="minorHAnsi" w:hAnsiTheme="minorHAnsi"/>
          <w:snapToGrid w:val="0"/>
        </w:rPr>
        <w:t>baseline LDL-C of 2.2</w:t>
      </w:r>
      <w:r w:rsidR="007B65D3">
        <w:rPr>
          <w:rFonts w:asciiTheme="minorHAnsi" w:hAnsiTheme="minorHAnsi"/>
          <w:snapToGrid w:val="0"/>
        </w:rPr>
        <w:t> </w:t>
      </w:r>
      <w:r w:rsidR="004D5E3C" w:rsidRPr="0064629F">
        <w:rPr>
          <w:rFonts w:asciiTheme="minorHAnsi" w:hAnsiTheme="minorHAnsi"/>
          <w:snapToGrid w:val="0"/>
        </w:rPr>
        <w:t>mmol/L</w:t>
      </w:r>
      <w:r w:rsidR="00CD6650" w:rsidRPr="0064629F">
        <w:rPr>
          <w:rFonts w:asciiTheme="minorHAnsi" w:hAnsiTheme="minorHAnsi"/>
          <w:snapToGrid w:val="0"/>
        </w:rPr>
        <w:t xml:space="preserve"> was used</w:t>
      </w:r>
      <w:r w:rsidR="004D5E3C" w:rsidRPr="0064629F">
        <w:rPr>
          <w:rFonts w:asciiTheme="minorHAnsi" w:hAnsiTheme="minorHAnsi"/>
          <w:snapToGrid w:val="0"/>
        </w:rPr>
        <w:t xml:space="preserve">. </w:t>
      </w:r>
    </w:p>
    <w:p w14:paraId="45629C7A" w14:textId="0FEB972B" w:rsidR="00DB7728" w:rsidRPr="00C77A53" w:rsidRDefault="00CD6650" w:rsidP="00EB7F7C">
      <w:pPr>
        <w:widowControl w:val="0"/>
        <w:numPr>
          <w:ilvl w:val="1"/>
          <w:numId w:val="1"/>
        </w:numPr>
        <w:spacing w:after="120"/>
        <w:rPr>
          <w:rFonts w:asciiTheme="minorHAnsi" w:hAnsiTheme="minorHAnsi"/>
          <w:iCs/>
          <w:snapToGrid w:val="0"/>
          <w:color w:val="0070C0"/>
          <w:lang w:val="en-GB"/>
        </w:rPr>
      </w:pPr>
      <w:r w:rsidRPr="0064629F">
        <w:rPr>
          <w:rFonts w:asciiTheme="minorHAnsi" w:hAnsiTheme="minorHAnsi"/>
          <w:snapToGrid w:val="0"/>
        </w:rPr>
        <w:t>The PBAC recalled that</w:t>
      </w:r>
      <w:r w:rsidR="00554EA6" w:rsidRPr="0064629F">
        <w:rPr>
          <w:rFonts w:asciiTheme="minorHAnsi" w:hAnsiTheme="minorHAnsi"/>
          <w:snapToGrid w:val="0"/>
        </w:rPr>
        <w:t xml:space="preserve">, in the context of a secondary prevention treatment with an unknown magnitude of mortality benefit, </w:t>
      </w:r>
      <w:r w:rsidRPr="0064629F">
        <w:rPr>
          <w:rFonts w:asciiTheme="minorHAnsi" w:hAnsiTheme="minorHAnsi"/>
          <w:snapToGrid w:val="0"/>
        </w:rPr>
        <w:t xml:space="preserve">it had previously considered that an ICER of less than </w:t>
      </w:r>
      <w:r w:rsidR="00B95C7E" w:rsidRPr="00B95C7E">
        <w:rPr>
          <w:rFonts w:asciiTheme="minorHAnsi" w:hAnsiTheme="minorHAnsi"/>
          <w:snapToGrid w:val="0"/>
        </w:rPr>
        <w:t>$25,000 to &lt; $35,000</w:t>
      </w:r>
      <w:r w:rsidRPr="0064629F">
        <w:rPr>
          <w:rFonts w:asciiTheme="minorHAnsi" w:hAnsiTheme="minorHAnsi"/>
          <w:snapToGrid w:val="0"/>
        </w:rPr>
        <w:t xml:space="preserve"> per QALY gained would be required for cost-effectiveness </w:t>
      </w:r>
      <w:r w:rsidR="00554EA6" w:rsidRPr="0064629F">
        <w:rPr>
          <w:rFonts w:asciiTheme="minorHAnsi" w:hAnsiTheme="minorHAnsi"/>
          <w:snapToGrid w:val="0"/>
        </w:rPr>
        <w:t>for</w:t>
      </w:r>
      <w:r w:rsidRPr="0064629F">
        <w:rPr>
          <w:rFonts w:asciiTheme="minorHAnsi" w:hAnsiTheme="minorHAnsi"/>
          <w:snapToGrid w:val="0"/>
        </w:rPr>
        <w:t xml:space="preserve"> </w:t>
      </w:r>
      <w:r w:rsidR="00554EA6" w:rsidRPr="0064629F">
        <w:rPr>
          <w:rFonts w:asciiTheme="minorHAnsi" w:hAnsiTheme="minorHAnsi"/>
          <w:snapToGrid w:val="0"/>
        </w:rPr>
        <w:t>t</w:t>
      </w:r>
      <w:r w:rsidR="006166D1" w:rsidRPr="0064629F">
        <w:rPr>
          <w:rFonts w:asciiTheme="minorHAnsi" w:hAnsiTheme="minorHAnsi"/>
          <w:snapToGrid w:val="0"/>
        </w:rPr>
        <w:t>he listing for non-familial hypercholesterolaemia patients in</w:t>
      </w:r>
      <w:r w:rsidR="00554EA6" w:rsidRPr="0064629F">
        <w:rPr>
          <w:rFonts w:asciiTheme="minorHAnsi" w:hAnsiTheme="minorHAnsi"/>
          <w:snapToGrid w:val="0"/>
        </w:rPr>
        <w:t xml:space="preserve"> November 2019. </w:t>
      </w:r>
      <w:r w:rsidR="00004BF1">
        <w:rPr>
          <w:rFonts w:asciiTheme="minorHAnsi" w:hAnsiTheme="minorHAnsi"/>
          <w:snapToGrid w:val="0"/>
        </w:rPr>
        <w:t>The PBAC</w:t>
      </w:r>
      <w:r w:rsidR="00554EA6" w:rsidRPr="0064629F">
        <w:rPr>
          <w:rFonts w:asciiTheme="minorHAnsi" w:hAnsiTheme="minorHAnsi"/>
          <w:snapToGrid w:val="0"/>
        </w:rPr>
        <w:t xml:space="preserve"> considered that the value proposition in this new lower risk patient population was reasonably at a lower threshold, and thus considered that the</w:t>
      </w:r>
      <w:r w:rsidR="007B65D3">
        <w:rPr>
          <w:rFonts w:asciiTheme="minorHAnsi" w:hAnsiTheme="minorHAnsi"/>
          <w:snapToGrid w:val="0"/>
        </w:rPr>
        <w:t xml:space="preserve"> expanded</w:t>
      </w:r>
      <w:r w:rsidR="00554EA6" w:rsidRPr="0064629F">
        <w:rPr>
          <w:rFonts w:asciiTheme="minorHAnsi" w:hAnsiTheme="minorHAnsi"/>
          <w:snapToGrid w:val="0"/>
        </w:rPr>
        <w:t xml:space="preserve"> listing</w:t>
      </w:r>
      <w:r w:rsidR="007B65D3">
        <w:rPr>
          <w:rFonts w:asciiTheme="minorHAnsi" w:hAnsiTheme="minorHAnsi"/>
          <w:snapToGrid w:val="0"/>
        </w:rPr>
        <w:t>s</w:t>
      </w:r>
      <w:r w:rsidR="00554EA6" w:rsidRPr="0064629F">
        <w:rPr>
          <w:rFonts w:asciiTheme="minorHAnsi" w:hAnsiTheme="minorHAnsi"/>
          <w:snapToGrid w:val="0"/>
        </w:rPr>
        <w:t xml:space="preserve"> would be cost-effective at an ICER of less than $25,000 </w:t>
      </w:r>
      <w:r w:rsidR="00C06BBA" w:rsidRPr="00B95C7E">
        <w:rPr>
          <w:rFonts w:asciiTheme="minorHAnsi" w:hAnsiTheme="minorHAnsi"/>
          <w:snapToGrid w:val="0"/>
        </w:rPr>
        <w:t xml:space="preserve">to </w:t>
      </w:r>
      <w:r w:rsidR="00EB7825">
        <w:rPr>
          <w:rFonts w:asciiTheme="minorHAnsi" w:hAnsiTheme="minorHAnsi"/>
          <w:snapToGrid w:val="0"/>
        </w:rPr>
        <w:br/>
      </w:r>
      <w:r w:rsidR="00C06BBA" w:rsidRPr="00B95C7E">
        <w:rPr>
          <w:rFonts w:asciiTheme="minorHAnsi" w:hAnsiTheme="minorHAnsi"/>
          <w:snapToGrid w:val="0"/>
        </w:rPr>
        <w:t>&lt; $35,000</w:t>
      </w:r>
      <w:r w:rsidR="00C06BBA">
        <w:rPr>
          <w:rFonts w:asciiTheme="minorHAnsi" w:hAnsiTheme="minorHAnsi"/>
          <w:snapToGrid w:val="0"/>
        </w:rPr>
        <w:t xml:space="preserve"> </w:t>
      </w:r>
      <w:r w:rsidR="00554EA6" w:rsidRPr="0064629F">
        <w:rPr>
          <w:rFonts w:asciiTheme="minorHAnsi" w:hAnsiTheme="minorHAnsi"/>
          <w:snapToGrid w:val="0"/>
        </w:rPr>
        <w:t xml:space="preserve">per QALY gained </w:t>
      </w:r>
      <w:r w:rsidR="007B65D3">
        <w:rPr>
          <w:rFonts w:asciiTheme="minorHAnsi" w:hAnsiTheme="minorHAnsi"/>
          <w:snapToGrid w:val="0"/>
        </w:rPr>
        <w:t>(</w:t>
      </w:r>
      <w:r w:rsidR="00554EA6" w:rsidRPr="0064629F">
        <w:rPr>
          <w:rFonts w:asciiTheme="minorHAnsi" w:hAnsiTheme="minorHAnsi"/>
          <w:snapToGrid w:val="0"/>
        </w:rPr>
        <w:t xml:space="preserve">and </w:t>
      </w:r>
      <w:r w:rsidR="007B65D3">
        <w:rPr>
          <w:rFonts w:asciiTheme="minorHAnsi" w:hAnsiTheme="minorHAnsi"/>
          <w:snapToGrid w:val="0"/>
        </w:rPr>
        <w:t xml:space="preserve">using </w:t>
      </w:r>
      <w:r w:rsidR="00554EA6" w:rsidRPr="0064629F">
        <w:rPr>
          <w:rFonts w:asciiTheme="minorHAnsi" w:hAnsiTheme="minorHAnsi"/>
          <w:snapToGrid w:val="0"/>
        </w:rPr>
        <w:t>a mean baseline LDL-C of 2.2 mmol/L</w:t>
      </w:r>
      <w:r w:rsidR="007B65D3">
        <w:rPr>
          <w:rFonts w:asciiTheme="minorHAnsi" w:hAnsiTheme="minorHAnsi"/>
          <w:snapToGrid w:val="0"/>
        </w:rPr>
        <w:t>)</w:t>
      </w:r>
      <w:r w:rsidR="00554EA6" w:rsidRPr="0064629F">
        <w:rPr>
          <w:rFonts w:asciiTheme="minorHAnsi" w:hAnsiTheme="minorHAnsi"/>
          <w:snapToGrid w:val="0"/>
        </w:rPr>
        <w:t xml:space="preserve">. </w:t>
      </w:r>
      <w:r w:rsidR="00DB7728" w:rsidRPr="0064629F">
        <w:rPr>
          <w:rFonts w:asciiTheme="minorHAnsi" w:hAnsiTheme="minorHAnsi"/>
          <w:snapToGrid w:val="0"/>
        </w:rPr>
        <w:t xml:space="preserve">As with its November 2019 consideration, the PBAC considered that the cost-effectiveness </w:t>
      </w:r>
      <w:r w:rsidR="0064629F" w:rsidRPr="0064629F">
        <w:rPr>
          <w:rFonts w:asciiTheme="minorHAnsi" w:hAnsiTheme="minorHAnsi"/>
          <w:snapToGrid w:val="0"/>
        </w:rPr>
        <w:t>c</w:t>
      </w:r>
      <w:r w:rsidR="00DB7728" w:rsidRPr="0064629F">
        <w:rPr>
          <w:iCs/>
        </w:rPr>
        <w:t>ould be inferred for an expanded FH listing,</w:t>
      </w:r>
      <w:r w:rsidR="0064629F" w:rsidRPr="0064629F">
        <w:rPr>
          <w:iCs/>
        </w:rPr>
        <w:t xml:space="preserve"> based on the non-FH model,</w:t>
      </w:r>
      <w:r w:rsidR="00DB7728" w:rsidRPr="0064629F">
        <w:rPr>
          <w:iCs/>
        </w:rPr>
        <w:t xml:space="preserve"> at the same price as accepted for non-FH (para 3.4, evolocumab PSD, November 2019 PBAC meeting).</w:t>
      </w:r>
    </w:p>
    <w:p w14:paraId="6F458378" w14:textId="28EB767A" w:rsidR="00B56DDA" w:rsidRPr="00B56DDA" w:rsidRDefault="00C77A53" w:rsidP="00B56DDA">
      <w:pPr>
        <w:widowControl w:val="0"/>
        <w:numPr>
          <w:ilvl w:val="1"/>
          <w:numId w:val="1"/>
        </w:numPr>
        <w:spacing w:after="120"/>
        <w:rPr>
          <w:rFonts w:asciiTheme="minorHAnsi" w:hAnsiTheme="minorHAnsi"/>
          <w:iCs/>
          <w:snapToGrid w:val="0"/>
          <w:color w:val="0070C0"/>
          <w:lang w:val="en-GB"/>
        </w:rPr>
      </w:pPr>
      <w:r>
        <w:rPr>
          <w:rFonts w:asciiTheme="minorHAnsi" w:hAnsiTheme="minorHAnsi"/>
          <w:snapToGrid w:val="0"/>
        </w:rPr>
        <w:t>The PBAC noted that the submission had proposed a weighted price across the existing PBS listings and the expanded population (</w:t>
      </w:r>
      <w:r w:rsidR="00650CB8" w:rsidRPr="00F35BF1">
        <w:rPr>
          <w:rFonts w:asciiTheme="minorHAnsi" w:hAnsiTheme="minorHAnsi"/>
          <w:snapToGrid w:val="0"/>
          <w:color w:val="000000"/>
          <w:w w:val="15"/>
          <w:shd w:val="solid" w:color="000000" w:fill="000000"/>
          <w:fitText w:val="-20" w:id="-1435748081"/>
          <w14:textFill>
            <w14:solidFill>
              <w14:srgbClr w14:val="000000">
                <w14:alpha w14:val="100000"/>
              </w14:srgbClr>
            </w14:solidFill>
          </w14:textFill>
        </w:rPr>
        <w:t xml:space="preserve">|  </w:t>
      </w:r>
      <w:r w:rsidR="00650CB8" w:rsidRPr="00F35BF1">
        <w:rPr>
          <w:rFonts w:asciiTheme="minorHAnsi" w:hAnsiTheme="minorHAnsi"/>
          <w:snapToGrid w:val="0"/>
          <w:color w:val="000000"/>
          <w:spacing w:val="-69"/>
          <w:w w:val="15"/>
          <w:shd w:val="solid" w:color="000000" w:fill="000000"/>
          <w:fitText w:val="-20" w:id="-1435748081"/>
          <w14:textFill>
            <w14:solidFill>
              <w14:srgbClr w14:val="000000">
                <w14:alpha w14:val="100000"/>
              </w14:srgbClr>
            </w14:solidFill>
          </w14:textFill>
        </w:rPr>
        <w:t>|</w:t>
      </w:r>
      <w:r w:rsidRPr="000615AA">
        <w:rPr>
          <w:rFonts w:asciiTheme="minorHAnsi" w:hAnsiTheme="minorHAnsi"/>
          <w:snapToGrid w:val="0"/>
        </w:rPr>
        <w:t>%:</w:t>
      </w:r>
      <w:r w:rsidR="00650CB8" w:rsidRPr="00F35BF1">
        <w:rPr>
          <w:rFonts w:asciiTheme="minorHAnsi" w:hAnsiTheme="minorHAnsi"/>
          <w:snapToGrid w:val="0"/>
          <w:color w:val="000000"/>
          <w:w w:val="15"/>
          <w:shd w:val="solid" w:color="000000" w:fill="000000"/>
          <w:fitText w:val="-20" w:id="-1435748080"/>
          <w14:textFill>
            <w14:solidFill>
              <w14:srgbClr w14:val="000000">
                <w14:alpha w14:val="100000"/>
              </w14:srgbClr>
            </w14:solidFill>
          </w14:textFill>
        </w:rPr>
        <w:t xml:space="preserve">|  </w:t>
      </w:r>
      <w:r w:rsidR="00650CB8" w:rsidRPr="00F35BF1">
        <w:rPr>
          <w:rFonts w:asciiTheme="minorHAnsi" w:hAnsiTheme="minorHAnsi"/>
          <w:snapToGrid w:val="0"/>
          <w:color w:val="000000"/>
          <w:spacing w:val="-69"/>
          <w:w w:val="15"/>
          <w:shd w:val="solid" w:color="000000" w:fill="000000"/>
          <w:fitText w:val="-20" w:id="-1435748080"/>
          <w14:textFill>
            <w14:solidFill>
              <w14:srgbClr w14:val="000000">
                <w14:alpha w14:val="100000"/>
              </w14:srgbClr>
            </w14:solidFill>
          </w14:textFill>
        </w:rPr>
        <w:t>|</w:t>
      </w:r>
      <w:r>
        <w:rPr>
          <w:rFonts w:asciiTheme="minorHAnsi" w:hAnsiTheme="minorHAnsi"/>
          <w:snapToGrid w:val="0"/>
        </w:rPr>
        <w:t xml:space="preserve">%), based on the existing RSA caps combined with the submission’s forecast for the new services. </w:t>
      </w:r>
      <w:r w:rsidR="00B56DDA">
        <w:rPr>
          <w:rFonts w:asciiTheme="minorHAnsi" w:hAnsiTheme="minorHAnsi"/>
          <w:snapToGrid w:val="0"/>
        </w:rPr>
        <w:t xml:space="preserve">The PBAC noted that these estimates were based on the estimated size of the eligible population and the assumed uptake, both of which were highly uncertain. The pre-PBAC proposed a revised reduced overall weighted price, which it stated reflected an increase in the </w:t>
      </w:r>
      <w:r w:rsidR="00B56DDA">
        <w:rPr>
          <w:rFonts w:asciiTheme="minorHAnsi" w:hAnsiTheme="minorHAnsi"/>
          <w:snapToGrid w:val="0"/>
        </w:rPr>
        <w:lastRenderedPageBreak/>
        <w:t xml:space="preserve">weighting of the additional population from </w:t>
      </w:r>
      <w:r w:rsidR="00650CB8" w:rsidRPr="00F35BF1">
        <w:rPr>
          <w:rFonts w:asciiTheme="minorHAnsi" w:hAnsiTheme="minorHAnsi"/>
          <w:snapToGrid w:val="0"/>
          <w:color w:val="000000"/>
          <w:w w:val="15"/>
          <w:shd w:val="solid" w:color="000000" w:fill="000000"/>
          <w:fitText w:val="-20" w:id="-1435748096"/>
          <w14:textFill>
            <w14:solidFill>
              <w14:srgbClr w14:val="000000">
                <w14:alpha w14:val="100000"/>
              </w14:srgbClr>
            </w14:solidFill>
          </w14:textFill>
        </w:rPr>
        <w:t xml:space="preserve">|  </w:t>
      </w:r>
      <w:r w:rsidR="00650CB8" w:rsidRPr="00F35BF1">
        <w:rPr>
          <w:rFonts w:asciiTheme="minorHAnsi" w:hAnsiTheme="minorHAnsi"/>
          <w:snapToGrid w:val="0"/>
          <w:color w:val="000000"/>
          <w:spacing w:val="-69"/>
          <w:w w:val="15"/>
          <w:shd w:val="solid" w:color="000000" w:fill="000000"/>
          <w:fitText w:val="-20" w:id="-1435748096"/>
          <w14:textFill>
            <w14:solidFill>
              <w14:srgbClr w14:val="000000">
                <w14:alpha w14:val="100000"/>
              </w14:srgbClr>
            </w14:solidFill>
          </w14:textFill>
        </w:rPr>
        <w:t>|</w:t>
      </w:r>
      <w:r w:rsidR="00B56DDA" w:rsidRPr="000615AA">
        <w:rPr>
          <w:rFonts w:asciiTheme="minorHAnsi" w:hAnsiTheme="minorHAnsi"/>
          <w:snapToGrid w:val="0"/>
        </w:rPr>
        <w:t xml:space="preserve">% to </w:t>
      </w:r>
      <w:r w:rsidR="00650CB8" w:rsidRPr="00F35BF1">
        <w:rPr>
          <w:rFonts w:asciiTheme="minorHAnsi" w:hAnsiTheme="minorHAnsi"/>
          <w:snapToGrid w:val="0"/>
          <w:color w:val="000000"/>
          <w:w w:val="15"/>
          <w:shd w:val="solid" w:color="000000" w:fill="000000"/>
          <w:fitText w:val="-20" w:id="-1435748095"/>
          <w14:textFill>
            <w14:solidFill>
              <w14:srgbClr w14:val="000000">
                <w14:alpha w14:val="100000"/>
              </w14:srgbClr>
            </w14:solidFill>
          </w14:textFill>
        </w:rPr>
        <w:t xml:space="preserve">|  </w:t>
      </w:r>
      <w:r w:rsidR="00650CB8" w:rsidRPr="00F35BF1">
        <w:rPr>
          <w:rFonts w:asciiTheme="minorHAnsi" w:hAnsiTheme="minorHAnsi"/>
          <w:snapToGrid w:val="0"/>
          <w:color w:val="000000"/>
          <w:spacing w:val="-69"/>
          <w:w w:val="15"/>
          <w:shd w:val="solid" w:color="000000" w:fill="000000"/>
          <w:fitText w:val="-20" w:id="-1435748095"/>
          <w14:textFill>
            <w14:solidFill>
              <w14:srgbClr w14:val="000000">
                <w14:alpha w14:val="100000"/>
              </w14:srgbClr>
            </w14:solidFill>
          </w14:textFill>
        </w:rPr>
        <w:t>|</w:t>
      </w:r>
      <w:r w:rsidR="00B56DDA">
        <w:rPr>
          <w:rFonts w:asciiTheme="minorHAnsi" w:hAnsiTheme="minorHAnsi"/>
          <w:snapToGrid w:val="0"/>
        </w:rPr>
        <w:t xml:space="preserve">%. The PBAC noted that there was no justification for this estimate, but considered that a more conservative weighting was appropriate in view of the considerable uncertainty. </w:t>
      </w:r>
    </w:p>
    <w:p w14:paraId="761F8AAD" w14:textId="11F432AB" w:rsidR="00B56DDA" w:rsidRPr="00B56DDA" w:rsidRDefault="00B56DDA" w:rsidP="00B56DDA">
      <w:pPr>
        <w:widowControl w:val="0"/>
        <w:numPr>
          <w:ilvl w:val="1"/>
          <w:numId w:val="1"/>
        </w:numPr>
        <w:spacing w:after="120"/>
        <w:rPr>
          <w:rFonts w:asciiTheme="minorHAnsi" w:hAnsiTheme="minorHAnsi"/>
          <w:iCs/>
          <w:snapToGrid w:val="0"/>
          <w:color w:val="0070C0"/>
          <w:lang w:val="en-GB"/>
        </w:rPr>
      </w:pPr>
      <w:r>
        <w:rPr>
          <w:rFonts w:asciiTheme="minorHAnsi" w:hAnsiTheme="minorHAnsi"/>
          <w:snapToGrid w:val="0"/>
        </w:rPr>
        <w:t xml:space="preserve">The PBAC noted that expenditure under the current RSA was tracking substantially below the caps, and considered that even with the expanded listing, the utilisation was likely to remain within these caps. Therefore, increasing the caps would not provide an effective mechanism </w:t>
      </w:r>
      <w:r w:rsidR="00772540">
        <w:rPr>
          <w:rFonts w:asciiTheme="minorHAnsi" w:hAnsiTheme="minorHAnsi"/>
          <w:snapToGrid w:val="0"/>
        </w:rPr>
        <w:t xml:space="preserve">for managing uncertainties associated with the expanded listing. </w:t>
      </w:r>
    </w:p>
    <w:p w14:paraId="0DE950D6" w14:textId="1A1ABC65" w:rsidR="00004BF1" w:rsidRPr="009C16BD" w:rsidRDefault="00004BF1" w:rsidP="00EB7F7C">
      <w:pPr>
        <w:widowControl w:val="0"/>
        <w:numPr>
          <w:ilvl w:val="1"/>
          <w:numId w:val="1"/>
        </w:numPr>
        <w:spacing w:after="120"/>
        <w:rPr>
          <w:rFonts w:asciiTheme="minorHAnsi" w:hAnsiTheme="minorHAnsi"/>
          <w:iCs/>
          <w:snapToGrid w:val="0"/>
          <w:color w:val="0070C0"/>
          <w:lang w:val="en-GB"/>
        </w:rPr>
      </w:pPr>
      <w:r>
        <w:rPr>
          <w:rFonts w:asciiTheme="minorHAnsi" w:hAnsiTheme="minorHAnsi"/>
          <w:snapToGrid w:val="0"/>
        </w:rPr>
        <w:t xml:space="preserve">The PBAC noted </w:t>
      </w:r>
      <w:r w:rsidR="00772540">
        <w:rPr>
          <w:rFonts w:asciiTheme="minorHAnsi" w:hAnsiTheme="minorHAnsi"/>
          <w:snapToGrid w:val="0"/>
        </w:rPr>
        <w:t xml:space="preserve">the DUSC’s advice that the treatment uptake rates were underestimated, that the eligible population estimates were inconsistent with previous submissions and that the proposed restriction change to allow GP prescribing was not accounted for. </w:t>
      </w:r>
      <w:r w:rsidR="007B65D3">
        <w:rPr>
          <w:rFonts w:asciiTheme="minorHAnsi" w:hAnsiTheme="minorHAnsi"/>
          <w:snapToGrid w:val="0"/>
        </w:rPr>
        <w:t>However, t</w:t>
      </w:r>
      <w:r w:rsidR="006910E3">
        <w:rPr>
          <w:rFonts w:asciiTheme="minorHAnsi" w:hAnsiTheme="minorHAnsi"/>
          <w:snapToGrid w:val="0"/>
        </w:rPr>
        <w:t xml:space="preserve">he PBAC also noted that the sponsor had previously argued there would be no additional financial impact due to GP prescribing as </w:t>
      </w:r>
      <w:r w:rsidR="009C16BD">
        <w:rPr>
          <w:rFonts w:asciiTheme="minorHAnsi" w:hAnsiTheme="minorHAnsi"/>
          <w:snapToGrid w:val="0"/>
        </w:rPr>
        <w:t xml:space="preserve">it claimed that </w:t>
      </w:r>
      <w:r w:rsidR="006910E3">
        <w:rPr>
          <w:rFonts w:asciiTheme="minorHAnsi" w:hAnsiTheme="minorHAnsi"/>
          <w:snapToGrid w:val="0"/>
        </w:rPr>
        <w:t xml:space="preserve">previous estimates were </w:t>
      </w:r>
      <w:r w:rsidR="006910E3" w:rsidRPr="006910E3">
        <w:rPr>
          <w:rFonts w:asciiTheme="minorHAnsi" w:hAnsiTheme="minorHAnsi"/>
          <w:snapToGrid w:val="0"/>
        </w:rPr>
        <w:t>calculated based on the assumption that GPs would be able to initiate treatment in consultation with a specialist physician</w:t>
      </w:r>
      <w:r w:rsidR="006910E3">
        <w:rPr>
          <w:rFonts w:asciiTheme="minorHAnsi" w:hAnsiTheme="minorHAnsi"/>
          <w:snapToGrid w:val="0"/>
        </w:rPr>
        <w:t xml:space="preserve">. The PBAC considered it was unlikely that more reliable </w:t>
      </w:r>
      <w:r w:rsidR="009C16BD">
        <w:rPr>
          <w:rFonts w:asciiTheme="minorHAnsi" w:hAnsiTheme="minorHAnsi"/>
          <w:snapToGrid w:val="0"/>
        </w:rPr>
        <w:t>sources were available for the estimates in the new population, and while inconsistencies contributed further uncertainty, the submission’s estimates reflected a reasonable basis for costing the financial impact to the Australian Government</w:t>
      </w:r>
      <w:r w:rsidR="009D3E9A">
        <w:rPr>
          <w:rFonts w:asciiTheme="minorHAnsi" w:hAnsiTheme="minorHAnsi"/>
          <w:snapToGrid w:val="0"/>
        </w:rPr>
        <w:t>, with the exception that the proportion of FH patients with ASCVD should be revised from 40% to 51%</w:t>
      </w:r>
      <w:r w:rsidR="00942CA0">
        <w:rPr>
          <w:rFonts w:asciiTheme="minorHAnsi" w:hAnsiTheme="minorHAnsi"/>
          <w:snapToGrid w:val="0"/>
        </w:rPr>
        <w:t xml:space="preserve"> to reflect those aged 25 years and over, as this was consistent with the estimation of the Australian population in the first step of the financial estimates</w:t>
      </w:r>
      <w:r w:rsidR="009C16BD">
        <w:rPr>
          <w:rFonts w:asciiTheme="minorHAnsi" w:hAnsiTheme="minorHAnsi"/>
          <w:snapToGrid w:val="0"/>
        </w:rPr>
        <w:t xml:space="preserve">. </w:t>
      </w:r>
    </w:p>
    <w:p w14:paraId="41266F9A" w14:textId="10C1593F" w:rsidR="009C16BD" w:rsidRPr="0064629F" w:rsidRDefault="009C16BD" w:rsidP="00EB7F7C">
      <w:pPr>
        <w:widowControl w:val="0"/>
        <w:numPr>
          <w:ilvl w:val="1"/>
          <w:numId w:val="1"/>
        </w:numPr>
        <w:spacing w:after="120"/>
        <w:rPr>
          <w:rFonts w:asciiTheme="minorHAnsi" w:hAnsiTheme="minorHAnsi"/>
          <w:iCs/>
          <w:snapToGrid w:val="0"/>
          <w:color w:val="0070C0"/>
          <w:lang w:val="en-GB"/>
        </w:rPr>
      </w:pPr>
      <w:r>
        <w:rPr>
          <w:rFonts w:asciiTheme="minorHAnsi" w:hAnsiTheme="minorHAnsi"/>
          <w:snapToGrid w:val="0"/>
        </w:rPr>
        <w:t xml:space="preserve">With respect to the request for GP initial prescribing, the PBAC recalled its previous concerns </w:t>
      </w:r>
      <w:r w:rsidR="00141135">
        <w:rPr>
          <w:rFonts w:asciiTheme="minorHAnsi" w:hAnsiTheme="minorHAnsi"/>
          <w:snapToGrid w:val="0"/>
        </w:rPr>
        <w:t xml:space="preserve">when the same request was considered in November 2020 that </w:t>
      </w:r>
      <w:r>
        <w:rPr>
          <w:rFonts w:asciiTheme="minorHAnsi" w:hAnsiTheme="minorHAnsi"/>
          <w:snapToGrid w:val="0"/>
        </w:rPr>
        <w:t xml:space="preserve">given the recency of the listing at the time, it would be appropriate to wait for a DUSC review of utilisation at least 18 months from the date that the non-FH listing was added (see </w:t>
      </w:r>
      <w:r>
        <w:rPr>
          <w:rFonts w:asciiTheme="minorHAnsi" w:hAnsiTheme="minorHAnsi"/>
          <w:snapToGrid w:val="0"/>
        </w:rPr>
        <w:fldChar w:fldCharType="begin"/>
      </w:r>
      <w:r>
        <w:rPr>
          <w:rFonts w:asciiTheme="minorHAnsi" w:hAnsiTheme="minorHAnsi"/>
          <w:snapToGrid w:val="0"/>
        </w:rPr>
        <w:instrText xml:space="preserve"> REF _Ref101265583 \h </w:instrText>
      </w:r>
      <w:r>
        <w:rPr>
          <w:rFonts w:asciiTheme="minorHAnsi" w:hAnsiTheme="minorHAnsi"/>
          <w:snapToGrid w:val="0"/>
        </w:rPr>
      </w:r>
      <w:r>
        <w:rPr>
          <w:rFonts w:asciiTheme="minorHAnsi" w:hAnsiTheme="minorHAnsi"/>
          <w:snapToGrid w:val="0"/>
        </w:rPr>
        <w:fldChar w:fldCharType="separate"/>
      </w:r>
      <w:r w:rsidR="00EB7F7C" w:rsidRPr="002D4D48">
        <w:t xml:space="preserve">Table </w:t>
      </w:r>
      <w:r w:rsidR="00EB7F7C">
        <w:rPr>
          <w:noProof/>
        </w:rPr>
        <w:t>2</w:t>
      </w:r>
      <w:r>
        <w:rPr>
          <w:rFonts w:asciiTheme="minorHAnsi" w:hAnsiTheme="minorHAnsi"/>
          <w:snapToGrid w:val="0"/>
        </w:rPr>
        <w:fldChar w:fldCharType="end"/>
      </w:r>
      <w:r>
        <w:rPr>
          <w:rFonts w:asciiTheme="minorHAnsi" w:hAnsiTheme="minorHAnsi"/>
          <w:snapToGrid w:val="0"/>
        </w:rPr>
        <w:t xml:space="preserve">). </w:t>
      </w:r>
      <w:r w:rsidR="00207479">
        <w:rPr>
          <w:rFonts w:asciiTheme="minorHAnsi" w:hAnsiTheme="minorHAnsi"/>
          <w:snapToGrid w:val="0"/>
        </w:rPr>
        <w:t xml:space="preserve">The PBAC </w:t>
      </w:r>
      <w:r w:rsidR="007B65D3">
        <w:rPr>
          <w:rFonts w:asciiTheme="minorHAnsi" w:hAnsiTheme="minorHAnsi"/>
          <w:snapToGrid w:val="0"/>
        </w:rPr>
        <w:t xml:space="preserve">noted that 27 months had passed since the non-FH listing was added and that the DUSC review was not due until February 2023 at the earliest. The PBAC </w:t>
      </w:r>
      <w:r w:rsidR="00207479">
        <w:rPr>
          <w:rFonts w:asciiTheme="minorHAnsi" w:hAnsiTheme="minorHAnsi"/>
          <w:snapToGrid w:val="0"/>
        </w:rPr>
        <w:t>considered that there remained a risk of use outside the restriction, but that</w:t>
      </w:r>
      <w:r w:rsidR="00736777">
        <w:rPr>
          <w:rFonts w:asciiTheme="minorHAnsi" w:hAnsiTheme="minorHAnsi"/>
          <w:snapToGrid w:val="0"/>
        </w:rPr>
        <w:t xml:space="preserve"> retaining an Authority Required (Telephone/Electronic) listing would help to mitigate this, and furthermore,</w:t>
      </w:r>
      <w:r w:rsidR="00207479">
        <w:rPr>
          <w:rFonts w:asciiTheme="minorHAnsi" w:hAnsiTheme="minorHAnsi"/>
          <w:snapToGrid w:val="0"/>
        </w:rPr>
        <w:t xml:space="preserve"> the current expenditure provided reassurance that there was limited </w:t>
      </w:r>
      <w:r w:rsidR="007B65D3">
        <w:rPr>
          <w:rFonts w:asciiTheme="minorHAnsi" w:hAnsiTheme="minorHAnsi"/>
          <w:snapToGrid w:val="0"/>
        </w:rPr>
        <w:t xml:space="preserve">financial </w:t>
      </w:r>
      <w:r w:rsidR="00207479">
        <w:rPr>
          <w:rFonts w:asciiTheme="minorHAnsi" w:hAnsiTheme="minorHAnsi"/>
          <w:snapToGrid w:val="0"/>
        </w:rPr>
        <w:t xml:space="preserve">risk to the Australian Government from the expanded listing. </w:t>
      </w:r>
    </w:p>
    <w:p w14:paraId="4E57DCB0" w14:textId="57D64A74" w:rsidR="00207479" w:rsidRDefault="00207479" w:rsidP="000F4B43">
      <w:pPr>
        <w:widowControl w:val="0"/>
        <w:numPr>
          <w:ilvl w:val="1"/>
          <w:numId w:val="1"/>
        </w:numPr>
        <w:spacing w:after="120"/>
        <w:rPr>
          <w:rFonts w:asciiTheme="minorHAnsi" w:hAnsiTheme="minorHAnsi"/>
          <w:bCs/>
          <w:snapToGrid w:val="0"/>
          <w:lang w:val="en-GB"/>
        </w:rPr>
      </w:pPr>
      <w:r>
        <w:rPr>
          <w:rFonts w:asciiTheme="minorHAnsi" w:hAnsiTheme="minorHAnsi"/>
          <w:bCs/>
          <w:snapToGrid w:val="0"/>
          <w:lang w:val="en-GB"/>
        </w:rPr>
        <w:t>In terms of the restriction, the PBAC noted that the sole changes related to the prescriber type on the initial phase listings and the LDL-C threshold, which were appropriate for the non-FH, HoFH and HeFH listings. The PBAC considered that the request for grandfathering for non-FH and HeFH was reasonable but noted that the grandfathering request was not made for the HoFH population. Given the small size and likely overall higher LDL-C levels in this population, the PBAC considered it unlikely that grandfathering would be required in this group.</w:t>
      </w:r>
      <w:r w:rsidR="00C536E4">
        <w:rPr>
          <w:rFonts w:asciiTheme="minorHAnsi" w:hAnsiTheme="minorHAnsi"/>
          <w:bCs/>
          <w:snapToGrid w:val="0"/>
          <w:lang w:val="en-GB"/>
        </w:rPr>
        <w:t xml:space="preserve"> The PBAC advised that the grandfathering listings should be in operation for 12 months, with a relevant administrative note added.</w:t>
      </w:r>
    </w:p>
    <w:p w14:paraId="5E89B770" w14:textId="04F03161" w:rsidR="00C536E4" w:rsidRDefault="00C536E4" w:rsidP="000F4B43">
      <w:pPr>
        <w:widowControl w:val="0"/>
        <w:numPr>
          <w:ilvl w:val="1"/>
          <w:numId w:val="1"/>
        </w:numPr>
        <w:spacing w:after="120"/>
        <w:rPr>
          <w:rFonts w:asciiTheme="minorHAnsi" w:hAnsiTheme="minorHAnsi"/>
          <w:bCs/>
          <w:snapToGrid w:val="0"/>
          <w:lang w:val="en-GB"/>
        </w:rPr>
      </w:pPr>
      <w:r>
        <w:rPr>
          <w:rFonts w:asciiTheme="minorHAnsi" w:hAnsiTheme="minorHAnsi"/>
          <w:bCs/>
          <w:snapToGrid w:val="0"/>
          <w:lang w:val="en-GB"/>
        </w:rPr>
        <w:lastRenderedPageBreak/>
        <w:t xml:space="preserve">The PBAC recalled that it had previously considered the ODYSSEY OUTCOMES trial (alirocumab versus placebo), which had a qualifying LDL-C threshold of </w:t>
      </w:r>
      <w:r>
        <w:rPr>
          <w:rFonts w:asciiTheme="minorHAnsi" w:hAnsiTheme="minorHAnsi" w:cstheme="minorHAnsi"/>
          <w:bCs/>
          <w:snapToGrid w:val="0"/>
          <w:lang w:val="en-GB"/>
        </w:rPr>
        <w:t>≥</w:t>
      </w:r>
      <w:r>
        <w:rPr>
          <w:rFonts w:asciiTheme="minorHAnsi" w:hAnsiTheme="minorHAnsi"/>
          <w:bCs/>
          <w:snapToGrid w:val="0"/>
          <w:lang w:val="en-GB"/>
        </w:rPr>
        <w:t xml:space="preserve">1.8 mmol/L and it recalled that the alirocumab listing thresholds were defined based on prior PBAC decisions in regard to evolocumab (paragraph 2.12, alirocumab PSD, March 2019 PBAC Meeting). The PBAC considered that </w:t>
      </w:r>
      <w:r w:rsidR="00141135">
        <w:rPr>
          <w:rFonts w:asciiTheme="minorHAnsi" w:hAnsiTheme="minorHAnsi"/>
          <w:bCs/>
          <w:snapToGrid w:val="0"/>
          <w:lang w:val="en-GB"/>
        </w:rPr>
        <w:t>the</w:t>
      </w:r>
      <w:r>
        <w:rPr>
          <w:rFonts w:asciiTheme="minorHAnsi" w:hAnsiTheme="minorHAnsi"/>
          <w:bCs/>
          <w:snapToGrid w:val="0"/>
          <w:lang w:val="en-GB"/>
        </w:rPr>
        <w:t xml:space="preserve"> recommendations with regard to evolocumab should flow on to alirocumab at the established pricing relativities</w:t>
      </w:r>
      <w:r w:rsidR="00D962CD">
        <w:rPr>
          <w:rFonts w:asciiTheme="minorHAnsi" w:hAnsiTheme="minorHAnsi"/>
          <w:bCs/>
          <w:snapToGrid w:val="0"/>
          <w:lang w:val="en-GB"/>
        </w:rPr>
        <w:t xml:space="preserve"> as there would be no requirement for further assessment of the clinical and cost-effectiveness of alirocumab</w:t>
      </w:r>
      <w:r>
        <w:rPr>
          <w:rFonts w:asciiTheme="minorHAnsi" w:hAnsiTheme="minorHAnsi"/>
          <w:bCs/>
          <w:snapToGrid w:val="0"/>
          <w:lang w:val="en-GB"/>
        </w:rPr>
        <w:t xml:space="preserve">. </w:t>
      </w:r>
    </w:p>
    <w:p w14:paraId="1E7340BE" w14:textId="026A1FFB" w:rsidR="000F4B43" w:rsidRPr="00DA2BDF" w:rsidRDefault="000F4B43" w:rsidP="00DA2BDF">
      <w:pPr>
        <w:widowControl w:val="0"/>
        <w:numPr>
          <w:ilvl w:val="1"/>
          <w:numId w:val="1"/>
        </w:numPr>
        <w:spacing w:after="120"/>
        <w:rPr>
          <w:rFonts w:asciiTheme="minorHAnsi" w:hAnsiTheme="minorHAnsi" w:cstheme="minorHAnsi"/>
          <w:b/>
          <w:color w:val="0070C0"/>
          <w:lang w:val="en-GB"/>
        </w:rPr>
      </w:pPr>
      <w:r w:rsidRPr="007922DA">
        <w:rPr>
          <w:rFonts w:asciiTheme="minorHAnsi" w:hAnsiTheme="minorHAnsi" w:cstheme="minorHAnsi"/>
          <w:lang w:val="en-GB"/>
        </w:rPr>
        <w:t xml:space="preserve">The PBAC found that the criteria prescribed by the </w:t>
      </w:r>
      <w:r w:rsidRPr="007922DA">
        <w:rPr>
          <w:rFonts w:asciiTheme="minorHAnsi" w:hAnsiTheme="minorHAnsi" w:cstheme="minorHAnsi"/>
          <w:i/>
          <w:lang w:val="en-GB"/>
        </w:rPr>
        <w:t>National Health (Pharmaceuticals and Vaccines – Cost Recovery) Regulations 2022</w:t>
      </w:r>
      <w:r w:rsidRPr="007922DA">
        <w:rPr>
          <w:rFonts w:asciiTheme="minorHAnsi" w:hAnsiTheme="minorHAnsi" w:cstheme="minorHAnsi"/>
          <w:lang w:val="en-GB"/>
        </w:rPr>
        <w:t xml:space="preserve"> for Pricing Pathway A were not met. </w:t>
      </w:r>
      <w:r w:rsidR="00245033" w:rsidRPr="007922DA">
        <w:rPr>
          <w:rFonts w:asciiTheme="minorHAnsi" w:hAnsiTheme="minorHAnsi" w:cstheme="minorHAnsi"/>
          <w:lang w:val="en-GB"/>
        </w:rPr>
        <w:t>Specifically,</w:t>
      </w:r>
      <w:r w:rsidRPr="007922DA">
        <w:rPr>
          <w:rFonts w:asciiTheme="minorHAnsi" w:hAnsiTheme="minorHAnsi" w:cstheme="minorHAnsi"/>
          <w:lang w:val="en-GB"/>
        </w:rPr>
        <w:t xml:space="preserve"> the PBAC found that in the circumstances of its recommendation for </w:t>
      </w:r>
      <w:r w:rsidR="00DA2BDF" w:rsidRPr="007922DA">
        <w:rPr>
          <w:rFonts w:asciiTheme="minorHAnsi" w:hAnsiTheme="minorHAnsi" w:cstheme="minorHAnsi"/>
          <w:lang w:val="en-GB"/>
        </w:rPr>
        <w:t>evolocumab</w:t>
      </w:r>
      <w:r w:rsidRPr="007922DA">
        <w:rPr>
          <w:rFonts w:asciiTheme="minorHAnsi" w:hAnsiTheme="minorHAnsi" w:cstheme="minorHAnsi"/>
          <w:lang w:val="en-GB"/>
        </w:rPr>
        <w:t>:</w:t>
      </w:r>
    </w:p>
    <w:p w14:paraId="46878A3F" w14:textId="50189DAE" w:rsidR="000F4B43" w:rsidRPr="00DA2BDF" w:rsidRDefault="000F4B43" w:rsidP="00B82CBC">
      <w:pPr>
        <w:widowControl w:val="0"/>
        <w:numPr>
          <w:ilvl w:val="1"/>
          <w:numId w:val="29"/>
        </w:numPr>
        <w:spacing w:after="120"/>
        <w:ind w:left="1134" w:hanging="425"/>
        <w:rPr>
          <w:rFonts w:asciiTheme="minorHAnsi" w:hAnsiTheme="minorHAnsi" w:cstheme="minorHAnsi"/>
          <w:color w:val="0070C0"/>
          <w:lang w:val="en-GB"/>
        </w:rPr>
      </w:pPr>
      <w:r w:rsidRPr="007922DA">
        <w:rPr>
          <w:rFonts w:asciiTheme="minorHAnsi" w:hAnsiTheme="minorHAnsi" w:cstheme="minorHAnsi"/>
          <w:lang w:val="en-GB"/>
        </w:rPr>
        <w:t xml:space="preserve">The treatment is expected to provide a substantial and clinically relevant improvement in efficacy, over alternative therapies, on the basis of </w:t>
      </w:r>
      <w:r w:rsidR="007922DA" w:rsidRPr="007922DA">
        <w:rPr>
          <w:rFonts w:asciiTheme="minorHAnsi" w:hAnsiTheme="minorHAnsi" w:cstheme="minorHAnsi"/>
          <w:lang w:val="en-GB"/>
        </w:rPr>
        <w:t>approximately 60% reduction in LDL-C levels over the FOURIER trial duration</w:t>
      </w:r>
      <w:r w:rsidR="002A08A7">
        <w:rPr>
          <w:rFonts w:asciiTheme="minorHAnsi" w:hAnsiTheme="minorHAnsi" w:cstheme="minorHAnsi"/>
          <w:lang w:val="en-GB"/>
        </w:rPr>
        <w:t xml:space="preserve"> and </w:t>
      </w:r>
      <w:r w:rsidR="00223A29" w:rsidRPr="004D67A8">
        <w:t>decreased risk of myocardial infarction, coronary revascularisation and ischaemic stroke compared to placebo</w:t>
      </w:r>
      <w:r w:rsidRPr="007922DA">
        <w:rPr>
          <w:rFonts w:asciiTheme="minorHAnsi" w:hAnsiTheme="minorHAnsi" w:cstheme="minorHAnsi"/>
          <w:lang w:val="en-GB"/>
        </w:rPr>
        <w:t xml:space="preserve">; </w:t>
      </w:r>
    </w:p>
    <w:p w14:paraId="58CF68D4" w14:textId="06586026" w:rsidR="000F4B43" w:rsidRPr="007922DA" w:rsidRDefault="000F4B43" w:rsidP="00B82CBC">
      <w:pPr>
        <w:widowControl w:val="0"/>
        <w:numPr>
          <w:ilvl w:val="1"/>
          <w:numId w:val="29"/>
        </w:numPr>
        <w:spacing w:after="120"/>
        <w:ind w:left="1134" w:hanging="425"/>
        <w:rPr>
          <w:rFonts w:asciiTheme="minorHAnsi" w:hAnsiTheme="minorHAnsi" w:cstheme="minorHAnsi"/>
          <w:lang w:val="en-GB"/>
        </w:rPr>
      </w:pPr>
      <w:r w:rsidRPr="007922DA">
        <w:rPr>
          <w:rFonts w:asciiTheme="minorHAnsi" w:hAnsiTheme="minorHAnsi" w:cstheme="minorHAnsi"/>
          <w:lang w:val="en-GB"/>
        </w:rPr>
        <w:t xml:space="preserve">The treatment is not expected to address a high and urgent unmet clinical need </w:t>
      </w:r>
      <w:r w:rsidR="007922DA" w:rsidRPr="007922DA">
        <w:rPr>
          <w:rFonts w:asciiTheme="minorHAnsi" w:hAnsiTheme="minorHAnsi" w:cstheme="minorHAnsi"/>
          <w:lang w:val="en-GB"/>
        </w:rPr>
        <w:t>due to the existence of other therapies for this condition being available on the PBS</w:t>
      </w:r>
      <w:r w:rsidRPr="007922DA">
        <w:rPr>
          <w:rFonts w:asciiTheme="minorHAnsi" w:hAnsiTheme="minorHAnsi" w:cstheme="minorHAnsi"/>
          <w:lang w:val="en-GB"/>
        </w:rPr>
        <w:t>;</w:t>
      </w:r>
    </w:p>
    <w:p w14:paraId="48F960B0" w14:textId="4448ECDB" w:rsidR="000F4B43" w:rsidRPr="007922DA" w:rsidRDefault="000F4B43" w:rsidP="00B82CBC">
      <w:pPr>
        <w:widowControl w:val="0"/>
        <w:numPr>
          <w:ilvl w:val="1"/>
          <w:numId w:val="29"/>
        </w:numPr>
        <w:spacing w:after="120"/>
        <w:ind w:left="1134" w:hanging="425"/>
        <w:rPr>
          <w:rFonts w:asciiTheme="minorHAnsi" w:hAnsiTheme="minorHAnsi" w:cstheme="minorHAnsi"/>
          <w:lang w:val="en-GB"/>
        </w:rPr>
      </w:pPr>
      <w:r w:rsidRPr="007922DA">
        <w:rPr>
          <w:rFonts w:asciiTheme="minorHAnsi" w:hAnsiTheme="minorHAnsi" w:cstheme="minorHAnsi"/>
          <w:lang w:val="en-GB"/>
        </w:rPr>
        <w:t>It was not necessary to make a finding in relation to whether it would be in the public interest for the subsequent pricing application to be progressed under Pricing Pathway A because one or more of the preceding tests had failed</w:t>
      </w:r>
      <w:r w:rsidR="00DA2BDF" w:rsidRPr="007922DA">
        <w:rPr>
          <w:rFonts w:asciiTheme="minorHAnsi" w:hAnsiTheme="minorHAnsi" w:cstheme="minorHAnsi"/>
          <w:lang w:val="en-GB"/>
        </w:rPr>
        <w:t>.</w:t>
      </w:r>
    </w:p>
    <w:p w14:paraId="7F39584A" w14:textId="63B5B564" w:rsidR="000F4B43" w:rsidRPr="00DA2BDF" w:rsidRDefault="000F4B43" w:rsidP="00DA2BDF">
      <w:pPr>
        <w:widowControl w:val="0"/>
        <w:numPr>
          <w:ilvl w:val="1"/>
          <w:numId w:val="1"/>
        </w:numPr>
        <w:spacing w:after="120"/>
        <w:rPr>
          <w:rFonts w:asciiTheme="minorHAnsi" w:hAnsiTheme="minorHAnsi"/>
          <w:bCs/>
          <w:i/>
          <w:snapToGrid w:val="0"/>
          <w:color w:val="0070C0"/>
          <w:lang w:val="en-GB"/>
        </w:rPr>
      </w:pPr>
      <w:r w:rsidRPr="00DA2BDF">
        <w:rPr>
          <w:rFonts w:asciiTheme="minorHAnsi" w:hAnsiTheme="minorHAnsi"/>
          <w:bCs/>
          <w:snapToGrid w:val="0"/>
          <w:lang w:val="en-GB"/>
        </w:rPr>
        <w:t xml:space="preserve">The PBAC noted that this submission </w:t>
      </w:r>
      <w:r w:rsidR="00DA2BDF">
        <w:rPr>
          <w:rFonts w:asciiTheme="minorHAnsi" w:hAnsiTheme="minorHAnsi"/>
          <w:bCs/>
          <w:snapToGrid w:val="0"/>
          <w:lang w:val="en-GB"/>
        </w:rPr>
        <w:t>is</w:t>
      </w:r>
      <w:r w:rsidRPr="00DA2BDF">
        <w:rPr>
          <w:rFonts w:asciiTheme="minorHAnsi" w:hAnsiTheme="minorHAnsi"/>
          <w:bCs/>
          <w:snapToGrid w:val="0"/>
          <w:lang w:val="en-GB"/>
        </w:rPr>
        <w:t xml:space="preserve"> not eligible for an Independent Review</w:t>
      </w:r>
      <w:r w:rsidR="00DA2BDF">
        <w:rPr>
          <w:rFonts w:asciiTheme="minorHAnsi" w:hAnsiTheme="minorHAnsi"/>
          <w:bCs/>
          <w:snapToGrid w:val="0"/>
          <w:lang w:val="en-GB"/>
        </w:rPr>
        <w:t xml:space="preserve"> as it received a positive recommendation</w:t>
      </w:r>
      <w:r w:rsidRPr="00DA2BDF">
        <w:rPr>
          <w:rFonts w:asciiTheme="minorHAnsi" w:hAnsiTheme="minorHAnsi"/>
          <w:bCs/>
          <w:snapToGrid w:val="0"/>
          <w:lang w:val="en-GB"/>
        </w:rPr>
        <w:t xml:space="preserve">. </w:t>
      </w:r>
    </w:p>
    <w:p w14:paraId="651F346E" w14:textId="77777777" w:rsidR="000F4B43" w:rsidRPr="00525B39" w:rsidRDefault="000F4B43" w:rsidP="000F4B43">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792B5931" w14:textId="1558D02B" w:rsidR="000F4B43" w:rsidRPr="00525B39" w:rsidRDefault="000F4B43" w:rsidP="000F4B43">
      <w:pPr>
        <w:rPr>
          <w:rFonts w:asciiTheme="minorHAnsi" w:hAnsiTheme="minorHAnsi"/>
          <w:bCs/>
          <w:snapToGrid w:val="0"/>
          <w:lang w:val="en-GB"/>
        </w:rPr>
      </w:pPr>
      <w:r w:rsidRPr="00525B39">
        <w:rPr>
          <w:rFonts w:asciiTheme="minorHAnsi" w:hAnsiTheme="minorHAnsi"/>
          <w:bCs/>
          <w:snapToGrid w:val="0"/>
          <w:lang w:val="en-GB"/>
        </w:rPr>
        <w:t>Recommended</w:t>
      </w:r>
    </w:p>
    <w:bookmarkEnd w:id="72"/>
    <w:p w14:paraId="563D6B57" w14:textId="77777777" w:rsidR="000F4B43" w:rsidRPr="00F237A4" w:rsidRDefault="000F4B43" w:rsidP="00DA2BDF">
      <w:pPr>
        <w:pStyle w:val="2-SectionHeading"/>
        <w:numPr>
          <w:ilvl w:val="0"/>
          <w:numId w:val="1"/>
        </w:numPr>
        <w:rPr>
          <w:b w:val="0"/>
          <w:bCs/>
          <w:iCs/>
          <w:lang w:val="en-GB"/>
        </w:rPr>
      </w:pPr>
      <w:r w:rsidRPr="00525B39">
        <w:rPr>
          <w:bCs/>
          <w:lang w:val="en-GB"/>
        </w:rPr>
        <w:t>Recommended listing</w:t>
      </w:r>
    </w:p>
    <w:p w14:paraId="1DA7B0ED" w14:textId="718062A4" w:rsidR="000F4B43" w:rsidRPr="00525B39" w:rsidRDefault="000F4B43" w:rsidP="00736777">
      <w:pPr>
        <w:pStyle w:val="ExecSumBodyText"/>
      </w:pPr>
      <w:r w:rsidRPr="00525B39">
        <w:t>Amend existing listing</w:t>
      </w:r>
      <w:r w:rsidR="00736777">
        <w:t>s</w:t>
      </w:r>
      <w:r w:rsidRPr="00525B39">
        <w:t xml:space="preserve"> as follows:</w:t>
      </w:r>
    </w:p>
    <w:bookmarkStart w:id="74" w:name="_Hlk109392496"/>
    <w:bookmarkEnd w:id="73"/>
    <w:p w14:paraId="44F65E8D" w14:textId="4BE35FAE" w:rsidR="00736777" w:rsidRPr="00FF4735" w:rsidRDefault="00736777" w:rsidP="00736777">
      <w:pPr>
        <w:spacing w:before="240" w:after="120"/>
        <w:rPr>
          <w:rFonts w:asciiTheme="minorHAnsi" w:hAnsiTheme="minorHAnsi" w:cstheme="minorHAnsi"/>
          <w:i/>
          <w:iCs/>
        </w:rPr>
      </w:pPr>
      <w:r>
        <w:fldChar w:fldCharType="begin"/>
      </w:r>
      <w:r>
        <w:instrText xml:space="preserve"> HYPERLINK "https://www.pbs.gov.au/medicine/item/11484k" \o "11484k" </w:instrText>
      </w:r>
      <w:r>
        <w:fldChar w:fldCharType="separate"/>
      </w:r>
      <w:r w:rsidRPr="00FF4735">
        <w:rPr>
          <w:rFonts w:asciiTheme="minorHAnsi" w:hAnsiTheme="minorHAnsi" w:cstheme="minorHAnsi"/>
        </w:rPr>
        <w:t>11484K</w:t>
      </w:r>
      <w:r>
        <w:rPr>
          <w:rFonts w:asciiTheme="minorHAnsi" w:hAnsiTheme="minorHAnsi" w:cstheme="minorHAnsi"/>
        </w:rPr>
        <w:fldChar w:fldCharType="end"/>
      </w:r>
      <w:r w:rsidRPr="00FF4735">
        <w:rPr>
          <w:rFonts w:asciiTheme="minorHAnsi" w:hAnsiTheme="minorHAnsi" w:cstheme="minorHAnsi"/>
        </w:rPr>
        <w:t>, 11485L</w:t>
      </w:r>
      <w:r w:rsidRPr="00FF4735">
        <w:rPr>
          <w:rFonts w:asciiTheme="minorHAnsi" w:hAnsiTheme="minorHAnsi" w:cstheme="minorHAnsi"/>
          <w:i/>
          <w:iCs/>
        </w:rPr>
        <w:t xml:space="preserve"> Restriction Summary 11990 / ToC: 12008: Authority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935"/>
        <w:gridCol w:w="7082"/>
      </w:tblGrid>
      <w:tr w:rsidR="00736777" w:rsidRPr="00901810" w14:paraId="44EAEF92" w14:textId="77777777" w:rsidTr="00EB7F7C">
        <w:trPr>
          <w:trHeight w:val="20"/>
        </w:trPr>
        <w:tc>
          <w:tcPr>
            <w:tcW w:w="1935" w:type="dxa"/>
            <w:shd w:val="clear" w:color="auto" w:fill="auto"/>
            <w:tcMar>
              <w:top w:w="120" w:type="dxa"/>
              <w:left w:w="240" w:type="dxa"/>
              <w:bottom w:w="120" w:type="dxa"/>
              <w:right w:w="240" w:type="dxa"/>
            </w:tcMar>
            <w:hideMark/>
          </w:tcPr>
          <w:p w14:paraId="3A9613F3" w14:textId="77777777" w:rsidR="00736777" w:rsidRPr="00901810" w:rsidRDefault="00736777" w:rsidP="00EB7F7C">
            <w:pPr>
              <w:contextualSpacing/>
              <w:textAlignment w:val="baseline"/>
              <w:rPr>
                <w:rFonts w:ascii="Arial Narrow" w:hAnsi="Arial Narrow" w:cstheme="minorHAnsi"/>
                <w:color w:val="333333"/>
                <w:sz w:val="20"/>
                <w:szCs w:val="20"/>
              </w:rPr>
            </w:pPr>
            <w:r w:rsidRPr="00901810">
              <w:rPr>
                <w:rFonts w:ascii="Arial Narrow" w:hAnsi="Arial Narrow" w:cstheme="minorHAnsi"/>
                <w:color w:val="333333"/>
                <w:sz w:val="20"/>
                <w:szCs w:val="20"/>
              </w:rPr>
              <w:t>[25722]</w:t>
            </w:r>
          </w:p>
        </w:tc>
        <w:tc>
          <w:tcPr>
            <w:tcW w:w="0" w:type="auto"/>
            <w:shd w:val="clear" w:color="auto" w:fill="auto"/>
            <w:tcMar>
              <w:top w:w="120" w:type="dxa"/>
              <w:left w:w="240" w:type="dxa"/>
              <w:bottom w:w="120" w:type="dxa"/>
              <w:right w:w="240" w:type="dxa"/>
            </w:tcMar>
            <w:hideMark/>
          </w:tcPr>
          <w:p w14:paraId="2A882B1E" w14:textId="77777777" w:rsidR="00736777" w:rsidRPr="00901810" w:rsidRDefault="00736777" w:rsidP="00EB7F7C">
            <w:pPr>
              <w:contextualSpacing/>
              <w:textAlignment w:val="baseline"/>
              <w:rPr>
                <w:rFonts w:ascii="Arial Narrow" w:hAnsi="Arial Narrow" w:cstheme="minorHAnsi"/>
                <w:color w:val="333333"/>
                <w:sz w:val="20"/>
                <w:szCs w:val="20"/>
              </w:rPr>
            </w:pPr>
            <w:r w:rsidRPr="00901810">
              <w:rPr>
                <w:rFonts w:ascii="Arial Narrow" w:hAnsi="Arial Narrow" w:cstheme="minorHAnsi"/>
                <w:b/>
                <w:bCs/>
                <w:color w:val="333333"/>
                <w:sz w:val="20"/>
                <w:szCs w:val="20"/>
                <w:bdr w:val="none" w:sz="0" w:space="0" w:color="auto" w:frame="1"/>
              </w:rPr>
              <w:t>Clinical criteria:</w:t>
            </w:r>
          </w:p>
        </w:tc>
      </w:tr>
      <w:tr w:rsidR="00736777" w:rsidRPr="00901810" w14:paraId="65989430" w14:textId="77777777" w:rsidTr="00EB7F7C">
        <w:trPr>
          <w:trHeight w:val="20"/>
        </w:trPr>
        <w:tc>
          <w:tcPr>
            <w:tcW w:w="1935" w:type="dxa"/>
            <w:shd w:val="clear" w:color="auto" w:fill="auto"/>
            <w:tcMar>
              <w:top w:w="120" w:type="dxa"/>
              <w:left w:w="240" w:type="dxa"/>
              <w:bottom w:w="120" w:type="dxa"/>
              <w:right w:w="240" w:type="dxa"/>
            </w:tcMar>
            <w:hideMark/>
          </w:tcPr>
          <w:p w14:paraId="03F58D6F" w14:textId="56465FAB" w:rsidR="00736777" w:rsidRPr="00901810" w:rsidRDefault="00736777" w:rsidP="00EB7F7C">
            <w:pPr>
              <w:contextualSpacing/>
              <w:textAlignment w:val="baseline"/>
              <w:rPr>
                <w:rFonts w:ascii="Arial Narrow" w:hAnsi="Arial Narrow" w:cstheme="minorHAnsi"/>
                <w:color w:val="333333"/>
                <w:sz w:val="20"/>
                <w:szCs w:val="20"/>
              </w:rPr>
            </w:pPr>
            <w:r w:rsidRPr="00901810">
              <w:rPr>
                <w:rFonts w:ascii="Arial Narrow" w:hAnsi="Arial Narrow" w:cstheme="minorHAnsi"/>
                <w:color w:val="333333"/>
                <w:sz w:val="20"/>
                <w:szCs w:val="20"/>
              </w:rPr>
              <w:t>[25723]</w:t>
            </w:r>
          </w:p>
        </w:tc>
        <w:tc>
          <w:tcPr>
            <w:tcW w:w="0" w:type="auto"/>
            <w:shd w:val="clear" w:color="auto" w:fill="auto"/>
            <w:tcMar>
              <w:top w:w="120" w:type="dxa"/>
              <w:left w:w="240" w:type="dxa"/>
              <w:bottom w:w="120" w:type="dxa"/>
              <w:right w:w="240" w:type="dxa"/>
            </w:tcMar>
            <w:hideMark/>
          </w:tcPr>
          <w:p w14:paraId="7E3F832F" w14:textId="77777777" w:rsidR="00736777" w:rsidRPr="00901810" w:rsidRDefault="00736777" w:rsidP="00EB7F7C">
            <w:pPr>
              <w:contextualSpacing/>
              <w:rPr>
                <w:rFonts w:ascii="Arial Narrow" w:hAnsi="Arial Narrow" w:cstheme="minorHAnsi"/>
                <w:color w:val="333333"/>
                <w:sz w:val="20"/>
                <w:szCs w:val="20"/>
              </w:rPr>
            </w:pPr>
            <w:r w:rsidRPr="00901810">
              <w:rPr>
                <w:rFonts w:ascii="Arial Narrow" w:hAnsi="Arial Narrow" w:cstheme="minorHAnsi"/>
                <w:color w:val="333333"/>
                <w:sz w:val="20"/>
                <w:szCs w:val="20"/>
              </w:rPr>
              <w:t xml:space="preserve">Patient must have an LDL cholesterol level in excess of </w:t>
            </w:r>
            <w:r w:rsidRPr="00901810">
              <w:rPr>
                <w:rFonts w:ascii="Arial Narrow" w:hAnsi="Arial Narrow" w:cstheme="minorHAnsi"/>
                <w:strike/>
                <w:color w:val="333333"/>
                <w:sz w:val="20"/>
                <w:szCs w:val="20"/>
              </w:rPr>
              <w:t>2.6</w:t>
            </w:r>
            <w:r w:rsidRPr="00901810">
              <w:rPr>
                <w:rFonts w:ascii="Arial Narrow" w:hAnsi="Arial Narrow" w:cstheme="minorHAnsi"/>
                <w:color w:val="333333"/>
                <w:sz w:val="20"/>
                <w:szCs w:val="20"/>
              </w:rPr>
              <w:t xml:space="preserve"> </w:t>
            </w:r>
            <w:r w:rsidRPr="00901810">
              <w:rPr>
                <w:rFonts w:ascii="Arial Narrow" w:hAnsi="Arial Narrow" w:cstheme="minorHAnsi"/>
                <w:i/>
                <w:iCs/>
                <w:color w:val="333333"/>
                <w:sz w:val="20"/>
                <w:szCs w:val="20"/>
              </w:rPr>
              <w:t>1.8</w:t>
            </w:r>
            <w:r w:rsidRPr="00901810">
              <w:rPr>
                <w:rFonts w:ascii="Arial Narrow" w:hAnsi="Arial Narrow" w:cstheme="minorHAnsi"/>
                <w:color w:val="333333"/>
                <w:sz w:val="20"/>
                <w:szCs w:val="20"/>
              </w:rPr>
              <w:t xml:space="preserve"> millimoles per litre in the presence of symptomatic atherosclerotic cardiovascular disease; or</w:t>
            </w:r>
          </w:p>
        </w:tc>
      </w:tr>
    </w:tbl>
    <w:p w14:paraId="2979E7DB" w14:textId="6CDA6ACD" w:rsidR="00736777" w:rsidRPr="001E7AA4" w:rsidRDefault="00F35BF1" w:rsidP="00736777">
      <w:pPr>
        <w:spacing w:before="240" w:after="120"/>
        <w:rPr>
          <w:rFonts w:asciiTheme="minorHAnsi" w:hAnsiTheme="minorHAnsi" w:cstheme="minorHAnsi"/>
        </w:rPr>
      </w:pPr>
      <w:hyperlink r:id="rId10" w:tooltip="11484k" w:history="1">
        <w:r w:rsidR="00736777" w:rsidRPr="00901810">
          <w:rPr>
            <w:rFonts w:asciiTheme="minorHAnsi" w:hAnsiTheme="minorHAnsi" w:cstheme="minorHAnsi"/>
          </w:rPr>
          <w:t>11484K</w:t>
        </w:r>
      </w:hyperlink>
      <w:r w:rsidR="00736777" w:rsidRPr="00901810">
        <w:rPr>
          <w:rFonts w:asciiTheme="minorHAnsi" w:hAnsiTheme="minorHAnsi" w:cstheme="minorHAnsi"/>
        </w:rPr>
        <w:t xml:space="preserve">, 11485L </w:t>
      </w:r>
      <w:r w:rsidR="00736777" w:rsidRPr="001E7AA4">
        <w:rPr>
          <w:rFonts w:asciiTheme="minorHAnsi" w:hAnsiTheme="minorHAnsi" w:cstheme="minorHAnsi"/>
          <w:i/>
          <w:iCs/>
        </w:rPr>
        <w:t>Restriction Summary 11991 / ToC: 12012: Authority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F4F4"/>
        <w:tblCellMar>
          <w:left w:w="0" w:type="dxa"/>
          <w:right w:w="0" w:type="dxa"/>
        </w:tblCellMar>
        <w:tblLook w:val="04A0" w:firstRow="1" w:lastRow="0" w:firstColumn="1" w:lastColumn="0" w:noHBand="0" w:noVBand="1"/>
      </w:tblPr>
      <w:tblGrid>
        <w:gridCol w:w="1935"/>
        <w:gridCol w:w="7082"/>
      </w:tblGrid>
      <w:tr w:rsidR="00736777" w:rsidRPr="00901810" w14:paraId="34C9827F" w14:textId="77777777" w:rsidTr="00EB7F7C">
        <w:trPr>
          <w:trHeight w:val="225"/>
        </w:trPr>
        <w:tc>
          <w:tcPr>
            <w:tcW w:w="1935" w:type="dxa"/>
            <w:shd w:val="clear" w:color="auto" w:fill="auto"/>
            <w:tcMar>
              <w:top w:w="120" w:type="dxa"/>
              <w:left w:w="240" w:type="dxa"/>
              <w:bottom w:w="120" w:type="dxa"/>
              <w:right w:w="240" w:type="dxa"/>
            </w:tcMar>
            <w:hideMark/>
          </w:tcPr>
          <w:p w14:paraId="44C07E0C" w14:textId="77777777" w:rsidR="00736777" w:rsidRPr="00901810" w:rsidRDefault="00736777" w:rsidP="00EB7F7C">
            <w:pPr>
              <w:textAlignment w:val="baseline"/>
              <w:rPr>
                <w:rFonts w:ascii="Arial Narrow" w:hAnsi="Arial Narrow" w:cstheme="minorHAnsi"/>
                <w:color w:val="333333"/>
                <w:sz w:val="20"/>
                <w:szCs w:val="20"/>
              </w:rPr>
            </w:pPr>
            <w:r w:rsidRPr="00901810">
              <w:rPr>
                <w:rFonts w:ascii="Arial Narrow" w:hAnsi="Arial Narrow" w:cstheme="minorHAnsi"/>
                <w:color w:val="333333"/>
                <w:sz w:val="20"/>
                <w:szCs w:val="20"/>
              </w:rPr>
              <w:t>[25661]</w:t>
            </w:r>
          </w:p>
        </w:tc>
        <w:tc>
          <w:tcPr>
            <w:tcW w:w="0" w:type="auto"/>
            <w:shd w:val="clear" w:color="auto" w:fill="auto"/>
            <w:tcMar>
              <w:top w:w="120" w:type="dxa"/>
              <w:left w:w="240" w:type="dxa"/>
              <w:bottom w:w="120" w:type="dxa"/>
              <w:right w:w="240" w:type="dxa"/>
            </w:tcMar>
            <w:hideMark/>
          </w:tcPr>
          <w:p w14:paraId="27B062C2" w14:textId="77777777" w:rsidR="00736777" w:rsidRPr="00901810" w:rsidRDefault="00736777" w:rsidP="00EB7F7C">
            <w:pPr>
              <w:textAlignment w:val="baseline"/>
              <w:rPr>
                <w:rFonts w:ascii="Arial Narrow" w:hAnsi="Arial Narrow" w:cstheme="minorHAnsi"/>
                <w:b/>
                <w:bCs/>
                <w:color w:val="333333"/>
                <w:sz w:val="20"/>
                <w:szCs w:val="20"/>
              </w:rPr>
            </w:pPr>
            <w:r w:rsidRPr="00901810">
              <w:rPr>
                <w:rFonts w:ascii="Arial Narrow" w:hAnsi="Arial Narrow" w:cstheme="minorHAnsi"/>
                <w:b/>
                <w:bCs/>
                <w:color w:val="333333"/>
                <w:sz w:val="20"/>
                <w:szCs w:val="20"/>
              </w:rPr>
              <w:t>Clinical criteria:</w:t>
            </w:r>
          </w:p>
        </w:tc>
      </w:tr>
      <w:tr w:rsidR="00736777" w:rsidRPr="00901810" w14:paraId="279B28D8" w14:textId="77777777" w:rsidTr="00EB7F7C">
        <w:trPr>
          <w:trHeight w:val="239"/>
        </w:trPr>
        <w:tc>
          <w:tcPr>
            <w:tcW w:w="1935" w:type="dxa"/>
            <w:shd w:val="clear" w:color="auto" w:fill="auto"/>
            <w:tcMar>
              <w:top w:w="120" w:type="dxa"/>
              <w:left w:w="240" w:type="dxa"/>
              <w:bottom w:w="120" w:type="dxa"/>
              <w:right w:w="240" w:type="dxa"/>
            </w:tcMar>
            <w:hideMark/>
          </w:tcPr>
          <w:p w14:paraId="31A009B2" w14:textId="77777777" w:rsidR="00736777" w:rsidRPr="00901810" w:rsidRDefault="00736777" w:rsidP="00EB7F7C">
            <w:pPr>
              <w:textAlignment w:val="baseline"/>
              <w:rPr>
                <w:rFonts w:ascii="Arial Narrow" w:hAnsi="Arial Narrow" w:cstheme="minorHAnsi"/>
                <w:color w:val="333333"/>
                <w:sz w:val="20"/>
                <w:szCs w:val="20"/>
              </w:rPr>
            </w:pPr>
            <w:r w:rsidRPr="00901810">
              <w:rPr>
                <w:rFonts w:ascii="Arial Narrow" w:hAnsi="Arial Narrow" w:cstheme="minorHAnsi"/>
                <w:color w:val="333333"/>
                <w:sz w:val="20"/>
                <w:szCs w:val="20"/>
              </w:rPr>
              <w:lastRenderedPageBreak/>
              <w:t>[25660]</w:t>
            </w:r>
          </w:p>
        </w:tc>
        <w:tc>
          <w:tcPr>
            <w:tcW w:w="0" w:type="auto"/>
            <w:shd w:val="clear" w:color="auto" w:fill="auto"/>
            <w:tcMar>
              <w:top w:w="120" w:type="dxa"/>
              <w:left w:w="240" w:type="dxa"/>
              <w:bottom w:w="120" w:type="dxa"/>
              <w:right w:w="240" w:type="dxa"/>
            </w:tcMar>
            <w:hideMark/>
          </w:tcPr>
          <w:p w14:paraId="63A0B70C" w14:textId="77777777" w:rsidR="00736777" w:rsidRPr="00901810" w:rsidRDefault="00736777" w:rsidP="00EB7F7C">
            <w:pPr>
              <w:textAlignment w:val="baseline"/>
              <w:rPr>
                <w:rFonts w:ascii="Arial Narrow" w:hAnsi="Arial Narrow" w:cstheme="minorHAnsi"/>
                <w:color w:val="333333"/>
                <w:sz w:val="20"/>
                <w:szCs w:val="20"/>
              </w:rPr>
            </w:pPr>
            <w:r w:rsidRPr="00901810">
              <w:rPr>
                <w:rFonts w:ascii="Arial Narrow" w:hAnsi="Arial Narrow" w:cstheme="minorHAnsi"/>
                <w:color w:val="333333"/>
                <w:sz w:val="20"/>
                <w:szCs w:val="20"/>
              </w:rPr>
              <w:t xml:space="preserve">Patient must have an LDL cholesterol level in excess of </w:t>
            </w:r>
            <w:r w:rsidRPr="00901810">
              <w:rPr>
                <w:rFonts w:ascii="Arial Narrow" w:hAnsi="Arial Narrow" w:cstheme="minorHAnsi"/>
                <w:strike/>
                <w:color w:val="333333"/>
                <w:sz w:val="20"/>
                <w:szCs w:val="20"/>
              </w:rPr>
              <w:t>2.6</w:t>
            </w:r>
            <w:r w:rsidRPr="00901810">
              <w:rPr>
                <w:rFonts w:ascii="Arial Narrow" w:hAnsi="Arial Narrow" w:cstheme="minorHAnsi"/>
                <w:color w:val="333333"/>
                <w:sz w:val="20"/>
                <w:szCs w:val="20"/>
              </w:rPr>
              <w:t xml:space="preserve"> </w:t>
            </w:r>
            <w:r w:rsidRPr="00901810">
              <w:rPr>
                <w:rFonts w:ascii="Arial Narrow" w:hAnsi="Arial Narrow" w:cstheme="minorHAnsi"/>
                <w:i/>
                <w:iCs/>
                <w:color w:val="333333"/>
                <w:sz w:val="20"/>
                <w:szCs w:val="20"/>
              </w:rPr>
              <w:t>1.8</w:t>
            </w:r>
            <w:r w:rsidRPr="00901810">
              <w:rPr>
                <w:rFonts w:ascii="Arial Narrow" w:hAnsi="Arial Narrow" w:cstheme="minorHAnsi"/>
                <w:color w:val="333333"/>
                <w:sz w:val="20"/>
                <w:szCs w:val="20"/>
              </w:rPr>
              <w:t xml:space="preserve"> millimoles per litre</w:t>
            </w:r>
          </w:p>
        </w:tc>
      </w:tr>
    </w:tbl>
    <w:p w14:paraId="067AA603" w14:textId="45822BBC" w:rsidR="00736777" w:rsidRPr="001E7AA4" w:rsidRDefault="00F35BF1" w:rsidP="00736777">
      <w:pPr>
        <w:spacing w:before="240" w:after="120"/>
        <w:rPr>
          <w:rFonts w:asciiTheme="minorHAnsi" w:hAnsiTheme="minorHAnsi" w:cstheme="minorHAnsi"/>
        </w:rPr>
      </w:pPr>
      <w:hyperlink r:id="rId11" w:tooltip="10958r" w:history="1">
        <w:r w:rsidR="00736777" w:rsidRPr="00901810">
          <w:rPr>
            <w:rFonts w:asciiTheme="minorHAnsi" w:hAnsiTheme="minorHAnsi" w:cstheme="minorHAnsi"/>
          </w:rPr>
          <w:t>10958R</w:t>
        </w:r>
      </w:hyperlink>
      <w:r w:rsidR="00736777" w:rsidRPr="00901810">
        <w:rPr>
          <w:rFonts w:asciiTheme="minorHAnsi" w:hAnsiTheme="minorHAnsi" w:cstheme="minorHAnsi"/>
        </w:rPr>
        <w:t xml:space="preserve">, </w:t>
      </w:r>
      <w:hyperlink r:id="rId12" w:tooltip="11193d" w:history="1">
        <w:r w:rsidR="00736777" w:rsidRPr="00901810">
          <w:rPr>
            <w:rFonts w:asciiTheme="minorHAnsi" w:hAnsiTheme="minorHAnsi" w:cstheme="minorHAnsi"/>
          </w:rPr>
          <w:t>11193D</w:t>
        </w:r>
      </w:hyperlink>
      <w:r w:rsidR="00736777" w:rsidRPr="00901810">
        <w:rPr>
          <w:rFonts w:asciiTheme="minorHAnsi" w:hAnsiTheme="minorHAnsi" w:cstheme="minorHAnsi"/>
        </w:rPr>
        <w:t xml:space="preserve"> </w:t>
      </w:r>
      <w:r w:rsidR="00736777" w:rsidRPr="001E7AA4">
        <w:rPr>
          <w:rFonts w:asciiTheme="minorHAnsi" w:hAnsiTheme="minorHAnsi" w:cstheme="minorHAnsi"/>
          <w:i/>
          <w:iCs/>
        </w:rPr>
        <w:t>Restriction Summary 12030 / ToC: 10380: Authority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F4F4"/>
        <w:tblCellMar>
          <w:left w:w="0" w:type="dxa"/>
          <w:right w:w="0" w:type="dxa"/>
        </w:tblCellMar>
        <w:tblLook w:val="04A0" w:firstRow="1" w:lastRow="0" w:firstColumn="1" w:lastColumn="0" w:noHBand="0" w:noVBand="1"/>
      </w:tblPr>
      <w:tblGrid>
        <w:gridCol w:w="1935"/>
        <w:gridCol w:w="7082"/>
      </w:tblGrid>
      <w:tr w:rsidR="00736777" w:rsidRPr="00901810" w14:paraId="0C4BBDFA" w14:textId="77777777" w:rsidTr="00EB7F7C">
        <w:trPr>
          <w:trHeight w:val="225"/>
        </w:trPr>
        <w:tc>
          <w:tcPr>
            <w:tcW w:w="1935" w:type="dxa"/>
            <w:shd w:val="clear" w:color="auto" w:fill="auto"/>
            <w:tcMar>
              <w:top w:w="120" w:type="dxa"/>
              <w:left w:w="240" w:type="dxa"/>
              <w:bottom w:w="120" w:type="dxa"/>
              <w:right w:w="240" w:type="dxa"/>
            </w:tcMar>
            <w:hideMark/>
          </w:tcPr>
          <w:p w14:paraId="2A3F75C4" w14:textId="77777777" w:rsidR="00736777" w:rsidRPr="00901810" w:rsidRDefault="00736777" w:rsidP="00EB7F7C">
            <w:pPr>
              <w:textAlignment w:val="baseline"/>
              <w:rPr>
                <w:rFonts w:ascii="Arial Narrow" w:hAnsi="Arial Narrow" w:cstheme="minorHAnsi"/>
                <w:color w:val="333333"/>
                <w:sz w:val="20"/>
                <w:szCs w:val="20"/>
              </w:rPr>
            </w:pPr>
            <w:r w:rsidRPr="00901810">
              <w:rPr>
                <w:rFonts w:ascii="Arial Narrow" w:hAnsi="Arial Narrow" w:cstheme="minorHAnsi"/>
                <w:color w:val="333333"/>
                <w:sz w:val="20"/>
                <w:szCs w:val="20"/>
              </w:rPr>
              <w:t>[25661]</w:t>
            </w:r>
          </w:p>
        </w:tc>
        <w:tc>
          <w:tcPr>
            <w:tcW w:w="0" w:type="auto"/>
            <w:shd w:val="clear" w:color="auto" w:fill="auto"/>
            <w:tcMar>
              <w:top w:w="120" w:type="dxa"/>
              <w:left w:w="240" w:type="dxa"/>
              <w:bottom w:w="120" w:type="dxa"/>
              <w:right w:w="240" w:type="dxa"/>
            </w:tcMar>
            <w:hideMark/>
          </w:tcPr>
          <w:p w14:paraId="5F95AE47" w14:textId="77777777" w:rsidR="00736777" w:rsidRPr="00901810" w:rsidRDefault="00736777" w:rsidP="00EB7F7C">
            <w:pPr>
              <w:textAlignment w:val="baseline"/>
              <w:rPr>
                <w:rFonts w:ascii="Arial Narrow" w:hAnsi="Arial Narrow" w:cstheme="minorHAnsi"/>
                <w:b/>
                <w:bCs/>
                <w:color w:val="333333"/>
                <w:sz w:val="20"/>
                <w:szCs w:val="20"/>
              </w:rPr>
            </w:pPr>
            <w:r w:rsidRPr="00901810">
              <w:rPr>
                <w:rFonts w:ascii="Arial Narrow" w:hAnsi="Arial Narrow" w:cstheme="minorHAnsi"/>
                <w:b/>
                <w:bCs/>
                <w:color w:val="333333"/>
                <w:sz w:val="20"/>
                <w:szCs w:val="20"/>
              </w:rPr>
              <w:t>Clinical criteria:</w:t>
            </w:r>
          </w:p>
        </w:tc>
      </w:tr>
      <w:tr w:rsidR="00736777" w:rsidRPr="00901810" w14:paraId="25A789BF" w14:textId="77777777" w:rsidTr="00EB7F7C">
        <w:trPr>
          <w:trHeight w:val="239"/>
        </w:trPr>
        <w:tc>
          <w:tcPr>
            <w:tcW w:w="1935" w:type="dxa"/>
            <w:shd w:val="clear" w:color="auto" w:fill="auto"/>
            <w:tcMar>
              <w:top w:w="120" w:type="dxa"/>
              <w:left w:w="240" w:type="dxa"/>
              <w:bottom w:w="120" w:type="dxa"/>
              <w:right w:w="240" w:type="dxa"/>
            </w:tcMar>
            <w:hideMark/>
          </w:tcPr>
          <w:p w14:paraId="50C3CDAD" w14:textId="77777777" w:rsidR="00736777" w:rsidRPr="00901810" w:rsidRDefault="00736777" w:rsidP="00EB7F7C">
            <w:pPr>
              <w:textAlignment w:val="baseline"/>
              <w:rPr>
                <w:rFonts w:ascii="Arial Narrow" w:hAnsi="Arial Narrow" w:cstheme="minorHAnsi"/>
                <w:color w:val="333333"/>
                <w:sz w:val="20"/>
                <w:szCs w:val="20"/>
              </w:rPr>
            </w:pPr>
            <w:r w:rsidRPr="00901810">
              <w:rPr>
                <w:rFonts w:ascii="Arial Narrow" w:hAnsi="Arial Narrow" w:cstheme="minorHAnsi"/>
                <w:color w:val="333333"/>
                <w:sz w:val="20"/>
                <w:szCs w:val="20"/>
              </w:rPr>
              <w:t>[25660]</w:t>
            </w:r>
          </w:p>
        </w:tc>
        <w:tc>
          <w:tcPr>
            <w:tcW w:w="0" w:type="auto"/>
            <w:shd w:val="clear" w:color="auto" w:fill="auto"/>
            <w:tcMar>
              <w:top w:w="120" w:type="dxa"/>
              <w:left w:w="240" w:type="dxa"/>
              <w:bottom w:w="120" w:type="dxa"/>
              <w:right w:w="240" w:type="dxa"/>
            </w:tcMar>
            <w:hideMark/>
          </w:tcPr>
          <w:p w14:paraId="02B645FC" w14:textId="77777777" w:rsidR="00736777" w:rsidRPr="00901810" w:rsidRDefault="00736777" w:rsidP="00EB7F7C">
            <w:pPr>
              <w:textAlignment w:val="baseline"/>
              <w:rPr>
                <w:rFonts w:ascii="Arial Narrow" w:hAnsi="Arial Narrow" w:cstheme="minorHAnsi"/>
                <w:color w:val="333333"/>
                <w:sz w:val="20"/>
                <w:szCs w:val="20"/>
              </w:rPr>
            </w:pPr>
            <w:r w:rsidRPr="00901810">
              <w:rPr>
                <w:rFonts w:ascii="Arial Narrow" w:hAnsi="Arial Narrow" w:cstheme="minorHAnsi"/>
                <w:color w:val="333333"/>
                <w:sz w:val="20"/>
                <w:szCs w:val="20"/>
              </w:rPr>
              <w:t xml:space="preserve">Patient must have an LDL cholesterol level in excess of </w:t>
            </w:r>
            <w:r w:rsidRPr="00901810">
              <w:rPr>
                <w:rFonts w:ascii="Arial Narrow" w:hAnsi="Arial Narrow" w:cstheme="minorHAnsi"/>
                <w:strike/>
                <w:color w:val="333333"/>
                <w:sz w:val="20"/>
                <w:szCs w:val="20"/>
              </w:rPr>
              <w:t>2.6</w:t>
            </w:r>
            <w:r w:rsidRPr="00901810">
              <w:rPr>
                <w:rFonts w:ascii="Arial Narrow" w:hAnsi="Arial Narrow" w:cstheme="minorHAnsi"/>
                <w:color w:val="333333"/>
                <w:sz w:val="20"/>
                <w:szCs w:val="20"/>
              </w:rPr>
              <w:t xml:space="preserve"> </w:t>
            </w:r>
            <w:r w:rsidRPr="00901810">
              <w:rPr>
                <w:rFonts w:ascii="Arial Narrow" w:hAnsi="Arial Narrow" w:cstheme="minorHAnsi"/>
                <w:i/>
                <w:iCs/>
                <w:color w:val="333333"/>
                <w:sz w:val="20"/>
                <w:szCs w:val="20"/>
              </w:rPr>
              <w:t>1.8</w:t>
            </w:r>
            <w:r w:rsidRPr="00901810">
              <w:rPr>
                <w:rFonts w:ascii="Arial Narrow" w:hAnsi="Arial Narrow" w:cstheme="minorHAnsi"/>
                <w:color w:val="333333"/>
                <w:sz w:val="20"/>
                <w:szCs w:val="20"/>
              </w:rPr>
              <w:t xml:space="preserve"> millimoles per litre</w:t>
            </w:r>
          </w:p>
        </w:tc>
      </w:tr>
    </w:tbl>
    <w:p w14:paraId="275C3CE2" w14:textId="77777777" w:rsidR="00736777" w:rsidRDefault="00736777" w:rsidP="00736777">
      <w:pPr>
        <w:spacing w:before="240" w:after="120"/>
        <w:rPr>
          <w:rFonts w:asciiTheme="minorHAnsi" w:hAnsiTheme="minorHAnsi" w:cstheme="minorHAnsi"/>
        </w:rPr>
      </w:pPr>
      <w:r>
        <w:rPr>
          <w:rFonts w:asciiTheme="minorHAnsi" w:hAnsiTheme="minorHAnsi" w:cstheme="minorHAnsi"/>
        </w:rPr>
        <w:t>On all of the above prescribing rules: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F4F4"/>
        <w:tblCellMar>
          <w:left w:w="0" w:type="dxa"/>
          <w:right w:w="0" w:type="dxa"/>
        </w:tblCellMar>
        <w:tblLook w:val="04A0" w:firstRow="1" w:lastRow="0" w:firstColumn="1" w:lastColumn="0" w:noHBand="0" w:noVBand="1"/>
      </w:tblPr>
      <w:tblGrid>
        <w:gridCol w:w="1935"/>
        <w:gridCol w:w="7082"/>
      </w:tblGrid>
      <w:tr w:rsidR="00736777" w:rsidRPr="00901810" w14:paraId="30791B85" w14:textId="77777777" w:rsidTr="00EB7F7C">
        <w:trPr>
          <w:trHeight w:val="225"/>
        </w:trPr>
        <w:tc>
          <w:tcPr>
            <w:tcW w:w="1935" w:type="dxa"/>
            <w:shd w:val="clear" w:color="auto" w:fill="auto"/>
            <w:tcMar>
              <w:top w:w="120" w:type="dxa"/>
              <w:left w:w="240" w:type="dxa"/>
              <w:bottom w:w="120" w:type="dxa"/>
              <w:right w:w="240" w:type="dxa"/>
            </w:tcMar>
            <w:hideMark/>
          </w:tcPr>
          <w:p w14:paraId="18986213" w14:textId="77777777" w:rsidR="00736777" w:rsidRPr="00901810" w:rsidRDefault="00736777" w:rsidP="00EB7F7C">
            <w:pPr>
              <w:textAlignment w:val="baseline"/>
              <w:rPr>
                <w:rFonts w:ascii="Arial Narrow" w:hAnsi="Arial Narrow" w:cstheme="minorHAnsi"/>
                <w:color w:val="333333"/>
                <w:sz w:val="20"/>
                <w:szCs w:val="20"/>
              </w:rPr>
            </w:pPr>
            <w:r w:rsidRPr="00901810">
              <w:rPr>
                <w:rFonts w:ascii="Arial Narrow" w:hAnsi="Arial Narrow" w:cstheme="minorHAnsi"/>
                <w:color w:val="333333"/>
                <w:sz w:val="20"/>
                <w:szCs w:val="20"/>
              </w:rPr>
              <w:t>[2</w:t>
            </w:r>
            <w:r>
              <w:rPr>
                <w:rFonts w:ascii="Arial Narrow" w:hAnsi="Arial Narrow" w:cstheme="minorHAnsi"/>
                <w:color w:val="333333"/>
                <w:sz w:val="20"/>
                <w:szCs w:val="20"/>
              </w:rPr>
              <w:t>2846]</w:t>
            </w:r>
          </w:p>
        </w:tc>
        <w:tc>
          <w:tcPr>
            <w:tcW w:w="0" w:type="auto"/>
            <w:shd w:val="clear" w:color="auto" w:fill="auto"/>
            <w:tcMar>
              <w:top w:w="120" w:type="dxa"/>
              <w:left w:w="240" w:type="dxa"/>
              <w:bottom w:w="120" w:type="dxa"/>
              <w:right w:w="240" w:type="dxa"/>
            </w:tcMar>
            <w:hideMark/>
          </w:tcPr>
          <w:p w14:paraId="28F740AE" w14:textId="77777777" w:rsidR="00736777" w:rsidRPr="00901810" w:rsidRDefault="00736777" w:rsidP="00EB7F7C">
            <w:pPr>
              <w:textAlignment w:val="baseline"/>
              <w:rPr>
                <w:rFonts w:ascii="Arial Narrow" w:hAnsi="Arial Narrow" w:cstheme="minorHAnsi"/>
                <w:b/>
                <w:bCs/>
                <w:color w:val="333333"/>
                <w:sz w:val="20"/>
                <w:szCs w:val="20"/>
              </w:rPr>
            </w:pPr>
            <w:r>
              <w:rPr>
                <w:rFonts w:ascii="Arial Narrow" w:hAnsi="Arial Narrow" w:cstheme="minorHAnsi"/>
                <w:b/>
                <w:bCs/>
                <w:color w:val="333333"/>
                <w:sz w:val="20"/>
                <w:szCs w:val="20"/>
              </w:rPr>
              <w:t>Treatment criteria</w:t>
            </w:r>
            <w:r w:rsidRPr="00901810">
              <w:rPr>
                <w:rFonts w:ascii="Arial Narrow" w:hAnsi="Arial Narrow" w:cstheme="minorHAnsi"/>
                <w:b/>
                <w:bCs/>
                <w:color w:val="333333"/>
                <w:sz w:val="20"/>
                <w:szCs w:val="20"/>
              </w:rPr>
              <w:t>:</w:t>
            </w:r>
          </w:p>
        </w:tc>
      </w:tr>
      <w:tr w:rsidR="00736777" w:rsidRPr="00901810" w14:paraId="2DB2F568" w14:textId="77777777" w:rsidTr="00EB7F7C">
        <w:trPr>
          <w:trHeight w:val="239"/>
        </w:trPr>
        <w:tc>
          <w:tcPr>
            <w:tcW w:w="1935" w:type="dxa"/>
            <w:shd w:val="clear" w:color="auto" w:fill="auto"/>
            <w:tcMar>
              <w:top w:w="120" w:type="dxa"/>
              <w:left w:w="240" w:type="dxa"/>
              <w:bottom w:w="120" w:type="dxa"/>
              <w:right w:w="240" w:type="dxa"/>
            </w:tcMar>
            <w:hideMark/>
          </w:tcPr>
          <w:p w14:paraId="31217BA8" w14:textId="77777777" w:rsidR="00736777" w:rsidRPr="00901810" w:rsidRDefault="00736777" w:rsidP="00EB7F7C">
            <w:pPr>
              <w:textAlignment w:val="baseline"/>
              <w:rPr>
                <w:rFonts w:ascii="Arial Narrow" w:hAnsi="Arial Narrow" w:cstheme="minorHAnsi"/>
                <w:color w:val="333333"/>
                <w:sz w:val="20"/>
                <w:szCs w:val="20"/>
              </w:rPr>
            </w:pPr>
            <w:r w:rsidRPr="00901810">
              <w:rPr>
                <w:rFonts w:ascii="Arial Narrow" w:hAnsi="Arial Narrow" w:cstheme="minorHAnsi"/>
                <w:color w:val="333333"/>
                <w:sz w:val="20"/>
                <w:szCs w:val="20"/>
              </w:rPr>
              <w:t>[</w:t>
            </w:r>
            <w:r>
              <w:rPr>
                <w:rFonts w:ascii="Arial Narrow" w:hAnsi="Arial Narrow" w:cstheme="minorHAnsi"/>
                <w:color w:val="333333"/>
                <w:sz w:val="20"/>
                <w:szCs w:val="20"/>
              </w:rPr>
              <w:t>22845]</w:t>
            </w:r>
          </w:p>
        </w:tc>
        <w:tc>
          <w:tcPr>
            <w:tcW w:w="0" w:type="auto"/>
            <w:shd w:val="clear" w:color="auto" w:fill="auto"/>
            <w:tcMar>
              <w:top w:w="120" w:type="dxa"/>
              <w:left w:w="240" w:type="dxa"/>
              <w:bottom w:w="120" w:type="dxa"/>
              <w:right w:w="240" w:type="dxa"/>
            </w:tcMar>
            <w:hideMark/>
          </w:tcPr>
          <w:p w14:paraId="6C91BAAA" w14:textId="77777777" w:rsidR="00736777" w:rsidRPr="00901810" w:rsidRDefault="00736777" w:rsidP="00EB7F7C">
            <w:pPr>
              <w:textAlignment w:val="baseline"/>
              <w:rPr>
                <w:rFonts w:ascii="Arial Narrow" w:hAnsi="Arial Narrow" w:cstheme="minorHAnsi"/>
                <w:color w:val="333333"/>
                <w:sz w:val="20"/>
                <w:szCs w:val="20"/>
              </w:rPr>
            </w:pPr>
            <w:r w:rsidRPr="00901810">
              <w:rPr>
                <w:rFonts w:ascii="Arial Narrow" w:hAnsi="Arial Narrow" w:cstheme="minorHAnsi"/>
                <w:color w:val="333333"/>
                <w:sz w:val="20"/>
                <w:szCs w:val="20"/>
              </w:rPr>
              <w:t xml:space="preserve">Must be treated by </w:t>
            </w:r>
            <w:r>
              <w:rPr>
                <w:rFonts w:ascii="Arial Narrow" w:hAnsi="Arial Narrow" w:cstheme="minorHAnsi"/>
                <w:i/>
                <w:iCs/>
                <w:color w:val="333333"/>
                <w:sz w:val="20"/>
                <w:szCs w:val="20"/>
              </w:rPr>
              <w:t xml:space="preserve">or in consultation with </w:t>
            </w:r>
            <w:r w:rsidRPr="00901810">
              <w:rPr>
                <w:rFonts w:ascii="Arial Narrow" w:hAnsi="Arial Narrow" w:cstheme="minorHAnsi"/>
                <w:color w:val="333333"/>
                <w:sz w:val="20"/>
                <w:szCs w:val="20"/>
              </w:rPr>
              <w:t>a specialist physician</w:t>
            </w:r>
          </w:p>
        </w:tc>
      </w:tr>
      <w:bookmarkEnd w:id="74"/>
    </w:tbl>
    <w:p w14:paraId="10CCFF8A" w14:textId="77777777" w:rsidR="00BE7CCB" w:rsidRDefault="00BE7CCB" w:rsidP="00736777">
      <w:pPr>
        <w:spacing w:after="120"/>
        <w:rPr>
          <w:rFonts w:asciiTheme="minorHAnsi" w:hAnsiTheme="minorHAnsi" w:cstheme="minorHAnsi"/>
        </w:rPr>
      </w:pPr>
    </w:p>
    <w:p w14:paraId="7EC79862" w14:textId="77777777" w:rsidR="00553B84" w:rsidRDefault="00553B84" w:rsidP="00553B84">
      <w:pPr>
        <w:pStyle w:val="ExecSumBodyText"/>
        <w:numPr>
          <w:ilvl w:val="1"/>
          <w:numId w:val="1"/>
        </w:numPr>
      </w:pPr>
      <w:r>
        <w:t>Add grandfathering phase listings to evolocumab as</w:t>
      </w:r>
      <w:r w:rsidRPr="00525B39">
        <w:t xml:space="preserve">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0"/>
        <w:gridCol w:w="2668"/>
        <w:gridCol w:w="811"/>
        <w:gridCol w:w="812"/>
        <w:gridCol w:w="811"/>
        <w:gridCol w:w="812"/>
        <w:gridCol w:w="1831"/>
      </w:tblGrid>
      <w:tr w:rsidR="00553B84" w:rsidRPr="00BC038A" w14:paraId="113377D9" w14:textId="77777777" w:rsidTr="00553B84">
        <w:trPr>
          <w:trHeight w:val="20"/>
        </w:trPr>
        <w:tc>
          <w:tcPr>
            <w:tcW w:w="3937" w:type="dxa"/>
            <w:gridSpan w:val="2"/>
            <w:vAlign w:val="center"/>
          </w:tcPr>
          <w:p w14:paraId="4A2DD958" w14:textId="77777777" w:rsidR="00553B84" w:rsidRPr="00BC038A" w:rsidRDefault="00553B84" w:rsidP="00553B84">
            <w:pPr>
              <w:keepLines/>
              <w:jc w:val="left"/>
              <w:rPr>
                <w:rFonts w:ascii="Arial Narrow" w:hAnsi="Arial Narrow"/>
                <w:b/>
                <w:bCs/>
                <w:sz w:val="20"/>
                <w:szCs w:val="20"/>
              </w:rPr>
            </w:pPr>
            <w:r w:rsidRPr="00BC038A">
              <w:rPr>
                <w:rFonts w:ascii="Arial Narrow" w:hAnsi="Arial Narrow"/>
                <w:b/>
                <w:bCs/>
                <w:sz w:val="20"/>
                <w:szCs w:val="20"/>
              </w:rPr>
              <w:t>MEDICINAL PRODUCT</w:t>
            </w:r>
          </w:p>
          <w:p w14:paraId="5BF7D49E" w14:textId="77777777" w:rsidR="00553B84" w:rsidRPr="00BC038A" w:rsidRDefault="00553B84" w:rsidP="00553B84">
            <w:pPr>
              <w:keepLines/>
              <w:jc w:val="left"/>
              <w:rPr>
                <w:rFonts w:ascii="Arial Narrow" w:hAnsi="Arial Narrow"/>
                <w:b/>
                <w:sz w:val="20"/>
                <w:szCs w:val="20"/>
              </w:rPr>
            </w:pPr>
            <w:r w:rsidRPr="00BC038A">
              <w:rPr>
                <w:rFonts w:ascii="Arial Narrow" w:hAnsi="Arial Narrow"/>
                <w:b/>
                <w:bCs/>
                <w:sz w:val="20"/>
                <w:szCs w:val="20"/>
              </w:rPr>
              <w:t>medicinal product pack</w:t>
            </w:r>
          </w:p>
        </w:tc>
        <w:tc>
          <w:tcPr>
            <w:tcW w:w="811" w:type="dxa"/>
            <w:vAlign w:val="center"/>
          </w:tcPr>
          <w:p w14:paraId="4DA48E75" w14:textId="77777777" w:rsidR="00553B84" w:rsidRPr="00BC038A" w:rsidRDefault="00553B84" w:rsidP="00553B84">
            <w:pPr>
              <w:keepLines/>
              <w:jc w:val="left"/>
              <w:rPr>
                <w:rFonts w:ascii="Arial Narrow" w:hAnsi="Arial Narrow"/>
                <w:b/>
                <w:sz w:val="20"/>
                <w:szCs w:val="20"/>
              </w:rPr>
            </w:pPr>
            <w:r w:rsidRPr="00BC038A">
              <w:rPr>
                <w:rFonts w:ascii="Arial Narrow" w:hAnsi="Arial Narrow"/>
                <w:b/>
                <w:sz w:val="20"/>
                <w:szCs w:val="20"/>
              </w:rPr>
              <w:t>PBS item code</w:t>
            </w:r>
          </w:p>
        </w:tc>
        <w:tc>
          <w:tcPr>
            <w:tcW w:w="812" w:type="dxa"/>
            <w:vAlign w:val="center"/>
          </w:tcPr>
          <w:p w14:paraId="3CFA0F46" w14:textId="77777777" w:rsidR="00553B84" w:rsidRPr="00BC038A" w:rsidRDefault="00553B84" w:rsidP="00553B84">
            <w:pPr>
              <w:keepLines/>
              <w:jc w:val="left"/>
              <w:rPr>
                <w:rFonts w:ascii="Arial Narrow" w:hAnsi="Arial Narrow"/>
                <w:b/>
                <w:sz w:val="20"/>
                <w:szCs w:val="20"/>
              </w:rPr>
            </w:pPr>
            <w:r w:rsidRPr="00BC038A">
              <w:rPr>
                <w:rFonts w:ascii="Arial Narrow" w:hAnsi="Arial Narrow"/>
                <w:b/>
                <w:sz w:val="20"/>
                <w:szCs w:val="20"/>
              </w:rPr>
              <w:t>Max. qty packs</w:t>
            </w:r>
          </w:p>
        </w:tc>
        <w:tc>
          <w:tcPr>
            <w:tcW w:w="811" w:type="dxa"/>
            <w:vAlign w:val="center"/>
          </w:tcPr>
          <w:p w14:paraId="6028B211" w14:textId="77777777" w:rsidR="00553B84" w:rsidRPr="00BC038A" w:rsidRDefault="00553B84" w:rsidP="00553B84">
            <w:pPr>
              <w:keepLines/>
              <w:jc w:val="left"/>
              <w:rPr>
                <w:rFonts w:ascii="Arial Narrow" w:hAnsi="Arial Narrow"/>
                <w:b/>
                <w:sz w:val="20"/>
                <w:szCs w:val="20"/>
              </w:rPr>
            </w:pPr>
            <w:r w:rsidRPr="00BC038A">
              <w:rPr>
                <w:rFonts w:ascii="Arial Narrow" w:hAnsi="Arial Narrow"/>
                <w:b/>
                <w:sz w:val="20"/>
                <w:szCs w:val="20"/>
              </w:rPr>
              <w:t>Max. qty units</w:t>
            </w:r>
          </w:p>
        </w:tc>
        <w:tc>
          <w:tcPr>
            <w:tcW w:w="812" w:type="dxa"/>
            <w:vAlign w:val="center"/>
          </w:tcPr>
          <w:p w14:paraId="14441483" w14:textId="77777777" w:rsidR="00553B84" w:rsidRPr="00BC038A" w:rsidRDefault="00553B84" w:rsidP="00553B84">
            <w:pPr>
              <w:keepLines/>
              <w:jc w:val="left"/>
              <w:rPr>
                <w:rFonts w:ascii="Arial Narrow" w:hAnsi="Arial Narrow"/>
                <w:b/>
                <w:sz w:val="20"/>
                <w:szCs w:val="20"/>
              </w:rPr>
            </w:pPr>
            <w:r w:rsidRPr="00BC038A">
              <w:rPr>
                <w:rFonts w:ascii="Arial Narrow" w:hAnsi="Arial Narrow"/>
                <w:b/>
                <w:sz w:val="20"/>
                <w:szCs w:val="20"/>
              </w:rPr>
              <w:t>№.of</w:t>
            </w:r>
          </w:p>
          <w:p w14:paraId="12D3B35E" w14:textId="77777777" w:rsidR="00553B84" w:rsidRPr="00BC038A" w:rsidRDefault="00553B84" w:rsidP="00553B84">
            <w:pPr>
              <w:keepLines/>
              <w:jc w:val="left"/>
              <w:rPr>
                <w:rFonts w:ascii="Arial Narrow" w:hAnsi="Arial Narrow"/>
                <w:b/>
                <w:sz w:val="20"/>
                <w:szCs w:val="20"/>
              </w:rPr>
            </w:pPr>
            <w:r w:rsidRPr="00BC038A">
              <w:rPr>
                <w:rFonts w:ascii="Arial Narrow" w:hAnsi="Arial Narrow"/>
                <w:b/>
                <w:sz w:val="20"/>
                <w:szCs w:val="20"/>
              </w:rPr>
              <w:t>Rpts</w:t>
            </w:r>
          </w:p>
        </w:tc>
        <w:tc>
          <w:tcPr>
            <w:tcW w:w="1831" w:type="dxa"/>
            <w:vAlign w:val="center"/>
          </w:tcPr>
          <w:p w14:paraId="5E94E574" w14:textId="77777777" w:rsidR="00553B84" w:rsidRPr="00BC038A" w:rsidRDefault="00553B84" w:rsidP="00553B84">
            <w:pPr>
              <w:keepLines/>
              <w:jc w:val="left"/>
              <w:rPr>
                <w:rFonts w:ascii="Arial Narrow" w:hAnsi="Arial Narrow"/>
                <w:b/>
                <w:sz w:val="20"/>
                <w:szCs w:val="20"/>
                <w:lang w:val="fr-FR"/>
              </w:rPr>
            </w:pPr>
            <w:r w:rsidRPr="00BC038A">
              <w:rPr>
                <w:rFonts w:ascii="Arial Narrow" w:hAnsi="Arial Narrow"/>
                <w:b/>
                <w:sz w:val="20"/>
                <w:szCs w:val="20"/>
              </w:rPr>
              <w:t>Available brands</w:t>
            </w:r>
          </w:p>
        </w:tc>
      </w:tr>
      <w:tr w:rsidR="00553B84" w:rsidRPr="00BC038A" w14:paraId="7AD16717" w14:textId="77777777" w:rsidTr="00553B84">
        <w:trPr>
          <w:trHeight w:val="20"/>
        </w:trPr>
        <w:tc>
          <w:tcPr>
            <w:tcW w:w="9014" w:type="dxa"/>
            <w:gridSpan w:val="7"/>
            <w:vAlign w:val="center"/>
          </w:tcPr>
          <w:p w14:paraId="7E89781A" w14:textId="77777777" w:rsidR="00553B84" w:rsidRPr="00BC038A" w:rsidRDefault="00553B84" w:rsidP="00553B84">
            <w:pPr>
              <w:keepLines/>
              <w:jc w:val="left"/>
              <w:rPr>
                <w:rFonts w:ascii="Arial Narrow" w:hAnsi="Arial Narrow"/>
                <w:sz w:val="20"/>
                <w:szCs w:val="20"/>
              </w:rPr>
            </w:pPr>
            <w:r w:rsidRPr="00BC038A">
              <w:rPr>
                <w:rFonts w:ascii="Arial Narrow" w:hAnsi="Arial Narrow"/>
                <w:sz w:val="20"/>
                <w:szCs w:val="20"/>
              </w:rPr>
              <w:t>EVOLOCUMAB</w:t>
            </w:r>
          </w:p>
        </w:tc>
      </w:tr>
      <w:tr w:rsidR="00553B84" w:rsidRPr="00BC038A" w14:paraId="79072762" w14:textId="77777777" w:rsidTr="00553B84">
        <w:trPr>
          <w:trHeight w:val="20"/>
        </w:trPr>
        <w:tc>
          <w:tcPr>
            <w:tcW w:w="3937" w:type="dxa"/>
            <w:gridSpan w:val="2"/>
            <w:vAlign w:val="center"/>
          </w:tcPr>
          <w:p w14:paraId="4E6CE20E" w14:textId="77777777" w:rsidR="00553B84" w:rsidRPr="00BC038A" w:rsidRDefault="00553B84" w:rsidP="00553B84">
            <w:pPr>
              <w:keepLines/>
              <w:jc w:val="left"/>
              <w:rPr>
                <w:rFonts w:ascii="Arial Narrow" w:hAnsi="Arial Narrow"/>
                <w:sz w:val="20"/>
                <w:szCs w:val="20"/>
              </w:rPr>
            </w:pPr>
            <w:r w:rsidRPr="00BC038A">
              <w:rPr>
                <w:rFonts w:ascii="Arial Narrow" w:hAnsi="Arial Narrow"/>
                <w:sz w:val="20"/>
                <w:szCs w:val="20"/>
              </w:rPr>
              <w:t>evolocumab 140 mg/mL injection, 1 mL pen device </w:t>
            </w:r>
          </w:p>
        </w:tc>
        <w:tc>
          <w:tcPr>
            <w:tcW w:w="811" w:type="dxa"/>
            <w:vAlign w:val="center"/>
          </w:tcPr>
          <w:p w14:paraId="422900F0" w14:textId="77777777" w:rsidR="00553B84" w:rsidRPr="00BC038A" w:rsidRDefault="00553B84" w:rsidP="00553B84">
            <w:pPr>
              <w:keepLines/>
              <w:jc w:val="left"/>
              <w:rPr>
                <w:rFonts w:ascii="Arial Narrow" w:hAnsi="Arial Narrow"/>
                <w:sz w:val="20"/>
                <w:szCs w:val="20"/>
              </w:rPr>
            </w:pPr>
            <w:r w:rsidRPr="00BC038A">
              <w:rPr>
                <w:rFonts w:ascii="Arial Narrow" w:hAnsi="Arial Narrow"/>
                <w:sz w:val="20"/>
                <w:szCs w:val="20"/>
              </w:rPr>
              <w:t>11484K</w:t>
            </w:r>
          </w:p>
        </w:tc>
        <w:tc>
          <w:tcPr>
            <w:tcW w:w="812" w:type="dxa"/>
            <w:vAlign w:val="center"/>
          </w:tcPr>
          <w:p w14:paraId="3A15C676" w14:textId="77777777" w:rsidR="00553B84" w:rsidRPr="00BC038A" w:rsidRDefault="00553B84" w:rsidP="00553B84">
            <w:pPr>
              <w:keepLines/>
              <w:jc w:val="left"/>
              <w:rPr>
                <w:rFonts w:ascii="Arial Narrow" w:hAnsi="Arial Narrow"/>
                <w:sz w:val="20"/>
                <w:szCs w:val="20"/>
              </w:rPr>
            </w:pPr>
            <w:r w:rsidRPr="00BC038A">
              <w:rPr>
                <w:rFonts w:ascii="Arial Narrow" w:hAnsi="Arial Narrow"/>
                <w:sz w:val="20"/>
                <w:szCs w:val="20"/>
              </w:rPr>
              <w:t>2</w:t>
            </w:r>
          </w:p>
        </w:tc>
        <w:tc>
          <w:tcPr>
            <w:tcW w:w="811" w:type="dxa"/>
            <w:vAlign w:val="center"/>
          </w:tcPr>
          <w:p w14:paraId="706B7D72" w14:textId="77777777" w:rsidR="00553B84" w:rsidRPr="00BC038A" w:rsidRDefault="00553B84" w:rsidP="00553B84">
            <w:pPr>
              <w:keepLines/>
              <w:jc w:val="left"/>
              <w:rPr>
                <w:rFonts w:ascii="Arial Narrow" w:hAnsi="Arial Narrow"/>
                <w:sz w:val="20"/>
                <w:szCs w:val="20"/>
              </w:rPr>
            </w:pPr>
            <w:r w:rsidRPr="00BC038A">
              <w:rPr>
                <w:rFonts w:ascii="Arial Narrow" w:hAnsi="Arial Narrow"/>
                <w:sz w:val="20"/>
                <w:szCs w:val="20"/>
              </w:rPr>
              <w:t>2</w:t>
            </w:r>
          </w:p>
        </w:tc>
        <w:tc>
          <w:tcPr>
            <w:tcW w:w="812" w:type="dxa"/>
            <w:vAlign w:val="center"/>
          </w:tcPr>
          <w:p w14:paraId="66B883C9" w14:textId="77777777" w:rsidR="00553B84" w:rsidRPr="00BC038A" w:rsidRDefault="00553B84" w:rsidP="00553B84">
            <w:pPr>
              <w:keepLines/>
              <w:jc w:val="left"/>
              <w:rPr>
                <w:rFonts w:ascii="Arial Narrow" w:hAnsi="Arial Narrow"/>
                <w:sz w:val="20"/>
                <w:szCs w:val="20"/>
              </w:rPr>
            </w:pPr>
            <w:r w:rsidRPr="00BC038A">
              <w:rPr>
                <w:rFonts w:ascii="Arial Narrow" w:hAnsi="Arial Narrow"/>
                <w:sz w:val="20"/>
                <w:szCs w:val="20"/>
              </w:rPr>
              <w:t>5</w:t>
            </w:r>
          </w:p>
        </w:tc>
        <w:tc>
          <w:tcPr>
            <w:tcW w:w="1831" w:type="dxa"/>
            <w:vAlign w:val="center"/>
          </w:tcPr>
          <w:p w14:paraId="4FA49C25" w14:textId="77777777" w:rsidR="00553B84" w:rsidRPr="00BC038A" w:rsidRDefault="00553B84" w:rsidP="00553B84">
            <w:pPr>
              <w:keepLines/>
              <w:jc w:val="left"/>
              <w:rPr>
                <w:rFonts w:ascii="Arial Narrow" w:hAnsi="Arial Narrow"/>
                <w:sz w:val="20"/>
                <w:szCs w:val="20"/>
              </w:rPr>
            </w:pPr>
            <w:r w:rsidRPr="00BC038A">
              <w:rPr>
                <w:rFonts w:ascii="Arial Narrow" w:hAnsi="Arial Narrow" w:cs="Open Sans"/>
                <w:sz w:val="20"/>
                <w:szCs w:val="20"/>
                <w:bdr w:val="none" w:sz="0" w:space="0" w:color="auto" w:frame="1"/>
                <w:shd w:val="clear" w:color="auto" w:fill="FFFFFF"/>
              </w:rPr>
              <w:t>Repatha</w:t>
            </w:r>
          </w:p>
        </w:tc>
      </w:tr>
      <w:tr w:rsidR="00553B84" w:rsidRPr="00BC038A" w14:paraId="69505788" w14:textId="77777777" w:rsidTr="00553B84">
        <w:trPr>
          <w:trHeight w:val="20"/>
        </w:trPr>
        <w:tc>
          <w:tcPr>
            <w:tcW w:w="3937" w:type="dxa"/>
            <w:gridSpan w:val="2"/>
            <w:vAlign w:val="center"/>
          </w:tcPr>
          <w:p w14:paraId="227EC2AE" w14:textId="77777777" w:rsidR="00553B84" w:rsidRPr="00BC038A" w:rsidRDefault="00553B84" w:rsidP="00553B84">
            <w:pPr>
              <w:keepLines/>
              <w:jc w:val="left"/>
              <w:rPr>
                <w:rFonts w:ascii="Arial Narrow" w:hAnsi="Arial Narrow"/>
                <w:sz w:val="20"/>
                <w:szCs w:val="20"/>
              </w:rPr>
            </w:pPr>
            <w:r w:rsidRPr="00BC038A">
              <w:rPr>
                <w:rFonts w:ascii="Arial Narrow" w:hAnsi="Arial Narrow"/>
                <w:sz w:val="20"/>
                <w:szCs w:val="20"/>
              </w:rPr>
              <w:t>evolocumab 420 mg/3.5 mL injection, 3.5 mL cartridge </w:t>
            </w:r>
          </w:p>
        </w:tc>
        <w:tc>
          <w:tcPr>
            <w:tcW w:w="811" w:type="dxa"/>
            <w:vAlign w:val="center"/>
          </w:tcPr>
          <w:p w14:paraId="73FF4C39" w14:textId="77777777" w:rsidR="00553B84" w:rsidRPr="00BC038A" w:rsidRDefault="00553B84" w:rsidP="00553B84">
            <w:pPr>
              <w:keepLines/>
              <w:jc w:val="left"/>
              <w:rPr>
                <w:rFonts w:ascii="Arial Narrow" w:hAnsi="Arial Narrow"/>
                <w:sz w:val="20"/>
                <w:szCs w:val="20"/>
              </w:rPr>
            </w:pPr>
            <w:r w:rsidRPr="00BC038A">
              <w:rPr>
                <w:rFonts w:ascii="Arial Narrow" w:hAnsi="Arial Narrow"/>
                <w:sz w:val="20"/>
                <w:szCs w:val="20"/>
              </w:rPr>
              <w:t>11485L</w:t>
            </w:r>
          </w:p>
        </w:tc>
        <w:tc>
          <w:tcPr>
            <w:tcW w:w="812" w:type="dxa"/>
            <w:vAlign w:val="center"/>
          </w:tcPr>
          <w:p w14:paraId="241C1DB2" w14:textId="77777777" w:rsidR="00553B84" w:rsidRPr="00BC038A" w:rsidRDefault="00553B84" w:rsidP="00553B84">
            <w:pPr>
              <w:keepLines/>
              <w:jc w:val="left"/>
              <w:rPr>
                <w:rFonts w:ascii="Arial Narrow" w:hAnsi="Arial Narrow"/>
                <w:sz w:val="20"/>
                <w:szCs w:val="20"/>
              </w:rPr>
            </w:pPr>
            <w:r w:rsidRPr="00BC038A">
              <w:rPr>
                <w:rFonts w:ascii="Arial Narrow" w:hAnsi="Arial Narrow"/>
                <w:sz w:val="20"/>
                <w:szCs w:val="20"/>
              </w:rPr>
              <w:t>1</w:t>
            </w:r>
          </w:p>
        </w:tc>
        <w:tc>
          <w:tcPr>
            <w:tcW w:w="811" w:type="dxa"/>
            <w:vAlign w:val="center"/>
          </w:tcPr>
          <w:p w14:paraId="65ABFA39" w14:textId="77777777" w:rsidR="00553B84" w:rsidRPr="00BC038A" w:rsidRDefault="00553B84" w:rsidP="00553B84">
            <w:pPr>
              <w:keepLines/>
              <w:jc w:val="left"/>
              <w:rPr>
                <w:rFonts w:ascii="Arial Narrow" w:hAnsi="Arial Narrow"/>
                <w:sz w:val="20"/>
                <w:szCs w:val="20"/>
              </w:rPr>
            </w:pPr>
            <w:r w:rsidRPr="00BC038A">
              <w:rPr>
                <w:rFonts w:ascii="Arial Narrow" w:hAnsi="Arial Narrow"/>
                <w:sz w:val="20"/>
                <w:szCs w:val="20"/>
              </w:rPr>
              <w:t>1</w:t>
            </w:r>
          </w:p>
        </w:tc>
        <w:tc>
          <w:tcPr>
            <w:tcW w:w="812" w:type="dxa"/>
            <w:vAlign w:val="center"/>
          </w:tcPr>
          <w:p w14:paraId="11AB3E44" w14:textId="77777777" w:rsidR="00553B84" w:rsidRPr="00BC038A" w:rsidRDefault="00553B84" w:rsidP="00553B84">
            <w:pPr>
              <w:keepLines/>
              <w:jc w:val="left"/>
              <w:rPr>
                <w:rFonts w:ascii="Arial Narrow" w:hAnsi="Arial Narrow"/>
                <w:sz w:val="20"/>
                <w:szCs w:val="20"/>
              </w:rPr>
            </w:pPr>
            <w:r w:rsidRPr="00BC038A">
              <w:rPr>
                <w:rFonts w:ascii="Arial Narrow" w:hAnsi="Arial Narrow"/>
                <w:sz w:val="20"/>
                <w:szCs w:val="20"/>
              </w:rPr>
              <w:t>5</w:t>
            </w:r>
          </w:p>
        </w:tc>
        <w:tc>
          <w:tcPr>
            <w:tcW w:w="1831" w:type="dxa"/>
            <w:vAlign w:val="center"/>
          </w:tcPr>
          <w:p w14:paraId="71807D35" w14:textId="77777777" w:rsidR="00553B84" w:rsidRPr="00BC038A" w:rsidRDefault="00553B84" w:rsidP="00553B84">
            <w:pPr>
              <w:keepLines/>
              <w:jc w:val="left"/>
              <w:rPr>
                <w:rFonts w:ascii="Arial Narrow" w:hAnsi="Arial Narrow"/>
                <w:sz w:val="20"/>
                <w:szCs w:val="20"/>
              </w:rPr>
            </w:pPr>
            <w:r w:rsidRPr="00BC038A">
              <w:rPr>
                <w:rFonts w:ascii="Arial Narrow" w:hAnsi="Arial Narrow" w:cs="Open Sans"/>
                <w:sz w:val="20"/>
                <w:szCs w:val="20"/>
                <w:bdr w:val="none" w:sz="0" w:space="0" w:color="auto" w:frame="1"/>
                <w:shd w:val="clear" w:color="auto" w:fill="FFFFFF"/>
              </w:rPr>
              <w:t>Repatha</w:t>
            </w:r>
          </w:p>
        </w:tc>
      </w:tr>
      <w:tr w:rsidR="00553B84" w:rsidRPr="00BC038A" w14:paraId="5244D200" w14:textId="77777777" w:rsidTr="00553B84">
        <w:tblPrEx>
          <w:tblCellMar>
            <w:top w:w="15" w:type="dxa"/>
            <w:bottom w:w="15" w:type="dxa"/>
          </w:tblCellMar>
          <w:tblLook w:val="04A0" w:firstRow="1" w:lastRow="0" w:firstColumn="1" w:lastColumn="0" w:noHBand="0" w:noVBand="1"/>
        </w:tblPrEx>
        <w:trPr>
          <w:trHeight w:val="20"/>
        </w:trPr>
        <w:tc>
          <w:tcPr>
            <w:tcW w:w="9014" w:type="dxa"/>
            <w:gridSpan w:val="7"/>
            <w:tcBorders>
              <w:top w:val="single" w:sz="4" w:space="0" w:color="auto"/>
              <w:left w:val="single" w:sz="4" w:space="0" w:color="auto"/>
              <w:right w:val="single" w:sz="4" w:space="0" w:color="auto"/>
            </w:tcBorders>
            <w:vAlign w:val="center"/>
          </w:tcPr>
          <w:p w14:paraId="4A3AF138" w14:textId="77777777" w:rsidR="00553B84" w:rsidRPr="00BC038A" w:rsidRDefault="00553B84" w:rsidP="00553B84">
            <w:pPr>
              <w:jc w:val="left"/>
              <w:rPr>
                <w:rFonts w:ascii="Arial Narrow" w:hAnsi="Arial Narrow"/>
                <w:sz w:val="20"/>
                <w:szCs w:val="20"/>
              </w:rPr>
            </w:pPr>
          </w:p>
        </w:tc>
      </w:tr>
      <w:tr w:rsidR="00553B84" w:rsidRPr="00BC038A" w14:paraId="6DF26BD3" w14:textId="77777777" w:rsidTr="00553B84">
        <w:tblPrEx>
          <w:tblCellMar>
            <w:top w:w="15" w:type="dxa"/>
            <w:bottom w:w="15" w:type="dxa"/>
          </w:tblCellMar>
          <w:tblLook w:val="04A0" w:firstRow="1" w:lastRow="0" w:firstColumn="1" w:lastColumn="0" w:noHBand="0" w:noVBand="1"/>
        </w:tblPrEx>
        <w:trPr>
          <w:trHeight w:val="20"/>
        </w:trPr>
        <w:tc>
          <w:tcPr>
            <w:tcW w:w="9014" w:type="dxa"/>
            <w:gridSpan w:val="7"/>
            <w:tcBorders>
              <w:top w:val="single" w:sz="4" w:space="0" w:color="auto"/>
              <w:left w:val="single" w:sz="4" w:space="0" w:color="auto"/>
              <w:right w:val="single" w:sz="4" w:space="0" w:color="auto"/>
            </w:tcBorders>
            <w:vAlign w:val="center"/>
          </w:tcPr>
          <w:p w14:paraId="35392FFA" w14:textId="77777777" w:rsidR="00553B84" w:rsidRPr="00BC038A" w:rsidRDefault="00553B84" w:rsidP="00553B84">
            <w:pPr>
              <w:keepLines/>
              <w:jc w:val="left"/>
              <w:rPr>
                <w:rFonts w:ascii="Arial Narrow" w:hAnsi="Arial Narrow"/>
                <w:b/>
                <w:sz w:val="20"/>
                <w:szCs w:val="20"/>
              </w:rPr>
            </w:pPr>
            <w:r w:rsidRPr="00BC038A">
              <w:rPr>
                <w:rFonts w:ascii="Arial Narrow" w:hAnsi="Arial Narrow"/>
                <w:b/>
                <w:sz w:val="20"/>
                <w:szCs w:val="20"/>
              </w:rPr>
              <w:t xml:space="preserve">Restriction Summary [new] / Treatment of Concept: [new] </w:t>
            </w:r>
          </w:p>
        </w:tc>
      </w:tr>
      <w:tr w:rsidR="00553B84" w:rsidRPr="00BC038A" w14:paraId="51913BDF" w14:textId="77777777" w:rsidTr="00553B84">
        <w:tblPrEx>
          <w:tblCellMar>
            <w:top w:w="15" w:type="dxa"/>
            <w:bottom w:w="15" w:type="dxa"/>
          </w:tblCellMar>
          <w:tblLook w:val="04A0" w:firstRow="1" w:lastRow="0" w:firstColumn="1" w:lastColumn="0" w:noHBand="0" w:noVBand="1"/>
        </w:tblPrEx>
        <w:trPr>
          <w:trHeight w:val="20"/>
        </w:trPr>
        <w:tc>
          <w:tcPr>
            <w:tcW w:w="1269" w:type="dxa"/>
            <w:vMerge w:val="restart"/>
            <w:tcBorders>
              <w:top w:val="single" w:sz="4" w:space="0" w:color="auto"/>
              <w:left w:val="single" w:sz="4" w:space="0" w:color="auto"/>
              <w:right w:val="single" w:sz="4" w:space="0" w:color="auto"/>
            </w:tcBorders>
          </w:tcPr>
          <w:p w14:paraId="081F6DF9" w14:textId="5C12FF32" w:rsidR="00553B84" w:rsidRPr="00BC038A" w:rsidRDefault="00553B84" w:rsidP="00553B84">
            <w:pPr>
              <w:jc w:val="left"/>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8CAA7B9" w14:textId="77777777" w:rsidR="00553B84" w:rsidRPr="00BC038A" w:rsidRDefault="00553B84" w:rsidP="00553B84">
            <w:pPr>
              <w:keepLines/>
              <w:jc w:val="left"/>
              <w:rPr>
                <w:rFonts w:ascii="Arial Narrow" w:hAnsi="Arial Narrow"/>
                <w:sz w:val="20"/>
                <w:szCs w:val="20"/>
              </w:rPr>
            </w:pPr>
            <w:r w:rsidRPr="00BC038A">
              <w:rPr>
                <w:rFonts w:ascii="Arial Narrow" w:hAnsi="Arial Narrow"/>
                <w:b/>
                <w:sz w:val="20"/>
                <w:szCs w:val="20"/>
              </w:rPr>
              <w:t xml:space="preserve">Category / Program: </w:t>
            </w:r>
            <w:r w:rsidRPr="00BC038A">
              <w:rPr>
                <w:rFonts w:ascii="Arial Narrow" w:hAnsi="Arial Narrow"/>
                <w:sz w:val="20"/>
                <w:szCs w:val="20"/>
              </w:rPr>
              <w:t>GENERAL – General Schedule (Code GE)</w:t>
            </w:r>
            <w:r w:rsidRPr="00BC038A">
              <w:rPr>
                <w:rFonts w:ascii="Arial Narrow" w:hAnsi="Arial Narrow"/>
                <w:color w:val="FF0000"/>
                <w:sz w:val="20"/>
                <w:szCs w:val="20"/>
              </w:rPr>
              <w:t xml:space="preserve"> </w:t>
            </w:r>
          </w:p>
        </w:tc>
      </w:tr>
      <w:tr w:rsidR="00553B84" w:rsidRPr="00BC038A" w14:paraId="3ABBBBF4" w14:textId="77777777" w:rsidTr="00553B84">
        <w:tblPrEx>
          <w:tblCellMar>
            <w:top w:w="15" w:type="dxa"/>
            <w:bottom w:w="15" w:type="dxa"/>
          </w:tblCellMar>
          <w:tblLook w:val="04A0" w:firstRow="1" w:lastRow="0" w:firstColumn="1" w:lastColumn="0" w:noHBand="0" w:noVBand="1"/>
        </w:tblPrEx>
        <w:trPr>
          <w:trHeight w:val="20"/>
        </w:trPr>
        <w:tc>
          <w:tcPr>
            <w:tcW w:w="1269" w:type="dxa"/>
            <w:vMerge/>
            <w:tcBorders>
              <w:left w:val="single" w:sz="4" w:space="0" w:color="auto"/>
              <w:right w:val="single" w:sz="4" w:space="0" w:color="auto"/>
            </w:tcBorders>
          </w:tcPr>
          <w:p w14:paraId="4BB2C7C8" w14:textId="77777777" w:rsidR="00553B84" w:rsidRPr="00BC038A" w:rsidRDefault="00553B84" w:rsidP="00553B84">
            <w:pPr>
              <w:jc w:val="left"/>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4A72178" w14:textId="77777777" w:rsidR="00553B84" w:rsidRPr="00BC038A" w:rsidRDefault="00553B84" w:rsidP="00553B84">
            <w:pPr>
              <w:keepLines/>
              <w:jc w:val="left"/>
              <w:rPr>
                <w:rFonts w:ascii="Arial Narrow" w:hAnsi="Arial Narrow"/>
                <w:b/>
                <w:sz w:val="20"/>
                <w:szCs w:val="20"/>
              </w:rPr>
            </w:pPr>
            <w:r w:rsidRPr="00BC038A">
              <w:rPr>
                <w:rFonts w:ascii="Arial Narrow" w:hAnsi="Arial Narrow"/>
                <w:b/>
                <w:sz w:val="20"/>
                <w:szCs w:val="20"/>
              </w:rPr>
              <w:t xml:space="preserve">Prescriber type: </w:t>
            </w:r>
            <w:r w:rsidRPr="00BC038A">
              <w:rPr>
                <w:rFonts w:ascii="Arial Narrow" w:hAnsi="Arial Narrow"/>
                <w:sz w:val="20"/>
                <w:szCs w:val="20"/>
              </w:rPr>
              <w:fldChar w:fldCharType="begin">
                <w:ffData>
                  <w:name w:val=""/>
                  <w:enabled/>
                  <w:calcOnExit w:val="0"/>
                  <w:checkBox>
                    <w:sizeAuto/>
                    <w:default w:val="1"/>
                  </w:checkBox>
                </w:ffData>
              </w:fldChar>
            </w:r>
            <w:r w:rsidRPr="00BC038A">
              <w:rPr>
                <w:rFonts w:ascii="Arial Narrow" w:hAnsi="Arial Narrow"/>
                <w:sz w:val="20"/>
                <w:szCs w:val="20"/>
              </w:rPr>
              <w:instrText xml:space="preserve"> FORMCHECKBOX </w:instrText>
            </w:r>
            <w:r w:rsidR="00F35BF1">
              <w:rPr>
                <w:rFonts w:ascii="Arial Narrow" w:hAnsi="Arial Narrow"/>
                <w:sz w:val="20"/>
                <w:szCs w:val="20"/>
              </w:rPr>
            </w:r>
            <w:r w:rsidR="00F35BF1">
              <w:rPr>
                <w:rFonts w:ascii="Arial Narrow" w:hAnsi="Arial Narrow"/>
                <w:sz w:val="20"/>
                <w:szCs w:val="20"/>
              </w:rPr>
              <w:fldChar w:fldCharType="separate"/>
            </w:r>
            <w:r w:rsidRPr="00BC038A">
              <w:rPr>
                <w:rFonts w:ascii="Arial Narrow" w:hAnsi="Arial Narrow"/>
                <w:sz w:val="20"/>
                <w:szCs w:val="20"/>
              </w:rPr>
              <w:fldChar w:fldCharType="end"/>
            </w:r>
            <w:r w:rsidRPr="00BC038A">
              <w:rPr>
                <w:rFonts w:ascii="Arial Narrow" w:hAnsi="Arial Narrow"/>
                <w:sz w:val="20"/>
                <w:szCs w:val="20"/>
              </w:rPr>
              <w:t xml:space="preserve">Medical Practitioners </w:t>
            </w:r>
          </w:p>
        </w:tc>
      </w:tr>
      <w:tr w:rsidR="00553B84" w:rsidRPr="00BC038A" w14:paraId="004E12F1" w14:textId="77777777" w:rsidTr="00553B84">
        <w:tblPrEx>
          <w:tblCellMar>
            <w:top w:w="15" w:type="dxa"/>
            <w:bottom w:w="15" w:type="dxa"/>
          </w:tblCellMar>
          <w:tblLook w:val="04A0" w:firstRow="1" w:lastRow="0" w:firstColumn="1" w:lastColumn="0" w:noHBand="0" w:noVBand="1"/>
        </w:tblPrEx>
        <w:trPr>
          <w:trHeight w:val="20"/>
        </w:trPr>
        <w:tc>
          <w:tcPr>
            <w:tcW w:w="1269" w:type="dxa"/>
            <w:vMerge/>
            <w:tcBorders>
              <w:left w:val="single" w:sz="4" w:space="0" w:color="auto"/>
              <w:bottom w:val="single" w:sz="4" w:space="0" w:color="auto"/>
              <w:right w:val="single" w:sz="4" w:space="0" w:color="auto"/>
            </w:tcBorders>
          </w:tcPr>
          <w:p w14:paraId="4F2664CB" w14:textId="77777777" w:rsidR="00553B84" w:rsidRPr="00BC038A" w:rsidRDefault="00553B84" w:rsidP="00553B84">
            <w:pPr>
              <w:jc w:val="left"/>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EF5A1D5" w14:textId="77777777" w:rsidR="00553B84" w:rsidRPr="00BC038A" w:rsidRDefault="00553B84" w:rsidP="00553B84">
            <w:pPr>
              <w:keepLines/>
              <w:jc w:val="left"/>
              <w:rPr>
                <w:rFonts w:ascii="Arial Narrow" w:eastAsia="Calibri" w:hAnsi="Arial Narrow"/>
                <w:color w:val="FF0000"/>
                <w:sz w:val="20"/>
                <w:szCs w:val="20"/>
              </w:rPr>
            </w:pPr>
            <w:r w:rsidRPr="00BC038A">
              <w:rPr>
                <w:rFonts w:ascii="Arial Narrow" w:hAnsi="Arial Narrow"/>
                <w:b/>
                <w:sz w:val="20"/>
                <w:szCs w:val="20"/>
              </w:rPr>
              <w:t xml:space="preserve">Restriction type: </w:t>
            </w:r>
            <w:r w:rsidRPr="00BC038A">
              <w:rPr>
                <w:rFonts w:ascii="Arial Narrow" w:eastAsia="Calibri" w:hAnsi="Arial Narrow"/>
                <w:sz w:val="20"/>
                <w:szCs w:val="20"/>
              </w:rPr>
              <w:fldChar w:fldCharType="begin">
                <w:ffData>
                  <w:name w:val="Check3"/>
                  <w:enabled/>
                  <w:calcOnExit w:val="0"/>
                  <w:checkBox>
                    <w:sizeAuto/>
                    <w:default w:val="1"/>
                  </w:checkBox>
                </w:ffData>
              </w:fldChar>
            </w:r>
            <w:bookmarkStart w:id="75" w:name="Check3"/>
            <w:r w:rsidRPr="00BC038A">
              <w:rPr>
                <w:rFonts w:ascii="Arial Narrow" w:eastAsia="Calibri" w:hAnsi="Arial Narrow"/>
                <w:sz w:val="20"/>
                <w:szCs w:val="20"/>
              </w:rPr>
              <w:instrText xml:space="preserve"> FORMCHECKBOX </w:instrText>
            </w:r>
            <w:r w:rsidR="00F35BF1">
              <w:rPr>
                <w:rFonts w:ascii="Arial Narrow" w:eastAsia="Calibri" w:hAnsi="Arial Narrow"/>
                <w:sz w:val="20"/>
                <w:szCs w:val="20"/>
              </w:rPr>
            </w:r>
            <w:r w:rsidR="00F35BF1">
              <w:rPr>
                <w:rFonts w:ascii="Arial Narrow" w:eastAsia="Calibri" w:hAnsi="Arial Narrow"/>
                <w:sz w:val="20"/>
                <w:szCs w:val="20"/>
              </w:rPr>
              <w:fldChar w:fldCharType="separate"/>
            </w:r>
            <w:r w:rsidRPr="00BC038A">
              <w:rPr>
                <w:rFonts w:ascii="Arial Narrow" w:eastAsia="Calibri" w:hAnsi="Arial Narrow"/>
                <w:sz w:val="20"/>
                <w:szCs w:val="20"/>
              </w:rPr>
              <w:fldChar w:fldCharType="end"/>
            </w:r>
            <w:bookmarkEnd w:id="75"/>
            <w:r w:rsidRPr="00BC038A">
              <w:rPr>
                <w:rFonts w:ascii="Arial Narrow" w:eastAsia="Calibri" w:hAnsi="Arial Narrow"/>
                <w:sz w:val="20"/>
                <w:szCs w:val="20"/>
              </w:rPr>
              <w:t xml:space="preserve">Authority Required (telephone/online PBS Authorities system) </w:t>
            </w:r>
          </w:p>
        </w:tc>
      </w:tr>
      <w:tr w:rsidR="00553B84" w:rsidRPr="00BC038A" w14:paraId="0E7EA523" w14:textId="77777777" w:rsidTr="004B7836">
        <w:tblPrEx>
          <w:tblCellMar>
            <w:top w:w="15" w:type="dxa"/>
            <w:bottom w:w="15" w:type="dxa"/>
          </w:tblCellMar>
          <w:tblLook w:val="04A0" w:firstRow="1" w:lastRow="0" w:firstColumn="1" w:lastColumn="0" w:noHBand="0" w:noVBand="1"/>
        </w:tblPrEx>
        <w:trPr>
          <w:trHeight w:val="20"/>
        </w:trPr>
        <w:tc>
          <w:tcPr>
            <w:tcW w:w="1269" w:type="dxa"/>
            <w:vAlign w:val="center"/>
          </w:tcPr>
          <w:p w14:paraId="4E39619F" w14:textId="61F9A32D" w:rsidR="00553B84" w:rsidRPr="00BC038A" w:rsidRDefault="00553B84" w:rsidP="00553B84">
            <w:pPr>
              <w:keepLines/>
              <w:jc w:val="left"/>
              <w:rPr>
                <w:rFonts w:ascii="Arial Narrow" w:hAnsi="Arial Narrow"/>
                <w:color w:val="FF0000"/>
                <w:sz w:val="20"/>
                <w:szCs w:val="20"/>
              </w:rPr>
            </w:pPr>
          </w:p>
        </w:tc>
        <w:tc>
          <w:tcPr>
            <w:tcW w:w="7745" w:type="dxa"/>
            <w:gridSpan w:val="6"/>
            <w:vAlign w:val="center"/>
            <w:hideMark/>
          </w:tcPr>
          <w:p w14:paraId="0A62E1D7" w14:textId="77777777" w:rsidR="00553B84" w:rsidRPr="00BC038A" w:rsidRDefault="00553B84" w:rsidP="00553B84">
            <w:pPr>
              <w:keepLines/>
              <w:jc w:val="left"/>
              <w:rPr>
                <w:rFonts w:ascii="Arial Narrow" w:hAnsi="Arial Narrow"/>
                <w:color w:val="333333"/>
                <w:sz w:val="20"/>
                <w:szCs w:val="20"/>
              </w:rPr>
            </w:pPr>
            <w:r w:rsidRPr="00BC038A">
              <w:rPr>
                <w:rFonts w:ascii="Arial Narrow" w:hAnsi="Arial Narrow"/>
                <w:b/>
                <w:bCs/>
                <w:color w:val="333333"/>
                <w:sz w:val="20"/>
                <w:szCs w:val="20"/>
              </w:rPr>
              <w:t>Indication:</w:t>
            </w:r>
            <w:r w:rsidRPr="00BC038A">
              <w:rPr>
                <w:rFonts w:ascii="Arial Narrow" w:hAnsi="Arial Narrow"/>
                <w:color w:val="333333"/>
                <w:sz w:val="20"/>
                <w:szCs w:val="20"/>
              </w:rPr>
              <w:t xml:space="preserve"> Non-familial hypercholesterolaemia</w:t>
            </w:r>
          </w:p>
        </w:tc>
      </w:tr>
      <w:tr w:rsidR="00553B84" w:rsidRPr="00BC038A" w14:paraId="6973852E" w14:textId="77777777" w:rsidTr="004B7836">
        <w:tblPrEx>
          <w:tblCellMar>
            <w:top w:w="15" w:type="dxa"/>
            <w:bottom w:w="15" w:type="dxa"/>
          </w:tblCellMar>
          <w:tblLook w:val="04A0" w:firstRow="1" w:lastRow="0" w:firstColumn="1" w:lastColumn="0" w:noHBand="0" w:noVBand="1"/>
        </w:tblPrEx>
        <w:trPr>
          <w:trHeight w:val="20"/>
        </w:trPr>
        <w:tc>
          <w:tcPr>
            <w:tcW w:w="1269" w:type="dxa"/>
            <w:vAlign w:val="center"/>
          </w:tcPr>
          <w:p w14:paraId="2B91F3C0" w14:textId="77777777" w:rsidR="00553B84" w:rsidRPr="00BC038A" w:rsidRDefault="00553B84" w:rsidP="00553B84">
            <w:pPr>
              <w:jc w:val="left"/>
              <w:rPr>
                <w:rFonts w:ascii="Arial Narrow" w:hAnsi="Arial Narrow"/>
                <w:color w:val="FF0000"/>
                <w:sz w:val="20"/>
                <w:szCs w:val="20"/>
              </w:rPr>
            </w:pPr>
          </w:p>
        </w:tc>
        <w:tc>
          <w:tcPr>
            <w:tcW w:w="7745" w:type="dxa"/>
            <w:gridSpan w:val="6"/>
            <w:vAlign w:val="center"/>
            <w:hideMark/>
          </w:tcPr>
          <w:p w14:paraId="1940E3E5" w14:textId="77777777" w:rsidR="00553B84" w:rsidRPr="00BC038A" w:rsidRDefault="00553B84" w:rsidP="00553B84">
            <w:pPr>
              <w:jc w:val="left"/>
              <w:rPr>
                <w:rFonts w:ascii="Arial Narrow" w:hAnsi="Arial Narrow"/>
                <w:sz w:val="20"/>
                <w:szCs w:val="20"/>
              </w:rPr>
            </w:pPr>
            <w:r w:rsidRPr="00BC038A">
              <w:rPr>
                <w:rFonts w:ascii="Arial Narrow" w:hAnsi="Arial Narrow"/>
                <w:b/>
                <w:bCs/>
                <w:color w:val="333333"/>
                <w:sz w:val="20"/>
                <w:szCs w:val="20"/>
              </w:rPr>
              <w:t>Treatment Phase:</w:t>
            </w:r>
            <w:r w:rsidRPr="00BC038A">
              <w:rPr>
                <w:rFonts w:ascii="Arial Narrow" w:hAnsi="Arial Narrow"/>
                <w:color w:val="FF0000"/>
                <w:sz w:val="20"/>
                <w:szCs w:val="20"/>
              </w:rPr>
              <w:t xml:space="preserve"> </w:t>
            </w:r>
            <w:r w:rsidRPr="00BC038A">
              <w:rPr>
                <w:rFonts w:ascii="Arial Narrow" w:hAnsi="Arial Narrow"/>
                <w:sz w:val="20"/>
                <w:szCs w:val="20"/>
              </w:rPr>
              <w:t>Grandfather treatment</w:t>
            </w:r>
          </w:p>
        </w:tc>
      </w:tr>
      <w:tr w:rsidR="00553B84" w:rsidRPr="00BC038A" w14:paraId="4B08EA2A"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0FC9305F" w14:textId="1611A72B" w:rsidR="00553B84" w:rsidRPr="00BC038A" w:rsidRDefault="00553B84" w:rsidP="00553B84">
            <w:pPr>
              <w:jc w:val="left"/>
              <w:rPr>
                <w:rFonts w:ascii="Arial Narrow" w:hAnsi="Arial Narrow"/>
                <w:color w:val="FF0000"/>
                <w:sz w:val="20"/>
                <w:szCs w:val="20"/>
              </w:rPr>
            </w:pPr>
          </w:p>
        </w:tc>
        <w:tc>
          <w:tcPr>
            <w:tcW w:w="7745" w:type="dxa"/>
            <w:gridSpan w:val="6"/>
          </w:tcPr>
          <w:p w14:paraId="34516D40" w14:textId="77777777" w:rsidR="00553B84" w:rsidRPr="00BC038A" w:rsidRDefault="00553B84" w:rsidP="00553B84">
            <w:pPr>
              <w:rPr>
                <w:rFonts w:ascii="Arial Narrow" w:hAnsi="Arial Narrow"/>
                <w:sz w:val="20"/>
                <w:szCs w:val="20"/>
              </w:rPr>
            </w:pPr>
            <w:r w:rsidRPr="00BC038A">
              <w:rPr>
                <w:rFonts w:ascii="Arial Narrow" w:hAnsi="Arial Narrow"/>
                <w:b/>
                <w:bCs/>
                <w:sz w:val="20"/>
                <w:szCs w:val="20"/>
              </w:rPr>
              <w:t>Administrative Advice:</w:t>
            </w:r>
          </w:p>
          <w:p w14:paraId="32D907B1" w14:textId="77777777" w:rsidR="00553B84" w:rsidRPr="00BC038A" w:rsidRDefault="00553B84" w:rsidP="00553B84">
            <w:pPr>
              <w:jc w:val="left"/>
              <w:rPr>
                <w:rFonts w:ascii="Arial Narrow" w:hAnsi="Arial Narrow"/>
                <w:b/>
                <w:bCs/>
                <w:color w:val="333333"/>
                <w:sz w:val="20"/>
                <w:szCs w:val="20"/>
              </w:rPr>
            </w:pPr>
            <w:r w:rsidRPr="00BC038A">
              <w:rPr>
                <w:rFonts w:ascii="Arial Narrow" w:hAnsi="Arial Narrow"/>
                <w:sz w:val="20"/>
                <w:szCs w:val="20"/>
              </w:rPr>
              <w:t>No increase in the maximum quantity or number of units may be authorised.</w:t>
            </w:r>
          </w:p>
        </w:tc>
      </w:tr>
      <w:tr w:rsidR="00553B84" w:rsidRPr="00BC038A" w14:paraId="798CD34A"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300C376F" w14:textId="26C0AC6F" w:rsidR="00553B84" w:rsidRPr="00BC038A" w:rsidRDefault="00553B84" w:rsidP="00553B84">
            <w:pPr>
              <w:jc w:val="left"/>
              <w:rPr>
                <w:rFonts w:ascii="Arial Narrow" w:hAnsi="Arial Narrow"/>
                <w:color w:val="FF0000"/>
                <w:sz w:val="20"/>
                <w:szCs w:val="20"/>
              </w:rPr>
            </w:pPr>
          </w:p>
        </w:tc>
        <w:tc>
          <w:tcPr>
            <w:tcW w:w="7745" w:type="dxa"/>
            <w:gridSpan w:val="6"/>
          </w:tcPr>
          <w:p w14:paraId="5FB75F8F" w14:textId="77777777" w:rsidR="00553B84" w:rsidRPr="00BC038A" w:rsidRDefault="00553B84" w:rsidP="00553B84">
            <w:pPr>
              <w:rPr>
                <w:rFonts w:ascii="Arial Narrow" w:hAnsi="Arial Narrow"/>
                <w:sz w:val="20"/>
                <w:szCs w:val="20"/>
              </w:rPr>
            </w:pPr>
            <w:r w:rsidRPr="00BC038A">
              <w:rPr>
                <w:rFonts w:ascii="Arial Narrow" w:hAnsi="Arial Narrow"/>
                <w:b/>
                <w:bCs/>
                <w:sz w:val="20"/>
                <w:szCs w:val="20"/>
              </w:rPr>
              <w:t>Administrative Advice:</w:t>
            </w:r>
          </w:p>
          <w:p w14:paraId="18D9E0AC" w14:textId="77777777" w:rsidR="00553B84" w:rsidRPr="00BC038A" w:rsidRDefault="00553B84" w:rsidP="00553B84">
            <w:pPr>
              <w:jc w:val="left"/>
              <w:rPr>
                <w:rFonts w:ascii="Arial Narrow" w:hAnsi="Arial Narrow"/>
                <w:b/>
                <w:bCs/>
                <w:color w:val="333333"/>
                <w:sz w:val="20"/>
                <w:szCs w:val="20"/>
              </w:rPr>
            </w:pPr>
            <w:r w:rsidRPr="00BC038A">
              <w:rPr>
                <w:rFonts w:ascii="Arial Narrow" w:hAnsi="Arial Narrow"/>
                <w:sz w:val="20"/>
                <w:szCs w:val="20"/>
              </w:rPr>
              <w:t>No increase in the maximum number of repeats may be authorised.</w:t>
            </w:r>
          </w:p>
        </w:tc>
      </w:tr>
      <w:tr w:rsidR="00553B84" w:rsidRPr="00BC038A" w14:paraId="721FC495"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2A92AF8D" w14:textId="7C041D68" w:rsidR="00553B84" w:rsidRPr="00BC038A" w:rsidRDefault="00553B84" w:rsidP="00553B84">
            <w:pPr>
              <w:jc w:val="left"/>
              <w:rPr>
                <w:rFonts w:ascii="Arial Narrow" w:hAnsi="Arial Narrow"/>
                <w:color w:val="FF0000"/>
                <w:sz w:val="20"/>
                <w:szCs w:val="20"/>
              </w:rPr>
            </w:pPr>
          </w:p>
        </w:tc>
        <w:tc>
          <w:tcPr>
            <w:tcW w:w="7745" w:type="dxa"/>
            <w:gridSpan w:val="6"/>
          </w:tcPr>
          <w:p w14:paraId="58657CD4" w14:textId="77777777" w:rsidR="00553B84" w:rsidRPr="00BC038A" w:rsidRDefault="00553B84" w:rsidP="00553B84">
            <w:pPr>
              <w:rPr>
                <w:rFonts w:ascii="Arial Narrow" w:hAnsi="Arial Narrow"/>
                <w:sz w:val="20"/>
                <w:szCs w:val="20"/>
              </w:rPr>
            </w:pPr>
            <w:r w:rsidRPr="00BC038A">
              <w:rPr>
                <w:rFonts w:ascii="Arial Narrow" w:hAnsi="Arial Narrow"/>
                <w:b/>
                <w:bCs/>
                <w:sz w:val="20"/>
                <w:szCs w:val="20"/>
              </w:rPr>
              <w:t>Administrative Advice:</w:t>
            </w:r>
          </w:p>
          <w:p w14:paraId="4872AB3B" w14:textId="77777777" w:rsidR="00553B84" w:rsidRPr="00BC038A" w:rsidRDefault="00553B84" w:rsidP="00553B84">
            <w:pPr>
              <w:jc w:val="left"/>
              <w:rPr>
                <w:rFonts w:ascii="Arial Narrow" w:hAnsi="Arial Narrow"/>
                <w:b/>
                <w:bCs/>
                <w:color w:val="333333"/>
                <w:sz w:val="20"/>
                <w:szCs w:val="20"/>
              </w:rPr>
            </w:pPr>
            <w:r w:rsidRPr="00BC038A">
              <w:rPr>
                <w:rFonts w:ascii="Arial Narrow" w:hAnsi="Arial Narrow"/>
                <w:sz w:val="20"/>
                <w:szCs w:val="20"/>
              </w:rPr>
              <w:t>Special Pricing Arrangements apply.</w:t>
            </w:r>
          </w:p>
        </w:tc>
      </w:tr>
      <w:tr w:rsidR="00553B84" w:rsidRPr="00BC038A" w14:paraId="5AB9DD13" w14:textId="77777777" w:rsidTr="004B7836">
        <w:tblPrEx>
          <w:tblCellMar>
            <w:top w:w="15" w:type="dxa"/>
            <w:bottom w:w="15" w:type="dxa"/>
          </w:tblCellMar>
          <w:tblLook w:val="04A0" w:firstRow="1" w:lastRow="0" w:firstColumn="1" w:lastColumn="0" w:noHBand="0" w:noVBand="1"/>
        </w:tblPrEx>
        <w:trPr>
          <w:trHeight w:val="20"/>
        </w:trPr>
        <w:tc>
          <w:tcPr>
            <w:tcW w:w="1269" w:type="dxa"/>
            <w:vAlign w:val="center"/>
          </w:tcPr>
          <w:p w14:paraId="47C57347" w14:textId="77777777" w:rsidR="00553B84" w:rsidRPr="00BC038A" w:rsidRDefault="00553B84" w:rsidP="00553B84">
            <w:pPr>
              <w:jc w:val="left"/>
              <w:rPr>
                <w:rFonts w:ascii="Arial Narrow" w:hAnsi="Arial Narrow"/>
                <w:color w:val="FF0000"/>
                <w:sz w:val="20"/>
                <w:szCs w:val="20"/>
              </w:rPr>
            </w:pPr>
          </w:p>
        </w:tc>
        <w:tc>
          <w:tcPr>
            <w:tcW w:w="7745" w:type="dxa"/>
            <w:gridSpan w:val="6"/>
            <w:vAlign w:val="center"/>
            <w:hideMark/>
          </w:tcPr>
          <w:p w14:paraId="7CE43B0A" w14:textId="77777777" w:rsidR="00553B84" w:rsidRPr="00BC038A" w:rsidRDefault="00553B84" w:rsidP="00553B84">
            <w:pPr>
              <w:jc w:val="left"/>
              <w:rPr>
                <w:rFonts w:ascii="Arial Narrow" w:hAnsi="Arial Narrow"/>
                <w:sz w:val="20"/>
                <w:szCs w:val="20"/>
              </w:rPr>
            </w:pPr>
            <w:r w:rsidRPr="00BC038A">
              <w:rPr>
                <w:rFonts w:ascii="Arial Narrow" w:hAnsi="Arial Narrow"/>
                <w:b/>
                <w:bCs/>
                <w:color w:val="333333"/>
                <w:sz w:val="20"/>
                <w:szCs w:val="20"/>
              </w:rPr>
              <w:t xml:space="preserve">Clinical criteria: </w:t>
            </w:r>
          </w:p>
        </w:tc>
      </w:tr>
      <w:tr w:rsidR="00553B84" w:rsidRPr="00BC038A" w14:paraId="3AA9A35D" w14:textId="77777777" w:rsidTr="004B7836">
        <w:tblPrEx>
          <w:tblCellMar>
            <w:top w:w="15" w:type="dxa"/>
            <w:bottom w:w="15" w:type="dxa"/>
          </w:tblCellMar>
          <w:tblLook w:val="04A0" w:firstRow="1" w:lastRow="0" w:firstColumn="1" w:lastColumn="0" w:noHBand="0" w:noVBand="1"/>
        </w:tblPrEx>
        <w:trPr>
          <w:trHeight w:val="20"/>
        </w:trPr>
        <w:tc>
          <w:tcPr>
            <w:tcW w:w="1269" w:type="dxa"/>
            <w:vAlign w:val="center"/>
          </w:tcPr>
          <w:p w14:paraId="27631837" w14:textId="4C6B237D" w:rsidR="00553B84" w:rsidRPr="00BC038A" w:rsidRDefault="00553B84" w:rsidP="00553B84">
            <w:pPr>
              <w:jc w:val="left"/>
              <w:rPr>
                <w:rFonts w:ascii="Arial Narrow" w:hAnsi="Arial Narrow"/>
                <w:color w:val="FF0000"/>
                <w:sz w:val="20"/>
                <w:szCs w:val="20"/>
              </w:rPr>
            </w:pPr>
          </w:p>
        </w:tc>
        <w:tc>
          <w:tcPr>
            <w:tcW w:w="7745" w:type="dxa"/>
            <w:gridSpan w:val="6"/>
            <w:vAlign w:val="center"/>
            <w:hideMark/>
          </w:tcPr>
          <w:p w14:paraId="1FA4C88E" w14:textId="77777777" w:rsidR="00553B84" w:rsidRPr="00BC038A" w:rsidRDefault="00553B84" w:rsidP="00553B84">
            <w:pPr>
              <w:jc w:val="left"/>
              <w:rPr>
                <w:rFonts w:ascii="Arial Narrow" w:hAnsi="Arial Narrow"/>
                <w:sz w:val="20"/>
                <w:szCs w:val="20"/>
              </w:rPr>
            </w:pPr>
            <w:r w:rsidRPr="00BC038A">
              <w:rPr>
                <w:rFonts w:ascii="Arial Narrow" w:hAnsi="Arial Narrow"/>
                <w:sz w:val="20"/>
                <w:szCs w:val="20"/>
              </w:rPr>
              <w:t>Patient must have previously received non-PBS-subsidised treatment with this drug for this condition prior to [insert listing date]</w:t>
            </w:r>
          </w:p>
          <w:p w14:paraId="0FAEA982" w14:textId="77777777" w:rsidR="00553B84" w:rsidRPr="00BC038A" w:rsidRDefault="00553B84" w:rsidP="00553B84">
            <w:pPr>
              <w:jc w:val="left"/>
              <w:rPr>
                <w:rFonts w:ascii="Arial Narrow" w:hAnsi="Arial Narrow"/>
                <w:color w:val="333333"/>
                <w:sz w:val="20"/>
                <w:szCs w:val="20"/>
              </w:rPr>
            </w:pPr>
          </w:p>
        </w:tc>
      </w:tr>
      <w:tr w:rsidR="00553B84" w:rsidRPr="00BC038A" w14:paraId="558B387E" w14:textId="77777777" w:rsidTr="004B7836">
        <w:tblPrEx>
          <w:tblCellMar>
            <w:top w:w="15" w:type="dxa"/>
            <w:bottom w:w="15" w:type="dxa"/>
          </w:tblCellMar>
          <w:tblLook w:val="04A0" w:firstRow="1" w:lastRow="0" w:firstColumn="1" w:lastColumn="0" w:noHBand="0" w:noVBand="1"/>
        </w:tblPrEx>
        <w:trPr>
          <w:trHeight w:val="20"/>
        </w:trPr>
        <w:tc>
          <w:tcPr>
            <w:tcW w:w="1269" w:type="dxa"/>
            <w:vAlign w:val="center"/>
          </w:tcPr>
          <w:p w14:paraId="18ECF709" w14:textId="77777777" w:rsidR="00553B84" w:rsidRPr="00BC038A" w:rsidRDefault="00553B84" w:rsidP="00553B84">
            <w:pPr>
              <w:jc w:val="left"/>
              <w:rPr>
                <w:rFonts w:ascii="Arial Narrow" w:hAnsi="Arial Narrow"/>
                <w:color w:val="FF0000"/>
                <w:sz w:val="20"/>
                <w:szCs w:val="20"/>
              </w:rPr>
            </w:pPr>
          </w:p>
        </w:tc>
        <w:tc>
          <w:tcPr>
            <w:tcW w:w="7745" w:type="dxa"/>
            <w:gridSpan w:val="6"/>
            <w:vAlign w:val="center"/>
            <w:hideMark/>
          </w:tcPr>
          <w:p w14:paraId="55CDDC59" w14:textId="77777777" w:rsidR="00553B84" w:rsidRPr="00BC038A" w:rsidRDefault="00553B84" w:rsidP="00553B84">
            <w:pPr>
              <w:jc w:val="left"/>
              <w:rPr>
                <w:rFonts w:ascii="Arial Narrow" w:hAnsi="Arial Narrow"/>
                <w:color w:val="333333"/>
                <w:sz w:val="20"/>
                <w:szCs w:val="20"/>
              </w:rPr>
            </w:pPr>
            <w:r w:rsidRPr="00BC038A">
              <w:rPr>
                <w:rFonts w:ascii="Arial Narrow" w:hAnsi="Arial Narrow"/>
                <w:b/>
                <w:bCs/>
                <w:color w:val="333333"/>
                <w:sz w:val="20"/>
                <w:szCs w:val="20"/>
              </w:rPr>
              <w:t>AND</w:t>
            </w:r>
          </w:p>
        </w:tc>
      </w:tr>
      <w:tr w:rsidR="00553B84" w:rsidRPr="00BC038A" w14:paraId="56D9951B" w14:textId="77777777" w:rsidTr="00553B84">
        <w:tblPrEx>
          <w:tblCellMar>
            <w:top w:w="15" w:type="dxa"/>
            <w:bottom w:w="15" w:type="dxa"/>
          </w:tblCellMar>
          <w:tblLook w:val="04A0" w:firstRow="1" w:lastRow="0" w:firstColumn="1" w:lastColumn="0" w:noHBand="0" w:noVBand="1"/>
        </w:tblPrEx>
        <w:trPr>
          <w:trHeight w:val="20"/>
        </w:trPr>
        <w:tc>
          <w:tcPr>
            <w:tcW w:w="1269" w:type="dxa"/>
            <w:vAlign w:val="center"/>
          </w:tcPr>
          <w:p w14:paraId="590324C5" w14:textId="0627F7E9" w:rsidR="00553B84" w:rsidRPr="00BC038A" w:rsidRDefault="00553B84" w:rsidP="00553B84">
            <w:pPr>
              <w:jc w:val="left"/>
              <w:rPr>
                <w:rFonts w:ascii="Arial Narrow" w:hAnsi="Arial Narrow"/>
                <w:sz w:val="20"/>
                <w:szCs w:val="20"/>
              </w:rPr>
            </w:pPr>
          </w:p>
        </w:tc>
        <w:tc>
          <w:tcPr>
            <w:tcW w:w="7745" w:type="dxa"/>
            <w:gridSpan w:val="6"/>
            <w:vAlign w:val="center"/>
            <w:hideMark/>
          </w:tcPr>
          <w:p w14:paraId="68A68217" w14:textId="77777777" w:rsidR="00553B84" w:rsidRPr="00BC038A" w:rsidRDefault="00553B84" w:rsidP="00553B84">
            <w:pPr>
              <w:jc w:val="left"/>
              <w:rPr>
                <w:rFonts w:ascii="Arial Narrow" w:hAnsi="Arial Narrow"/>
                <w:color w:val="333333"/>
                <w:sz w:val="20"/>
                <w:szCs w:val="20"/>
              </w:rPr>
            </w:pPr>
            <w:r w:rsidRPr="00BC038A">
              <w:rPr>
                <w:rFonts w:ascii="Arial Narrow" w:hAnsi="Arial Narrow"/>
                <w:b/>
                <w:bCs/>
                <w:color w:val="333333"/>
                <w:sz w:val="20"/>
                <w:szCs w:val="20"/>
              </w:rPr>
              <w:t>Clinical criteria:</w:t>
            </w:r>
          </w:p>
        </w:tc>
      </w:tr>
      <w:tr w:rsidR="00553B84" w:rsidRPr="00BC038A" w14:paraId="43306606" w14:textId="77777777" w:rsidTr="00553B84">
        <w:tblPrEx>
          <w:tblCellMar>
            <w:top w:w="15" w:type="dxa"/>
            <w:bottom w:w="15" w:type="dxa"/>
          </w:tblCellMar>
          <w:tblLook w:val="04A0" w:firstRow="1" w:lastRow="0" w:firstColumn="1" w:lastColumn="0" w:noHBand="0" w:noVBand="1"/>
        </w:tblPrEx>
        <w:trPr>
          <w:trHeight w:val="20"/>
        </w:trPr>
        <w:tc>
          <w:tcPr>
            <w:tcW w:w="1269" w:type="dxa"/>
            <w:vAlign w:val="center"/>
          </w:tcPr>
          <w:p w14:paraId="743A0419" w14:textId="38F7CC15" w:rsidR="00553B84" w:rsidRPr="00BC038A" w:rsidRDefault="00553B84" w:rsidP="00553B84">
            <w:pPr>
              <w:jc w:val="left"/>
              <w:rPr>
                <w:rFonts w:ascii="Arial Narrow" w:hAnsi="Arial Narrow"/>
                <w:sz w:val="20"/>
                <w:szCs w:val="20"/>
              </w:rPr>
            </w:pPr>
          </w:p>
        </w:tc>
        <w:tc>
          <w:tcPr>
            <w:tcW w:w="7745" w:type="dxa"/>
            <w:gridSpan w:val="6"/>
            <w:vAlign w:val="center"/>
            <w:hideMark/>
          </w:tcPr>
          <w:p w14:paraId="70BC245F" w14:textId="77777777" w:rsidR="00553B84" w:rsidRPr="00BC038A" w:rsidRDefault="00553B84" w:rsidP="00553B84">
            <w:pPr>
              <w:jc w:val="left"/>
              <w:rPr>
                <w:rFonts w:ascii="Arial Narrow" w:hAnsi="Arial Narrow"/>
                <w:sz w:val="20"/>
                <w:szCs w:val="20"/>
              </w:rPr>
            </w:pPr>
            <w:r w:rsidRPr="00BC038A">
              <w:rPr>
                <w:rFonts w:ascii="Arial Narrow" w:hAnsi="Arial Narrow"/>
                <w:sz w:val="20"/>
                <w:szCs w:val="20"/>
              </w:rPr>
              <w:t>The treatment must be in conjunction with dietary therapy and exercise,</w:t>
            </w:r>
          </w:p>
          <w:p w14:paraId="7CCC42ED" w14:textId="77777777" w:rsidR="00553B84" w:rsidRPr="00BC038A" w:rsidRDefault="00553B84" w:rsidP="00553B84">
            <w:pPr>
              <w:jc w:val="left"/>
              <w:rPr>
                <w:rFonts w:ascii="Arial Narrow" w:hAnsi="Arial Narrow"/>
                <w:color w:val="FF0000"/>
                <w:sz w:val="20"/>
                <w:szCs w:val="20"/>
              </w:rPr>
            </w:pPr>
          </w:p>
        </w:tc>
      </w:tr>
      <w:tr w:rsidR="00553B84" w:rsidRPr="00BC038A" w14:paraId="7FF3C34B" w14:textId="77777777" w:rsidTr="00553B84">
        <w:tblPrEx>
          <w:tblCellMar>
            <w:top w:w="15" w:type="dxa"/>
            <w:bottom w:w="15" w:type="dxa"/>
          </w:tblCellMar>
          <w:tblLook w:val="04A0" w:firstRow="1" w:lastRow="0" w:firstColumn="1" w:lastColumn="0" w:noHBand="0" w:noVBand="1"/>
        </w:tblPrEx>
        <w:trPr>
          <w:trHeight w:val="20"/>
        </w:trPr>
        <w:tc>
          <w:tcPr>
            <w:tcW w:w="1269" w:type="dxa"/>
            <w:vAlign w:val="center"/>
          </w:tcPr>
          <w:p w14:paraId="32C6CB9F" w14:textId="77777777" w:rsidR="00553B84" w:rsidRPr="00BC038A" w:rsidRDefault="00553B84" w:rsidP="00553B84">
            <w:pPr>
              <w:jc w:val="left"/>
              <w:rPr>
                <w:rFonts w:ascii="Arial Narrow" w:hAnsi="Arial Narrow"/>
                <w:color w:val="FF0000"/>
                <w:sz w:val="20"/>
                <w:szCs w:val="20"/>
              </w:rPr>
            </w:pPr>
          </w:p>
        </w:tc>
        <w:tc>
          <w:tcPr>
            <w:tcW w:w="7745" w:type="dxa"/>
            <w:gridSpan w:val="6"/>
            <w:vAlign w:val="center"/>
            <w:hideMark/>
          </w:tcPr>
          <w:p w14:paraId="0F7E6BA1" w14:textId="77777777" w:rsidR="00553B84" w:rsidRPr="00BC038A" w:rsidRDefault="00553B84" w:rsidP="00553B84">
            <w:pPr>
              <w:jc w:val="left"/>
              <w:rPr>
                <w:rFonts w:ascii="Arial Narrow" w:hAnsi="Arial Narrow"/>
                <w:color w:val="333333"/>
                <w:sz w:val="20"/>
                <w:szCs w:val="20"/>
              </w:rPr>
            </w:pPr>
            <w:r w:rsidRPr="00BC038A">
              <w:rPr>
                <w:rFonts w:ascii="Arial Narrow" w:hAnsi="Arial Narrow"/>
                <w:b/>
                <w:bCs/>
                <w:color w:val="333333"/>
                <w:sz w:val="20"/>
                <w:szCs w:val="20"/>
              </w:rPr>
              <w:t>AND</w:t>
            </w:r>
          </w:p>
        </w:tc>
      </w:tr>
      <w:tr w:rsidR="00553B84" w:rsidRPr="00BC038A" w14:paraId="1E51FEA1" w14:textId="77777777" w:rsidTr="00553B84">
        <w:tblPrEx>
          <w:tblCellMar>
            <w:top w:w="15" w:type="dxa"/>
            <w:bottom w:w="15" w:type="dxa"/>
          </w:tblCellMar>
          <w:tblLook w:val="04A0" w:firstRow="1" w:lastRow="0" w:firstColumn="1" w:lastColumn="0" w:noHBand="0" w:noVBand="1"/>
        </w:tblPrEx>
        <w:trPr>
          <w:trHeight w:val="20"/>
        </w:trPr>
        <w:tc>
          <w:tcPr>
            <w:tcW w:w="1269" w:type="dxa"/>
            <w:vAlign w:val="center"/>
          </w:tcPr>
          <w:p w14:paraId="45982336" w14:textId="77777777" w:rsidR="00553B84" w:rsidRPr="00BC038A" w:rsidRDefault="00553B84" w:rsidP="00553B84">
            <w:pPr>
              <w:jc w:val="left"/>
              <w:rPr>
                <w:rFonts w:ascii="Arial Narrow" w:hAnsi="Arial Narrow"/>
                <w:color w:val="FF0000"/>
                <w:sz w:val="20"/>
                <w:szCs w:val="20"/>
              </w:rPr>
            </w:pPr>
          </w:p>
        </w:tc>
        <w:tc>
          <w:tcPr>
            <w:tcW w:w="7745" w:type="dxa"/>
            <w:gridSpan w:val="6"/>
            <w:vAlign w:val="center"/>
            <w:hideMark/>
          </w:tcPr>
          <w:p w14:paraId="788B97F8" w14:textId="77777777" w:rsidR="00553B84" w:rsidRPr="00BC038A" w:rsidRDefault="00553B84" w:rsidP="00553B84">
            <w:pPr>
              <w:jc w:val="left"/>
              <w:rPr>
                <w:rFonts w:ascii="Arial Narrow" w:hAnsi="Arial Narrow"/>
                <w:color w:val="333333"/>
                <w:sz w:val="20"/>
                <w:szCs w:val="20"/>
              </w:rPr>
            </w:pPr>
            <w:r w:rsidRPr="00BC038A">
              <w:rPr>
                <w:rFonts w:ascii="Arial Narrow" w:hAnsi="Arial Narrow"/>
                <w:b/>
                <w:bCs/>
                <w:color w:val="333333"/>
                <w:sz w:val="20"/>
                <w:szCs w:val="20"/>
              </w:rPr>
              <w:t>AND</w:t>
            </w:r>
          </w:p>
        </w:tc>
      </w:tr>
      <w:tr w:rsidR="00553B84" w:rsidRPr="00BC038A" w14:paraId="2693A7D2"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4AA231F1" w14:textId="155D04B1" w:rsidR="00553B84" w:rsidRPr="00BC038A" w:rsidRDefault="00553B84" w:rsidP="00553B84">
            <w:pPr>
              <w:jc w:val="left"/>
              <w:rPr>
                <w:rFonts w:ascii="Arial Narrow" w:hAnsi="Arial Narrow"/>
                <w:color w:val="FF0000"/>
                <w:sz w:val="20"/>
                <w:szCs w:val="20"/>
              </w:rPr>
            </w:pPr>
          </w:p>
        </w:tc>
        <w:tc>
          <w:tcPr>
            <w:tcW w:w="7745" w:type="dxa"/>
            <w:gridSpan w:val="6"/>
            <w:vAlign w:val="center"/>
            <w:hideMark/>
          </w:tcPr>
          <w:p w14:paraId="4B62C105" w14:textId="77777777" w:rsidR="00553B84" w:rsidRPr="00BC038A" w:rsidRDefault="00553B84" w:rsidP="00553B84">
            <w:pPr>
              <w:jc w:val="left"/>
              <w:rPr>
                <w:rFonts w:ascii="Arial Narrow" w:hAnsi="Arial Narrow"/>
                <w:color w:val="333333"/>
                <w:sz w:val="20"/>
                <w:szCs w:val="20"/>
              </w:rPr>
            </w:pPr>
            <w:r w:rsidRPr="00BC038A">
              <w:rPr>
                <w:rFonts w:ascii="Arial Narrow" w:hAnsi="Arial Narrow"/>
                <w:b/>
                <w:bCs/>
                <w:color w:val="333333"/>
                <w:sz w:val="20"/>
                <w:szCs w:val="20"/>
              </w:rPr>
              <w:t>Clinical criteria:</w:t>
            </w:r>
          </w:p>
        </w:tc>
      </w:tr>
      <w:tr w:rsidR="00553B84" w:rsidRPr="00BC038A" w14:paraId="560372F1"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0999F650" w14:textId="2C89C395" w:rsidR="00553B84" w:rsidRPr="00BC038A" w:rsidRDefault="00553B84" w:rsidP="00553B84">
            <w:pPr>
              <w:jc w:val="left"/>
              <w:rPr>
                <w:rFonts w:ascii="Arial Narrow" w:hAnsi="Arial Narrow"/>
                <w:color w:val="FF0000"/>
                <w:sz w:val="20"/>
                <w:szCs w:val="20"/>
              </w:rPr>
            </w:pPr>
          </w:p>
        </w:tc>
        <w:tc>
          <w:tcPr>
            <w:tcW w:w="7745" w:type="dxa"/>
            <w:gridSpan w:val="6"/>
            <w:vAlign w:val="center"/>
            <w:hideMark/>
          </w:tcPr>
          <w:p w14:paraId="728B186D" w14:textId="77777777" w:rsidR="00553B84" w:rsidRPr="00BC038A" w:rsidRDefault="00553B84" w:rsidP="00553B84">
            <w:pPr>
              <w:jc w:val="left"/>
              <w:rPr>
                <w:rFonts w:ascii="Arial Narrow" w:hAnsi="Arial Narrow"/>
                <w:color w:val="333333"/>
                <w:sz w:val="20"/>
                <w:szCs w:val="20"/>
              </w:rPr>
            </w:pPr>
            <w:r w:rsidRPr="00BC038A">
              <w:rPr>
                <w:rFonts w:ascii="Arial Narrow" w:hAnsi="Arial Narrow"/>
                <w:color w:val="333333"/>
                <w:sz w:val="20"/>
                <w:szCs w:val="20"/>
              </w:rPr>
              <w:t xml:space="preserve">Patient must have had symptomatic atherosclerotic cardiovascular disease prior to starting non-PBS-subsidised treatment with this drug for this condition, </w:t>
            </w:r>
          </w:p>
          <w:p w14:paraId="5D3504BB" w14:textId="77777777" w:rsidR="00553B84" w:rsidRPr="00BC038A" w:rsidRDefault="00553B84" w:rsidP="00553B84">
            <w:pPr>
              <w:jc w:val="left"/>
              <w:rPr>
                <w:rFonts w:ascii="Arial Narrow" w:hAnsi="Arial Narrow"/>
                <w:color w:val="333333"/>
                <w:sz w:val="20"/>
                <w:szCs w:val="20"/>
              </w:rPr>
            </w:pPr>
          </w:p>
        </w:tc>
      </w:tr>
      <w:tr w:rsidR="00553B84" w:rsidRPr="00BC038A" w14:paraId="4DE4E2D1"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5D5D6ECD" w14:textId="77777777" w:rsidR="00553B84" w:rsidRPr="00BC038A" w:rsidRDefault="00553B84" w:rsidP="00553B84">
            <w:pPr>
              <w:jc w:val="left"/>
              <w:rPr>
                <w:rFonts w:ascii="Arial Narrow" w:hAnsi="Arial Narrow"/>
                <w:color w:val="FF0000"/>
                <w:sz w:val="20"/>
                <w:szCs w:val="20"/>
                <w:highlight w:val="yellow"/>
              </w:rPr>
            </w:pPr>
          </w:p>
        </w:tc>
        <w:tc>
          <w:tcPr>
            <w:tcW w:w="7745" w:type="dxa"/>
            <w:gridSpan w:val="6"/>
            <w:vAlign w:val="center"/>
            <w:hideMark/>
          </w:tcPr>
          <w:p w14:paraId="647093D9" w14:textId="77777777" w:rsidR="00553B84" w:rsidRPr="00BC038A" w:rsidRDefault="00553B84" w:rsidP="00553B84">
            <w:pPr>
              <w:jc w:val="left"/>
              <w:rPr>
                <w:rFonts w:ascii="Arial Narrow" w:hAnsi="Arial Narrow"/>
                <w:color w:val="333333"/>
                <w:sz w:val="20"/>
                <w:szCs w:val="20"/>
              </w:rPr>
            </w:pPr>
            <w:r w:rsidRPr="00BC038A">
              <w:rPr>
                <w:rFonts w:ascii="Arial Narrow" w:hAnsi="Arial Narrow"/>
                <w:b/>
                <w:bCs/>
                <w:color w:val="333333"/>
                <w:sz w:val="20"/>
                <w:szCs w:val="20"/>
              </w:rPr>
              <w:t>AND</w:t>
            </w:r>
          </w:p>
        </w:tc>
      </w:tr>
      <w:tr w:rsidR="00553B84" w:rsidRPr="00BC038A" w14:paraId="15CD56D7" w14:textId="77777777" w:rsidTr="00553B84">
        <w:tblPrEx>
          <w:tblCellMar>
            <w:top w:w="15" w:type="dxa"/>
            <w:bottom w:w="15" w:type="dxa"/>
          </w:tblCellMar>
          <w:tblLook w:val="04A0" w:firstRow="1" w:lastRow="0" w:firstColumn="1" w:lastColumn="0" w:noHBand="0" w:noVBand="1"/>
        </w:tblPrEx>
        <w:trPr>
          <w:trHeight w:val="20"/>
        </w:trPr>
        <w:tc>
          <w:tcPr>
            <w:tcW w:w="1269" w:type="dxa"/>
            <w:vAlign w:val="center"/>
          </w:tcPr>
          <w:p w14:paraId="60DE56D9" w14:textId="77777777" w:rsidR="00553B84" w:rsidRPr="00BC038A" w:rsidRDefault="00553B84" w:rsidP="00553B84">
            <w:pPr>
              <w:jc w:val="left"/>
              <w:rPr>
                <w:rFonts w:ascii="Arial Narrow" w:hAnsi="Arial Narrow"/>
                <w:color w:val="FF0000"/>
                <w:sz w:val="20"/>
                <w:szCs w:val="20"/>
                <w:highlight w:val="yellow"/>
              </w:rPr>
            </w:pPr>
          </w:p>
        </w:tc>
        <w:tc>
          <w:tcPr>
            <w:tcW w:w="7745" w:type="dxa"/>
            <w:gridSpan w:val="6"/>
            <w:vAlign w:val="center"/>
            <w:hideMark/>
          </w:tcPr>
          <w:p w14:paraId="4CB6A463" w14:textId="77777777" w:rsidR="00553B84" w:rsidRPr="00BC038A" w:rsidRDefault="00553B84" w:rsidP="00553B84">
            <w:pPr>
              <w:jc w:val="left"/>
              <w:rPr>
                <w:rFonts w:ascii="Arial Narrow" w:hAnsi="Arial Narrow"/>
                <w:color w:val="333333"/>
                <w:sz w:val="20"/>
                <w:szCs w:val="20"/>
              </w:rPr>
            </w:pPr>
            <w:r w:rsidRPr="00BC038A">
              <w:rPr>
                <w:rFonts w:ascii="Arial Narrow" w:hAnsi="Arial Narrow"/>
                <w:b/>
                <w:bCs/>
                <w:color w:val="333333"/>
                <w:sz w:val="20"/>
                <w:szCs w:val="20"/>
              </w:rPr>
              <w:t>Clinical criteria:</w:t>
            </w:r>
          </w:p>
        </w:tc>
      </w:tr>
      <w:tr w:rsidR="00553B84" w:rsidRPr="00BC038A" w14:paraId="47864719" w14:textId="77777777" w:rsidTr="00553B84">
        <w:tblPrEx>
          <w:tblCellMar>
            <w:top w:w="15" w:type="dxa"/>
            <w:bottom w:w="15" w:type="dxa"/>
          </w:tblCellMar>
          <w:tblLook w:val="04A0" w:firstRow="1" w:lastRow="0" w:firstColumn="1" w:lastColumn="0" w:noHBand="0" w:noVBand="1"/>
        </w:tblPrEx>
        <w:trPr>
          <w:trHeight w:val="20"/>
        </w:trPr>
        <w:tc>
          <w:tcPr>
            <w:tcW w:w="1269" w:type="dxa"/>
            <w:vAlign w:val="center"/>
          </w:tcPr>
          <w:p w14:paraId="018926AA" w14:textId="3C20F755" w:rsidR="00553B84" w:rsidRPr="00BC038A" w:rsidRDefault="00553B84" w:rsidP="00553B84">
            <w:pPr>
              <w:jc w:val="left"/>
              <w:rPr>
                <w:rFonts w:ascii="Arial Narrow" w:hAnsi="Arial Narrow"/>
                <w:color w:val="FF0000"/>
                <w:sz w:val="20"/>
                <w:szCs w:val="20"/>
              </w:rPr>
            </w:pPr>
          </w:p>
        </w:tc>
        <w:tc>
          <w:tcPr>
            <w:tcW w:w="7745" w:type="dxa"/>
            <w:gridSpan w:val="6"/>
            <w:vAlign w:val="center"/>
            <w:hideMark/>
          </w:tcPr>
          <w:p w14:paraId="059CEFD9" w14:textId="77777777" w:rsidR="00553B84" w:rsidRPr="00BC038A" w:rsidRDefault="00553B84" w:rsidP="00553B84">
            <w:pPr>
              <w:jc w:val="left"/>
              <w:rPr>
                <w:rFonts w:ascii="Arial Narrow" w:hAnsi="Arial Narrow"/>
                <w:color w:val="333333"/>
                <w:sz w:val="20"/>
                <w:szCs w:val="20"/>
              </w:rPr>
            </w:pPr>
            <w:r w:rsidRPr="00BC038A">
              <w:rPr>
                <w:rFonts w:ascii="Arial Narrow" w:hAnsi="Arial Narrow"/>
                <w:color w:val="333333"/>
                <w:sz w:val="20"/>
                <w:szCs w:val="20"/>
              </w:rPr>
              <w:t xml:space="preserve">Patient must have had an LDL cholesterol level in excess of 1.8 millimoles per litre prior to starting non-PBS-subsidised treatment with this drug for this condition, </w:t>
            </w:r>
          </w:p>
          <w:p w14:paraId="70AA1220" w14:textId="77777777" w:rsidR="00553B84" w:rsidRPr="00BC038A" w:rsidRDefault="00553B84" w:rsidP="00553B84">
            <w:pPr>
              <w:jc w:val="left"/>
              <w:rPr>
                <w:rFonts w:ascii="Arial Narrow" w:hAnsi="Arial Narrow"/>
                <w:color w:val="333333"/>
                <w:sz w:val="20"/>
                <w:szCs w:val="20"/>
              </w:rPr>
            </w:pPr>
          </w:p>
        </w:tc>
      </w:tr>
      <w:tr w:rsidR="00553B84" w:rsidRPr="00BC038A" w14:paraId="3D0A9EDE" w14:textId="77777777" w:rsidTr="00553B84">
        <w:tblPrEx>
          <w:tblCellMar>
            <w:top w:w="15" w:type="dxa"/>
            <w:bottom w:w="15" w:type="dxa"/>
          </w:tblCellMar>
          <w:tblLook w:val="04A0" w:firstRow="1" w:lastRow="0" w:firstColumn="1" w:lastColumn="0" w:noHBand="0" w:noVBand="1"/>
        </w:tblPrEx>
        <w:trPr>
          <w:trHeight w:val="20"/>
        </w:trPr>
        <w:tc>
          <w:tcPr>
            <w:tcW w:w="1269" w:type="dxa"/>
            <w:vAlign w:val="center"/>
          </w:tcPr>
          <w:p w14:paraId="05627336" w14:textId="77777777" w:rsidR="00553B84" w:rsidRPr="00BC038A" w:rsidRDefault="00553B84" w:rsidP="00553B84">
            <w:pPr>
              <w:jc w:val="left"/>
              <w:rPr>
                <w:rFonts w:ascii="Arial Narrow" w:hAnsi="Arial Narrow"/>
                <w:color w:val="FF0000"/>
                <w:sz w:val="20"/>
                <w:szCs w:val="20"/>
              </w:rPr>
            </w:pPr>
          </w:p>
        </w:tc>
        <w:tc>
          <w:tcPr>
            <w:tcW w:w="7745" w:type="dxa"/>
            <w:gridSpan w:val="6"/>
            <w:vAlign w:val="center"/>
            <w:hideMark/>
          </w:tcPr>
          <w:p w14:paraId="2CEA8C06" w14:textId="77777777" w:rsidR="00553B84" w:rsidRPr="00BC038A" w:rsidRDefault="00553B84" w:rsidP="00553B84">
            <w:pPr>
              <w:jc w:val="left"/>
              <w:rPr>
                <w:rFonts w:ascii="Arial Narrow" w:hAnsi="Arial Narrow"/>
                <w:color w:val="333333"/>
                <w:sz w:val="20"/>
                <w:szCs w:val="20"/>
              </w:rPr>
            </w:pPr>
            <w:r w:rsidRPr="00BC038A">
              <w:rPr>
                <w:rFonts w:ascii="Arial Narrow" w:hAnsi="Arial Narrow"/>
                <w:b/>
                <w:bCs/>
                <w:color w:val="333333"/>
                <w:sz w:val="20"/>
                <w:szCs w:val="20"/>
              </w:rPr>
              <w:t>AND</w:t>
            </w:r>
          </w:p>
        </w:tc>
      </w:tr>
      <w:tr w:rsidR="00553B84" w:rsidRPr="00BC038A" w14:paraId="22B91768"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5B7D7893" w14:textId="57BD474D" w:rsidR="00553B84" w:rsidRPr="00BC038A" w:rsidRDefault="00553B84" w:rsidP="00553B84">
            <w:pPr>
              <w:jc w:val="left"/>
              <w:rPr>
                <w:rFonts w:ascii="Arial Narrow" w:hAnsi="Arial Narrow"/>
                <w:color w:val="FF0000"/>
                <w:sz w:val="20"/>
                <w:szCs w:val="20"/>
              </w:rPr>
            </w:pPr>
          </w:p>
        </w:tc>
        <w:tc>
          <w:tcPr>
            <w:tcW w:w="7745" w:type="dxa"/>
            <w:gridSpan w:val="6"/>
          </w:tcPr>
          <w:p w14:paraId="778775A4" w14:textId="77777777" w:rsidR="00553B84" w:rsidRPr="00BC038A" w:rsidRDefault="00553B84" w:rsidP="00553B84">
            <w:pPr>
              <w:jc w:val="left"/>
              <w:rPr>
                <w:rFonts w:ascii="Arial Narrow" w:hAnsi="Arial Narrow"/>
                <w:b/>
                <w:bCs/>
                <w:color w:val="333333"/>
                <w:sz w:val="20"/>
                <w:szCs w:val="20"/>
              </w:rPr>
            </w:pPr>
            <w:r w:rsidRPr="00BC038A">
              <w:rPr>
                <w:rFonts w:ascii="Arial Narrow" w:hAnsi="Arial Narrow"/>
                <w:b/>
                <w:bCs/>
                <w:sz w:val="20"/>
                <w:szCs w:val="20"/>
              </w:rPr>
              <w:t>Clinical criteria:</w:t>
            </w:r>
          </w:p>
        </w:tc>
      </w:tr>
      <w:tr w:rsidR="00553B84" w:rsidRPr="00BC038A" w14:paraId="6CDAAE62"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31C3A9F4" w14:textId="1365437F" w:rsidR="00553B84" w:rsidRPr="00BC038A" w:rsidRDefault="00553B84" w:rsidP="00553B84">
            <w:pPr>
              <w:jc w:val="left"/>
              <w:rPr>
                <w:rFonts w:ascii="Arial Narrow" w:hAnsi="Arial Narrow"/>
                <w:color w:val="FF0000"/>
                <w:sz w:val="20"/>
                <w:szCs w:val="20"/>
              </w:rPr>
            </w:pPr>
          </w:p>
        </w:tc>
        <w:tc>
          <w:tcPr>
            <w:tcW w:w="7745" w:type="dxa"/>
            <w:gridSpan w:val="6"/>
          </w:tcPr>
          <w:p w14:paraId="3A5BBFD2" w14:textId="77777777" w:rsidR="00553B84" w:rsidRPr="00BC038A" w:rsidRDefault="00553B84" w:rsidP="00553B84">
            <w:pPr>
              <w:jc w:val="left"/>
              <w:rPr>
                <w:rFonts w:ascii="Arial Narrow" w:hAnsi="Arial Narrow"/>
                <w:b/>
                <w:bCs/>
                <w:color w:val="333333"/>
                <w:sz w:val="20"/>
                <w:szCs w:val="20"/>
              </w:rPr>
            </w:pPr>
            <w:r w:rsidRPr="00BC038A">
              <w:rPr>
                <w:rFonts w:ascii="Arial Narrow" w:hAnsi="Arial Narrow"/>
                <w:sz w:val="20"/>
                <w:szCs w:val="20"/>
              </w:rPr>
              <w:t>Patient must have had atherosclerotic disease in two or more vascular territories (coronary, cerebrovascular or peripheral vascular territories) prior to starting non-PBS-subsidised treatment with this drug for this condition; or</w:t>
            </w:r>
          </w:p>
        </w:tc>
      </w:tr>
      <w:tr w:rsidR="00553B84" w:rsidRPr="00BC038A" w14:paraId="01535B00"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1C60D04D" w14:textId="2EDB0F8B" w:rsidR="00553B84" w:rsidRPr="00BC038A" w:rsidRDefault="00553B84" w:rsidP="00553B84">
            <w:pPr>
              <w:jc w:val="left"/>
              <w:rPr>
                <w:rFonts w:ascii="Arial Narrow" w:hAnsi="Arial Narrow"/>
                <w:color w:val="FF0000"/>
                <w:sz w:val="20"/>
                <w:szCs w:val="20"/>
              </w:rPr>
            </w:pPr>
          </w:p>
        </w:tc>
        <w:tc>
          <w:tcPr>
            <w:tcW w:w="7745" w:type="dxa"/>
            <w:gridSpan w:val="6"/>
          </w:tcPr>
          <w:p w14:paraId="4923E6A0" w14:textId="77777777" w:rsidR="00553B84" w:rsidRPr="00BC038A" w:rsidRDefault="00553B84" w:rsidP="00553B84">
            <w:pPr>
              <w:jc w:val="left"/>
              <w:rPr>
                <w:rFonts w:ascii="Arial Narrow" w:hAnsi="Arial Narrow"/>
                <w:b/>
                <w:bCs/>
                <w:color w:val="333333"/>
                <w:sz w:val="20"/>
                <w:szCs w:val="20"/>
              </w:rPr>
            </w:pPr>
            <w:r w:rsidRPr="00BC038A">
              <w:rPr>
                <w:rFonts w:ascii="Arial Narrow" w:hAnsi="Arial Narrow"/>
                <w:sz w:val="20"/>
                <w:szCs w:val="20"/>
              </w:rPr>
              <w:t>Patient must have had severe multi-vessel coronary heart disease defined as at least 50% stenosis in at least two large vessels prior to starting non-PBS-subsidised treatment with this drug for this condition; or</w:t>
            </w:r>
          </w:p>
        </w:tc>
      </w:tr>
      <w:tr w:rsidR="00553B84" w:rsidRPr="00BC038A" w14:paraId="2133061C"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75D6BE6D" w14:textId="24F00803" w:rsidR="00553B84" w:rsidRPr="00BC038A" w:rsidRDefault="00553B84" w:rsidP="00553B84">
            <w:pPr>
              <w:jc w:val="left"/>
              <w:rPr>
                <w:rFonts w:ascii="Arial Narrow" w:hAnsi="Arial Narrow"/>
                <w:color w:val="FF0000"/>
                <w:sz w:val="20"/>
                <w:szCs w:val="20"/>
              </w:rPr>
            </w:pPr>
          </w:p>
        </w:tc>
        <w:tc>
          <w:tcPr>
            <w:tcW w:w="7745" w:type="dxa"/>
            <w:gridSpan w:val="6"/>
          </w:tcPr>
          <w:p w14:paraId="4A545AFA" w14:textId="77777777" w:rsidR="00553B84" w:rsidRPr="00BC038A" w:rsidRDefault="00553B84" w:rsidP="00553B84">
            <w:pPr>
              <w:jc w:val="left"/>
              <w:rPr>
                <w:rFonts w:ascii="Arial Narrow" w:hAnsi="Arial Narrow"/>
                <w:b/>
                <w:bCs/>
                <w:color w:val="333333"/>
                <w:sz w:val="20"/>
                <w:szCs w:val="20"/>
              </w:rPr>
            </w:pPr>
            <w:r w:rsidRPr="00BC038A">
              <w:rPr>
                <w:rFonts w:ascii="Arial Narrow" w:hAnsi="Arial Narrow"/>
                <w:sz w:val="20"/>
                <w:szCs w:val="20"/>
              </w:rPr>
              <w:t>Patient must have had at least two major cardiovascular events (i.e. myocardial infarction, unstable angina, stroke or unplanned revascularisation) in the previous 5 years prior to starting non-PBS-subsidised treatment with this drug for this condition; or</w:t>
            </w:r>
          </w:p>
        </w:tc>
      </w:tr>
      <w:tr w:rsidR="00553B84" w:rsidRPr="00BC038A" w14:paraId="0B41BA3B"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3D7E191E" w14:textId="27701DA1" w:rsidR="00553B84" w:rsidRPr="00BC038A" w:rsidRDefault="00553B84" w:rsidP="00553B84">
            <w:pPr>
              <w:jc w:val="left"/>
              <w:rPr>
                <w:rFonts w:ascii="Arial Narrow" w:hAnsi="Arial Narrow"/>
                <w:color w:val="FF0000"/>
                <w:sz w:val="20"/>
                <w:szCs w:val="20"/>
              </w:rPr>
            </w:pPr>
          </w:p>
        </w:tc>
        <w:tc>
          <w:tcPr>
            <w:tcW w:w="7745" w:type="dxa"/>
            <w:gridSpan w:val="6"/>
          </w:tcPr>
          <w:p w14:paraId="29966F8A" w14:textId="77777777" w:rsidR="00553B84" w:rsidRPr="00BC038A" w:rsidRDefault="00553B84" w:rsidP="00553B84">
            <w:pPr>
              <w:jc w:val="left"/>
              <w:rPr>
                <w:rFonts w:ascii="Arial Narrow" w:hAnsi="Arial Narrow"/>
                <w:b/>
                <w:bCs/>
                <w:color w:val="333333"/>
                <w:sz w:val="20"/>
                <w:szCs w:val="20"/>
              </w:rPr>
            </w:pPr>
            <w:r w:rsidRPr="00BC038A">
              <w:rPr>
                <w:rFonts w:ascii="Arial Narrow" w:hAnsi="Arial Narrow"/>
                <w:sz w:val="20"/>
                <w:szCs w:val="20"/>
              </w:rPr>
              <w:t>Patient must have had diabetes mellitus with microalbuminuria prior to starting non-PBS-subsidised treatment with this drug for this condition; or</w:t>
            </w:r>
          </w:p>
        </w:tc>
      </w:tr>
      <w:tr w:rsidR="00553B84" w:rsidRPr="00BC038A" w14:paraId="077F21DC"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73922CA4" w14:textId="132D685B" w:rsidR="00553B84" w:rsidRPr="00BC038A" w:rsidRDefault="00553B84" w:rsidP="00553B84">
            <w:pPr>
              <w:jc w:val="left"/>
              <w:rPr>
                <w:rFonts w:ascii="Arial Narrow" w:hAnsi="Arial Narrow"/>
                <w:color w:val="FF0000"/>
                <w:sz w:val="20"/>
                <w:szCs w:val="20"/>
              </w:rPr>
            </w:pPr>
          </w:p>
        </w:tc>
        <w:tc>
          <w:tcPr>
            <w:tcW w:w="7745" w:type="dxa"/>
            <w:gridSpan w:val="6"/>
          </w:tcPr>
          <w:p w14:paraId="49C78D28" w14:textId="77777777" w:rsidR="00553B84" w:rsidRPr="00BC038A" w:rsidRDefault="00553B84" w:rsidP="00553B84">
            <w:pPr>
              <w:jc w:val="left"/>
              <w:rPr>
                <w:rFonts w:ascii="Arial Narrow" w:hAnsi="Arial Narrow"/>
                <w:b/>
                <w:bCs/>
                <w:color w:val="333333"/>
                <w:sz w:val="20"/>
                <w:szCs w:val="20"/>
              </w:rPr>
            </w:pPr>
            <w:r w:rsidRPr="00BC038A">
              <w:rPr>
                <w:rFonts w:ascii="Arial Narrow" w:hAnsi="Arial Narrow"/>
                <w:sz w:val="20"/>
                <w:szCs w:val="20"/>
              </w:rPr>
              <w:t>Patient must have had diabetes mellitus and be aged 60 years of more prior to starting non-PBS-subsidised treatment with this drug for this condition; or</w:t>
            </w:r>
          </w:p>
        </w:tc>
      </w:tr>
      <w:tr w:rsidR="00553B84" w:rsidRPr="00BC038A" w14:paraId="5C1CB710"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33429EBC" w14:textId="50092DBE" w:rsidR="00553B84" w:rsidRPr="00BC038A" w:rsidRDefault="00553B84" w:rsidP="00553B84">
            <w:pPr>
              <w:jc w:val="left"/>
              <w:rPr>
                <w:rFonts w:ascii="Arial Narrow" w:hAnsi="Arial Narrow"/>
                <w:color w:val="FF0000"/>
                <w:sz w:val="20"/>
                <w:szCs w:val="20"/>
              </w:rPr>
            </w:pPr>
          </w:p>
        </w:tc>
        <w:tc>
          <w:tcPr>
            <w:tcW w:w="7745" w:type="dxa"/>
            <w:gridSpan w:val="6"/>
          </w:tcPr>
          <w:p w14:paraId="1DD05369" w14:textId="77777777" w:rsidR="00553B84" w:rsidRPr="00BC038A" w:rsidRDefault="00553B84" w:rsidP="00553B84">
            <w:pPr>
              <w:jc w:val="left"/>
              <w:rPr>
                <w:rFonts w:ascii="Arial Narrow" w:hAnsi="Arial Narrow"/>
                <w:b/>
                <w:bCs/>
                <w:color w:val="333333"/>
                <w:sz w:val="20"/>
                <w:szCs w:val="20"/>
              </w:rPr>
            </w:pPr>
            <w:r w:rsidRPr="00BC038A">
              <w:rPr>
                <w:rFonts w:ascii="Arial Narrow" w:hAnsi="Arial Narrow"/>
                <w:sz w:val="20"/>
                <w:szCs w:val="20"/>
              </w:rPr>
              <w:t>Patient must be an Aboriginal or Torres Strait Islander with diabetes mellitus that was present prior to starting non-PBS-subsidised treatment with this drug for this condition; or</w:t>
            </w:r>
          </w:p>
        </w:tc>
      </w:tr>
      <w:tr w:rsidR="00553B84" w:rsidRPr="00BC038A" w14:paraId="25890C81"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54A7CB6F" w14:textId="0B2CC531" w:rsidR="00553B84" w:rsidRPr="00BC038A" w:rsidRDefault="00553B84" w:rsidP="00553B84">
            <w:pPr>
              <w:jc w:val="left"/>
              <w:rPr>
                <w:rFonts w:ascii="Arial Narrow" w:hAnsi="Arial Narrow"/>
                <w:color w:val="FF0000"/>
                <w:sz w:val="20"/>
                <w:szCs w:val="20"/>
              </w:rPr>
            </w:pPr>
          </w:p>
        </w:tc>
        <w:tc>
          <w:tcPr>
            <w:tcW w:w="7745" w:type="dxa"/>
            <w:gridSpan w:val="6"/>
          </w:tcPr>
          <w:p w14:paraId="44344D5F" w14:textId="77777777" w:rsidR="00553B84" w:rsidRPr="00BC038A" w:rsidRDefault="00553B84" w:rsidP="00553B84">
            <w:pPr>
              <w:jc w:val="left"/>
              <w:rPr>
                <w:rFonts w:ascii="Arial Narrow" w:hAnsi="Arial Narrow"/>
                <w:b/>
                <w:bCs/>
                <w:color w:val="333333"/>
                <w:sz w:val="20"/>
                <w:szCs w:val="20"/>
              </w:rPr>
            </w:pPr>
            <w:r w:rsidRPr="00BC038A">
              <w:rPr>
                <w:rFonts w:ascii="Arial Narrow" w:hAnsi="Arial Narrow"/>
                <w:sz w:val="20"/>
                <w:szCs w:val="20"/>
              </w:rPr>
              <w:t>Patient must have had a Thrombolysis in Myocardial Infarction (TIMI) Risk Score for Secondary Prevention of 4 or higher prior to starting non-PBS-subsidised treatment with this drug for this condition</w:t>
            </w:r>
          </w:p>
        </w:tc>
      </w:tr>
      <w:tr w:rsidR="00553B84" w:rsidRPr="00BC038A" w14:paraId="07B2F0A8" w14:textId="77777777" w:rsidTr="00553B84">
        <w:tblPrEx>
          <w:tblCellMar>
            <w:top w:w="15" w:type="dxa"/>
            <w:bottom w:w="15" w:type="dxa"/>
          </w:tblCellMar>
          <w:tblLook w:val="04A0" w:firstRow="1" w:lastRow="0" w:firstColumn="1" w:lastColumn="0" w:noHBand="0" w:noVBand="1"/>
        </w:tblPrEx>
        <w:trPr>
          <w:trHeight w:val="20"/>
        </w:trPr>
        <w:tc>
          <w:tcPr>
            <w:tcW w:w="1269" w:type="dxa"/>
            <w:vAlign w:val="center"/>
          </w:tcPr>
          <w:p w14:paraId="15B18649" w14:textId="77777777" w:rsidR="00553B84" w:rsidRPr="00BC038A" w:rsidRDefault="00553B84" w:rsidP="00553B84">
            <w:pPr>
              <w:jc w:val="left"/>
              <w:rPr>
                <w:rFonts w:ascii="Arial Narrow" w:hAnsi="Arial Narrow"/>
                <w:color w:val="FF0000"/>
                <w:sz w:val="20"/>
                <w:szCs w:val="20"/>
              </w:rPr>
            </w:pPr>
          </w:p>
        </w:tc>
        <w:tc>
          <w:tcPr>
            <w:tcW w:w="7745" w:type="dxa"/>
            <w:gridSpan w:val="6"/>
            <w:vAlign w:val="center"/>
            <w:hideMark/>
          </w:tcPr>
          <w:p w14:paraId="567954B1" w14:textId="77777777" w:rsidR="00553B84" w:rsidRPr="00BC038A" w:rsidRDefault="00553B84" w:rsidP="00553B84">
            <w:pPr>
              <w:jc w:val="left"/>
              <w:rPr>
                <w:rFonts w:ascii="Arial Narrow" w:hAnsi="Arial Narrow"/>
                <w:color w:val="333333"/>
                <w:sz w:val="20"/>
                <w:szCs w:val="20"/>
              </w:rPr>
            </w:pPr>
            <w:r w:rsidRPr="00BC038A">
              <w:rPr>
                <w:rFonts w:ascii="Arial Narrow" w:hAnsi="Arial Narrow"/>
                <w:b/>
                <w:bCs/>
                <w:color w:val="333333"/>
                <w:sz w:val="20"/>
                <w:szCs w:val="20"/>
              </w:rPr>
              <w:t>AND</w:t>
            </w:r>
          </w:p>
        </w:tc>
      </w:tr>
      <w:tr w:rsidR="00553B84" w:rsidRPr="00BC038A" w14:paraId="1F5C222B"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76C71526" w14:textId="4F95A33F" w:rsidR="00553B84" w:rsidRPr="00BC038A" w:rsidRDefault="00553B84" w:rsidP="00553B84">
            <w:pPr>
              <w:jc w:val="left"/>
              <w:rPr>
                <w:rFonts w:ascii="Arial Narrow" w:hAnsi="Arial Narrow"/>
                <w:color w:val="FF0000"/>
                <w:sz w:val="20"/>
                <w:szCs w:val="20"/>
              </w:rPr>
            </w:pPr>
          </w:p>
        </w:tc>
        <w:tc>
          <w:tcPr>
            <w:tcW w:w="7745" w:type="dxa"/>
            <w:gridSpan w:val="6"/>
          </w:tcPr>
          <w:p w14:paraId="4E8354E1" w14:textId="77777777" w:rsidR="00553B84" w:rsidRPr="00BC038A" w:rsidRDefault="00553B84" w:rsidP="00553B84">
            <w:pPr>
              <w:jc w:val="left"/>
              <w:rPr>
                <w:rFonts w:ascii="Arial Narrow" w:hAnsi="Arial Narrow"/>
                <w:b/>
                <w:bCs/>
                <w:color w:val="333333"/>
                <w:sz w:val="20"/>
                <w:szCs w:val="20"/>
              </w:rPr>
            </w:pPr>
            <w:r w:rsidRPr="00BC038A">
              <w:rPr>
                <w:rFonts w:ascii="Arial Narrow" w:hAnsi="Arial Narrow"/>
                <w:b/>
                <w:bCs/>
                <w:sz w:val="20"/>
                <w:szCs w:val="20"/>
              </w:rPr>
              <w:t>Clinical criteria:</w:t>
            </w:r>
          </w:p>
        </w:tc>
      </w:tr>
      <w:tr w:rsidR="00553B84" w:rsidRPr="00BC038A" w14:paraId="46E5E98E"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2C978AB6" w14:textId="3AA47570" w:rsidR="00553B84" w:rsidRPr="00BC038A" w:rsidRDefault="00553B84" w:rsidP="00553B84">
            <w:pPr>
              <w:jc w:val="left"/>
              <w:rPr>
                <w:rFonts w:ascii="Arial Narrow" w:hAnsi="Arial Narrow"/>
                <w:color w:val="FF0000"/>
                <w:sz w:val="20"/>
                <w:szCs w:val="20"/>
              </w:rPr>
            </w:pPr>
          </w:p>
        </w:tc>
        <w:tc>
          <w:tcPr>
            <w:tcW w:w="7745" w:type="dxa"/>
            <w:gridSpan w:val="6"/>
          </w:tcPr>
          <w:p w14:paraId="4CB13FB5" w14:textId="77777777" w:rsidR="00553B84" w:rsidRPr="00BC038A" w:rsidRDefault="00553B84" w:rsidP="00553B84">
            <w:pPr>
              <w:jc w:val="left"/>
              <w:rPr>
                <w:rFonts w:ascii="Arial Narrow" w:hAnsi="Arial Narrow"/>
                <w:b/>
                <w:bCs/>
                <w:color w:val="333333"/>
                <w:sz w:val="20"/>
                <w:szCs w:val="20"/>
              </w:rPr>
            </w:pPr>
            <w:r w:rsidRPr="00BC038A">
              <w:rPr>
                <w:rFonts w:ascii="Arial Narrow" w:hAnsi="Arial Narrow"/>
                <w:sz w:val="20"/>
                <w:szCs w:val="20"/>
              </w:rPr>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prior to initiating non-PBS-subsidised treatment with this drug for this condition; or</w:t>
            </w:r>
          </w:p>
        </w:tc>
      </w:tr>
      <w:tr w:rsidR="00553B84" w:rsidRPr="00BC038A" w14:paraId="78DB7DCB"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7D3DCE84" w14:textId="523A2373" w:rsidR="00553B84" w:rsidRPr="00BC038A" w:rsidRDefault="00553B84" w:rsidP="00553B84">
            <w:pPr>
              <w:jc w:val="left"/>
              <w:rPr>
                <w:rFonts w:ascii="Arial Narrow" w:hAnsi="Arial Narrow"/>
                <w:color w:val="FF0000"/>
                <w:sz w:val="20"/>
                <w:szCs w:val="20"/>
              </w:rPr>
            </w:pPr>
          </w:p>
        </w:tc>
        <w:tc>
          <w:tcPr>
            <w:tcW w:w="7745" w:type="dxa"/>
            <w:gridSpan w:val="6"/>
          </w:tcPr>
          <w:p w14:paraId="4728874D" w14:textId="77777777" w:rsidR="00553B84" w:rsidRPr="00BC038A" w:rsidRDefault="00553B84" w:rsidP="00553B84">
            <w:pPr>
              <w:jc w:val="left"/>
              <w:rPr>
                <w:rFonts w:ascii="Arial Narrow" w:hAnsi="Arial Narrow"/>
                <w:b/>
                <w:bCs/>
                <w:color w:val="333333"/>
                <w:sz w:val="20"/>
                <w:szCs w:val="20"/>
              </w:rPr>
            </w:pPr>
            <w:r w:rsidRPr="00BC038A">
              <w:rPr>
                <w:rFonts w:ascii="Arial Narrow" w:hAnsi="Arial Narrow"/>
                <w:sz w:val="20"/>
                <w:szCs w:val="20"/>
              </w:rPr>
              <w:t>Patient must have developed a clinically important product-related adverse event necessitating withdrawal of statin treatment to trials of each of atorvastatin and rosuvastatin prior to initiating non-PBS-subsidised treatment with this drug for this condition; or</w:t>
            </w:r>
          </w:p>
        </w:tc>
      </w:tr>
      <w:tr w:rsidR="00553B84" w:rsidRPr="00BC038A" w14:paraId="4A1D4DF5"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1775D95F" w14:textId="1B6EE3D9" w:rsidR="00553B84" w:rsidRPr="00BC038A" w:rsidRDefault="00553B84" w:rsidP="00553B84">
            <w:pPr>
              <w:jc w:val="left"/>
              <w:rPr>
                <w:rFonts w:ascii="Arial Narrow" w:hAnsi="Arial Narrow"/>
                <w:color w:val="FF0000"/>
                <w:sz w:val="20"/>
                <w:szCs w:val="20"/>
              </w:rPr>
            </w:pPr>
          </w:p>
        </w:tc>
        <w:tc>
          <w:tcPr>
            <w:tcW w:w="7745" w:type="dxa"/>
            <w:gridSpan w:val="6"/>
          </w:tcPr>
          <w:p w14:paraId="1F20D879" w14:textId="77777777" w:rsidR="00553B84" w:rsidRPr="00BC038A" w:rsidRDefault="00553B84" w:rsidP="00553B84">
            <w:pPr>
              <w:jc w:val="left"/>
              <w:rPr>
                <w:rFonts w:ascii="Arial Narrow" w:hAnsi="Arial Narrow"/>
                <w:b/>
                <w:bCs/>
                <w:color w:val="333333"/>
                <w:sz w:val="20"/>
                <w:szCs w:val="20"/>
              </w:rPr>
            </w:pPr>
            <w:r w:rsidRPr="00BC038A">
              <w:rPr>
                <w:rFonts w:ascii="Arial Narrow" w:hAnsi="Arial Narrow"/>
                <w:sz w:val="20"/>
                <w:szCs w:val="20"/>
              </w:rPr>
              <w:t>Patient must be contraindicated to treatment with a HMG CoA reductase inhibitor (statin) as defined in the TGA-approved Product Information</w:t>
            </w:r>
          </w:p>
        </w:tc>
      </w:tr>
      <w:tr w:rsidR="00553B84" w:rsidRPr="00BC038A" w14:paraId="4AD1A830" w14:textId="77777777" w:rsidTr="00553B84">
        <w:tblPrEx>
          <w:tblCellMar>
            <w:top w:w="15" w:type="dxa"/>
            <w:bottom w:w="15" w:type="dxa"/>
          </w:tblCellMar>
          <w:tblLook w:val="04A0" w:firstRow="1" w:lastRow="0" w:firstColumn="1" w:lastColumn="0" w:noHBand="0" w:noVBand="1"/>
        </w:tblPrEx>
        <w:trPr>
          <w:trHeight w:val="20"/>
        </w:trPr>
        <w:tc>
          <w:tcPr>
            <w:tcW w:w="1269" w:type="dxa"/>
            <w:vAlign w:val="center"/>
          </w:tcPr>
          <w:p w14:paraId="61448C17" w14:textId="77777777" w:rsidR="00553B84" w:rsidRPr="00BC038A" w:rsidRDefault="00553B84" w:rsidP="00553B84">
            <w:pPr>
              <w:jc w:val="left"/>
              <w:rPr>
                <w:rFonts w:ascii="Arial Narrow" w:hAnsi="Arial Narrow"/>
                <w:color w:val="FF0000"/>
                <w:sz w:val="20"/>
                <w:szCs w:val="20"/>
              </w:rPr>
            </w:pPr>
          </w:p>
        </w:tc>
        <w:tc>
          <w:tcPr>
            <w:tcW w:w="7745" w:type="dxa"/>
            <w:gridSpan w:val="6"/>
            <w:vAlign w:val="center"/>
            <w:hideMark/>
          </w:tcPr>
          <w:p w14:paraId="1DBF3143" w14:textId="77777777" w:rsidR="00553B84" w:rsidRPr="00BC038A" w:rsidRDefault="00553B84" w:rsidP="00553B84">
            <w:pPr>
              <w:jc w:val="left"/>
              <w:rPr>
                <w:rFonts w:ascii="Arial Narrow" w:hAnsi="Arial Narrow"/>
                <w:color w:val="333333"/>
                <w:sz w:val="20"/>
                <w:szCs w:val="20"/>
              </w:rPr>
            </w:pPr>
            <w:r w:rsidRPr="00BC038A">
              <w:rPr>
                <w:rFonts w:ascii="Arial Narrow" w:hAnsi="Arial Narrow"/>
                <w:b/>
                <w:bCs/>
                <w:color w:val="333333"/>
                <w:sz w:val="20"/>
                <w:szCs w:val="20"/>
              </w:rPr>
              <w:t>AND</w:t>
            </w:r>
          </w:p>
        </w:tc>
      </w:tr>
      <w:tr w:rsidR="00553B84" w:rsidRPr="00BC038A" w14:paraId="43D6092B"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682E12E6" w14:textId="0827B2FC" w:rsidR="00553B84" w:rsidRPr="00BC038A" w:rsidRDefault="00553B84" w:rsidP="00553B84">
            <w:pPr>
              <w:jc w:val="left"/>
              <w:rPr>
                <w:rFonts w:ascii="Arial Narrow" w:hAnsi="Arial Narrow"/>
                <w:color w:val="FF0000"/>
                <w:sz w:val="20"/>
                <w:szCs w:val="20"/>
              </w:rPr>
            </w:pPr>
          </w:p>
        </w:tc>
        <w:tc>
          <w:tcPr>
            <w:tcW w:w="7745" w:type="dxa"/>
            <w:gridSpan w:val="6"/>
            <w:hideMark/>
          </w:tcPr>
          <w:p w14:paraId="4A97FD1C" w14:textId="77777777" w:rsidR="00553B84" w:rsidRPr="00BC038A" w:rsidRDefault="00553B84" w:rsidP="00553B84">
            <w:pPr>
              <w:jc w:val="left"/>
              <w:rPr>
                <w:rFonts w:ascii="Arial Narrow" w:hAnsi="Arial Narrow"/>
                <w:b/>
                <w:bCs/>
                <w:color w:val="333333"/>
                <w:sz w:val="20"/>
                <w:szCs w:val="20"/>
              </w:rPr>
            </w:pPr>
            <w:r w:rsidRPr="00BC038A">
              <w:rPr>
                <w:rFonts w:ascii="Arial Narrow" w:hAnsi="Arial Narrow"/>
                <w:b/>
                <w:bCs/>
                <w:sz w:val="20"/>
                <w:szCs w:val="20"/>
              </w:rPr>
              <w:t>Clinical criteria:</w:t>
            </w:r>
          </w:p>
        </w:tc>
      </w:tr>
      <w:tr w:rsidR="00553B84" w:rsidRPr="00BC038A" w14:paraId="5D6EA334"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052A82FA" w14:textId="760A1508" w:rsidR="00553B84" w:rsidRPr="00BC038A" w:rsidRDefault="00553B84" w:rsidP="00553B84">
            <w:pPr>
              <w:jc w:val="left"/>
              <w:rPr>
                <w:rFonts w:ascii="Arial Narrow" w:hAnsi="Arial Narrow"/>
                <w:color w:val="FF0000"/>
                <w:sz w:val="20"/>
                <w:szCs w:val="20"/>
              </w:rPr>
            </w:pPr>
          </w:p>
        </w:tc>
        <w:tc>
          <w:tcPr>
            <w:tcW w:w="7745" w:type="dxa"/>
            <w:gridSpan w:val="6"/>
            <w:hideMark/>
          </w:tcPr>
          <w:p w14:paraId="4AEF67D1" w14:textId="77777777" w:rsidR="00553B84" w:rsidRPr="00BC038A" w:rsidRDefault="00553B84" w:rsidP="00553B84">
            <w:pPr>
              <w:jc w:val="left"/>
              <w:rPr>
                <w:rFonts w:ascii="Arial Narrow" w:hAnsi="Arial Narrow"/>
                <w:color w:val="333333"/>
                <w:sz w:val="20"/>
                <w:szCs w:val="20"/>
              </w:rPr>
            </w:pPr>
            <w:r w:rsidRPr="00BC038A">
              <w:rPr>
                <w:rFonts w:ascii="Arial Narrow" w:hAnsi="Arial Narrow"/>
                <w:sz w:val="20"/>
                <w:szCs w:val="20"/>
              </w:rPr>
              <w:t>Patient must have been treated with ezetimibe for at least 12 consecutive weeks in conjunction with a statin (if tolerated), dietary therapy and exercise prior to initiating non-PBS-subsidised treatment with this drug for this condition</w:t>
            </w:r>
          </w:p>
        </w:tc>
      </w:tr>
      <w:tr w:rsidR="00553B84" w:rsidRPr="00BC038A" w14:paraId="26274F2A"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7877D967" w14:textId="77777777" w:rsidR="00553B84" w:rsidRPr="00BC038A" w:rsidRDefault="00553B84" w:rsidP="00553B84">
            <w:pPr>
              <w:jc w:val="left"/>
              <w:rPr>
                <w:rFonts w:ascii="Arial Narrow" w:hAnsi="Arial Narrow"/>
                <w:sz w:val="20"/>
                <w:szCs w:val="20"/>
              </w:rPr>
            </w:pPr>
          </w:p>
        </w:tc>
        <w:tc>
          <w:tcPr>
            <w:tcW w:w="7745" w:type="dxa"/>
            <w:gridSpan w:val="6"/>
          </w:tcPr>
          <w:p w14:paraId="28DC4A9E" w14:textId="77777777" w:rsidR="00553B84" w:rsidRPr="00BC038A" w:rsidRDefault="00553B84" w:rsidP="00553B84">
            <w:pPr>
              <w:jc w:val="left"/>
              <w:rPr>
                <w:rFonts w:ascii="Arial Narrow" w:hAnsi="Arial Narrow"/>
                <w:sz w:val="20"/>
                <w:szCs w:val="20"/>
              </w:rPr>
            </w:pPr>
            <w:r w:rsidRPr="00BC038A">
              <w:rPr>
                <w:rFonts w:ascii="Arial Narrow" w:hAnsi="Arial Narrow"/>
                <w:b/>
                <w:bCs/>
                <w:color w:val="333333"/>
                <w:sz w:val="20"/>
                <w:szCs w:val="20"/>
              </w:rPr>
              <w:t>AND</w:t>
            </w:r>
          </w:p>
        </w:tc>
      </w:tr>
      <w:tr w:rsidR="00553B84" w:rsidRPr="00BC038A" w14:paraId="7CB3EB3A" w14:textId="77777777" w:rsidTr="00553B84">
        <w:tblPrEx>
          <w:tblCellMar>
            <w:top w:w="15" w:type="dxa"/>
            <w:bottom w:w="15" w:type="dxa"/>
          </w:tblCellMar>
          <w:tblLook w:val="04A0" w:firstRow="1" w:lastRow="0" w:firstColumn="1" w:lastColumn="0" w:noHBand="0" w:noVBand="1"/>
        </w:tblPrEx>
        <w:trPr>
          <w:trHeight w:val="20"/>
        </w:trPr>
        <w:tc>
          <w:tcPr>
            <w:tcW w:w="1269" w:type="dxa"/>
            <w:vAlign w:val="center"/>
          </w:tcPr>
          <w:p w14:paraId="4D14C7D6" w14:textId="77777777" w:rsidR="00553B84" w:rsidRPr="00BC038A" w:rsidRDefault="00553B84" w:rsidP="00553B84">
            <w:pPr>
              <w:keepNext/>
              <w:jc w:val="left"/>
              <w:rPr>
                <w:rFonts w:ascii="Arial Narrow" w:hAnsi="Arial Narrow"/>
                <w:color w:val="FF0000"/>
                <w:sz w:val="20"/>
                <w:szCs w:val="20"/>
              </w:rPr>
            </w:pPr>
          </w:p>
        </w:tc>
        <w:tc>
          <w:tcPr>
            <w:tcW w:w="7745" w:type="dxa"/>
            <w:gridSpan w:val="6"/>
            <w:vAlign w:val="center"/>
            <w:hideMark/>
          </w:tcPr>
          <w:p w14:paraId="314344D2" w14:textId="77777777" w:rsidR="00553B84" w:rsidRPr="00BC038A" w:rsidRDefault="00553B84" w:rsidP="00553B84">
            <w:pPr>
              <w:keepNext/>
              <w:jc w:val="left"/>
              <w:rPr>
                <w:rFonts w:ascii="Arial Narrow" w:hAnsi="Arial Narrow"/>
                <w:color w:val="333333"/>
                <w:sz w:val="20"/>
                <w:szCs w:val="20"/>
              </w:rPr>
            </w:pPr>
            <w:r w:rsidRPr="00BC038A">
              <w:rPr>
                <w:rFonts w:ascii="Arial Narrow" w:hAnsi="Arial Narrow"/>
                <w:b/>
                <w:bCs/>
                <w:color w:val="333333"/>
                <w:sz w:val="20"/>
                <w:szCs w:val="20"/>
              </w:rPr>
              <w:t>Treatment criteria:</w:t>
            </w:r>
          </w:p>
        </w:tc>
      </w:tr>
      <w:tr w:rsidR="00553B84" w:rsidRPr="00BC038A" w14:paraId="63AC8952" w14:textId="77777777" w:rsidTr="00553B84">
        <w:tblPrEx>
          <w:tblCellMar>
            <w:top w:w="15" w:type="dxa"/>
            <w:bottom w:w="15" w:type="dxa"/>
          </w:tblCellMar>
          <w:tblLook w:val="04A0" w:firstRow="1" w:lastRow="0" w:firstColumn="1" w:lastColumn="0" w:noHBand="0" w:noVBand="1"/>
        </w:tblPrEx>
        <w:trPr>
          <w:trHeight w:val="20"/>
        </w:trPr>
        <w:tc>
          <w:tcPr>
            <w:tcW w:w="1269" w:type="dxa"/>
            <w:vAlign w:val="center"/>
          </w:tcPr>
          <w:p w14:paraId="1D540017" w14:textId="7BD5C98A" w:rsidR="00553B84" w:rsidRPr="00BC038A" w:rsidRDefault="00553B84" w:rsidP="00553B84">
            <w:pPr>
              <w:jc w:val="left"/>
              <w:rPr>
                <w:rFonts w:ascii="Arial Narrow" w:hAnsi="Arial Narrow"/>
                <w:color w:val="FF0000"/>
                <w:sz w:val="20"/>
                <w:szCs w:val="20"/>
              </w:rPr>
            </w:pPr>
          </w:p>
        </w:tc>
        <w:tc>
          <w:tcPr>
            <w:tcW w:w="7745" w:type="dxa"/>
            <w:gridSpan w:val="6"/>
            <w:vAlign w:val="center"/>
            <w:hideMark/>
          </w:tcPr>
          <w:p w14:paraId="3A943B1D" w14:textId="77777777" w:rsidR="00553B84" w:rsidRPr="00BC038A" w:rsidRDefault="00553B84" w:rsidP="00553B84">
            <w:pPr>
              <w:autoSpaceDE w:val="0"/>
              <w:autoSpaceDN w:val="0"/>
              <w:adjustRightInd w:val="0"/>
              <w:jc w:val="left"/>
              <w:rPr>
                <w:rFonts w:ascii="Arial Narrow" w:hAnsi="Arial Narrow" w:cs="Arial Narrow"/>
                <w:i/>
                <w:iCs/>
                <w:sz w:val="20"/>
                <w:szCs w:val="20"/>
              </w:rPr>
            </w:pPr>
            <w:r w:rsidRPr="00BC038A">
              <w:rPr>
                <w:rFonts w:ascii="Arial Narrow" w:hAnsi="Arial Narrow" w:cs="Arial Narrow"/>
                <w:iCs/>
                <w:sz w:val="20"/>
                <w:szCs w:val="20"/>
              </w:rPr>
              <w:t>Must be treated by or in consultation with a specialist physician</w:t>
            </w:r>
          </w:p>
        </w:tc>
      </w:tr>
      <w:tr w:rsidR="00553B84" w:rsidRPr="00BC038A" w14:paraId="3E3E4177"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6D1CFB0F" w14:textId="53A1BA3A" w:rsidR="00553B84" w:rsidRPr="00BC038A" w:rsidRDefault="00553B84" w:rsidP="00553B84">
            <w:pPr>
              <w:jc w:val="left"/>
              <w:rPr>
                <w:rFonts w:ascii="Arial Narrow" w:hAnsi="Arial Narrow"/>
                <w:color w:val="FF0000"/>
                <w:sz w:val="20"/>
                <w:szCs w:val="20"/>
              </w:rPr>
            </w:pPr>
          </w:p>
        </w:tc>
        <w:tc>
          <w:tcPr>
            <w:tcW w:w="7745" w:type="dxa"/>
            <w:gridSpan w:val="6"/>
          </w:tcPr>
          <w:p w14:paraId="0BD85A59" w14:textId="77777777" w:rsidR="00553B84" w:rsidRPr="00BC038A" w:rsidRDefault="00553B84" w:rsidP="00553B84">
            <w:pPr>
              <w:rPr>
                <w:rFonts w:ascii="Arial Narrow" w:hAnsi="Arial Narrow"/>
                <w:sz w:val="20"/>
                <w:szCs w:val="20"/>
              </w:rPr>
            </w:pPr>
            <w:r w:rsidRPr="00BC038A">
              <w:rPr>
                <w:rFonts w:ascii="Arial Narrow" w:hAnsi="Arial Narrow"/>
                <w:b/>
                <w:bCs/>
                <w:sz w:val="20"/>
                <w:szCs w:val="20"/>
              </w:rPr>
              <w:t>Prescribing Instructions:</w:t>
            </w:r>
          </w:p>
          <w:p w14:paraId="060ED164" w14:textId="77777777" w:rsidR="00553B84" w:rsidRPr="00BC038A" w:rsidRDefault="00553B84" w:rsidP="00553B84">
            <w:pPr>
              <w:rPr>
                <w:rFonts w:ascii="Arial Narrow" w:hAnsi="Arial Narrow"/>
                <w:sz w:val="20"/>
                <w:szCs w:val="20"/>
              </w:rPr>
            </w:pPr>
            <w:r w:rsidRPr="00BC038A">
              <w:rPr>
                <w:rFonts w:ascii="Arial Narrow" w:hAnsi="Arial Narrow"/>
                <w:sz w:val="20"/>
                <w:szCs w:val="20"/>
              </w:rPr>
              <w:t>Symptomatic atherosclerotic cardiovascular disease is defined as:</w:t>
            </w:r>
          </w:p>
          <w:p w14:paraId="0183A0A1" w14:textId="77777777" w:rsidR="00553B84" w:rsidRPr="00BC038A" w:rsidRDefault="00553B84" w:rsidP="00553B84">
            <w:pPr>
              <w:rPr>
                <w:rFonts w:ascii="Arial Narrow" w:hAnsi="Arial Narrow"/>
                <w:sz w:val="20"/>
                <w:szCs w:val="20"/>
              </w:rPr>
            </w:pPr>
            <w:r w:rsidRPr="00BC038A">
              <w:rPr>
                <w:rFonts w:ascii="Arial Narrow" w:hAnsi="Arial Narrow"/>
                <w:sz w:val="20"/>
                <w:szCs w:val="20"/>
              </w:rPr>
              <w:t xml:space="preserve">(i) the presence of symptomatic coronary artery disease (prior myocardial infarction, prior revascularisation procedure, angina associated with demonstrated significant coronary artery disease </w:t>
            </w:r>
            <w:r w:rsidRPr="00BC038A">
              <w:rPr>
                <w:rFonts w:ascii="Arial Narrow" w:hAnsi="Arial Narrow"/>
                <w:sz w:val="20"/>
                <w:szCs w:val="20"/>
              </w:rPr>
              <w:lastRenderedPageBreak/>
              <w:t>(50% or greater stenosis in 1 or more coronary arteries on imaging), or positive functional testing (e.g. myocardial perfusion scanning or stress echocardiography); or</w:t>
            </w:r>
          </w:p>
          <w:p w14:paraId="31B5F5EA" w14:textId="77777777" w:rsidR="00553B84" w:rsidRPr="00BC038A" w:rsidRDefault="00553B84" w:rsidP="00553B84">
            <w:pPr>
              <w:rPr>
                <w:rFonts w:ascii="Arial Narrow" w:hAnsi="Arial Narrow"/>
                <w:sz w:val="20"/>
                <w:szCs w:val="20"/>
              </w:rPr>
            </w:pPr>
            <w:r w:rsidRPr="00BC038A">
              <w:rPr>
                <w:rFonts w:ascii="Arial Narrow" w:hAnsi="Arial Narrow"/>
                <w:sz w:val="20"/>
                <w:szCs w:val="20"/>
              </w:rPr>
              <w:t>(ii) the presence of symptomatic cerebrovascular disease (prior ischaemic stroke, prior revascularisation procedure, or transient ischaemic attack associated with 50% or greater stenosis in 1 or more cerebral arteries on imaging); or</w:t>
            </w:r>
          </w:p>
          <w:p w14:paraId="2CA7D90B" w14:textId="77777777" w:rsidR="00553B84" w:rsidRPr="00BC038A" w:rsidRDefault="00553B84" w:rsidP="00553B84">
            <w:pPr>
              <w:jc w:val="left"/>
              <w:rPr>
                <w:rFonts w:ascii="Arial Narrow" w:hAnsi="Arial Narrow"/>
                <w:b/>
                <w:bCs/>
                <w:color w:val="333333"/>
                <w:sz w:val="20"/>
                <w:szCs w:val="20"/>
              </w:rPr>
            </w:pPr>
            <w:r w:rsidRPr="00BC038A">
              <w:rPr>
                <w:rFonts w:ascii="Arial Narrow" w:hAnsi="Arial Narrow"/>
                <w:sz w:val="20"/>
                <w:szCs w:val="20"/>
              </w:rPr>
              <w:t>(iii) the presence of symptomatic peripheral arterial disease (prior acute ischaemic event due to atherosclerosis, prior revascularisation procedure, or symptoms of ischaemia with evidence of significant peripheral artery disease (50% or greater stenosis in 1 or more peripheral arteries on imaging)).</w:t>
            </w:r>
          </w:p>
        </w:tc>
      </w:tr>
      <w:tr w:rsidR="00553B84" w:rsidRPr="00BC038A" w14:paraId="3292BD52"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756258D8" w14:textId="7E723016" w:rsidR="00553B84" w:rsidRPr="00BC038A" w:rsidRDefault="00553B84" w:rsidP="00553B84">
            <w:pPr>
              <w:jc w:val="left"/>
              <w:rPr>
                <w:rFonts w:ascii="Arial Narrow" w:hAnsi="Arial Narrow"/>
                <w:sz w:val="20"/>
                <w:szCs w:val="20"/>
              </w:rPr>
            </w:pPr>
          </w:p>
        </w:tc>
        <w:tc>
          <w:tcPr>
            <w:tcW w:w="7745" w:type="dxa"/>
            <w:gridSpan w:val="6"/>
          </w:tcPr>
          <w:p w14:paraId="58F73A1F" w14:textId="77777777" w:rsidR="00553B84" w:rsidRPr="00BC038A" w:rsidRDefault="00553B84" w:rsidP="00553B84">
            <w:pPr>
              <w:rPr>
                <w:rFonts w:ascii="Arial Narrow" w:hAnsi="Arial Narrow"/>
                <w:sz w:val="20"/>
                <w:szCs w:val="20"/>
              </w:rPr>
            </w:pPr>
            <w:r w:rsidRPr="00BC038A">
              <w:rPr>
                <w:rFonts w:ascii="Arial Narrow" w:hAnsi="Arial Narrow"/>
                <w:b/>
                <w:bCs/>
                <w:sz w:val="20"/>
                <w:szCs w:val="20"/>
              </w:rPr>
              <w:t>Prescribing Instructions:</w:t>
            </w:r>
          </w:p>
          <w:p w14:paraId="1F7DA795" w14:textId="77777777" w:rsidR="00553B84" w:rsidRPr="00BC038A" w:rsidRDefault="00553B84" w:rsidP="00553B84">
            <w:pPr>
              <w:rPr>
                <w:rFonts w:ascii="Arial Narrow" w:hAnsi="Arial Narrow"/>
                <w:b/>
                <w:bCs/>
                <w:sz w:val="20"/>
                <w:szCs w:val="20"/>
              </w:rPr>
            </w:pPr>
            <w:r w:rsidRPr="00BC038A">
              <w:rPr>
                <w:rFonts w:ascii="Arial Narrow" w:hAnsi="Arial Narrow"/>
                <w:sz w:val="20"/>
                <w:szCs w:val="20"/>
              </w:rPr>
              <w:t>The qualifying LDL cholesterol level must have been measured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must be stated at the time of application, documented in the patient's medical records and must have been no more than 8 weeks old at the time non-PBS-subsidised treatment with this drug for this condition was initiated.</w:t>
            </w:r>
          </w:p>
        </w:tc>
      </w:tr>
      <w:tr w:rsidR="00553B84" w:rsidRPr="00BC038A" w14:paraId="53584120"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4275C37D" w14:textId="7DABC735" w:rsidR="00553B84" w:rsidRPr="00BC038A" w:rsidRDefault="00553B84" w:rsidP="00553B84">
            <w:pPr>
              <w:jc w:val="left"/>
              <w:rPr>
                <w:rFonts w:ascii="Arial Narrow" w:hAnsi="Arial Narrow"/>
                <w:sz w:val="20"/>
                <w:szCs w:val="20"/>
              </w:rPr>
            </w:pPr>
          </w:p>
        </w:tc>
        <w:tc>
          <w:tcPr>
            <w:tcW w:w="7745" w:type="dxa"/>
            <w:gridSpan w:val="6"/>
          </w:tcPr>
          <w:p w14:paraId="3AD95DF0" w14:textId="77777777" w:rsidR="00553B84" w:rsidRPr="00BC038A" w:rsidRDefault="00553B84" w:rsidP="00553B84">
            <w:pPr>
              <w:rPr>
                <w:rFonts w:ascii="Arial Narrow" w:hAnsi="Arial Narrow"/>
                <w:sz w:val="20"/>
                <w:szCs w:val="20"/>
              </w:rPr>
            </w:pPr>
            <w:r w:rsidRPr="00BC038A">
              <w:rPr>
                <w:rFonts w:ascii="Arial Narrow" w:hAnsi="Arial Narrow"/>
                <w:b/>
                <w:bCs/>
                <w:sz w:val="20"/>
                <w:szCs w:val="20"/>
              </w:rPr>
              <w:t>Prescribing Instructions:</w:t>
            </w:r>
          </w:p>
          <w:p w14:paraId="3FF59DA0" w14:textId="77777777" w:rsidR="00553B84" w:rsidRPr="00BC038A" w:rsidRDefault="00553B84" w:rsidP="00553B84">
            <w:pPr>
              <w:rPr>
                <w:rFonts w:ascii="Arial Narrow" w:hAnsi="Arial Narrow"/>
                <w:sz w:val="20"/>
                <w:szCs w:val="20"/>
              </w:rPr>
            </w:pPr>
            <w:r w:rsidRPr="00BC038A">
              <w:rPr>
                <w:rFonts w:ascii="Arial Narrow" w:hAnsi="Arial Narrow"/>
                <w:sz w:val="20"/>
                <w:szCs w:val="20"/>
              </w:rPr>
              <w:t>A clinically important product-related adverse event is defined as follows:</w:t>
            </w:r>
          </w:p>
          <w:p w14:paraId="4CACCA02" w14:textId="77777777" w:rsidR="00553B84" w:rsidRPr="00BC038A" w:rsidRDefault="00553B84" w:rsidP="00553B84">
            <w:pPr>
              <w:rPr>
                <w:rFonts w:ascii="Arial Narrow" w:hAnsi="Arial Narrow"/>
                <w:sz w:val="20"/>
                <w:szCs w:val="20"/>
              </w:rPr>
            </w:pPr>
            <w:r w:rsidRPr="00BC038A">
              <w:rPr>
                <w:rFonts w:ascii="Arial Narrow" w:hAnsi="Arial Narrow"/>
                <w:sz w:val="20"/>
                <w:szCs w:val="20"/>
              </w:rPr>
              <w:t>(i) Severe myalgia (muscle symptoms without creatine kinase elevation) which is proven to be temporally associated with statin treatment; or</w:t>
            </w:r>
          </w:p>
          <w:p w14:paraId="1BCE8220" w14:textId="77777777" w:rsidR="00553B84" w:rsidRPr="00BC038A" w:rsidRDefault="00553B84" w:rsidP="00553B84">
            <w:pPr>
              <w:rPr>
                <w:rFonts w:ascii="Arial Narrow" w:hAnsi="Arial Narrow"/>
                <w:sz w:val="20"/>
                <w:szCs w:val="20"/>
              </w:rPr>
            </w:pPr>
            <w:r w:rsidRPr="00BC038A">
              <w:rPr>
                <w:rFonts w:ascii="Arial Narrow" w:hAnsi="Arial Narrow"/>
                <w:sz w:val="20"/>
                <w:szCs w:val="20"/>
              </w:rPr>
              <w:t>(ii) Myositis (clinically important creatine kinase elevation, with or without muscle symptoms) demonstrated by results twice the upper limit of normal on a single reading or a rising pattern on consecutive measurements and which is unexplained by other causes; or</w:t>
            </w:r>
          </w:p>
          <w:p w14:paraId="5C62BF78" w14:textId="77777777" w:rsidR="00553B84" w:rsidRPr="00BC038A" w:rsidRDefault="00553B84" w:rsidP="00553B84">
            <w:pPr>
              <w:rPr>
                <w:rFonts w:ascii="Arial Narrow" w:hAnsi="Arial Narrow"/>
                <w:b/>
                <w:bCs/>
                <w:sz w:val="20"/>
                <w:szCs w:val="20"/>
              </w:rPr>
            </w:pPr>
            <w:r w:rsidRPr="00BC038A">
              <w:rPr>
                <w:rFonts w:ascii="Arial Narrow" w:hAnsi="Arial Narrow"/>
                <w:sz w:val="20"/>
                <w:szCs w:val="20"/>
              </w:rPr>
              <w:t>(iii) Unexplained, persistent elevations of serum transaminases (greater than 3 times the upper limit of normal) during treatment with a statin.</w:t>
            </w:r>
          </w:p>
        </w:tc>
      </w:tr>
      <w:tr w:rsidR="00553B84" w:rsidRPr="00BC038A" w14:paraId="585380FE"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7BC73CFE" w14:textId="420628FA" w:rsidR="00553B84" w:rsidRPr="00BC038A" w:rsidRDefault="00553B84" w:rsidP="00553B84">
            <w:pPr>
              <w:jc w:val="left"/>
              <w:rPr>
                <w:rFonts w:ascii="Arial Narrow" w:hAnsi="Arial Narrow"/>
                <w:sz w:val="20"/>
                <w:szCs w:val="20"/>
              </w:rPr>
            </w:pPr>
          </w:p>
        </w:tc>
        <w:tc>
          <w:tcPr>
            <w:tcW w:w="7745" w:type="dxa"/>
            <w:gridSpan w:val="6"/>
          </w:tcPr>
          <w:p w14:paraId="257BCA58" w14:textId="77777777" w:rsidR="00553B84" w:rsidRPr="00BC038A" w:rsidRDefault="00553B84" w:rsidP="00553B84">
            <w:pPr>
              <w:rPr>
                <w:rFonts w:ascii="Arial Narrow" w:hAnsi="Arial Narrow"/>
                <w:sz w:val="20"/>
                <w:szCs w:val="20"/>
              </w:rPr>
            </w:pPr>
            <w:r w:rsidRPr="00BC038A">
              <w:rPr>
                <w:rFonts w:ascii="Arial Narrow" w:hAnsi="Arial Narrow"/>
                <w:b/>
                <w:bCs/>
                <w:sz w:val="20"/>
                <w:szCs w:val="20"/>
              </w:rPr>
              <w:t>Prescribing Instructions:</w:t>
            </w:r>
          </w:p>
          <w:p w14:paraId="190E655E" w14:textId="77777777" w:rsidR="00553B84" w:rsidRPr="00BC038A" w:rsidRDefault="00553B84" w:rsidP="00553B84">
            <w:pPr>
              <w:rPr>
                <w:rFonts w:ascii="Arial Narrow" w:hAnsi="Arial Narrow"/>
                <w:b/>
                <w:bCs/>
                <w:sz w:val="20"/>
                <w:szCs w:val="20"/>
              </w:rPr>
            </w:pPr>
            <w:r w:rsidRPr="00BC038A">
              <w:rPr>
                <w:rFonts w:ascii="Arial Narrow" w:hAnsi="Arial Narrow"/>
                <w:sz w:val="20"/>
                <w:szCs w:val="20"/>
              </w:rPr>
              <w:t>If treatment with atorvastatin or rosuvastatin resulted in development of a clinically important product-related adverse event resulting in treatment withdrawal, the patient must have been treated with the alternative statin (atorvastatin or rosuvastatin) unless there was a contraindication (e.g. prior rhabdomyolysis) to the alternative statin. This retrial should have occurred after a washout period of at least 4 weeks, or if the creatine kinase (CK) level was elevated, the retrial should not have occurred until CK had returned to normal.</w:t>
            </w:r>
          </w:p>
        </w:tc>
      </w:tr>
      <w:tr w:rsidR="00553B84" w:rsidRPr="00BC038A" w14:paraId="2A394DB0" w14:textId="77777777" w:rsidTr="00553B84">
        <w:tblPrEx>
          <w:tblCellMar>
            <w:top w:w="15" w:type="dxa"/>
            <w:bottom w:w="15" w:type="dxa"/>
          </w:tblCellMar>
          <w:tblLook w:val="04A0" w:firstRow="1" w:lastRow="0" w:firstColumn="1" w:lastColumn="0" w:noHBand="0" w:noVBand="1"/>
        </w:tblPrEx>
        <w:trPr>
          <w:trHeight w:val="20"/>
        </w:trPr>
        <w:tc>
          <w:tcPr>
            <w:tcW w:w="1269" w:type="dxa"/>
            <w:shd w:val="clear" w:color="auto" w:fill="auto"/>
          </w:tcPr>
          <w:p w14:paraId="168872CF" w14:textId="2C26BA09" w:rsidR="00553B84" w:rsidRPr="00BC038A" w:rsidRDefault="00553B84" w:rsidP="00553B84">
            <w:pPr>
              <w:jc w:val="left"/>
              <w:rPr>
                <w:rFonts w:ascii="Arial Narrow" w:hAnsi="Arial Narrow"/>
                <w:sz w:val="20"/>
                <w:szCs w:val="20"/>
              </w:rPr>
            </w:pPr>
          </w:p>
        </w:tc>
        <w:tc>
          <w:tcPr>
            <w:tcW w:w="7745" w:type="dxa"/>
            <w:gridSpan w:val="6"/>
            <w:shd w:val="clear" w:color="auto" w:fill="auto"/>
          </w:tcPr>
          <w:p w14:paraId="0BA91D35" w14:textId="77777777" w:rsidR="00553B84" w:rsidRPr="00BC038A" w:rsidRDefault="00553B84" w:rsidP="00553B84">
            <w:pPr>
              <w:rPr>
                <w:rFonts w:ascii="Arial Narrow" w:hAnsi="Arial Narrow"/>
                <w:sz w:val="20"/>
                <w:szCs w:val="20"/>
              </w:rPr>
            </w:pPr>
            <w:r w:rsidRPr="00BC038A">
              <w:rPr>
                <w:rFonts w:ascii="Arial Narrow" w:hAnsi="Arial Narrow"/>
                <w:b/>
                <w:bCs/>
                <w:sz w:val="20"/>
                <w:szCs w:val="20"/>
              </w:rPr>
              <w:t>Prescribing Instructions:</w:t>
            </w:r>
          </w:p>
          <w:p w14:paraId="71D241F5" w14:textId="77777777" w:rsidR="00553B84" w:rsidRPr="00BC038A" w:rsidRDefault="00553B84" w:rsidP="00553B84">
            <w:pPr>
              <w:rPr>
                <w:rFonts w:ascii="Arial Narrow" w:hAnsi="Arial Narrow"/>
                <w:b/>
                <w:bCs/>
                <w:sz w:val="20"/>
                <w:szCs w:val="20"/>
              </w:rPr>
            </w:pPr>
            <w:r w:rsidRPr="00BC038A">
              <w:rPr>
                <w:rFonts w:ascii="Arial Narrow" w:hAnsi="Arial Narrow"/>
                <w:sz w:val="20"/>
                <w:szCs w:val="20"/>
              </w:rPr>
              <w:t>In the event of a trial of the alternative statin, the dose of the alternative statin should have been increased not more often than every 4 weeks until the maximum tolerated dose was reached or target LDL-c had been achieved.</w:t>
            </w:r>
          </w:p>
        </w:tc>
      </w:tr>
      <w:tr w:rsidR="00553B84" w:rsidRPr="00BC038A" w14:paraId="240E722E"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7366322D" w14:textId="64BBC70E" w:rsidR="00553B84" w:rsidRPr="00BC038A" w:rsidRDefault="00553B84" w:rsidP="00553B84">
            <w:pPr>
              <w:jc w:val="left"/>
              <w:rPr>
                <w:rFonts w:ascii="Arial Narrow" w:hAnsi="Arial Narrow"/>
                <w:sz w:val="20"/>
                <w:szCs w:val="20"/>
              </w:rPr>
            </w:pPr>
          </w:p>
        </w:tc>
        <w:tc>
          <w:tcPr>
            <w:tcW w:w="7745" w:type="dxa"/>
            <w:gridSpan w:val="6"/>
          </w:tcPr>
          <w:p w14:paraId="329FCF00" w14:textId="77777777" w:rsidR="00553B84" w:rsidRPr="00BC038A" w:rsidRDefault="00553B84" w:rsidP="00553B84">
            <w:pPr>
              <w:rPr>
                <w:rFonts w:ascii="Arial Narrow" w:hAnsi="Arial Narrow"/>
                <w:sz w:val="20"/>
                <w:szCs w:val="20"/>
              </w:rPr>
            </w:pPr>
            <w:r w:rsidRPr="00BC038A">
              <w:rPr>
                <w:rFonts w:ascii="Arial Narrow" w:hAnsi="Arial Narrow"/>
                <w:b/>
                <w:bCs/>
                <w:sz w:val="20"/>
                <w:szCs w:val="20"/>
              </w:rPr>
              <w:t>Prescribing Instructions:</w:t>
            </w:r>
          </w:p>
          <w:p w14:paraId="37D50725" w14:textId="77777777" w:rsidR="00553B84" w:rsidRPr="00BC038A" w:rsidRDefault="00553B84" w:rsidP="00553B84">
            <w:pPr>
              <w:rPr>
                <w:rFonts w:ascii="Arial Narrow" w:hAnsi="Arial Narrow"/>
                <w:sz w:val="20"/>
                <w:szCs w:val="20"/>
              </w:rPr>
            </w:pPr>
            <w:r w:rsidRPr="00BC038A">
              <w:rPr>
                <w:rFonts w:ascii="Arial Narrow" w:hAnsi="Arial Narrow"/>
                <w:sz w:val="20"/>
                <w:szCs w:val="20"/>
              </w:rPr>
              <w:t>One of the following must be stated at the time of application and documented in the patient's medical records regarding prior statin treatment:</w:t>
            </w:r>
          </w:p>
          <w:p w14:paraId="027FEF9C" w14:textId="77777777" w:rsidR="00553B84" w:rsidRPr="00BC038A" w:rsidRDefault="00553B84" w:rsidP="00553B84">
            <w:pPr>
              <w:rPr>
                <w:rFonts w:ascii="Arial Narrow" w:hAnsi="Arial Narrow"/>
                <w:sz w:val="20"/>
                <w:szCs w:val="20"/>
              </w:rPr>
            </w:pPr>
            <w:r w:rsidRPr="00BC038A">
              <w:rPr>
                <w:rFonts w:ascii="Arial Narrow" w:hAnsi="Arial Narrow"/>
                <w:sz w:val="20"/>
                <w:szCs w:val="20"/>
              </w:rPr>
              <w:t>(i) the patient was treated with atorvastatin 80 mg or rosuvastatin 40 mg or the maximum tolerated dose of either for 12 consecutive weeks; or</w:t>
            </w:r>
          </w:p>
          <w:p w14:paraId="0117ECFF" w14:textId="77777777" w:rsidR="00553B84" w:rsidRPr="00BC038A" w:rsidRDefault="00553B84" w:rsidP="00553B84">
            <w:pPr>
              <w:rPr>
                <w:rFonts w:ascii="Arial Narrow" w:hAnsi="Arial Narrow"/>
                <w:sz w:val="20"/>
                <w:szCs w:val="20"/>
              </w:rPr>
            </w:pPr>
            <w:r w:rsidRPr="00BC038A">
              <w:rPr>
                <w:rFonts w:ascii="Arial Narrow" w:hAnsi="Arial Narrow"/>
                <w:sz w:val="20"/>
                <w:szCs w:val="20"/>
              </w:rPr>
              <w:t>(ii) the doses, duration of treatment and details of adverse events experienced with trials with each of atorvastatin and rosuvastatin; or</w:t>
            </w:r>
          </w:p>
          <w:p w14:paraId="0DEBA465" w14:textId="77777777" w:rsidR="00553B84" w:rsidRPr="00BC038A" w:rsidRDefault="00553B84" w:rsidP="00553B84">
            <w:pPr>
              <w:rPr>
                <w:rFonts w:ascii="Arial Narrow" w:hAnsi="Arial Narrow"/>
                <w:b/>
                <w:bCs/>
                <w:sz w:val="20"/>
                <w:szCs w:val="20"/>
              </w:rPr>
            </w:pPr>
            <w:r w:rsidRPr="00BC038A">
              <w:rPr>
                <w:rFonts w:ascii="Arial Narrow" w:hAnsi="Arial Narrow"/>
                <w:sz w:val="20"/>
                <w:szCs w:val="20"/>
              </w:rPr>
              <w:t>(iii) the patient is contraindicated to treatment with a statin as defined in the TGA-approved Product Information.</w:t>
            </w:r>
          </w:p>
        </w:tc>
      </w:tr>
      <w:tr w:rsidR="00553B84" w:rsidRPr="00BC038A" w14:paraId="51A2DAAB"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593F1DF7" w14:textId="12D05CFC" w:rsidR="00553B84" w:rsidRPr="00BC038A" w:rsidRDefault="00553B84" w:rsidP="00553B84">
            <w:pPr>
              <w:jc w:val="left"/>
              <w:rPr>
                <w:rFonts w:ascii="Arial Narrow" w:hAnsi="Arial Narrow"/>
                <w:sz w:val="20"/>
                <w:szCs w:val="20"/>
              </w:rPr>
            </w:pPr>
          </w:p>
        </w:tc>
        <w:tc>
          <w:tcPr>
            <w:tcW w:w="7745" w:type="dxa"/>
            <w:gridSpan w:val="6"/>
          </w:tcPr>
          <w:p w14:paraId="656D752E" w14:textId="77777777" w:rsidR="00553B84" w:rsidRPr="00BC038A" w:rsidRDefault="00553B84" w:rsidP="00553B84">
            <w:pPr>
              <w:rPr>
                <w:rFonts w:ascii="Arial Narrow" w:hAnsi="Arial Narrow"/>
                <w:sz w:val="20"/>
                <w:szCs w:val="20"/>
              </w:rPr>
            </w:pPr>
            <w:r w:rsidRPr="00BC038A">
              <w:rPr>
                <w:rFonts w:ascii="Arial Narrow" w:hAnsi="Arial Narrow"/>
                <w:b/>
                <w:bCs/>
                <w:sz w:val="20"/>
                <w:szCs w:val="20"/>
              </w:rPr>
              <w:t>Prescribing Instructions:</w:t>
            </w:r>
          </w:p>
          <w:p w14:paraId="3335477E" w14:textId="77777777" w:rsidR="00553B84" w:rsidRPr="00BC038A" w:rsidRDefault="00553B84" w:rsidP="00553B84">
            <w:pPr>
              <w:rPr>
                <w:rFonts w:ascii="Arial Narrow" w:hAnsi="Arial Narrow"/>
                <w:sz w:val="20"/>
                <w:szCs w:val="20"/>
              </w:rPr>
            </w:pPr>
            <w:r w:rsidRPr="00BC038A">
              <w:rPr>
                <w:rFonts w:ascii="Arial Narrow" w:hAnsi="Arial Narrow"/>
                <w:sz w:val="20"/>
                <w:szCs w:val="20"/>
              </w:rPr>
              <w:t>One or more of the following must be stated at the time of application and documented in the patient's medical records regarding the presence of cardiovascular disease or high risk of experiencing a cardiovascular event:</w:t>
            </w:r>
          </w:p>
          <w:p w14:paraId="1E048830" w14:textId="77777777" w:rsidR="00553B84" w:rsidRPr="00BC038A" w:rsidRDefault="00553B84" w:rsidP="00553B84">
            <w:pPr>
              <w:rPr>
                <w:rFonts w:ascii="Arial Narrow" w:hAnsi="Arial Narrow"/>
                <w:sz w:val="20"/>
                <w:szCs w:val="20"/>
              </w:rPr>
            </w:pPr>
            <w:r w:rsidRPr="00BC038A">
              <w:rPr>
                <w:rFonts w:ascii="Arial Narrow" w:hAnsi="Arial Narrow"/>
                <w:sz w:val="20"/>
                <w:szCs w:val="20"/>
              </w:rPr>
              <w:t>(i) atherosclerotic disease in two or more vascular territories (coronary, cerebrovascular or peripheral vascular territories); or</w:t>
            </w:r>
          </w:p>
          <w:p w14:paraId="2EE963FE" w14:textId="77777777" w:rsidR="00553B84" w:rsidRPr="00BC038A" w:rsidRDefault="00553B84" w:rsidP="00553B84">
            <w:pPr>
              <w:rPr>
                <w:rFonts w:ascii="Arial Narrow" w:hAnsi="Arial Narrow"/>
                <w:sz w:val="20"/>
                <w:szCs w:val="20"/>
              </w:rPr>
            </w:pPr>
            <w:r w:rsidRPr="00BC038A">
              <w:rPr>
                <w:rFonts w:ascii="Arial Narrow" w:hAnsi="Arial Narrow"/>
                <w:sz w:val="20"/>
                <w:szCs w:val="20"/>
              </w:rPr>
              <w:t>(ii) severe multi-vessel coronary heart disease defined as at least 50% stenosis in at least two large vessels; or</w:t>
            </w:r>
          </w:p>
          <w:p w14:paraId="4AADD6D9" w14:textId="77777777" w:rsidR="00553B84" w:rsidRPr="00BC038A" w:rsidRDefault="00553B84" w:rsidP="00553B84">
            <w:pPr>
              <w:rPr>
                <w:rFonts w:ascii="Arial Narrow" w:hAnsi="Arial Narrow"/>
                <w:sz w:val="20"/>
                <w:szCs w:val="20"/>
              </w:rPr>
            </w:pPr>
            <w:r w:rsidRPr="00BC038A">
              <w:rPr>
                <w:rFonts w:ascii="Arial Narrow" w:hAnsi="Arial Narrow"/>
                <w:sz w:val="20"/>
                <w:szCs w:val="20"/>
              </w:rPr>
              <w:lastRenderedPageBreak/>
              <w:t>(iii) history of at least two major cardiovascular events (i.e. myocardial infarction, unstable angina, stroke or unplanned revascularisation) in the previous 5 years; or</w:t>
            </w:r>
          </w:p>
          <w:p w14:paraId="0A1818EE" w14:textId="77777777" w:rsidR="00553B84" w:rsidRPr="00BC038A" w:rsidRDefault="00553B84" w:rsidP="00553B84">
            <w:pPr>
              <w:rPr>
                <w:rFonts w:ascii="Arial Narrow" w:hAnsi="Arial Narrow"/>
                <w:sz w:val="20"/>
                <w:szCs w:val="20"/>
              </w:rPr>
            </w:pPr>
            <w:r w:rsidRPr="00BC038A">
              <w:rPr>
                <w:rFonts w:ascii="Arial Narrow" w:hAnsi="Arial Narrow"/>
                <w:sz w:val="20"/>
                <w:szCs w:val="20"/>
              </w:rPr>
              <w:t>(iv) diabetes mellitus with microalbuminuria; or</w:t>
            </w:r>
          </w:p>
          <w:p w14:paraId="59810A9F" w14:textId="77777777" w:rsidR="00553B84" w:rsidRPr="00BC038A" w:rsidRDefault="00553B84" w:rsidP="00553B84">
            <w:pPr>
              <w:rPr>
                <w:rFonts w:ascii="Arial Narrow" w:hAnsi="Arial Narrow"/>
                <w:sz w:val="20"/>
                <w:szCs w:val="20"/>
              </w:rPr>
            </w:pPr>
            <w:r w:rsidRPr="00BC038A">
              <w:rPr>
                <w:rFonts w:ascii="Arial Narrow" w:hAnsi="Arial Narrow"/>
                <w:sz w:val="20"/>
                <w:szCs w:val="20"/>
              </w:rPr>
              <w:t>(v) diabetes mellitus and age 60 years of more; or</w:t>
            </w:r>
          </w:p>
          <w:p w14:paraId="46815D63" w14:textId="77777777" w:rsidR="00553B84" w:rsidRPr="00BC038A" w:rsidRDefault="00553B84" w:rsidP="00553B84">
            <w:pPr>
              <w:rPr>
                <w:rFonts w:ascii="Arial Narrow" w:hAnsi="Arial Narrow"/>
                <w:sz w:val="20"/>
                <w:szCs w:val="20"/>
              </w:rPr>
            </w:pPr>
            <w:r w:rsidRPr="00BC038A">
              <w:rPr>
                <w:rFonts w:ascii="Arial Narrow" w:hAnsi="Arial Narrow"/>
                <w:sz w:val="20"/>
                <w:szCs w:val="20"/>
              </w:rPr>
              <w:t>(vi) Aboriginal or Torres Strait Islander with diabetes mellitus; or</w:t>
            </w:r>
          </w:p>
          <w:p w14:paraId="6BE880D2" w14:textId="77777777" w:rsidR="00553B84" w:rsidRPr="00BC038A" w:rsidRDefault="00553B84" w:rsidP="00553B84">
            <w:pPr>
              <w:rPr>
                <w:rFonts w:ascii="Arial Narrow" w:hAnsi="Arial Narrow"/>
                <w:b/>
                <w:bCs/>
                <w:sz w:val="20"/>
                <w:szCs w:val="20"/>
              </w:rPr>
            </w:pPr>
            <w:r w:rsidRPr="00BC038A">
              <w:rPr>
                <w:rFonts w:ascii="Arial Narrow" w:hAnsi="Arial Narrow"/>
                <w:sz w:val="20"/>
                <w:szCs w:val="20"/>
              </w:rPr>
              <w:t>(vii) a Thrombolysis in Myocardial Infarction (TIMI) risk score for secondary prevention of 4 or higher</w:t>
            </w:r>
          </w:p>
        </w:tc>
      </w:tr>
      <w:tr w:rsidR="00553B84" w:rsidRPr="00BC038A" w14:paraId="2C595AE9"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6FABBEFD" w14:textId="5E8BF920" w:rsidR="00553B84" w:rsidRPr="00BC038A" w:rsidRDefault="00553B84" w:rsidP="00553B84">
            <w:pPr>
              <w:jc w:val="left"/>
              <w:rPr>
                <w:rFonts w:ascii="Arial Narrow" w:hAnsi="Arial Narrow"/>
                <w:color w:val="FF0000"/>
                <w:sz w:val="20"/>
                <w:szCs w:val="20"/>
              </w:rPr>
            </w:pPr>
          </w:p>
        </w:tc>
        <w:tc>
          <w:tcPr>
            <w:tcW w:w="7745" w:type="dxa"/>
            <w:gridSpan w:val="6"/>
          </w:tcPr>
          <w:p w14:paraId="2ACAED31" w14:textId="77777777" w:rsidR="00553B84" w:rsidRPr="00BC038A" w:rsidRDefault="00553B84" w:rsidP="00553B84">
            <w:pPr>
              <w:rPr>
                <w:rFonts w:ascii="Arial Narrow" w:hAnsi="Arial Narrow"/>
                <w:sz w:val="20"/>
                <w:szCs w:val="20"/>
              </w:rPr>
            </w:pPr>
            <w:r w:rsidRPr="00BC038A">
              <w:rPr>
                <w:rFonts w:ascii="Arial Narrow" w:hAnsi="Arial Narrow"/>
                <w:b/>
                <w:bCs/>
                <w:sz w:val="20"/>
                <w:szCs w:val="20"/>
              </w:rPr>
              <w:t>Prescribing Instructions:</w:t>
            </w:r>
          </w:p>
          <w:p w14:paraId="45FA3F40" w14:textId="77777777" w:rsidR="00553B84" w:rsidRPr="00BC038A" w:rsidRDefault="00553B84" w:rsidP="00553B84">
            <w:pPr>
              <w:jc w:val="left"/>
              <w:rPr>
                <w:rFonts w:ascii="Arial Narrow" w:hAnsi="Arial Narrow"/>
                <w:bCs/>
                <w:sz w:val="20"/>
                <w:szCs w:val="20"/>
              </w:rPr>
            </w:pPr>
            <w:r w:rsidRPr="00BC038A">
              <w:rPr>
                <w:rFonts w:ascii="Arial Narrow" w:hAnsi="Arial Narrow"/>
                <w:sz w:val="20"/>
                <w:szCs w:val="20"/>
              </w:rPr>
              <w:t>A patient may qualify for PBS-subsidised treatment under this restriction once only.</w:t>
            </w:r>
          </w:p>
        </w:tc>
      </w:tr>
      <w:tr w:rsidR="00553B84" w:rsidRPr="00BC038A" w14:paraId="57A3C521"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7B015C41" w14:textId="3AE128B3" w:rsidR="00553B84" w:rsidRPr="00BC038A" w:rsidRDefault="00553B84" w:rsidP="00553B84">
            <w:pPr>
              <w:jc w:val="left"/>
              <w:rPr>
                <w:rFonts w:ascii="Arial Narrow" w:hAnsi="Arial Narrow"/>
                <w:color w:val="FF0000"/>
                <w:sz w:val="20"/>
                <w:szCs w:val="20"/>
              </w:rPr>
            </w:pPr>
          </w:p>
        </w:tc>
        <w:tc>
          <w:tcPr>
            <w:tcW w:w="7745" w:type="dxa"/>
            <w:gridSpan w:val="6"/>
          </w:tcPr>
          <w:p w14:paraId="7E3D31FB" w14:textId="77777777" w:rsidR="00553B84" w:rsidRPr="00BC038A" w:rsidRDefault="00553B84" w:rsidP="00553B84">
            <w:pPr>
              <w:rPr>
                <w:rFonts w:ascii="Arial Narrow" w:hAnsi="Arial Narrow"/>
                <w:sz w:val="20"/>
                <w:szCs w:val="20"/>
              </w:rPr>
            </w:pPr>
            <w:r w:rsidRPr="00BC038A">
              <w:rPr>
                <w:rFonts w:ascii="Arial Narrow" w:hAnsi="Arial Narrow"/>
                <w:b/>
                <w:bCs/>
                <w:sz w:val="20"/>
                <w:szCs w:val="20"/>
              </w:rPr>
              <w:t>Prescribing Instructions:</w:t>
            </w:r>
          </w:p>
          <w:p w14:paraId="0CB35A81" w14:textId="77777777" w:rsidR="00553B84" w:rsidRPr="00BC038A" w:rsidRDefault="00553B84" w:rsidP="00553B84">
            <w:pPr>
              <w:jc w:val="left"/>
              <w:rPr>
                <w:rFonts w:ascii="Arial Narrow" w:hAnsi="Arial Narrow"/>
                <w:bCs/>
                <w:sz w:val="20"/>
                <w:szCs w:val="20"/>
              </w:rPr>
            </w:pPr>
            <w:r w:rsidRPr="00BC038A">
              <w:rPr>
                <w:rFonts w:ascii="Arial Narrow" w:hAnsi="Arial Narrow"/>
                <w:sz w:val="20"/>
                <w:szCs w:val="20"/>
              </w:rPr>
              <w:t>For continuing PBS-subsidised treatment, a Grandfathered patient must qualify under the Continuing treatment criteria.</w:t>
            </w:r>
          </w:p>
        </w:tc>
      </w:tr>
      <w:tr w:rsidR="00553B84" w:rsidRPr="00BC038A" w14:paraId="2118E0DB"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7A95F47F" w14:textId="70C17FDA" w:rsidR="00553B84" w:rsidRPr="00BC038A" w:rsidRDefault="00553B84" w:rsidP="00553B84">
            <w:pPr>
              <w:jc w:val="left"/>
              <w:rPr>
                <w:rFonts w:ascii="Arial Narrow" w:hAnsi="Arial Narrow"/>
                <w:color w:val="FF0000"/>
                <w:sz w:val="20"/>
                <w:szCs w:val="20"/>
              </w:rPr>
            </w:pPr>
          </w:p>
        </w:tc>
        <w:tc>
          <w:tcPr>
            <w:tcW w:w="7745" w:type="dxa"/>
            <w:gridSpan w:val="6"/>
          </w:tcPr>
          <w:p w14:paraId="65D195DC" w14:textId="77777777" w:rsidR="00553B84" w:rsidRPr="00BC038A" w:rsidRDefault="00553B84" w:rsidP="00553B84">
            <w:pPr>
              <w:rPr>
                <w:rFonts w:ascii="Arial Narrow" w:hAnsi="Arial Narrow"/>
                <w:sz w:val="20"/>
                <w:szCs w:val="20"/>
              </w:rPr>
            </w:pPr>
            <w:r w:rsidRPr="00BC038A">
              <w:rPr>
                <w:rFonts w:ascii="Arial Narrow" w:hAnsi="Arial Narrow"/>
                <w:b/>
                <w:bCs/>
                <w:sz w:val="20"/>
                <w:szCs w:val="20"/>
              </w:rPr>
              <w:t>Administrative Advice:</w:t>
            </w:r>
          </w:p>
          <w:p w14:paraId="346EFE27" w14:textId="5C4817EA" w:rsidR="00553B84" w:rsidRPr="00BC038A" w:rsidRDefault="008E4F55" w:rsidP="00553B84">
            <w:pPr>
              <w:jc w:val="left"/>
              <w:rPr>
                <w:rFonts w:ascii="Arial Narrow" w:hAnsi="Arial Narrow"/>
                <w:bCs/>
                <w:sz w:val="20"/>
                <w:szCs w:val="20"/>
              </w:rPr>
            </w:pPr>
            <w:r w:rsidRPr="008E4F55">
              <w:rPr>
                <w:rFonts w:ascii="Arial Narrow" w:hAnsi="Arial Narrow"/>
                <w:sz w:val="20"/>
                <w:szCs w:val="20"/>
              </w:rPr>
              <w:t>Applications for authorisation under this restriction may be made in real time using the Online PBS Authorities system (see www.servicesaustralia.gov.au/HPOS) or by telephone by contacting Services Australia on 1800 888 333.</w:t>
            </w:r>
          </w:p>
        </w:tc>
      </w:tr>
      <w:tr w:rsidR="00553B84" w:rsidRPr="00BC038A" w14:paraId="3A08F03B" w14:textId="77777777" w:rsidTr="00553B84">
        <w:tblPrEx>
          <w:tblCellMar>
            <w:top w:w="15" w:type="dxa"/>
            <w:bottom w:w="15" w:type="dxa"/>
          </w:tblCellMar>
          <w:tblLook w:val="04A0" w:firstRow="1" w:lastRow="0" w:firstColumn="1" w:lastColumn="0" w:noHBand="0" w:noVBand="1"/>
        </w:tblPrEx>
        <w:trPr>
          <w:trHeight w:val="20"/>
        </w:trPr>
        <w:tc>
          <w:tcPr>
            <w:tcW w:w="9014" w:type="dxa"/>
            <w:gridSpan w:val="7"/>
          </w:tcPr>
          <w:p w14:paraId="5276FE5C" w14:textId="77777777" w:rsidR="00553B84" w:rsidRPr="00BC038A" w:rsidRDefault="00553B84" w:rsidP="00553B84">
            <w:pPr>
              <w:rPr>
                <w:rFonts w:ascii="Arial Narrow" w:hAnsi="Arial Narrow"/>
                <w:b/>
                <w:bCs/>
                <w:sz w:val="20"/>
                <w:szCs w:val="20"/>
              </w:rPr>
            </w:pPr>
          </w:p>
        </w:tc>
      </w:tr>
      <w:tr w:rsidR="00553B84" w:rsidRPr="005D2995" w14:paraId="629BA14F" w14:textId="77777777" w:rsidTr="00553B84">
        <w:tblPrEx>
          <w:tblCellMar>
            <w:top w:w="15" w:type="dxa"/>
            <w:bottom w:w="15" w:type="dxa"/>
          </w:tblCellMar>
          <w:tblLook w:val="04A0" w:firstRow="1" w:lastRow="0" w:firstColumn="1" w:lastColumn="0" w:noHBand="0" w:noVBand="1"/>
        </w:tblPrEx>
        <w:trPr>
          <w:trHeight w:val="20"/>
        </w:trPr>
        <w:tc>
          <w:tcPr>
            <w:tcW w:w="9014" w:type="dxa"/>
            <w:gridSpan w:val="7"/>
            <w:tcBorders>
              <w:top w:val="single" w:sz="4" w:space="0" w:color="auto"/>
              <w:left w:val="single" w:sz="4" w:space="0" w:color="auto"/>
              <w:right w:val="single" w:sz="4" w:space="0" w:color="auto"/>
            </w:tcBorders>
            <w:vAlign w:val="center"/>
          </w:tcPr>
          <w:p w14:paraId="03F4D4FD" w14:textId="77777777" w:rsidR="00553B84" w:rsidRPr="005D2995" w:rsidRDefault="00553B84" w:rsidP="00553B84">
            <w:pPr>
              <w:keepLines/>
              <w:jc w:val="left"/>
              <w:rPr>
                <w:rFonts w:ascii="Arial Narrow" w:hAnsi="Arial Narrow"/>
                <w:b/>
                <w:sz w:val="20"/>
                <w:szCs w:val="20"/>
              </w:rPr>
            </w:pPr>
            <w:r w:rsidRPr="005D2995">
              <w:rPr>
                <w:rFonts w:ascii="Arial Narrow" w:hAnsi="Arial Narrow"/>
                <w:b/>
                <w:sz w:val="20"/>
                <w:szCs w:val="20"/>
              </w:rPr>
              <w:t xml:space="preserve">Restriction Summary [new] / Treatment of Concept: [new] </w:t>
            </w:r>
          </w:p>
        </w:tc>
      </w:tr>
      <w:tr w:rsidR="00553B84" w:rsidRPr="005D2995" w14:paraId="7E996A54" w14:textId="77777777" w:rsidTr="00553B84">
        <w:tblPrEx>
          <w:tblCellMar>
            <w:top w:w="15" w:type="dxa"/>
            <w:bottom w:w="15" w:type="dxa"/>
          </w:tblCellMar>
          <w:tblLook w:val="04A0" w:firstRow="1" w:lastRow="0" w:firstColumn="1" w:lastColumn="0" w:noHBand="0" w:noVBand="1"/>
        </w:tblPrEx>
        <w:trPr>
          <w:trHeight w:val="20"/>
        </w:trPr>
        <w:tc>
          <w:tcPr>
            <w:tcW w:w="1269" w:type="dxa"/>
            <w:vMerge w:val="restart"/>
            <w:tcBorders>
              <w:top w:val="single" w:sz="4" w:space="0" w:color="auto"/>
              <w:left w:val="single" w:sz="4" w:space="0" w:color="auto"/>
              <w:right w:val="single" w:sz="4" w:space="0" w:color="auto"/>
            </w:tcBorders>
          </w:tcPr>
          <w:p w14:paraId="078844C5" w14:textId="618382D4" w:rsidR="00553B84" w:rsidRPr="005D2995" w:rsidRDefault="00553B84" w:rsidP="00553B84">
            <w:pPr>
              <w:jc w:val="left"/>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1C2F0B7" w14:textId="77777777" w:rsidR="00553B84" w:rsidRPr="005D2995" w:rsidRDefault="00553B84" w:rsidP="00553B84">
            <w:pPr>
              <w:keepLines/>
              <w:jc w:val="left"/>
              <w:rPr>
                <w:rFonts w:ascii="Arial Narrow" w:hAnsi="Arial Narrow"/>
                <w:sz w:val="20"/>
                <w:szCs w:val="20"/>
              </w:rPr>
            </w:pPr>
            <w:r w:rsidRPr="005D2995">
              <w:rPr>
                <w:rFonts w:ascii="Arial Narrow" w:hAnsi="Arial Narrow"/>
                <w:b/>
                <w:sz w:val="20"/>
                <w:szCs w:val="20"/>
              </w:rPr>
              <w:t xml:space="preserve">Category / Program: </w:t>
            </w:r>
            <w:r w:rsidRPr="005D2995">
              <w:rPr>
                <w:rFonts w:ascii="Arial Narrow" w:hAnsi="Arial Narrow"/>
                <w:sz w:val="20"/>
                <w:szCs w:val="20"/>
              </w:rPr>
              <w:t>GENERAL – General Schedule (Code GE)</w:t>
            </w:r>
            <w:r w:rsidRPr="005D2995">
              <w:rPr>
                <w:rFonts w:ascii="Arial Narrow" w:hAnsi="Arial Narrow"/>
                <w:color w:val="FF0000"/>
                <w:sz w:val="20"/>
                <w:szCs w:val="20"/>
              </w:rPr>
              <w:t xml:space="preserve"> </w:t>
            </w:r>
          </w:p>
        </w:tc>
      </w:tr>
      <w:tr w:rsidR="00553B84" w:rsidRPr="005D2995" w14:paraId="01863A81" w14:textId="77777777" w:rsidTr="00553B84">
        <w:tblPrEx>
          <w:tblCellMar>
            <w:top w:w="15" w:type="dxa"/>
            <w:bottom w:w="15" w:type="dxa"/>
          </w:tblCellMar>
          <w:tblLook w:val="04A0" w:firstRow="1" w:lastRow="0" w:firstColumn="1" w:lastColumn="0" w:noHBand="0" w:noVBand="1"/>
        </w:tblPrEx>
        <w:trPr>
          <w:trHeight w:val="20"/>
        </w:trPr>
        <w:tc>
          <w:tcPr>
            <w:tcW w:w="1269" w:type="dxa"/>
            <w:vMerge/>
            <w:tcBorders>
              <w:left w:val="single" w:sz="4" w:space="0" w:color="auto"/>
              <w:right w:val="single" w:sz="4" w:space="0" w:color="auto"/>
            </w:tcBorders>
          </w:tcPr>
          <w:p w14:paraId="5E910E27" w14:textId="77777777" w:rsidR="00553B84" w:rsidRPr="005D2995" w:rsidRDefault="00553B84" w:rsidP="00553B84">
            <w:pPr>
              <w:jc w:val="left"/>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DD8CEE6" w14:textId="77777777" w:rsidR="00553B84" w:rsidRPr="005D2995" w:rsidRDefault="00553B84" w:rsidP="00553B84">
            <w:pPr>
              <w:keepLines/>
              <w:jc w:val="left"/>
              <w:rPr>
                <w:rFonts w:ascii="Arial Narrow" w:hAnsi="Arial Narrow"/>
                <w:b/>
                <w:sz w:val="20"/>
                <w:szCs w:val="20"/>
              </w:rPr>
            </w:pPr>
            <w:r w:rsidRPr="005D2995">
              <w:rPr>
                <w:rFonts w:ascii="Arial Narrow" w:hAnsi="Arial Narrow"/>
                <w:b/>
                <w:sz w:val="20"/>
                <w:szCs w:val="20"/>
              </w:rPr>
              <w:t xml:space="preserve">Prescriber type: </w:t>
            </w:r>
            <w:r w:rsidRPr="005D2995">
              <w:rPr>
                <w:rFonts w:ascii="Arial Narrow" w:hAnsi="Arial Narrow"/>
                <w:sz w:val="20"/>
                <w:szCs w:val="20"/>
              </w:rPr>
              <w:fldChar w:fldCharType="begin">
                <w:ffData>
                  <w:name w:val=""/>
                  <w:enabled/>
                  <w:calcOnExit w:val="0"/>
                  <w:checkBox>
                    <w:sizeAuto/>
                    <w:default w:val="1"/>
                  </w:checkBox>
                </w:ffData>
              </w:fldChar>
            </w:r>
            <w:r w:rsidRPr="005D2995">
              <w:rPr>
                <w:rFonts w:ascii="Arial Narrow" w:hAnsi="Arial Narrow"/>
                <w:sz w:val="20"/>
                <w:szCs w:val="20"/>
              </w:rPr>
              <w:instrText xml:space="preserve"> FORMCHECKBOX </w:instrText>
            </w:r>
            <w:r w:rsidR="00F35BF1">
              <w:rPr>
                <w:rFonts w:ascii="Arial Narrow" w:hAnsi="Arial Narrow"/>
                <w:sz w:val="20"/>
                <w:szCs w:val="20"/>
              </w:rPr>
            </w:r>
            <w:r w:rsidR="00F35BF1">
              <w:rPr>
                <w:rFonts w:ascii="Arial Narrow" w:hAnsi="Arial Narrow"/>
                <w:sz w:val="20"/>
                <w:szCs w:val="20"/>
              </w:rPr>
              <w:fldChar w:fldCharType="separate"/>
            </w:r>
            <w:r w:rsidRPr="005D2995">
              <w:rPr>
                <w:rFonts w:ascii="Arial Narrow" w:hAnsi="Arial Narrow"/>
                <w:sz w:val="20"/>
                <w:szCs w:val="20"/>
              </w:rPr>
              <w:fldChar w:fldCharType="end"/>
            </w:r>
            <w:r w:rsidRPr="005D2995">
              <w:rPr>
                <w:rFonts w:ascii="Arial Narrow" w:hAnsi="Arial Narrow"/>
                <w:sz w:val="20"/>
                <w:szCs w:val="20"/>
              </w:rPr>
              <w:t xml:space="preserve">Medical Practitioners </w:t>
            </w:r>
          </w:p>
        </w:tc>
      </w:tr>
      <w:tr w:rsidR="00553B84" w:rsidRPr="005D2995" w14:paraId="0662AB91" w14:textId="77777777" w:rsidTr="00553B84">
        <w:tblPrEx>
          <w:tblCellMar>
            <w:top w:w="15" w:type="dxa"/>
            <w:bottom w:w="15" w:type="dxa"/>
          </w:tblCellMar>
          <w:tblLook w:val="04A0" w:firstRow="1" w:lastRow="0" w:firstColumn="1" w:lastColumn="0" w:noHBand="0" w:noVBand="1"/>
        </w:tblPrEx>
        <w:trPr>
          <w:trHeight w:val="20"/>
        </w:trPr>
        <w:tc>
          <w:tcPr>
            <w:tcW w:w="1269" w:type="dxa"/>
            <w:vMerge/>
            <w:tcBorders>
              <w:left w:val="single" w:sz="4" w:space="0" w:color="auto"/>
              <w:bottom w:val="single" w:sz="4" w:space="0" w:color="auto"/>
              <w:right w:val="single" w:sz="4" w:space="0" w:color="auto"/>
            </w:tcBorders>
          </w:tcPr>
          <w:p w14:paraId="157F1E8A" w14:textId="77777777" w:rsidR="00553B84" w:rsidRPr="005D2995" w:rsidRDefault="00553B84" w:rsidP="00553B84">
            <w:pPr>
              <w:jc w:val="left"/>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8C34609" w14:textId="77777777" w:rsidR="00553B84" w:rsidRPr="005D2995" w:rsidRDefault="00553B84" w:rsidP="00553B84">
            <w:pPr>
              <w:keepLines/>
              <w:jc w:val="left"/>
              <w:rPr>
                <w:rFonts w:ascii="Arial Narrow" w:eastAsia="Calibri" w:hAnsi="Arial Narrow"/>
                <w:color w:val="FF0000"/>
                <w:sz w:val="20"/>
                <w:szCs w:val="20"/>
              </w:rPr>
            </w:pPr>
            <w:r w:rsidRPr="005D2995">
              <w:rPr>
                <w:rFonts w:ascii="Arial Narrow" w:hAnsi="Arial Narrow"/>
                <w:b/>
                <w:sz w:val="20"/>
                <w:szCs w:val="20"/>
              </w:rPr>
              <w:t xml:space="preserve">Restriction type: </w:t>
            </w:r>
            <w:r w:rsidRPr="005D2995">
              <w:rPr>
                <w:rFonts w:ascii="Arial Narrow" w:eastAsia="Calibri" w:hAnsi="Arial Narrow"/>
                <w:sz w:val="20"/>
                <w:szCs w:val="20"/>
              </w:rPr>
              <w:fldChar w:fldCharType="begin">
                <w:ffData>
                  <w:name w:val="Check3"/>
                  <w:enabled/>
                  <w:calcOnExit w:val="0"/>
                  <w:checkBox>
                    <w:sizeAuto/>
                    <w:default w:val="1"/>
                  </w:checkBox>
                </w:ffData>
              </w:fldChar>
            </w:r>
            <w:r w:rsidRPr="005D2995">
              <w:rPr>
                <w:rFonts w:ascii="Arial Narrow" w:eastAsia="Calibri" w:hAnsi="Arial Narrow"/>
                <w:sz w:val="20"/>
                <w:szCs w:val="20"/>
              </w:rPr>
              <w:instrText xml:space="preserve"> FORMCHECKBOX </w:instrText>
            </w:r>
            <w:r w:rsidR="00F35BF1">
              <w:rPr>
                <w:rFonts w:ascii="Arial Narrow" w:eastAsia="Calibri" w:hAnsi="Arial Narrow"/>
                <w:sz w:val="20"/>
                <w:szCs w:val="20"/>
              </w:rPr>
            </w:r>
            <w:r w:rsidR="00F35BF1">
              <w:rPr>
                <w:rFonts w:ascii="Arial Narrow" w:eastAsia="Calibri" w:hAnsi="Arial Narrow"/>
                <w:sz w:val="20"/>
                <w:szCs w:val="20"/>
              </w:rPr>
              <w:fldChar w:fldCharType="separate"/>
            </w:r>
            <w:r w:rsidRPr="005D2995">
              <w:rPr>
                <w:rFonts w:ascii="Arial Narrow" w:eastAsia="Calibri" w:hAnsi="Arial Narrow"/>
                <w:sz w:val="20"/>
                <w:szCs w:val="20"/>
              </w:rPr>
              <w:fldChar w:fldCharType="end"/>
            </w:r>
            <w:r w:rsidRPr="005D2995">
              <w:rPr>
                <w:rFonts w:ascii="Arial Narrow" w:eastAsia="Calibri" w:hAnsi="Arial Narrow"/>
                <w:sz w:val="20"/>
                <w:szCs w:val="20"/>
              </w:rPr>
              <w:t xml:space="preserve">Authority Required (telephone/online PBS Authorities system) </w:t>
            </w:r>
          </w:p>
        </w:tc>
      </w:tr>
      <w:tr w:rsidR="00553B84" w:rsidRPr="005D2995" w14:paraId="35779EA3" w14:textId="77777777" w:rsidTr="004B7836">
        <w:tblPrEx>
          <w:tblCellMar>
            <w:top w:w="15" w:type="dxa"/>
            <w:bottom w:w="15" w:type="dxa"/>
          </w:tblCellMar>
          <w:tblLook w:val="04A0" w:firstRow="1" w:lastRow="0" w:firstColumn="1" w:lastColumn="0" w:noHBand="0" w:noVBand="1"/>
        </w:tblPrEx>
        <w:trPr>
          <w:trHeight w:val="20"/>
        </w:trPr>
        <w:tc>
          <w:tcPr>
            <w:tcW w:w="1269" w:type="dxa"/>
          </w:tcPr>
          <w:p w14:paraId="125C7ED8" w14:textId="0D3EEB4A" w:rsidR="00553B84" w:rsidRPr="005D2995" w:rsidRDefault="00553B84" w:rsidP="00553B84">
            <w:pPr>
              <w:keepLines/>
              <w:jc w:val="left"/>
              <w:rPr>
                <w:rFonts w:ascii="Arial Narrow" w:hAnsi="Arial Narrow"/>
                <w:color w:val="FF0000"/>
                <w:sz w:val="20"/>
                <w:szCs w:val="20"/>
              </w:rPr>
            </w:pPr>
          </w:p>
        </w:tc>
        <w:tc>
          <w:tcPr>
            <w:tcW w:w="7745" w:type="dxa"/>
            <w:gridSpan w:val="6"/>
            <w:hideMark/>
          </w:tcPr>
          <w:p w14:paraId="017ADB8C" w14:textId="77777777" w:rsidR="00553B84" w:rsidRPr="005D2995" w:rsidRDefault="00553B84" w:rsidP="00553B84">
            <w:pPr>
              <w:rPr>
                <w:rFonts w:ascii="Arial Narrow" w:hAnsi="Arial Narrow"/>
                <w:sz w:val="20"/>
                <w:szCs w:val="20"/>
              </w:rPr>
            </w:pPr>
            <w:r w:rsidRPr="005D2995">
              <w:rPr>
                <w:rFonts w:ascii="Arial Narrow" w:hAnsi="Arial Narrow"/>
                <w:b/>
                <w:bCs/>
                <w:sz w:val="20"/>
                <w:szCs w:val="20"/>
              </w:rPr>
              <w:t>Indication:</w:t>
            </w:r>
          </w:p>
          <w:p w14:paraId="61452A60" w14:textId="77777777" w:rsidR="00553B84" w:rsidRPr="005D2995" w:rsidRDefault="00553B84" w:rsidP="00553B84">
            <w:pPr>
              <w:keepLines/>
              <w:jc w:val="left"/>
              <w:rPr>
                <w:rFonts w:ascii="Arial Narrow" w:hAnsi="Arial Narrow"/>
                <w:color w:val="333333"/>
                <w:sz w:val="20"/>
                <w:szCs w:val="20"/>
              </w:rPr>
            </w:pPr>
            <w:r w:rsidRPr="005D2995">
              <w:rPr>
                <w:rFonts w:ascii="Arial Narrow" w:hAnsi="Arial Narrow"/>
                <w:sz w:val="20"/>
                <w:szCs w:val="20"/>
              </w:rPr>
              <w:t>Familial heterozygous hypercholesterolaemia</w:t>
            </w:r>
          </w:p>
        </w:tc>
      </w:tr>
      <w:tr w:rsidR="00553B84" w:rsidRPr="005D2995" w14:paraId="26696CD4" w14:textId="77777777" w:rsidTr="004B7836">
        <w:tblPrEx>
          <w:tblCellMar>
            <w:top w:w="15" w:type="dxa"/>
            <w:bottom w:w="15" w:type="dxa"/>
          </w:tblCellMar>
          <w:tblLook w:val="04A0" w:firstRow="1" w:lastRow="0" w:firstColumn="1" w:lastColumn="0" w:noHBand="0" w:noVBand="1"/>
        </w:tblPrEx>
        <w:trPr>
          <w:trHeight w:val="20"/>
        </w:trPr>
        <w:tc>
          <w:tcPr>
            <w:tcW w:w="1269" w:type="dxa"/>
            <w:vAlign w:val="center"/>
          </w:tcPr>
          <w:p w14:paraId="490D9886" w14:textId="77777777" w:rsidR="00553B84" w:rsidRPr="005D2995" w:rsidRDefault="00553B84" w:rsidP="00553B84">
            <w:pPr>
              <w:jc w:val="left"/>
              <w:rPr>
                <w:rFonts w:ascii="Arial Narrow" w:hAnsi="Arial Narrow"/>
                <w:color w:val="FF0000"/>
                <w:sz w:val="20"/>
                <w:szCs w:val="20"/>
              </w:rPr>
            </w:pPr>
          </w:p>
        </w:tc>
        <w:tc>
          <w:tcPr>
            <w:tcW w:w="7745" w:type="dxa"/>
            <w:gridSpan w:val="6"/>
            <w:vAlign w:val="center"/>
            <w:hideMark/>
          </w:tcPr>
          <w:p w14:paraId="29A12732" w14:textId="77777777" w:rsidR="00553B84" w:rsidRPr="005D2995" w:rsidRDefault="00553B84" w:rsidP="00553B84">
            <w:pPr>
              <w:jc w:val="left"/>
              <w:rPr>
                <w:rFonts w:ascii="Arial Narrow" w:hAnsi="Arial Narrow"/>
                <w:sz w:val="20"/>
                <w:szCs w:val="20"/>
              </w:rPr>
            </w:pPr>
            <w:r w:rsidRPr="005D2995">
              <w:rPr>
                <w:rFonts w:ascii="Arial Narrow" w:hAnsi="Arial Narrow"/>
                <w:b/>
                <w:bCs/>
                <w:color w:val="333333"/>
                <w:sz w:val="20"/>
                <w:szCs w:val="20"/>
              </w:rPr>
              <w:t>Treatment Phase:</w:t>
            </w:r>
            <w:r w:rsidRPr="005D2995">
              <w:rPr>
                <w:rFonts w:ascii="Arial Narrow" w:hAnsi="Arial Narrow"/>
                <w:color w:val="FF0000"/>
                <w:sz w:val="20"/>
                <w:szCs w:val="20"/>
              </w:rPr>
              <w:t xml:space="preserve"> </w:t>
            </w:r>
            <w:r w:rsidRPr="005D2995">
              <w:rPr>
                <w:rFonts w:ascii="Arial Narrow" w:hAnsi="Arial Narrow"/>
                <w:sz w:val="20"/>
                <w:szCs w:val="20"/>
              </w:rPr>
              <w:t>Grandfather treatment</w:t>
            </w:r>
          </w:p>
        </w:tc>
      </w:tr>
      <w:tr w:rsidR="00553B84" w:rsidRPr="005D2995" w14:paraId="3ED4A44B"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3580B551" w14:textId="5DA8A1C2" w:rsidR="00553B84" w:rsidRPr="005D2995" w:rsidRDefault="00553B84" w:rsidP="00553B84">
            <w:pPr>
              <w:jc w:val="left"/>
              <w:rPr>
                <w:rFonts w:ascii="Arial Narrow" w:hAnsi="Arial Narrow"/>
                <w:color w:val="FF0000"/>
                <w:sz w:val="20"/>
                <w:szCs w:val="20"/>
              </w:rPr>
            </w:pPr>
          </w:p>
        </w:tc>
        <w:tc>
          <w:tcPr>
            <w:tcW w:w="7745" w:type="dxa"/>
            <w:gridSpan w:val="6"/>
          </w:tcPr>
          <w:p w14:paraId="25B8B606" w14:textId="77777777" w:rsidR="00553B84" w:rsidRPr="005D2995" w:rsidRDefault="00553B84" w:rsidP="00553B84">
            <w:pPr>
              <w:rPr>
                <w:rFonts w:ascii="Arial Narrow" w:hAnsi="Arial Narrow"/>
                <w:sz w:val="20"/>
                <w:szCs w:val="20"/>
              </w:rPr>
            </w:pPr>
            <w:r w:rsidRPr="005D2995">
              <w:rPr>
                <w:rFonts w:ascii="Arial Narrow" w:hAnsi="Arial Narrow"/>
                <w:b/>
                <w:bCs/>
                <w:sz w:val="20"/>
                <w:szCs w:val="20"/>
              </w:rPr>
              <w:t>Administrative Advice:</w:t>
            </w:r>
          </w:p>
          <w:p w14:paraId="3A2BD69A" w14:textId="77777777" w:rsidR="00553B84" w:rsidRPr="005D2995" w:rsidRDefault="00553B84" w:rsidP="00553B84">
            <w:pPr>
              <w:jc w:val="left"/>
              <w:rPr>
                <w:rFonts w:ascii="Arial Narrow" w:hAnsi="Arial Narrow"/>
                <w:b/>
                <w:bCs/>
                <w:color w:val="333333"/>
                <w:sz w:val="20"/>
                <w:szCs w:val="20"/>
              </w:rPr>
            </w:pPr>
            <w:r w:rsidRPr="005D2995">
              <w:rPr>
                <w:rFonts w:ascii="Arial Narrow" w:hAnsi="Arial Narrow"/>
                <w:sz w:val="20"/>
                <w:szCs w:val="20"/>
              </w:rPr>
              <w:t>No increase in the maximum quantity or number of units may be authorised.</w:t>
            </w:r>
          </w:p>
        </w:tc>
      </w:tr>
      <w:tr w:rsidR="00553B84" w:rsidRPr="005D2995" w14:paraId="1BE12BC5"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7EAF9C9F" w14:textId="7ADFCBA0" w:rsidR="00553B84" w:rsidRPr="005D2995" w:rsidRDefault="00553B84" w:rsidP="00553B84">
            <w:pPr>
              <w:jc w:val="left"/>
              <w:rPr>
                <w:rFonts w:ascii="Arial Narrow" w:hAnsi="Arial Narrow"/>
                <w:color w:val="FF0000"/>
                <w:sz w:val="20"/>
                <w:szCs w:val="20"/>
              </w:rPr>
            </w:pPr>
          </w:p>
        </w:tc>
        <w:tc>
          <w:tcPr>
            <w:tcW w:w="7745" w:type="dxa"/>
            <w:gridSpan w:val="6"/>
          </w:tcPr>
          <w:p w14:paraId="321875A0" w14:textId="77777777" w:rsidR="00553B84" w:rsidRPr="005D2995" w:rsidRDefault="00553B84" w:rsidP="00553B84">
            <w:pPr>
              <w:rPr>
                <w:rFonts w:ascii="Arial Narrow" w:hAnsi="Arial Narrow"/>
                <w:sz w:val="20"/>
                <w:szCs w:val="20"/>
              </w:rPr>
            </w:pPr>
            <w:r w:rsidRPr="005D2995">
              <w:rPr>
                <w:rFonts w:ascii="Arial Narrow" w:hAnsi="Arial Narrow"/>
                <w:b/>
                <w:bCs/>
                <w:sz w:val="20"/>
                <w:szCs w:val="20"/>
              </w:rPr>
              <w:t>Administrative Advice:</w:t>
            </w:r>
          </w:p>
          <w:p w14:paraId="6F654A52" w14:textId="77777777" w:rsidR="00553B84" w:rsidRPr="005D2995" w:rsidRDefault="00553B84" w:rsidP="00553B84">
            <w:pPr>
              <w:jc w:val="left"/>
              <w:rPr>
                <w:rFonts w:ascii="Arial Narrow" w:hAnsi="Arial Narrow"/>
                <w:b/>
                <w:bCs/>
                <w:color w:val="333333"/>
                <w:sz w:val="20"/>
                <w:szCs w:val="20"/>
              </w:rPr>
            </w:pPr>
            <w:r w:rsidRPr="005D2995">
              <w:rPr>
                <w:rFonts w:ascii="Arial Narrow" w:hAnsi="Arial Narrow"/>
                <w:sz w:val="20"/>
                <w:szCs w:val="20"/>
              </w:rPr>
              <w:t>No increase in the maximum number of repeats may be authorised.</w:t>
            </w:r>
          </w:p>
        </w:tc>
      </w:tr>
      <w:tr w:rsidR="00553B84" w:rsidRPr="005D2995" w14:paraId="36B9E509"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2858E156" w14:textId="24757C61" w:rsidR="00553B84" w:rsidRPr="005D2995" w:rsidRDefault="00553B84" w:rsidP="00553B84">
            <w:pPr>
              <w:jc w:val="left"/>
              <w:rPr>
                <w:rFonts w:ascii="Arial Narrow" w:hAnsi="Arial Narrow"/>
                <w:color w:val="FF0000"/>
                <w:sz w:val="20"/>
                <w:szCs w:val="20"/>
              </w:rPr>
            </w:pPr>
          </w:p>
        </w:tc>
        <w:tc>
          <w:tcPr>
            <w:tcW w:w="7745" w:type="dxa"/>
            <w:gridSpan w:val="6"/>
          </w:tcPr>
          <w:p w14:paraId="74C95FA1" w14:textId="77777777" w:rsidR="00553B84" w:rsidRPr="005D2995" w:rsidRDefault="00553B84" w:rsidP="00553B84">
            <w:pPr>
              <w:rPr>
                <w:rFonts w:ascii="Arial Narrow" w:hAnsi="Arial Narrow"/>
                <w:sz w:val="20"/>
                <w:szCs w:val="20"/>
              </w:rPr>
            </w:pPr>
            <w:r w:rsidRPr="005D2995">
              <w:rPr>
                <w:rFonts w:ascii="Arial Narrow" w:hAnsi="Arial Narrow"/>
                <w:b/>
                <w:bCs/>
                <w:sz w:val="20"/>
                <w:szCs w:val="20"/>
              </w:rPr>
              <w:t>Administrative Advice:</w:t>
            </w:r>
          </w:p>
          <w:p w14:paraId="6C6696F3" w14:textId="77777777" w:rsidR="00553B84" w:rsidRPr="005D2995" w:rsidRDefault="00553B84" w:rsidP="00553B84">
            <w:pPr>
              <w:jc w:val="left"/>
              <w:rPr>
                <w:rFonts w:ascii="Arial Narrow" w:hAnsi="Arial Narrow"/>
                <w:b/>
                <w:bCs/>
                <w:color w:val="333333"/>
                <w:sz w:val="20"/>
                <w:szCs w:val="20"/>
              </w:rPr>
            </w:pPr>
            <w:r w:rsidRPr="005D2995">
              <w:rPr>
                <w:rFonts w:ascii="Arial Narrow" w:hAnsi="Arial Narrow"/>
                <w:sz w:val="20"/>
                <w:szCs w:val="20"/>
              </w:rPr>
              <w:t>Special Pricing Arrangements apply.</w:t>
            </w:r>
          </w:p>
        </w:tc>
      </w:tr>
      <w:tr w:rsidR="00553B84" w:rsidRPr="005D2995" w14:paraId="5D5FDE90" w14:textId="77777777" w:rsidTr="004B7836">
        <w:tblPrEx>
          <w:tblCellMar>
            <w:top w:w="15" w:type="dxa"/>
            <w:bottom w:w="15" w:type="dxa"/>
          </w:tblCellMar>
          <w:tblLook w:val="04A0" w:firstRow="1" w:lastRow="0" w:firstColumn="1" w:lastColumn="0" w:noHBand="0" w:noVBand="1"/>
        </w:tblPrEx>
        <w:trPr>
          <w:trHeight w:val="20"/>
        </w:trPr>
        <w:tc>
          <w:tcPr>
            <w:tcW w:w="1269" w:type="dxa"/>
            <w:vAlign w:val="center"/>
          </w:tcPr>
          <w:p w14:paraId="14944E62" w14:textId="77777777" w:rsidR="00553B84" w:rsidRPr="005D2995" w:rsidRDefault="00553B84" w:rsidP="00553B84">
            <w:pPr>
              <w:jc w:val="left"/>
              <w:rPr>
                <w:rFonts w:ascii="Arial Narrow" w:hAnsi="Arial Narrow"/>
                <w:color w:val="FF0000"/>
                <w:sz w:val="20"/>
                <w:szCs w:val="20"/>
              </w:rPr>
            </w:pPr>
          </w:p>
        </w:tc>
        <w:tc>
          <w:tcPr>
            <w:tcW w:w="7745" w:type="dxa"/>
            <w:gridSpan w:val="6"/>
            <w:vAlign w:val="center"/>
            <w:hideMark/>
          </w:tcPr>
          <w:p w14:paraId="188FBD5A" w14:textId="77777777" w:rsidR="00553B84" w:rsidRPr="005D2995" w:rsidRDefault="00553B84" w:rsidP="00553B84">
            <w:pPr>
              <w:jc w:val="left"/>
              <w:rPr>
                <w:rFonts w:ascii="Arial Narrow" w:hAnsi="Arial Narrow"/>
                <w:sz w:val="20"/>
                <w:szCs w:val="20"/>
              </w:rPr>
            </w:pPr>
            <w:r w:rsidRPr="005D2995">
              <w:rPr>
                <w:rFonts w:ascii="Arial Narrow" w:hAnsi="Arial Narrow"/>
                <w:b/>
                <w:bCs/>
                <w:color w:val="333333"/>
                <w:sz w:val="20"/>
                <w:szCs w:val="20"/>
              </w:rPr>
              <w:t xml:space="preserve">Clinical criteria: </w:t>
            </w:r>
          </w:p>
        </w:tc>
      </w:tr>
      <w:tr w:rsidR="00553B84" w:rsidRPr="005D2995" w14:paraId="24B1E230" w14:textId="77777777" w:rsidTr="004B7836">
        <w:tblPrEx>
          <w:tblCellMar>
            <w:top w:w="15" w:type="dxa"/>
            <w:bottom w:w="15" w:type="dxa"/>
          </w:tblCellMar>
          <w:tblLook w:val="04A0" w:firstRow="1" w:lastRow="0" w:firstColumn="1" w:lastColumn="0" w:noHBand="0" w:noVBand="1"/>
        </w:tblPrEx>
        <w:trPr>
          <w:trHeight w:val="20"/>
        </w:trPr>
        <w:tc>
          <w:tcPr>
            <w:tcW w:w="1269" w:type="dxa"/>
            <w:vAlign w:val="center"/>
          </w:tcPr>
          <w:p w14:paraId="41EA3558" w14:textId="4A3158D3" w:rsidR="00553B84" w:rsidRPr="005D2995" w:rsidRDefault="00553B84" w:rsidP="00553B84">
            <w:pPr>
              <w:jc w:val="left"/>
              <w:rPr>
                <w:rFonts w:ascii="Arial Narrow" w:hAnsi="Arial Narrow"/>
                <w:color w:val="FF0000"/>
                <w:sz w:val="20"/>
                <w:szCs w:val="20"/>
              </w:rPr>
            </w:pPr>
          </w:p>
        </w:tc>
        <w:tc>
          <w:tcPr>
            <w:tcW w:w="7745" w:type="dxa"/>
            <w:gridSpan w:val="6"/>
            <w:vAlign w:val="center"/>
            <w:hideMark/>
          </w:tcPr>
          <w:p w14:paraId="510D548C" w14:textId="77777777" w:rsidR="00553B84" w:rsidRPr="005D2995" w:rsidRDefault="00553B84" w:rsidP="00553B84">
            <w:pPr>
              <w:jc w:val="left"/>
              <w:rPr>
                <w:rFonts w:ascii="Arial Narrow" w:hAnsi="Arial Narrow"/>
                <w:sz w:val="20"/>
                <w:szCs w:val="20"/>
              </w:rPr>
            </w:pPr>
            <w:r w:rsidRPr="005D2995">
              <w:rPr>
                <w:rFonts w:ascii="Arial Narrow" w:hAnsi="Arial Narrow"/>
                <w:sz w:val="20"/>
                <w:szCs w:val="20"/>
              </w:rPr>
              <w:t>Patient must have previously received non-PBS-subsidised treatment with this drug for this condition prior to [insert listing date]</w:t>
            </w:r>
          </w:p>
          <w:p w14:paraId="07716810" w14:textId="77777777" w:rsidR="00553B84" w:rsidRPr="005D2995" w:rsidRDefault="00553B84" w:rsidP="00553B84">
            <w:pPr>
              <w:jc w:val="left"/>
              <w:rPr>
                <w:rFonts w:ascii="Arial Narrow" w:hAnsi="Arial Narrow"/>
                <w:color w:val="333333"/>
                <w:sz w:val="20"/>
                <w:szCs w:val="20"/>
              </w:rPr>
            </w:pPr>
          </w:p>
        </w:tc>
      </w:tr>
      <w:tr w:rsidR="00553B84" w:rsidRPr="005D2995" w14:paraId="553A347A" w14:textId="77777777" w:rsidTr="004B7836">
        <w:tblPrEx>
          <w:tblCellMar>
            <w:top w:w="15" w:type="dxa"/>
            <w:bottom w:w="15" w:type="dxa"/>
          </w:tblCellMar>
          <w:tblLook w:val="04A0" w:firstRow="1" w:lastRow="0" w:firstColumn="1" w:lastColumn="0" w:noHBand="0" w:noVBand="1"/>
        </w:tblPrEx>
        <w:trPr>
          <w:trHeight w:val="20"/>
        </w:trPr>
        <w:tc>
          <w:tcPr>
            <w:tcW w:w="1269" w:type="dxa"/>
            <w:vAlign w:val="center"/>
          </w:tcPr>
          <w:p w14:paraId="573F2400" w14:textId="77777777" w:rsidR="00553B84" w:rsidRPr="005D2995" w:rsidRDefault="00553B84" w:rsidP="00553B84">
            <w:pPr>
              <w:jc w:val="left"/>
              <w:rPr>
                <w:rFonts w:ascii="Arial Narrow" w:hAnsi="Arial Narrow"/>
                <w:color w:val="FF0000"/>
                <w:sz w:val="20"/>
                <w:szCs w:val="20"/>
              </w:rPr>
            </w:pPr>
          </w:p>
        </w:tc>
        <w:tc>
          <w:tcPr>
            <w:tcW w:w="7745" w:type="dxa"/>
            <w:gridSpan w:val="6"/>
            <w:vAlign w:val="center"/>
            <w:hideMark/>
          </w:tcPr>
          <w:p w14:paraId="2C5508AA" w14:textId="77777777" w:rsidR="00553B84" w:rsidRPr="005D2995" w:rsidRDefault="00553B84" w:rsidP="00553B84">
            <w:pPr>
              <w:jc w:val="left"/>
              <w:rPr>
                <w:rFonts w:ascii="Arial Narrow" w:hAnsi="Arial Narrow"/>
                <w:color w:val="333333"/>
                <w:sz w:val="20"/>
                <w:szCs w:val="20"/>
              </w:rPr>
            </w:pPr>
            <w:r w:rsidRPr="005D2995">
              <w:rPr>
                <w:rFonts w:ascii="Arial Narrow" w:hAnsi="Arial Narrow"/>
                <w:b/>
                <w:bCs/>
                <w:color w:val="333333"/>
                <w:sz w:val="20"/>
                <w:szCs w:val="20"/>
              </w:rPr>
              <w:t>AND</w:t>
            </w:r>
          </w:p>
        </w:tc>
      </w:tr>
      <w:tr w:rsidR="00553B84" w:rsidRPr="005D2995" w14:paraId="10A92A54" w14:textId="77777777" w:rsidTr="00553B84">
        <w:tblPrEx>
          <w:tblCellMar>
            <w:top w:w="15" w:type="dxa"/>
            <w:bottom w:w="15" w:type="dxa"/>
          </w:tblCellMar>
          <w:tblLook w:val="04A0" w:firstRow="1" w:lastRow="0" w:firstColumn="1" w:lastColumn="0" w:noHBand="0" w:noVBand="1"/>
        </w:tblPrEx>
        <w:trPr>
          <w:trHeight w:val="20"/>
        </w:trPr>
        <w:tc>
          <w:tcPr>
            <w:tcW w:w="1269" w:type="dxa"/>
            <w:vAlign w:val="center"/>
          </w:tcPr>
          <w:p w14:paraId="34FC1A8A" w14:textId="11DEFAC6" w:rsidR="00553B84" w:rsidRPr="005D2995" w:rsidRDefault="00553B84" w:rsidP="00553B84">
            <w:pPr>
              <w:jc w:val="left"/>
              <w:rPr>
                <w:rFonts w:ascii="Arial Narrow" w:hAnsi="Arial Narrow"/>
                <w:sz w:val="20"/>
                <w:szCs w:val="20"/>
              </w:rPr>
            </w:pPr>
          </w:p>
        </w:tc>
        <w:tc>
          <w:tcPr>
            <w:tcW w:w="7745" w:type="dxa"/>
            <w:gridSpan w:val="6"/>
            <w:vAlign w:val="center"/>
            <w:hideMark/>
          </w:tcPr>
          <w:p w14:paraId="46930164" w14:textId="77777777" w:rsidR="00553B84" w:rsidRPr="005D2995" w:rsidRDefault="00553B84" w:rsidP="00553B84">
            <w:pPr>
              <w:jc w:val="left"/>
              <w:rPr>
                <w:rFonts w:ascii="Arial Narrow" w:hAnsi="Arial Narrow"/>
                <w:color w:val="333333"/>
                <w:sz w:val="20"/>
                <w:szCs w:val="20"/>
              </w:rPr>
            </w:pPr>
            <w:r w:rsidRPr="005D2995">
              <w:rPr>
                <w:rFonts w:ascii="Arial Narrow" w:hAnsi="Arial Narrow"/>
                <w:b/>
                <w:bCs/>
                <w:color w:val="333333"/>
                <w:sz w:val="20"/>
                <w:szCs w:val="20"/>
              </w:rPr>
              <w:t>Clinical criteria:</w:t>
            </w:r>
          </w:p>
        </w:tc>
      </w:tr>
      <w:tr w:rsidR="00553B84" w:rsidRPr="005D2995" w14:paraId="42CA1C43" w14:textId="77777777" w:rsidTr="00553B84">
        <w:tblPrEx>
          <w:tblCellMar>
            <w:top w:w="15" w:type="dxa"/>
            <w:bottom w:w="15" w:type="dxa"/>
          </w:tblCellMar>
          <w:tblLook w:val="04A0" w:firstRow="1" w:lastRow="0" w:firstColumn="1" w:lastColumn="0" w:noHBand="0" w:noVBand="1"/>
        </w:tblPrEx>
        <w:trPr>
          <w:trHeight w:val="20"/>
        </w:trPr>
        <w:tc>
          <w:tcPr>
            <w:tcW w:w="1269" w:type="dxa"/>
            <w:vAlign w:val="center"/>
          </w:tcPr>
          <w:p w14:paraId="44C9998E" w14:textId="6F383353" w:rsidR="00553B84" w:rsidRPr="005D2995" w:rsidRDefault="00553B84" w:rsidP="00553B84">
            <w:pPr>
              <w:jc w:val="left"/>
              <w:rPr>
                <w:rFonts w:ascii="Arial Narrow" w:hAnsi="Arial Narrow"/>
                <w:sz w:val="20"/>
                <w:szCs w:val="20"/>
              </w:rPr>
            </w:pPr>
          </w:p>
        </w:tc>
        <w:tc>
          <w:tcPr>
            <w:tcW w:w="7745" w:type="dxa"/>
            <w:gridSpan w:val="6"/>
            <w:vAlign w:val="center"/>
            <w:hideMark/>
          </w:tcPr>
          <w:p w14:paraId="0514A98B" w14:textId="77777777" w:rsidR="00553B84" w:rsidRPr="005D2995" w:rsidRDefault="00553B84" w:rsidP="00553B84">
            <w:pPr>
              <w:jc w:val="left"/>
              <w:rPr>
                <w:rFonts w:ascii="Arial Narrow" w:hAnsi="Arial Narrow"/>
                <w:sz w:val="20"/>
                <w:szCs w:val="20"/>
              </w:rPr>
            </w:pPr>
            <w:r w:rsidRPr="005D2995">
              <w:rPr>
                <w:rFonts w:ascii="Arial Narrow" w:hAnsi="Arial Narrow"/>
                <w:sz w:val="20"/>
                <w:szCs w:val="20"/>
              </w:rPr>
              <w:t>The treatment must be in conjunction with dietary therapy and exercise,</w:t>
            </w:r>
          </w:p>
          <w:p w14:paraId="04B8DB84" w14:textId="77777777" w:rsidR="00553B84" w:rsidRPr="005D2995" w:rsidRDefault="00553B84" w:rsidP="00553B84">
            <w:pPr>
              <w:jc w:val="left"/>
              <w:rPr>
                <w:rFonts w:ascii="Arial Narrow" w:hAnsi="Arial Narrow"/>
                <w:color w:val="FF0000"/>
                <w:sz w:val="20"/>
                <w:szCs w:val="20"/>
              </w:rPr>
            </w:pPr>
          </w:p>
        </w:tc>
      </w:tr>
      <w:tr w:rsidR="00553B84" w:rsidRPr="005D2995" w14:paraId="4DE1F002" w14:textId="77777777" w:rsidTr="00553B84">
        <w:tblPrEx>
          <w:tblCellMar>
            <w:top w:w="15" w:type="dxa"/>
            <w:bottom w:w="15" w:type="dxa"/>
          </w:tblCellMar>
          <w:tblLook w:val="04A0" w:firstRow="1" w:lastRow="0" w:firstColumn="1" w:lastColumn="0" w:noHBand="0" w:noVBand="1"/>
        </w:tblPrEx>
        <w:trPr>
          <w:trHeight w:val="20"/>
        </w:trPr>
        <w:tc>
          <w:tcPr>
            <w:tcW w:w="1269" w:type="dxa"/>
            <w:vAlign w:val="center"/>
          </w:tcPr>
          <w:p w14:paraId="5EAB10DA" w14:textId="77777777" w:rsidR="00553B84" w:rsidRPr="005D2995" w:rsidRDefault="00553B84" w:rsidP="00553B84">
            <w:pPr>
              <w:jc w:val="left"/>
              <w:rPr>
                <w:rFonts w:ascii="Arial Narrow" w:hAnsi="Arial Narrow"/>
                <w:color w:val="FF0000"/>
                <w:sz w:val="20"/>
                <w:szCs w:val="20"/>
              </w:rPr>
            </w:pPr>
          </w:p>
        </w:tc>
        <w:tc>
          <w:tcPr>
            <w:tcW w:w="7745" w:type="dxa"/>
            <w:gridSpan w:val="6"/>
            <w:vAlign w:val="center"/>
            <w:hideMark/>
          </w:tcPr>
          <w:p w14:paraId="63B26538" w14:textId="77777777" w:rsidR="00553B84" w:rsidRPr="005D2995" w:rsidRDefault="00553B84" w:rsidP="00553B84">
            <w:pPr>
              <w:jc w:val="left"/>
              <w:rPr>
                <w:rFonts w:ascii="Arial Narrow" w:hAnsi="Arial Narrow"/>
                <w:color w:val="333333"/>
                <w:sz w:val="20"/>
                <w:szCs w:val="20"/>
              </w:rPr>
            </w:pPr>
            <w:r w:rsidRPr="005D2995">
              <w:rPr>
                <w:rFonts w:ascii="Arial Narrow" w:hAnsi="Arial Narrow"/>
                <w:b/>
                <w:bCs/>
                <w:color w:val="333333"/>
                <w:sz w:val="20"/>
                <w:szCs w:val="20"/>
              </w:rPr>
              <w:t>AND</w:t>
            </w:r>
          </w:p>
        </w:tc>
      </w:tr>
      <w:tr w:rsidR="00553B84" w:rsidRPr="005D2995" w14:paraId="5A7811BF" w14:textId="77777777" w:rsidTr="00553B84">
        <w:tblPrEx>
          <w:tblCellMar>
            <w:top w:w="15" w:type="dxa"/>
            <w:bottom w:w="15" w:type="dxa"/>
          </w:tblCellMar>
          <w:tblLook w:val="04A0" w:firstRow="1" w:lastRow="0" w:firstColumn="1" w:lastColumn="0" w:noHBand="0" w:noVBand="1"/>
        </w:tblPrEx>
        <w:trPr>
          <w:trHeight w:val="20"/>
        </w:trPr>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C14E52" w14:textId="5A15D7E2" w:rsidR="00553B84" w:rsidRPr="005D2995" w:rsidRDefault="00553B84" w:rsidP="00553B84">
            <w:pPr>
              <w:jc w:val="left"/>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E69892" w14:textId="77777777" w:rsidR="00553B84" w:rsidRPr="005D2995" w:rsidRDefault="00553B84" w:rsidP="00553B84">
            <w:pPr>
              <w:jc w:val="left"/>
              <w:rPr>
                <w:rFonts w:ascii="Arial Narrow" w:hAnsi="Arial Narrow"/>
                <w:b/>
                <w:bCs/>
                <w:color w:val="333333"/>
                <w:sz w:val="20"/>
                <w:szCs w:val="20"/>
              </w:rPr>
            </w:pPr>
            <w:r w:rsidRPr="005D2995">
              <w:rPr>
                <w:rFonts w:ascii="Arial Narrow" w:hAnsi="Arial Narrow"/>
                <w:b/>
                <w:bCs/>
                <w:color w:val="333333"/>
                <w:sz w:val="20"/>
                <w:szCs w:val="20"/>
              </w:rPr>
              <w:t>Clinical criteria:</w:t>
            </w:r>
          </w:p>
        </w:tc>
      </w:tr>
      <w:tr w:rsidR="00553B84" w:rsidRPr="005D2995" w14:paraId="5A88D588" w14:textId="77777777" w:rsidTr="00553B84">
        <w:tblPrEx>
          <w:tblCellMar>
            <w:top w:w="15" w:type="dxa"/>
            <w:bottom w:w="15" w:type="dxa"/>
          </w:tblCellMar>
          <w:tblLook w:val="04A0" w:firstRow="1" w:lastRow="0" w:firstColumn="1" w:lastColumn="0" w:noHBand="0" w:noVBand="1"/>
        </w:tblPrEx>
        <w:trPr>
          <w:trHeight w:val="20"/>
        </w:trPr>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4DBE21" w14:textId="1307E620" w:rsidR="00553B84" w:rsidRPr="005D2995" w:rsidRDefault="00553B84" w:rsidP="00553B84">
            <w:pPr>
              <w:jc w:val="left"/>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83C77E" w14:textId="77777777" w:rsidR="00553B84" w:rsidRPr="005D2995" w:rsidRDefault="00553B84" w:rsidP="00553B84">
            <w:pPr>
              <w:jc w:val="left"/>
              <w:rPr>
                <w:rFonts w:ascii="Arial Narrow" w:hAnsi="Arial Narrow"/>
                <w:color w:val="333333"/>
                <w:sz w:val="20"/>
                <w:szCs w:val="20"/>
              </w:rPr>
            </w:pPr>
            <w:r w:rsidRPr="005D2995">
              <w:rPr>
                <w:rFonts w:ascii="Arial Narrow" w:hAnsi="Arial Narrow"/>
                <w:color w:val="333333"/>
                <w:sz w:val="20"/>
                <w:szCs w:val="20"/>
              </w:rPr>
              <w:t>The condition must have been confirmed by genetic testing prior to starting non-PBS-subsidised treatment with this drug for this condition; or</w:t>
            </w:r>
          </w:p>
        </w:tc>
      </w:tr>
      <w:tr w:rsidR="00553B84" w:rsidRPr="005D2995" w14:paraId="08E29C12" w14:textId="77777777" w:rsidTr="00553B84">
        <w:tblPrEx>
          <w:tblCellMar>
            <w:top w:w="15" w:type="dxa"/>
            <w:bottom w:w="15" w:type="dxa"/>
          </w:tblCellMar>
          <w:tblLook w:val="04A0" w:firstRow="1" w:lastRow="0" w:firstColumn="1" w:lastColumn="0" w:noHBand="0" w:noVBand="1"/>
        </w:tblPrEx>
        <w:trPr>
          <w:trHeight w:val="20"/>
        </w:trPr>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4BB6B" w14:textId="3114181E" w:rsidR="00553B84" w:rsidRPr="005D2995" w:rsidRDefault="00553B84" w:rsidP="00553B84">
            <w:pPr>
              <w:jc w:val="left"/>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46C438" w14:textId="77777777" w:rsidR="00553B84" w:rsidRPr="005D2995" w:rsidRDefault="00553B84" w:rsidP="00553B84">
            <w:pPr>
              <w:jc w:val="left"/>
              <w:rPr>
                <w:rFonts w:ascii="Arial Narrow" w:hAnsi="Arial Narrow"/>
                <w:color w:val="333333"/>
                <w:sz w:val="20"/>
                <w:szCs w:val="20"/>
              </w:rPr>
            </w:pPr>
            <w:r w:rsidRPr="005D2995">
              <w:rPr>
                <w:rFonts w:ascii="Arial Narrow" w:hAnsi="Arial Narrow"/>
                <w:color w:val="333333"/>
                <w:sz w:val="20"/>
                <w:szCs w:val="20"/>
              </w:rPr>
              <w:t>The condition must have been confirmed by a Dutch Lipid Clinic Network Score of at least 6 prior to starting non-PBS-subsidised treatment with this drug for this condition</w:t>
            </w:r>
          </w:p>
        </w:tc>
      </w:tr>
      <w:tr w:rsidR="00553B84" w:rsidRPr="005D2995" w14:paraId="4CBB23CC"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788A1E9A" w14:textId="77777777" w:rsidR="00553B84" w:rsidRPr="005D2995" w:rsidRDefault="00553B84" w:rsidP="00553B84">
            <w:pPr>
              <w:jc w:val="left"/>
              <w:rPr>
                <w:rFonts w:ascii="Arial Narrow" w:hAnsi="Arial Narrow"/>
                <w:b/>
                <w:bCs/>
                <w:color w:val="FF0000"/>
                <w:sz w:val="20"/>
                <w:szCs w:val="20"/>
              </w:rPr>
            </w:pPr>
          </w:p>
        </w:tc>
        <w:tc>
          <w:tcPr>
            <w:tcW w:w="7745" w:type="dxa"/>
            <w:gridSpan w:val="6"/>
          </w:tcPr>
          <w:p w14:paraId="65C4DF65" w14:textId="77777777" w:rsidR="00553B84" w:rsidRPr="005D2995" w:rsidRDefault="00553B84" w:rsidP="00553B84">
            <w:pPr>
              <w:jc w:val="left"/>
              <w:rPr>
                <w:rFonts w:ascii="Arial Narrow" w:hAnsi="Arial Narrow"/>
                <w:b/>
                <w:bCs/>
                <w:color w:val="333333"/>
                <w:sz w:val="20"/>
                <w:szCs w:val="20"/>
              </w:rPr>
            </w:pPr>
            <w:r w:rsidRPr="005D2995">
              <w:rPr>
                <w:rFonts w:ascii="Arial Narrow" w:hAnsi="Arial Narrow"/>
                <w:b/>
                <w:bCs/>
                <w:sz w:val="20"/>
                <w:szCs w:val="20"/>
              </w:rPr>
              <w:t>AND</w:t>
            </w:r>
          </w:p>
        </w:tc>
      </w:tr>
      <w:tr w:rsidR="00553B84" w:rsidRPr="005D2995" w14:paraId="26D61B66"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4259177C" w14:textId="6AEDFD1B" w:rsidR="00553B84" w:rsidRPr="005D2995" w:rsidRDefault="00553B84" w:rsidP="00553B84">
            <w:pPr>
              <w:jc w:val="left"/>
              <w:rPr>
                <w:rFonts w:ascii="Arial Narrow" w:hAnsi="Arial Narrow"/>
                <w:color w:val="FF0000"/>
                <w:sz w:val="20"/>
                <w:szCs w:val="20"/>
              </w:rPr>
            </w:pPr>
          </w:p>
        </w:tc>
        <w:tc>
          <w:tcPr>
            <w:tcW w:w="7745" w:type="dxa"/>
            <w:gridSpan w:val="6"/>
          </w:tcPr>
          <w:p w14:paraId="6EE6C9BC" w14:textId="77777777" w:rsidR="00553B84" w:rsidRPr="005D2995" w:rsidRDefault="00553B84" w:rsidP="00553B84">
            <w:pPr>
              <w:jc w:val="left"/>
              <w:rPr>
                <w:rFonts w:ascii="Arial Narrow" w:hAnsi="Arial Narrow"/>
                <w:b/>
                <w:bCs/>
                <w:color w:val="333333"/>
                <w:sz w:val="20"/>
                <w:szCs w:val="20"/>
              </w:rPr>
            </w:pPr>
            <w:r w:rsidRPr="005D2995">
              <w:rPr>
                <w:rFonts w:ascii="Arial Narrow" w:hAnsi="Arial Narrow"/>
                <w:b/>
                <w:bCs/>
                <w:sz w:val="20"/>
                <w:szCs w:val="20"/>
              </w:rPr>
              <w:t>Clinical criteria:</w:t>
            </w:r>
          </w:p>
        </w:tc>
      </w:tr>
      <w:tr w:rsidR="00553B84" w:rsidRPr="005D2995" w14:paraId="6E97C76E"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7EE5D352" w14:textId="4713D637" w:rsidR="00553B84" w:rsidRPr="005D2995" w:rsidRDefault="00553B84" w:rsidP="00553B84">
            <w:pPr>
              <w:jc w:val="left"/>
              <w:rPr>
                <w:rFonts w:ascii="Arial Narrow" w:hAnsi="Arial Narrow"/>
                <w:color w:val="FF0000"/>
                <w:sz w:val="20"/>
                <w:szCs w:val="20"/>
              </w:rPr>
            </w:pPr>
          </w:p>
        </w:tc>
        <w:tc>
          <w:tcPr>
            <w:tcW w:w="7745" w:type="dxa"/>
            <w:gridSpan w:val="6"/>
          </w:tcPr>
          <w:p w14:paraId="51E8E4A1" w14:textId="77777777" w:rsidR="00553B84" w:rsidRPr="005D2995" w:rsidRDefault="00553B84" w:rsidP="00553B84">
            <w:pPr>
              <w:jc w:val="left"/>
              <w:rPr>
                <w:rFonts w:ascii="Arial Narrow" w:hAnsi="Arial Narrow"/>
                <w:b/>
                <w:bCs/>
                <w:color w:val="333333"/>
                <w:sz w:val="20"/>
                <w:szCs w:val="20"/>
              </w:rPr>
            </w:pPr>
            <w:r w:rsidRPr="005D2995">
              <w:rPr>
                <w:rFonts w:ascii="Arial Narrow" w:hAnsi="Arial Narrow"/>
                <w:sz w:val="20"/>
                <w:szCs w:val="20"/>
              </w:rPr>
              <w:t>Patient must have had an LDL cholesterol level in excess of 1.8 millimoles per litre in the presence of symptomatic atherosclerotic cardiovascular disease at the time non-PBS-subsidised treatment with this drug for this condition was initiated</w:t>
            </w:r>
          </w:p>
        </w:tc>
      </w:tr>
      <w:tr w:rsidR="00553B84" w:rsidRPr="005D2995" w14:paraId="682AD053" w14:textId="77777777" w:rsidTr="00553B84">
        <w:tblPrEx>
          <w:tblCellMar>
            <w:top w:w="15" w:type="dxa"/>
            <w:bottom w:w="15" w:type="dxa"/>
          </w:tblCellMar>
          <w:tblLook w:val="04A0" w:firstRow="1" w:lastRow="0" w:firstColumn="1" w:lastColumn="0" w:noHBand="0" w:noVBand="1"/>
        </w:tblPrEx>
        <w:trPr>
          <w:trHeight w:val="20"/>
        </w:trPr>
        <w:tc>
          <w:tcPr>
            <w:tcW w:w="1269" w:type="dxa"/>
            <w:vAlign w:val="center"/>
          </w:tcPr>
          <w:p w14:paraId="4FCACA16" w14:textId="77777777" w:rsidR="00553B84" w:rsidRPr="005D2995" w:rsidRDefault="00553B84" w:rsidP="00553B84">
            <w:pPr>
              <w:jc w:val="left"/>
              <w:rPr>
                <w:rFonts w:ascii="Arial Narrow" w:hAnsi="Arial Narrow"/>
                <w:color w:val="FF0000"/>
                <w:sz w:val="20"/>
                <w:szCs w:val="20"/>
              </w:rPr>
            </w:pPr>
          </w:p>
        </w:tc>
        <w:tc>
          <w:tcPr>
            <w:tcW w:w="7745" w:type="dxa"/>
            <w:gridSpan w:val="6"/>
            <w:vAlign w:val="center"/>
            <w:hideMark/>
          </w:tcPr>
          <w:p w14:paraId="31B78309" w14:textId="77777777" w:rsidR="00553B84" w:rsidRPr="005D2995" w:rsidRDefault="00553B84" w:rsidP="00553B84">
            <w:pPr>
              <w:jc w:val="left"/>
              <w:rPr>
                <w:rFonts w:ascii="Arial Narrow" w:hAnsi="Arial Narrow"/>
                <w:color w:val="333333"/>
                <w:sz w:val="20"/>
                <w:szCs w:val="20"/>
              </w:rPr>
            </w:pPr>
            <w:r w:rsidRPr="005D2995">
              <w:rPr>
                <w:rFonts w:ascii="Arial Narrow" w:hAnsi="Arial Narrow"/>
                <w:b/>
                <w:bCs/>
                <w:color w:val="333333"/>
                <w:sz w:val="20"/>
                <w:szCs w:val="20"/>
              </w:rPr>
              <w:t>AND</w:t>
            </w:r>
          </w:p>
        </w:tc>
      </w:tr>
      <w:tr w:rsidR="00553B84" w:rsidRPr="005D2995" w14:paraId="43BB0EFA"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4D86FB1C" w14:textId="5F0DDAEA" w:rsidR="00553B84" w:rsidRPr="005D2995" w:rsidRDefault="00553B84" w:rsidP="00553B84">
            <w:pPr>
              <w:jc w:val="left"/>
              <w:rPr>
                <w:rFonts w:ascii="Arial Narrow" w:hAnsi="Arial Narrow"/>
                <w:color w:val="FF0000"/>
                <w:sz w:val="20"/>
                <w:szCs w:val="20"/>
              </w:rPr>
            </w:pPr>
          </w:p>
        </w:tc>
        <w:tc>
          <w:tcPr>
            <w:tcW w:w="7745" w:type="dxa"/>
            <w:gridSpan w:val="6"/>
          </w:tcPr>
          <w:p w14:paraId="4E5C3DC8" w14:textId="77777777" w:rsidR="00553B84" w:rsidRPr="005D2995" w:rsidRDefault="00553B84" w:rsidP="00553B84">
            <w:pPr>
              <w:jc w:val="left"/>
              <w:rPr>
                <w:rFonts w:ascii="Arial Narrow" w:hAnsi="Arial Narrow"/>
                <w:b/>
                <w:bCs/>
                <w:color w:val="333333"/>
                <w:sz w:val="20"/>
                <w:szCs w:val="20"/>
              </w:rPr>
            </w:pPr>
            <w:r w:rsidRPr="005D2995">
              <w:rPr>
                <w:rFonts w:ascii="Arial Narrow" w:hAnsi="Arial Narrow"/>
                <w:b/>
                <w:bCs/>
                <w:sz w:val="20"/>
                <w:szCs w:val="20"/>
              </w:rPr>
              <w:t>Clinical criteria:</w:t>
            </w:r>
          </w:p>
        </w:tc>
      </w:tr>
      <w:tr w:rsidR="00553B84" w:rsidRPr="005D2995" w14:paraId="547DD1E0"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7A3A672E" w14:textId="3194222B" w:rsidR="00553B84" w:rsidRPr="005D2995" w:rsidRDefault="00553B84" w:rsidP="00553B84">
            <w:pPr>
              <w:jc w:val="left"/>
              <w:rPr>
                <w:rFonts w:ascii="Arial Narrow" w:hAnsi="Arial Narrow"/>
                <w:color w:val="FF0000"/>
                <w:sz w:val="20"/>
                <w:szCs w:val="20"/>
              </w:rPr>
            </w:pPr>
          </w:p>
        </w:tc>
        <w:tc>
          <w:tcPr>
            <w:tcW w:w="7745" w:type="dxa"/>
            <w:gridSpan w:val="6"/>
          </w:tcPr>
          <w:p w14:paraId="2D95522A" w14:textId="77777777" w:rsidR="00553B84" w:rsidRPr="005D2995" w:rsidRDefault="00553B84" w:rsidP="00553B84">
            <w:pPr>
              <w:jc w:val="left"/>
              <w:rPr>
                <w:rFonts w:ascii="Arial Narrow" w:hAnsi="Arial Narrow"/>
                <w:b/>
                <w:bCs/>
                <w:color w:val="333333"/>
                <w:sz w:val="20"/>
                <w:szCs w:val="20"/>
              </w:rPr>
            </w:pPr>
            <w:r w:rsidRPr="005D2995">
              <w:rPr>
                <w:rFonts w:ascii="Arial Narrow" w:hAnsi="Arial Narrow"/>
                <w:sz w:val="20"/>
                <w:szCs w:val="20"/>
              </w:rPr>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prior to initiating non-PBS-subsidised treatment with this drug for this condition; or</w:t>
            </w:r>
          </w:p>
        </w:tc>
      </w:tr>
      <w:tr w:rsidR="00553B84" w:rsidRPr="005D2995" w14:paraId="16C74016"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79E95630" w14:textId="1AEF9953" w:rsidR="00553B84" w:rsidRPr="005D2995" w:rsidRDefault="00553B84" w:rsidP="00553B84">
            <w:pPr>
              <w:jc w:val="left"/>
              <w:rPr>
                <w:rFonts w:ascii="Arial Narrow" w:hAnsi="Arial Narrow"/>
                <w:color w:val="FF0000"/>
                <w:sz w:val="20"/>
                <w:szCs w:val="20"/>
              </w:rPr>
            </w:pPr>
          </w:p>
        </w:tc>
        <w:tc>
          <w:tcPr>
            <w:tcW w:w="7745" w:type="dxa"/>
            <w:gridSpan w:val="6"/>
          </w:tcPr>
          <w:p w14:paraId="079C6B26" w14:textId="77777777" w:rsidR="00553B84" w:rsidRPr="005D2995" w:rsidRDefault="00553B84" w:rsidP="00553B84">
            <w:pPr>
              <w:jc w:val="left"/>
              <w:rPr>
                <w:rFonts w:ascii="Arial Narrow" w:hAnsi="Arial Narrow"/>
                <w:b/>
                <w:bCs/>
                <w:color w:val="333333"/>
                <w:sz w:val="20"/>
                <w:szCs w:val="20"/>
              </w:rPr>
            </w:pPr>
            <w:r w:rsidRPr="005D2995">
              <w:rPr>
                <w:rFonts w:ascii="Arial Narrow" w:hAnsi="Arial Narrow"/>
                <w:sz w:val="20"/>
                <w:szCs w:val="20"/>
              </w:rPr>
              <w:t>Patient must have developed a clinically important product-related adverse event necessitating withdrawal of statin treatment to trials of each of atorvastatin and rosuvastatin prior to initiating non-PBS-subsidised treatment with this drug for this condition; or</w:t>
            </w:r>
          </w:p>
        </w:tc>
      </w:tr>
      <w:tr w:rsidR="00553B84" w:rsidRPr="005D2995" w14:paraId="641045B9"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74F25711" w14:textId="74D9C67D" w:rsidR="00553B84" w:rsidRPr="005D2995" w:rsidRDefault="00553B84" w:rsidP="00553B84">
            <w:pPr>
              <w:jc w:val="left"/>
              <w:rPr>
                <w:rFonts w:ascii="Arial Narrow" w:hAnsi="Arial Narrow"/>
                <w:color w:val="FF0000"/>
                <w:sz w:val="20"/>
                <w:szCs w:val="20"/>
              </w:rPr>
            </w:pPr>
          </w:p>
        </w:tc>
        <w:tc>
          <w:tcPr>
            <w:tcW w:w="7745" w:type="dxa"/>
            <w:gridSpan w:val="6"/>
          </w:tcPr>
          <w:p w14:paraId="10032788" w14:textId="77777777" w:rsidR="00553B84" w:rsidRPr="005D2995" w:rsidRDefault="00553B84" w:rsidP="00553B84">
            <w:pPr>
              <w:jc w:val="left"/>
              <w:rPr>
                <w:rFonts w:ascii="Arial Narrow" w:hAnsi="Arial Narrow"/>
                <w:b/>
                <w:bCs/>
                <w:color w:val="333333"/>
                <w:sz w:val="20"/>
                <w:szCs w:val="20"/>
              </w:rPr>
            </w:pPr>
            <w:r w:rsidRPr="005D2995">
              <w:rPr>
                <w:rFonts w:ascii="Arial Narrow" w:hAnsi="Arial Narrow"/>
                <w:sz w:val="20"/>
                <w:szCs w:val="20"/>
              </w:rPr>
              <w:t>Patient must be contraindicated to treatment with a HMG CoA reductase inhibitor (statin) as defined in the TGA-approved Product Information</w:t>
            </w:r>
          </w:p>
        </w:tc>
      </w:tr>
      <w:tr w:rsidR="00553B84" w:rsidRPr="005D2995" w14:paraId="3CED7AD5" w14:textId="77777777" w:rsidTr="00553B84">
        <w:tblPrEx>
          <w:tblCellMar>
            <w:top w:w="15" w:type="dxa"/>
            <w:bottom w:w="15" w:type="dxa"/>
          </w:tblCellMar>
          <w:tblLook w:val="04A0" w:firstRow="1" w:lastRow="0" w:firstColumn="1" w:lastColumn="0" w:noHBand="0" w:noVBand="1"/>
        </w:tblPrEx>
        <w:trPr>
          <w:trHeight w:val="20"/>
        </w:trPr>
        <w:tc>
          <w:tcPr>
            <w:tcW w:w="1269" w:type="dxa"/>
            <w:vAlign w:val="center"/>
          </w:tcPr>
          <w:p w14:paraId="5F4FC8AF" w14:textId="77777777" w:rsidR="00553B84" w:rsidRPr="005D2995" w:rsidRDefault="00553B84" w:rsidP="00553B84">
            <w:pPr>
              <w:jc w:val="left"/>
              <w:rPr>
                <w:rFonts w:ascii="Arial Narrow" w:hAnsi="Arial Narrow"/>
                <w:color w:val="FF0000"/>
                <w:sz w:val="20"/>
                <w:szCs w:val="20"/>
              </w:rPr>
            </w:pPr>
          </w:p>
        </w:tc>
        <w:tc>
          <w:tcPr>
            <w:tcW w:w="7745" w:type="dxa"/>
            <w:gridSpan w:val="6"/>
            <w:vAlign w:val="center"/>
            <w:hideMark/>
          </w:tcPr>
          <w:p w14:paraId="12D2D2CB" w14:textId="77777777" w:rsidR="00553B84" w:rsidRPr="005D2995" w:rsidRDefault="00553B84" w:rsidP="00553B84">
            <w:pPr>
              <w:jc w:val="left"/>
              <w:rPr>
                <w:rFonts w:ascii="Arial Narrow" w:hAnsi="Arial Narrow"/>
                <w:color w:val="333333"/>
                <w:sz w:val="20"/>
                <w:szCs w:val="20"/>
              </w:rPr>
            </w:pPr>
            <w:r w:rsidRPr="005D2995">
              <w:rPr>
                <w:rFonts w:ascii="Arial Narrow" w:hAnsi="Arial Narrow"/>
                <w:b/>
                <w:bCs/>
                <w:color w:val="333333"/>
                <w:sz w:val="20"/>
                <w:szCs w:val="20"/>
              </w:rPr>
              <w:t>AND</w:t>
            </w:r>
          </w:p>
        </w:tc>
      </w:tr>
      <w:tr w:rsidR="00553B84" w:rsidRPr="005D2995" w14:paraId="6E0D715C"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7D8E02FC" w14:textId="61A0923C" w:rsidR="00553B84" w:rsidRPr="005D2995" w:rsidRDefault="00553B84" w:rsidP="00553B84">
            <w:pPr>
              <w:jc w:val="left"/>
              <w:rPr>
                <w:rFonts w:ascii="Arial Narrow" w:hAnsi="Arial Narrow"/>
                <w:color w:val="FF0000"/>
                <w:sz w:val="20"/>
                <w:szCs w:val="20"/>
              </w:rPr>
            </w:pPr>
          </w:p>
        </w:tc>
        <w:tc>
          <w:tcPr>
            <w:tcW w:w="7745" w:type="dxa"/>
            <w:gridSpan w:val="6"/>
            <w:hideMark/>
          </w:tcPr>
          <w:p w14:paraId="4C1573EF" w14:textId="77777777" w:rsidR="00553B84" w:rsidRPr="005D2995" w:rsidRDefault="00553B84" w:rsidP="00553B84">
            <w:pPr>
              <w:jc w:val="left"/>
              <w:rPr>
                <w:rFonts w:ascii="Arial Narrow" w:hAnsi="Arial Narrow"/>
                <w:b/>
                <w:bCs/>
                <w:color w:val="333333"/>
                <w:sz w:val="20"/>
                <w:szCs w:val="20"/>
              </w:rPr>
            </w:pPr>
            <w:r w:rsidRPr="005D2995">
              <w:rPr>
                <w:rFonts w:ascii="Arial Narrow" w:hAnsi="Arial Narrow"/>
                <w:b/>
                <w:bCs/>
                <w:sz w:val="20"/>
                <w:szCs w:val="20"/>
              </w:rPr>
              <w:t>Clinical criteria:</w:t>
            </w:r>
          </w:p>
        </w:tc>
      </w:tr>
      <w:tr w:rsidR="00553B84" w:rsidRPr="005D2995" w14:paraId="172FC2DB"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14C2D8F3" w14:textId="6816E621" w:rsidR="00553B84" w:rsidRPr="005D2995" w:rsidRDefault="00553B84" w:rsidP="00553B84">
            <w:pPr>
              <w:jc w:val="left"/>
              <w:rPr>
                <w:rFonts w:ascii="Arial Narrow" w:hAnsi="Arial Narrow"/>
                <w:color w:val="FF0000"/>
                <w:sz w:val="20"/>
                <w:szCs w:val="20"/>
              </w:rPr>
            </w:pPr>
          </w:p>
        </w:tc>
        <w:tc>
          <w:tcPr>
            <w:tcW w:w="7745" w:type="dxa"/>
            <w:gridSpan w:val="6"/>
            <w:hideMark/>
          </w:tcPr>
          <w:p w14:paraId="1209A5F1" w14:textId="77777777" w:rsidR="00553B84" w:rsidRPr="005D2995" w:rsidRDefault="00553B84" w:rsidP="00553B84">
            <w:pPr>
              <w:jc w:val="left"/>
              <w:rPr>
                <w:rFonts w:ascii="Arial Narrow" w:hAnsi="Arial Narrow"/>
                <w:color w:val="333333"/>
                <w:sz w:val="20"/>
                <w:szCs w:val="20"/>
              </w:rPr>
            </w:pPr>
            <w:r w:rsidRPr="005D2995">
              <w:rPr>
                <w:rFonts w:ascii="Arial Narrow" w:hAnsi="Arial Narrow"/>
                <w:sz w:val="20"/>
                <w:szCs w:val="20"/>
              </w:rPr>
              <w:t>Patient must have been treated with ezetimibe for at least 12 consecutive weeks in conjunction with a statin (if tolerated), dietary therapy and exercise prior to initiating non-PBS-subsidised treatment with this drug for this condition</w:t>
            </w:r>
          </w:p>
        </w:tc>
      </w:tr>
      <w:tr w:rsidR="00553B84" w:rsidRPr="005D2995" w14:paraId="7DBDEFF7"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1E52F6CB" w14:textId="77777777" w:rsidR="00553B84" w:rsidRPr="005D2995" w:rsidRDefault="00553B84" w:rsidP="00553B84">
            <w:pPr>
              <w:jc w:val="left"/>
              <w:rPr>
                <w:rFonts w:ascii="Arial Narrow" w:hAnsi="Arial Narrow"/>
                <w:sz w:val="20"/>
                <w:szCs w:val="20"/>
              </w:rPr>
            </w:pPr>
          </w:p>
        </w:tc>
        <w:tc>
          <w:tcPr>
            <w:tcW w:w="7745" w:type="dxa"/>
            <w:gridSpan w:val="6"/>
          </w:tcPr>
          <w:p w14:paraId="6FD29C2A" w14:textId="77777777" w:rsidR="00553B84" w:rsidRPr="005D2995" w:rsidRDefault="00553B84" w:rsidP="00553B84">
            <w:pPr>
              <w:jc w:val="left"/>
              <w:rPr>
                <w:rFonts w:ascii="Arial Narrow" w:hAnsi="Arial Narrow"/>
                <w:sz w:val="20"/>
                <w:szCs w:val="20"/>
              </w:rPr>
            </w:pPr>
            <w:r w:rsidRPr="005D2995">
              <w:rPr>
                <w:rFonts w:ascii="Arial Narrow" w:hAnsi="Arial Narrow"/>
                <w:b/>
                <w:bCs/>
                <w:color w:val="333333"/>
                <w:sz w:val="20"/>
                <w:szCs w:val="20"/>
              </w:rPr>
              <w:t>AND</w:t>
            </w:r>
          </w:p>
        </w:tc>
      </w:tr>
      <w:tr w:rsidR="00553B84" w:rsidRPr="005D2995" w14:paraId="56F33677" w14:textId="77777777" w:rsidTr="00553B84">
        <w:tblPrEx>
          <w:tblCellMar>
            <w:top w:w="15" w:type="dxa"/>
            <w:bottom w:w="15" w:type="dxa"/>
          </w:tblCellMar>
          <w:tblLook w:val="04A0" w:firstRow="1" w:lastRow="0" w:firstColumn="1" w:lastColumn="0" w:noHBand="0" w:noVBand="1"/>
        </w:tblPrEx>
        <w:trPr>
          <w:trHeight w:val="20"/>
        </w:trPr>
        <w:tc>
          <w:tcPr>
            <w:tcW w:w="1269" w:type="dxa"/>
            <w:vAlign w:val="center"/>
          </w:tcPr>
          <w:p w14:paraId="7AABC88B" w14:textId="77777777" w:rsidR="00553B84" w:rsidRPr="005D2995" w:rsidRDefault="00553B84" w:rsidP="00553B84">
            <w:pPr>
              <w:keepNext/>
              <w:jc w:val="left"/>
              <w:rPr>
                <w:rFonts w:ascii="Arial Narrow" w:hAnsi="Arial Narrow"/>
                <w:color w:val="FF0000"/>
                <w:sz w:val="20"/>
                <w:szCs w:val="20"/>
              </w:rPr>
            </w:pPr>
          </w:p>
        </w:tc>
        <w:tc>
          <w:tcPr>
            <w:tcW w:w="7745" w:type="dxa"/>
            <w:gridSpan w:val="6"/>
            <w:vAlign w:val="center"/>
            <w:hideMark/>
          </w:tcPr>
          <w:p w14:paraId="2B397967" w14:textId="77777777" w:rsidR="00553B84" w:rsidRPr="005D2995" w:rsidRDefault="00553B84" w:rsidP="00553B84">
            <w:pPr>
              <w:keepNext/>
              <w:jc w:val="left"/>
              <w:rPr>
                <w:rFonts w:ascii="Arial Narrow" w:hAnsi="Arial Narrow"/>
                <w:color w:val="333333"/>
                <w:sz w:val="20"/>
                <w:szCs w:val="20"/>
              </w:rPr>
            </w:pPr>
            <w:r w:rsidRPr="005D2995">
              <w:rPr>
                <w:rFonts w:ascii="Arial Narrow" w:hAnsi="Arial Narrow"/>
                <w:b/>
                <w:bCs/>
                <w:color w:val="333333"/>
                <w:sz w:val="20"/>
                <w:szCs w:val="20"/>
              </w:rPr>
              <w:t>Treatment criteria:</w:t>
            </w:r>
          </w:p>
        </w:tc>
      </w:tr>
      <w:tr w:rsidR="00553B84" w:rsidRPr="005D2995" w14:paraId="22F66DCE" w14:textId="77777777" w:rsidTr="00553B84">
        <w:tblPrEx>
          <w:tblCellMar>
            <w:top w:w="15" w:type="dxa"/>
            <w:bottom w:w="15" w:type="dxa"/>
          </w:tblCellMar>
          <w:tblLook w:val="04A0" w:firstRow="1" w:lastRow="0" w:firstColumn="1" w:lastColumn="0" w:noHBand="0" w:noVBand="1"/>
        </w:tblPrEx>
        <w:trPr>
          <w:trHeight w:val="20"/>
        </w:trPr>
        <w:tc>
          <w:tcPr>
            <w:tcW w:w="1269" w:type="dxa"/>
            <w:vAlign w:val="center"/>
          </w:tcPr>
          <w:p w14:paraId="4B7D4919" w14:textId="51877420" w:rsidR="00553B84" w:rsidRPr="005D2995" w:rsidRDefault="00553B84" w:rsidP="00553B84">
            <w:pPr>
              <w:jc w:val="left"/>
              <w:rPr>
                <w:rFonts w:ascii="Arial Narrow" w:hAnsi="Arial Narrow"/>
                <w:color w:val="FF0000"/>
                <w:sz w:val="20"/>
                <w:szCs w:val="20"/>
              </w:rPr>
            </w:pPr>
          </w:p>
        </w:tc>
        <w:tc>
          <w:tcPr>
            <w:tcW w:w="7745" w:type="dxa"/>
            <w:gridSpan w:val="6"/>
            <w:vAlign w:val="center"/>
            <w:hideMark/>
          </w:tcPr>
          <w:p w14:paraId="206A2411" w14:textId="77777777" w:rsidR="00553B84" w:rsidRPr="005D2995" w:rsidRDefault="00553B84" w:rsidP="00553B84">
            <w:pPr>
              <w:autoSpaceDE w:val="0"/>
              <w:autoSpaceDN w:val="0"/>
              <w:adjustRightInd w:val="0"/>
              <w:jc w:val="left"/>
              <w:rPr>
                <w:rFonts w:ascii="Arial Narrow" w:hAnsi="Arial Narrow" w:cs="Arial Narrow"/>
                <w:i/>
                <w:iCs/>
                <w:sz w:val="20"/>
                <w:szCs w:val="20"/>
              </w:rPr>
            </w:pPr>
            <w:r w:rsidRPr="005D2995">
              <w:rPr>
                <w:rFonts w:ascii="Arial Narrow" w:hAnsi="Arial Narrow" w:cs="Arial Narrow"/>
                <w:iCs/>
                <w:sz w:val="20"/>
                <w:szCs w:val="20"/>
              </w:rPr>
              <w:t>Must be treated by or in consultation with a specialist physician</w:t>
            </w:r>
          </w:p>
        </w:tc>
      </w:tr>
      <w:tr w:rsidR="00553B84" w:rsidRPr="005D2995" w14:paraId="22D45145"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62DF3234" w14:textId="547EDE4B" w:rsidR="00553B84" w:rsidRPr="005D2995" w:rsidRDefault="00553B84" w:rsidP="00553B84">
            <w:pPr>
              <w:jc w:val="left"/>
              <w:rPr>
                <w:rFonts w:ascii="Arial Narrow" w:hAnsi="Arial Narrow"/>
                <w:color w:val="FF0000"/>
                <w:sz w:val="20"/>
                <w:szCs w:val="20"/>
              </w:rPr>
            </w:pPr>
          </w:p>
        </w:tc>
        <w:tc>
          <w:tcPr>
            <w:tcW w:w="7745" w:type="dxa"/>
            <w:gridSpan w:val="6"/>
          </w:tcPr>
          <w:p w14:paraId="2795E1D7" w14:textId="77777777" w:rsidR="00553B84" w:rsidRPr="005D2995" w:rsidRDefault="00553B84" w:rsidP="00553B84">
            <w:pPr>
              <w:rPr>
                <w:rFonts w:ascii="Arial Narrow" w:hAnsi="Arial Narrow"/>
                <w:sz w:val="20"/>
                <w:szCs w:val="20"/>
              </w:rPr>
            </w:pPr>
            <w:r w:rsidRPr="005D2995">
              <w:rPr>
                <w:rFonts w:ascii="Arial Narrow" w:hAnsi="Arial Narrow"/>
                <w:b/>
                <w:bCs/>
                <w:sz w:val="20"/>
                <w:szCs w:val="20"/>
              </w:rPr>
              <w:t>Prescribing Instructions:</w:t>
            </w:r>
          </w:p>
          <w:p w14:paraId="3C05ACA1" w14:textId="77777777" w:rsidR="00553B84" w:rsidRPr="005D2995" w:rsidRDefault="00553B84" w:rsidP="00553B84">
            <w:pPr>
              <w:rPr>
                <w:rFonts w:ascii="Arial Narrow" w:hAnsi="Arial Narrow"/>
                <w:sz w:val="20"/>
                <w:szCs w:val="20"/>
              </w:rPr>
            </w:pPr>
            <w:r w:rsidRPr="005D2995">
              <w:rPr>
                <w:rFonts w:ascii="Arial Narrow" w:hAnsi="Arial Narrow"/>
                <w:sz w:val="20"/>
                <w:szCs w:val="20"/>
              </w:rPr>
              <w:t>Symptomatic atherosclerotic cardiovascular disease is defined as:</w:t>
            </w:r>
          </w:p>
          <w:p w14:paraId="40BC66D1" w14:textId="77777777" w:rsidR="00553B84" w:rsidRPr="005D2995" w:rsidRDefault="00553B84" w:rsidP="00553B84">
            <w:pPr>
              <w:rPr>
                <w:rFonts w:ascii="Arial Narrow" w:hAnsi="Arial Narrow"/>
                <w:sz w:val="20"/>
                <w:szCs w:val="20"/>
              </w:rPr>
            </w:pPr>
            <w:r w:rsidRPr="005D2995">
              <w:rPr>
                <w:rFonts w:ascii="Arial Narrow" w:hAnsi="Arial Narrow"/>
                <w:sz w:val="20"/>
                <w:szCs w:val="20"/>
              </w:rPr>
              <w:t>(i) 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(e.g. myocardial perfusion scanning or stress echocardiography); or</w:t>
            </w:r>
          </w:p>
          <w:p w14:paraId="16C140F6" w14:textId="77777777" w:rsidR="00553B84" w:rsidRPr="005D2995" w:rsidRDefault="00553B84" w:rsidP="00553B84">
            <w:pPr>
              <w:rPr>
                <w:rFonts w:ascii="Arial Narrow" w:hAnsi="Arial Narrow"/>
                <w:sz w:val="20"/>
                <w:szCs w:val="20"/>
              </w:rPr>
            </w:pPr>
            <w:r w:rsidRPr="005D2995">
              <w:rPr>
                <w:rFonts w:ascii="Arial Narrow" w:hAnsi="Arial Narrow"/>
                <w:sz w:val="20"/>
                <w:szCs w:val="20"/>
              </w:rPr>
              <w:t>(ii) the presence of symptomatic cerebrovascular disease (prior ischaemic stroke, prior revascularisation procedure, or transient ischaemic attack associated with 50% or greater stenosis in 1 or more cerebral arteries on imaging); or</w:t>
            </w:r>
          </w:p>
          <w:p w14:paraId="0EE5D977" w14:textId="77777777" w:rsidR="00553B84" w:rsidRPr="005D2995" w:rsidRDefault="00553B84" w:rsidP="00553B84">
            <w:pPr>
              <w:jc w:val="left"/>
              <w:rPr>
                <w:rFonts w:ascii="Arial Narrow" w:hAnsi="Arial Narrow"/>
                <w:b/>
                <w:bCs/>
                <w:color w:val="333333"/>
                <w:sz w:val="20"/>
                <w:szCs w:val="20"/>
              </w:rPr>
            </w:pPr>
            <w:r w:rsidRPr="005D2995">
              <w:rPr>
                <w:rFonts w:ascii="Arial Narrow" w:hAnsi="Arial Narrow"/>
                <w:sz w:val="20"/>
                <w:szCs w:val="20"/>
              </w:rPr>
              <w:t>(iii) the presence of symptomatic peripheral arterial disease (prior acute ischaemic event due to atherosclerosis, prior revascularisation procedure, or symptoms of ischaemia with evidence of significant peripheral artery disease (50% or greater stenosis in 1 or more peripheral arteries on imaging)).</w:t>
            </w:r>
          </w:p>
        </w:tc>
      </w:tr>
      <w:tr w:rsidR="00553B84" w:rsidRPr="005D2995" w14:paraId="3E3CFB37"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463E8FE5" w14:textId="2222C7F4" w:rsidR="00553B84" w:rsidRPr="005D2995" w:rsidRDefault="00553B84" w:rsidP="00553B84">
            <w:pPr>
              <w:jc w:val="left"/>
              <w:rPr>
                <w:rFonts w:ascii="Arial Narrow" w:hAnsi="Arial Narrow"/>
                <w:sz w:val="20"/>
                <w:szCs w:val="20"/>
              </w:rPr>
            </w:pPr>
          </w:p>
        </w:tc>
        <w:tc>
          <w:tcPr>
            <w:tcW w:w="7745" w:type="dxa"/>
            <w:gridSpan w:val="6"/>
          </w:tcPr>
          <w:p w14:paraId="69231723" w14:textId="77777777" w:rsidR="00553B84" w:rsidRPr="005D2995" w:rsidRDefault="00553B84" w:rsidP="00553B84">
            <w:pPr>
              <w:rPr>
                <w:rFonts w:ascii="Arial Narrow" w:hAnsi="Arial Narrow"/>
                <w:sz w:val="20"/>
                <w:szCs w:val="20"/>
              </w:rPr>
            </w:pPr>
            <w:r w:rsidRPr="005D2995">
              <w:rPr>
                <w:rFonts w:ascii="Arial Narrow" w:hAnsi="Arial Narrow"/>
                <w:b/>
                <w:bCs/>
                <w:sz w:val="20"/>
                <w:szCs w:val="20"/>
              </w:rPr>
              <w:t>Prescribing Instructions:</w:t>
            </w:r>
          </w:p>
          <w:p w14:paraId="023B767B" w14:textId="77777777" w:rsidR="00553B84" w:rsidRPr="005D2995" w:rsidRDefault="00553B84" w:rsidP="00553B84">
            <w:pPr>
              <w:rPr>
                <w:rFonts w:ascii="Arial Narrow" w:hAnsi="Arial Narrow"/>
                <w:b/>
                <w:bCs/>
                <w:sz w:val="20"/>
                <w:szCs w:val="20"/>
              </w:rPr>
            </w:pPr>
            <w:r w:rsidRPr="005D2995">
              <w:rPr>
                <w:rFonts w:ascii="Arial Narrow" w:hAnsi="Arial Narrow"/>
                <w:sz w:val="20"/>
                <w:szCs w:val="20"/>
              </w:rPr>
              <w:t>The qualifying LDL cholesterol level must have been measured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must be stated at the time of application, documented in the patient's medical records and must have been no more than 8 weeks old at the time non-PBS-subsidised treatment with this drug for this condition was initiated.</w:t>
            </w:r>
          </w:p>
        </w:tc>
      </w:tr>
      <w:tr w:rsidR="00553B84" w:rsidRPr="005D2995" w14:paraId="66185EFE"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447E3F1B" w14:textId="2B5D93EA" w:rsidR="00553B84" w:rsidRPr="005D2995" w:rsidRDefault="00553B84" w:rsidP="00553B84">
            <w:pPr>
              <w:jc w:val="left"/>
              <w:rPr>
                <w:rFonts w:ascii="Arial Narrow" w:hAnsi="Arial Narrow"/>
                <w:sz w:val="20"/>
                <w:szCs w:val="20"/>
              </w:rPr>
            </w:pPr>
          </w:p>
        </w:tc>
        <w:tc>
          <w:tcPr>
            <w:tcW w:w="7745" w:type="dxa"/>
            <w:gridSpan w:val="6"/>
          </w:tcPr>
          <w:p w14:paraId="3A47BC49" w14:textId="77777777" w:rsidR="00553B84" w:rsidRPr="005D2995" w:rsidRDefault="00553B84" w:rsidP="00553B84">
            <w:pPr>
              <w:rPr>
                <w:rFonts w:ascii="Arial Narrow" w:hAnsi="Arial Narrow"/>
                <w:sz w:val="20"/>
                <w:szCs w:val="20"/>
              </w:rPr>
            </w:pPr>
            <w:r w:rsidRPr="005D2995">
              <w:rPr>
                <w:rFonts w:ascii="Arial Narrow" w:hAnsi="Arial Narrow"/>
                <w:b/>
                <w:bCs/>
                <w:sz w:val="20"/>
                <w:szCs w:val="20"/>
              </w:rPr>
              <w:t>Prescribing Instructions:</w:t>
            </w:r>
          </w:p>
          <w:p w14:paraId="6D0F0F50" w14:textId="77777777" w:rsidR="00553B84" w:rsidRPr="005D2995" w:rsidRDefault="00553B84" w:rsidP="00553B84">
            <w:pPr>
              <w:rPr>
                <w:rFonts w:ascii="Arial Narrow" w:hAnsi="Arial Narrow"/>
                <w:sz w:val="20"/>
                <w:szCs w:val="20"/>
              </w:rPr>
            </w:pPr>
            <w:r w:rsidRPr="005D2995">
              <w:rPr>
                <w:rFonts w:ascii="Arial Narrow" w:hAnsi="Arial Narrow"/>
                <w:sz w:val="20"/>
                <w:szCs w:val="20"/>
              </w:rPr>
              <w:t>A clinically important product-related adverse event is defined as follows:</w:t>
            </w:r>
          </w:p>
          <w:p w14:paraId="75CB653F" w14:textId="77777777" w:rsidR="00553B84" w:rsidRPr="005D2995" w:rsidRDefault="00553B84" w:rsidP="00553B84">
            <w:pPr>
              <w:rPr>
                <w:rFonts w:ascii="Arial Narrow" w:hAnsi="Arial Narrow"/>
                <w:sz w:val="20"/>
                <w:szCs w:val="20"/>
              </w:rPr>
            </w:pPr>
            <w:r w:rsidRPr="005D2995">
              <w:rPr>
                <w:rFonts w:ascii="Arial Narrow" w:hAnsi="Arial Narrow"/>
                <w:sz w:val="20"/>
                <w:szCs w:val="20"/>
              </w:rPr>
              <w:t>(i) Severe myalgia (muscle symptoms without creatine kinase elevation) which is proven to be temporally associated with statin treatment; or</w:t>
            </w:r>
          </w:p>
          <w:p w14:paraId="16F82564" w14:textId="77777777" w:rsidR="00553B84" w:rsidRPr="005D2995" w:rsidRDefault="00553B84" w:rsidP="00553B84">
            <w:pPr>
              <w:rPr>
                <w:rFonts w:ascii="Arial Narrow" w:hAnsi="Arial Narrow"/>
                <w:sz w:val="20"/>
                <w:szCs w:val="20"/>
              </w:rPr>
            </w:pPr>
            <w:r w:rsidRPr="005D2995">
              <w:rPr>
                <w:rFonts w:ascii="Arial Narrow" w:hAnsi="Arial Narrow"/>
                <w:sz w:val="20"/>
                <w:szCs w:val="20"/>
              </w:rPr>
              <w:t>(ii) Myositis (clinically important creatine kinase elevation, with or without muscle symptoms) demonstrated by results twice the upper limit of normal on a single reading or a rising pattern on consecutive measurements and which is unexplained by other causes; or</w:t>
            </w:r>
          </w:p>
          <w:p w14:paraId="48BF1869" w14:textId="77777777" w:rsidR="00553B84" w:rsidRPr="005D2995" w:rsidRDefault="00553B84" w:rsidP="00553B84">
            <w:pPr>
              <w:rPr>
                <w:rFonts w:ascii="Arial Narrow" w:hAnsi="Arial Narrow"/>
                <w:b/>
                <w:bCs/>
                <w:sz w:val="20"/>
                <w:szCs w:val="20"/>
              </w:rPr>
            </w:pPr>
            <w:r w:rsidRPr="005D2995">
              <w:rPr>
                <w:rFonts w:ascii="Arial Narrow" w:hAnsi="Arial Narrow"/>
                <w:sz w:val="20"/>
                <w:szCs w:val="20"/>
              </w:rPr>
              <w:t>(iii) Unexplained, persistent elevations of serum transaminases (greater than 3 times the upper limit of normal) during treatment with a statin.</w:t>
            </w:r>
          </w:p>
        </w:tc>
      </w:tr>
      <w:tr w:rsidR="00553B84" w:rsidRPr="005D2995" w14:paraId="7FAB5631"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500110DC" w14:textId="40003B4B" w:rsidR="00553B84" w:rsidRPr="005D2995" w:rsidRDefault="00553B84" w:rsidP="00553B84">
            <w:pPr>
              <w:jc w:val="left"/>
              <w:rPr>
                <w:rFonts w:ascii="Arial Narrow" w:hAnsi="Arial Narrow"/>
                <w:sz w:val="20"/>
                <w:szCs w:val="20"/>
              </w:rPr>
            </w:pPr>
          </w:p>
        </w:tc>
        <w:tc>
          <w:tcPr>
            <w:tcW w:w="7745" w:type="dxa"/>
            <w:gridSpan w:val="6"/>
          </w:tcPr>
          <w:p w14:paraId="53F0B8EA" w14:textId="77777777" w:rsidR="00553B84" w:rsidRPr="005D2995" w:rsidRDefault="00553B84" w:rsidP="00553B84">
            <w:pPr>
              <w:rPr>
                <w:rFonts w:ascii="Arial Narrow" w:hAnsi="Arial Narrow"/>
                <w:sz w:val="20"/>
                <w:szCs w:val="20"/>
              </w:rPr>
            </w:pPr>
            <w:r w:rsidRPr="005D2995">
              <w:rPr>
                <w:rFonts w:ascii="Arial Narrow" w:hAnsi="Arial Narrow"/>
                <w:b/>
                <w:bCs/>
                <w:sz w:val="20"/>
                <w:szCs w:val="20"/>
              </w:rPr>
              <w:t>Prescribing Instructions:</w:t>
            </w:r>
          </w:p>
          <w:p w14:paraId="54F2BF8D" w14:textId="77777777" w:rsidR="00553B84" w:rsidRPr="005D2995" w:rsidRDefault="00553B84" w:rsidP="00553B84">
            <w:pPr>
              <w:rPr>
                <w:rFonts w:ascii="Arial Narrow" w:hAnsi="Arial Narrow"/>
                <w:b/>
                <w:bCs/>
                <w:sz w:val="20"/>
                <w:szCs w:val="20"/>
              </w:rPr>
            </w:pPr>
            <w:r w:rsidRPr="005D2995">
              <w:rPr>
                <w:rFonts w:ascii="Arial Narrow" w:hAnsi="Arial Narrow"/>
                <w:sz w:val="20"/>
                <w:szCs w:val="20"/>
              </w:rPr>
              <w:t xml:space="preserve">If treatment with atorvastatin or rosuvastatin resulted in development of a clinically important product-related adverse event resulting in treatment withdrawal, the patient must have been treated with the alternative statin (atorvastatin or rosuvastatin) unless there was a contraindication (e.g. prior rhabdomyolysis) to the alternative statin. This retrial should have occurred after a washout period of at </w:t>
            </w:r>
            <w:r w:rsidRPr="005D2995">
              <w:rPr>
                <w:rFonts w:ascii="Arial Narrow" w:hAnsi="Arial Narrow"/>
                <w:sz w:val="20"/>
                <w:szCs w:val="20"/>
              </w:rPr>
              <w:lastRenderedPageBreak/>
              <w:t>least 4 weeks, or if the creatine kinase (CK) level was elevated, the retrial should not have occurred until CK had returned to normal.</w:t>
            </w:r>
          </w:p>
        </w:tc>
      </w:tr>
      <w:tr w:rsidR="00553B84" w:rsidRPr="005D2995" w14:paraId="4E657DC7" w14:textId="77777777" w:rsidTr="00553B84">
        <w:tblPrEx>
          <w:tblCellMar>
            <w:top w:w="15" w:type="dxa"/>
            <w:bottom w:w="15" w:type="dxa"/>
          </w:tblCellMar>
          <w:tblLook w:val="04A0" w:firstRow="1" w:lastRow="0" w:firstColumn="1" w:lastColumn="0" w:noHBand="0" w:noVBand="1"/>
        </w:tblPrEx>
        <w:trPr>
          <w:trHeight w:val="20"/>
        </w:trPr>
        <w:tc>
          <w:tcPr>
            <w:tcW w:w="1269" w:type="dxa"/>
            <w:shd w:val="clear" w:color="auto" w:fill="auto"/>
          </w:tcPr>
          <w:p w14:paraId="6B168B10" w14:textId="63EF8A6E" w:rsidR="00553B84" w:rsidRPr="005D2995" w:rsidRDefault="00553B84" w:rsidP="00553B84">
            <w:pPr>
              <w:jc w:val="left"/>
              <w:rPr>
                <w:rFonts w:ascii="Arial Narrow" w:hAnsi="Arial Narrow"/>
                <w:sz w:val="20"/>
                <w:szCs w:val="20"/>
              </w:rPr>
            </w:pPr>
          </w:p>
        </w:tc>
        <w:tc>
          <w:tcPr>
            <w:tcW w:w="7745" w:type="dxa"/>
            <w:gridSpan w:val="6"/>
            <w:shd w:val="clear" w:color="auto" w:fill="auto"/>
          </w:tcPr>
          <w:p w14:paraId="5AE1C8FE" w14:textId="77777777" w:rsidR="00553B84" w:rsidRPr="005D2995" w:rsidRDefault="00553B84" w:rsidP="00553B84">
            <w:pPr>
              <w:rPr>
                <w:rFonts w:ascii="Arial Narrow" w:hAnsi="Arial Narrow"/>
                <w:sz w:val="20"/>
                <w:szCs w:val="20"/>
              </w:rPr>
            </w:pPr>
            <w:r w:rsidRPr="005D2995">
              <w:rPr>
                <w:rFonts w:ascii="Arial Narrow" w:hAnsi="Arial Narrow"/>
                <w:b/>
                <w:bCs/>
                <w:sz w:val="20"/>
                <w:szCs w:val="20"/>
              </w:rPr>
              <w:t>Prescribing Instructions:</w:t>
            </w:r>
          </w:p>
          <w:p w14:paraId="22E88C92" w14:textId="77777777" w:rsidR="00553B84" w:rsidRPr="005D2995" w:rsidRDefault="00553B84" w:rsidP="00553B84">
            <w:pPr>
              <w:rPr>
                <w:rFonts w:ascii="Arial Narrow" w:hAnsi="Arial Narrow"/>
                <w:b/>
                <w:bCs/>
                <w:sz w:val="20"/>
                <w:szCs w:val="20"/>
              </w:rPr>
            </w:pPr>
            <w:r w:rsidRPr="005D2995">
              <w:rPr>
                <w:rFonts w:ascii="Arial Narrow" w:hAnsi="Arial Narrow"/>
                <w:sz w:val="20"/>
                <w:szCs w:val="20"/>
              </w:rPr>
              <w:t>In the event of a trial of the alternative statin, the dose of the alternative statin should have been increased not more often than every 4 weeks until the maximum tolerated dose was reached or target LDL-c had been achieved.</w:t>
            </w:r>
          </w:p>
        </w:tc>
      </w:tr>
      <w:tr w:rsidR="00553B84" w:rsidRPr="005D2995" w14:paraId="7D132079" w14:textId="77777777" w:rsidTr="00553B84">
        <w:tblPrEx>
          <w:tblCellMar>
            <w:top w:w="15" w:type="dxa"/>
            <w:bottom w:w="15" w:type="dxa"/>
          </w:tblCellMar>
          <w:tblLook w:val="04A0" w:firstRow="1" w:lastRow="0" w:firstColumn="1" w:lastColumn="0" w:noHBand="0" w:noVBand="1"/>
        </w:tblPrEx>
        <w:trPr>
          <w:trHeight w:val="20"/>
        </w:trPr>
        <w:tc>
          <w:tcPr>
            <w:tcW w:w="1269" w:type="dxa"/>
            <w:shd w:val="clear" w:color="auto" w:fill="auto"/>
          </w:tcPr>
          <w:p w14:paraId="269712BC" w14:textId="779E8429" w:rsidR="00553B84" w:rsidRPr="005D2995" w:rsidRDefault="00553B84" w:rsidP="00553B84">
            <w:pPr>
              <w:jc w:val="left"/>
              <w:rPr>
                <w:rFonts w:ascii="Arial Narrow" w:hAnsi="Arial Narrow"/>
                <w:sz w:val="20"/>
                <w:szCs w:val="20"/>
              </w:rPr>
            </w:pPr>
          </w:p>
        </w:tc>
        <w:tc>
          <w:tcPr>
            <w:tcW w:w="7745" w:type="dxa"/>
            <w:gridSpan w:val="6"/>
            <w:shd w:val="clear" w:color="auto" w:fill="auto"/>
          </w:tcPr>
          <w:p w14:paraId="0CB68F2A" w14:textId="77777777" w:rsidR="00553B84" w:rsidRPr="005D2995" w:rsidRDefault="00553B84" w:rsidP="00553B84">
            <w:pPr>
              <w:rPr>
                <w:rFonts w:ascii="Arial Narrow" w:hAnsi="Arial Narrow"/>
                <w:sz w:val="20"/>
                <w:szCs w:val="20"/>
              </w:rPr>
            </w:pPr>
            <w:r w:rsidRPr="005D2995">
              <w:rPr>
                <w:rFonts w:ascii="Arial Narrow" w:hAnsi="Arial Narrow"/>
                <w:b/>
                <w:bCs/>
                <w:sz w:val="20"/>
                <w:szCs w:val="20"/>
              </w:rPr>
              <w:t>Prescribing Instructions:</w:t>
            </w:r>
          </w:p>
          <w:p w14:paraId="529F0211" w14:textId="77777777" w:rsidR="00553B84" w:rsidRPr="005D2995" w:rsidRDefault="00553B84" w:rsidP="00553B84">
            <w:pPr>
              <w:rPr>
                <w:rFonts w:ascii="Arial Narrow" w:hAnsi="Arial Narrow"/>
                <w:sz w:val="20"/>
                <w:szCs w:val="20"/>
              </w:rPr>
            </w:pPr>
            <w:r w:rsidRPr="005D2995">
              <w:rPr>
                <w:rFonts w:ascii="Arial Narrow" w:hAnsi="Arial Narrow"/>
                <w:sz w:val="20"/>
                <w:szCs w:val="20"/>
              </w:rPr>
              <w:t>The following must be stated at the time of application and documented in the patient's medical records:</w:t>
            </w:r>
          </w:p>
          <w:p w14:paraId="391F2EC7" w14:textId="77777777" w:rsidR="00553B84" w:rsidRPr="005D2995" w:rsidRDefault="00553B84" w:rsidP="00553B84">
            <w:pPr>
              <w:rPr>
                <w:rFonts w:ascii="Arial Narrow" w:hAnsi="Arial Narrow"/>
                <w:sz w:val="20"/>
                <w:szCs w:val="20"/>
              </w:rPr>
            </w:pPr>
            <w:r w:rsidRPr="005D2995">
              <w:rPr>
                <w:rFonts w:ascii="Arial Narrow" w:hAnsi="Arial Narrow"/>
                <w:sz w:val="20"/>
                <w:szCs w:val="20"/>
              </w:rPr>
              <w:t>(i) the qualifying Dutch Lipid Clinic Network Score; or</w:t>
            </w:r>
          </w:p>
          <w:p w14:paraId="7C5251A5" w14:textId="77777777" w:rsidR="00553B84" w:rsidRPr="005D2995" w:rsidRDefault="00553B84" w:rsidP="00553B84">
            <w:pPr>
              <w:rPr>
                <w:rFonts w:ascii="Arial Narrow" w:hAnsi="Arial Narrow"/>
                <w:b/>
                <w:bCs/>
                <w:sz w:val="20"/>
                <w:szCs w:val="20"/>
              </w:rPr>
            </w:pPr>
            <w:r w:rsidRPr="005D2995">
              <w:rPr>
                <w:rFonts w:ascii="Arial Narrow" w:hAnsi="Arial Narrow"/>
                <w:sz w:val="20"/>
                <w:szCs w:val="20"/>
              </w:rPr>
              <w:t>(ii) the result of genetic testing confirming a diagnosis of familial heterozygous hypercholesterolaemia</w:t>
            </w:r>
          </w:p>
        </w:tc>
      </w:tr>
      <w:tr w:rsidR="00553B84" w:rsidRPr="005D2995" w14:paraId="1979DD65"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61D1B3C5" w14:textId="17410FCF" w:rsidR="00553B84" w:rsidRPr="005D2995" w:rsidRDefault="00553B84" w:rsidP="00553B84">
            <w:pPr>
              <w:jc w:val="left"/>
              <w:rPr>
                <w:rFonts w:ascii="Arial Narrow" w:hAnsi="Arial Narrow"/>
                <w:sz w:val="20"/>
                <w:szCs w:val="20"/>
              </w:rPr>
            </w:pPr>
          </w:p>
        </w:tc>
        <w:tc>
          <w:tcPr>
            <w:tcW w:w="7745" w:type="dxa"/>
            <w:gridSpan w:val="6"/>
          </w:tcPr>
          <w:p w14:paraId="44EA8979" w14:textId="77777777" w:rsidR="00553B84" w:rsidRPr="005D2995" w:rsidRDefault="00553B84" w:rsidP="00553B84">
            <w:pPr>
              <w:rPr>
                <w:rFonts w:ascii="Arial Narrow" w:hAnsi="Arial Narrow"/>
                <w:sz w:val="20"/>
                <w:szCs w:val="20"/>
              </w:rPr>
            </w:pPr>
            <w:r w:rsidRPr="005D2995">
              <w:rPr>
                <w:rFonts w:ascii="Arial Narrow" w:hAnsi="Arial Narrow"/>
                <w:b/>
                <w:bCs/>
                <w:sz w:val="20"/>
                <w:szCs w:val="20"/>
              </w:rPr>
              <w:t>Prescribing Instructions:</w:t>
            </w:r>
          </w:p>
          <w:p w14:paraId="74A8B8ED" w14:textId="77777777" w:rsidR="00553B84" w:rsidRPr="005D2995" w:rsidRDefault="00553B84" w:rsidP="00553B84">
            <w:pPr>
              <w:rPr>
                <w:rFonts w:ascii="Arial Narrow" w:hAnsi="Arial Narrow"/>
                <w:sz w:val="20"/>
                <w:szCs w:val="20"/>
              </w:rPr>
            </w:pPr>
            <w:r w:rsidRPr="005D2995">
              <w:rPr>
                <w:rFonts w:ascii="Arial Narrow" w:hAnsi="Arial Narrow"/>
                <w:sz w:val="20"/>
                <w:szCs w:val="20"/>
              </w:rPr>
              <w:t>One of the following must be stated at the time of application and documented in the patient's medical records regarding prior statin treatment:</w:t>
            </w:r>
          </w:p>
          <w:p w14:paraId="07CB515D" w14:textId="77777777" w:rsidR="00553B84" w:rsidRPr="005D2995" w:rsidRDefault="00553B84" w:rsidP="00553B84">
            <w:pPr>
              <w:rPr>
                <w:rFonts w:ascii="Arial Narrow" w:hAnsi="Arial Narrow"/>
                <w:sz w:val="20"/>
                <w:szCs w:val="20"/>
              </w:rPr>
            </w:pPr>
            <w:r w:rsidRPr="005D2995">
              <w:rPr>
                <w:rFonts w:ascii="Arial Narrow" w:hAnsi="Arial Narrow"/>
                <w:sz w:val="20"/>
                <w:szCs w:val="20"/>
              </w:rPr>
              <w:t>(i) the patient was treated with atorvastatin 80 mg or rosuvastatin 40 mg or the maximum tolerated dose of either for 12 consecutive weeks; or</w:t>
            </w:r>
          </w:p>
          <w:p w14:paraId="1DFD1A9A" w14:textId="77777777" w:rsidR="00553B84" w:rsidRPr="005D2995" w:rsidRDefault="00553B84" w:rsidP="00553B84">
            <w:pPr>
              <w:rPr>
                <w:rFonts w:ascii="Arial Narrow" w:hAnsi="Arial Narrow"/>
                <w:sz w:val="20"/>
                <w:szCs w:val="20"/>
              </w:rPr>
            </w:pPr>
            <w:r w:rsidRPr="005D2995">
              <w:rPr>
                <w:rFonts w:ascii="Arial Narrow" w:hAnsi="Arial Narrow"/>
                <w:sz w:val="20"/>
                <w:szCs w:val="20"/>
              </w:rPr>
              <w:t>(ii) the doses, duration of treatment and details of adverse events experienced with trials with each of atorvastatin and rosuvastatin; or</w:t>
            </w:r>
          </w:p>
          <w:p w14:paraId="11F25A2B" w14:textId="77777777" w:rsidR="00553B84" w:rsidRPr="005D2995" w:rsidRDefault="00553B84" w:rsidP="00553B84">
            <w:pPr>
              <w:rPr>
                <w:rFonts w:ascii="Arial Narrow" w:hAnsi="Arial Narrow"/>
                <w:b/>
                <w:bCs/>
                <w:sz w:val="20"/>
                <w:szCs w:val="20"/>
              </w:rPr>
            </w:pPr>
            <w:r w:rsidRPr="005D2995">
              <w:rPr>
                <w:rFonts w:ascii="Arial Narrow" w:hAnsi="Arial Narrow"/>
                <w:sz w:val="20"/>
                <w:szCs w:val="20"/>
              </w:rPr>
              <w:t>(iii) the patient is contraindicated to treatment with a statin as defined in the TGA-approved Product Information.</w:t>
            </w:r>
          </w:p>
        </w:tc>
      </w:tr>
      <w:tr w:rsidR="00553B84" w:rsidRPr="005D2995" w14:paraId="66C1840C"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732F20E3" w14:textId="360835DE" w:rsidR="00553B84" w:rsidRPr="005D2995" w:rsidRDefault="00553B84" w:rsidP="00553B84">
            <w:pPr>
              <w:jc w:val="left"/>
              <w:rPr>
                <w:rFonts w:ascii="Arial Narrow" w:hAnsi="Arial Narrow"/>
                <w:color w:val="FF0000"/>
                <w:sz w:val="20"/>
                <w:szCs w:val="20"/>
              </w:rPr>
            </w:pPr>
          </w:p>
        </w:tc>
        <w:tc>
          <w:tcPr>
            <w:tcW w:w="7745" w:type="dxa"/>
            <w:gridSpan w:val="6"/>
          </w:tcPr>
          <w:p w14:paraId="720DA351" w14:textId="77777777" w:rsidR="00553B84" w:rsidRPr="005D2995" w:rsidRDefault="00553B84" w:rsidP="00553B84">
            <w:pPr>
              <w:rPr>
                <w:rFonts w:ascii="Arial Narrow" w:hAnsi="Arial Narrow"/>
                <w:sz w:val="20"/>
                <w:szCs w:val="20"/>
              </w:rPr>
            </w:pPr>
            <w:r w:rsidRPr="005D2995">
              <w:rPr>
                <w:rFonts w:ascii="Arial Narrow" w:hAnsi="Arial Narrow"/>
                <w:b/>
                <w:bCs/>
                <w:sz w:val="20"/>
                <w:szCs w:val="20"/>
              </w:rPr>
              <w:t>Prescribing Instructions:</w:t>
            </w:r>
          </w:p>
          <w:p w14:paraId="103F4833" w14:textId="77777777" w:rsidR="00553B84" w:rsidRPr="005D2995" w:rsidRDefault="00553B84" w:rsidP="00553B84">
            <w:pPr>
              <w:jc w:val="left"/>
              <w:rPr>
                <w:rFonts w:ascii="Arial Narrow" w:hAnsi="Arial Narrow"/>
                <w:bCs/>
                <w:sz w:val="20"/>
                <w:szCs w:val="20"/>
              </w:rPr>
            </w:pPr>
            <w:r w:rsidRPr="005D2995">
              <w:rPr>
                <w:rFonts w:ascii="Arial Narrow" w:hAnsi="Arial Narrow"/>
                <w:sz w:val="20"/>
                <w:szCs w:val="20"/>
              </w:rPr>
              <w:t>A patient may qualify for PBS-subsidised treatment under this restriction once only.</w:t>
            </w:r>
          </w:p>
        </w:tc>
      </w:tr>
      <w:tr w:rsidR="00553B84" w:rsidRPr="005D2995" w14:paraId="5D5BA470"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28F3B10E" w14:textId="74074BEE" w:rsidR="00553B84" w:rsidRPr="005D2995" w:rsidRDefault="00553B84" w:rsidP="00553B84">
            <w:pPr>
              <w:jc w:val="left"/>
              <w:rPr>
                <w:rFonts w:ascii="Arial Narrow" w:hAnsi="Arial Narrow"/>
                <w:color w:val="FF0000"/>
                <w:sz w:val="20"/>
                <w:szCs w:val="20"/>
              </w:rPr>
            </w:pPr>
          </w:p>
        </w:tc>
        <w:tc>
          <w:tcPr>
            <w:tcW w:w="7745" w:type="dxa"/>
            <w:gridSpan w:val="6"/>
          </w:tcPr>
          <w:p w14:paraId="27DC20C2" w14:textId="77777777" w:rsidR="00553B84" w:rsidRPr="005D2995" w:rsidRDefault="00553B84" w:rsidP="00553B84">
            <w:pPr>
              <w:rPr>
                <w:rFonts w:ascii="Arial Narrow" w:hAnsi="Arial Narrow"/>
                <w:sz w:val="20"/>
                <w:szCs w:val="20"/>
              </w:rPr>
            </w:pPr>
            <w:r w:rsidRPr="005D2995">
              <w:rPr>
                <w:rFonts w:ascii="Arial Narrow" w:hAnsi="Arial Narrow"/>
                <w:b/>
                <w:bCs/>
                <w:sz w:val="20"/>
                <w:szCs w:val="20"/>
              </w:rPr>
              <w:t>Prescribing Instructions:</w:t>
            </w:r>
          </w:p>
          <w:p w14:paraId="42E16E92" w14:textId="77777777" w:rsidR="00553B84" w:rsidRPr="005D2995" w:rsidRDefault="00553B84" w:rsidP="00553B84">
            <w:pPr>
              <w:jc w:val="left"/>
              <w:rPr>
                <w:rFonts w:ascii="Arial Narrow" w:hAnsi="Arial Narrow"/>
                <w:bCs/>
                <w:sz w:val="20"/>
                <w:szCs w:val="20"/>
              </w:rPr>
            </w:pPr>
            <w:r w:rsidRPr="005D2995">
              <w:rPr>
                <w:rFonts w:ascii="Arial Narrow" w:hAnsi="Arial Narrow"/>
                <w:sz w:val="20"/>
                <w:szCs w:val="20"/>
              </w:rPr>
              <w:t>For continuing PBS-subsidised treatment, a Grandfathered patient must qualify under the Continuing treatment criteria.</w:t>
            </w:r>
          </w:p>
        </w:tc>
      </w:tr>
      <w:tr w:rsidR="00553B84" w:rsidRPr="005D2995" w14:paraId="2AF16473" w14:textId="77777777" w:rsidTr="00553B84">
        <w:tblPrEx>
          <w:tblCellMar>
            <w:top w:w="15" w:type="dxa"/>
            <w:bottom w:w="15" w:type="dxa"/>
          </w:tblCellMar>
          <w:tblLook w:val="04A0" w:firstRow="1" w:lastRow="0" w:firstColumn="1" w:lastColumn="0" w:noHBand="0" w:noVBand="1"/>
        </w:tblPrEx>
        <w:trPr>
          <w:trHeight w:val="20"/>
        </w:trPr>
        <w:tc>
          <w:tcPr>
            <w:tcW w:w="1269" w:type="dxa"/>
          </w:tcPr>
          <w:p w14:paraId="7D1E7655" w14:textId="1027DBFE" w:rsidR="00553B84" w:rsidRPr="005A5216" w:rsidRDefault="00553B84" w:rsidP="00553B84">
            <w:pPr>
              <w:jc w:val="left"/>
              <w:rPr>
                <w:rFonts w:ascii="Arial Narrow" w:hAnsi="Arial Narrow"/>
                <w:sz w:val="20"/>
                <w:szCs w:val="20"/>
              </w:rPr>
            </w:pPr>
          </w:p>
        </w:tc>
        <w:tc>
          <w:tcPr>
            <w:tcW w:w="7745" w:type="dxa"/>
            <w:gridSpan w:val="6"/>
          </w:tcPr>
          <w:p w14:paraId="14AE9624" w14:textId="7902A9FA" w:rsidR="00553B84" w:rsidRDefault="00553B84" w:rsidP="00553B84">
            <w:pPr>
              <w:rPr>
                <w:rFonts w:ascii="Arial Narrow" w:hAnsi="Arial Narrow"/>
                <w:b/>
                <w:bCs/>
                <w:sz w:val="20"/>
                <w:szCs w:val="20"/>
              </w:rPr>
            </w:pPr>
            <w:r w:rsidRPr="005D2995">
              <w:rPr>
                <w:rFonts w:ascii="Arial Narrow" w:hAnsi="Arial Narrow"/>
                <w:b/>
                <w:bCs/>
                <w:sz w:val="20"/>
                <w:szCs w:val="20"/>
              </w:rPr>
              <w:t>Administrative Advice:</w:t>
            </w:r>
          </w:p>
          <w:p w14:paraId="08C28EEA" w14:textId="0BED96F0" w:rsidR="00553B84" w:rsidRPr="005D2995" w:rsidRDefault="00812FEF" w:rsidP="00553B84">
            <w:pPr>
              <w:jc w:val="left"/>
              <w:rPr>
                <w:rFonts w:ascii="Arial Narrow" w:hAnsi="Arial Narrow"/>
                <w:bCs/>
                <w:sz w:val="20"/>
                <w:szCs w:val="20"/>
              </w:rPr>
            </w:pPr>
            <w:r w:rsidRPr="00812FEF">
              <w:rPr>
                <w:rFonts w:ascii="Arial Narrow" w:hAnsi="Arial Narrow"/>
                <w:sz w:val="20"/>
                <w:szCs w:val="20"/>
              </w:rPr>
              <w:t>Applications for authorisation under this restriction may be made in real time using the Online PBS Authorities system (see www.servicesaustralia.gov.au/HPOS) or by telephone by contacting Services Australia on 1800 888 333.</w:t>
            </w:r>
          </w:p>
        </w:tc>
      </w:tr>
    </w:tbl>
    <w:p w14:paraId="7780755F" w14:textId="79E63202" w:rsidR="00A20123" w:rsidRPr="00525B39" w:rsidRDefault="00A20123" w:rsidP="00553B84">
      <w:pPr>
        <w:pStyle w:val="ExecSumBodyText"/>
        <w:numPr>
          <w:ilvl w:val="1"/>
          <w:numId w:val="1"/>
        </w:numPr>
        <w:spacing w:before="240"/>
      </w:pPr>
      <w:r w:rsidRPr="00525B39">
        <w:t>Amend existing</w:t>
      </w:r>
      <w:r>
        <w:t xml:space="preserve"> alirocumab</w:t>
      </w:r>
      <w:r w:rsidRPr="00525B39">
        <w:t xml:space="preserve"> listing</w:t>
      </w:r>
      <w:r>
        <w:t>s</w:t>
      </w:r>
      <w:r w:rsidRPr="00525B39">
        <w:t xml:space="preserve"> as follows:</w:t>
      </w:r>
    </w:p>
    <w:p w14:paraId="717486C8" w14:textId="77777777" w:rsidR="00A20123" w:rsidRPr="00845095" w:rsidRDefault="00A20123" w:rsidP="00A20123">
      <w:pPr>
        <w:rPr>
          <w:rFonts w:asciiTheme="minorHAnsi" w:hAnsiTheme="minorHAnsi" w:cstheme="minorHAnsi"/>
        </w:rPr>
      </w:pPr>
      <w:r w:rsidRPr="00845095">
        <w:rPr>
          <w:rFonts w:asciiTheme="minorHAnsi" w:hAnsiTheme="minorHAnsi" w:cstheme="minorHAnsi"/>
          <w:bdr w:val="none" w:sz="0" w:space="0" w:color="auto" w:frame="1"/>
          <w:shd w:val="clear" w:color="auto" w:fill="FFFFFF"/>
        </w:rPr>
        <w:t>12604J</w:t>
      </w:r>
      <w:r w:rsidRPr="00845095">
        <w:rPr>
          <w:rFonts w:asciiTheme="minorHAnsi" w:hAnsiTheme="minorHAnsi" w:cstheme="minorHAnsi"/>
        </w:rPr>
        <w:t>, 12613W</w:t>
      </w:r>
      <w:r w:rsidRPr="00B134A1">
        <w:rPr>
          <w:rFonts w:asciiTheme="minorHAnsi" w:hAnsiTheme="minorHAnsi" w:cstheme="minorHAnsi"/>
          <w:i/>
          <w:iCs/>
        </w:rPr>
        <w:t xml:space="preserve"> Restriction Summary 11990 / ToC: 12008: Authority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935"/>
        <w:gridCol w:w="7082"/>
      </w:tblGrid>
      <w:tr w:rsidR="00A20123" w:rsidRPr="00901810" w14:paraId="013B9C03" w14:textId="77777777" w:rsidTr="004B7836">
        <w:trPr>
          <w:trHeight w:val="20"/>
        </w:trPr>
        <w:tc>
          <w:tcPr>
            <w:tcW w:w="1935" w:type="dxa"/>
            <w:shd w:val="clear" w:color="auto" w:fill="auto"/>
            <w:tcMar>
              <w:top w:w="120" w:type="dxa"/>
              <w:left w:w="240" w:type="dxa"/>
              <w:bottom w:w="120" w:type="dxa"/>
              <w:right w:w="240" w:type="dxa"/>
            </w:tcMar>
          </w:tcPr>
          <w:p w14:paraId="1E638F1C" w14:textId="642F6554" w:rsidR="00A20123" w:rsidRPr="00901810" w:rsidRDefault="00A20123" w:rsidP="00553B84">
            <w:pPr>
              <w:contextualSpacing/>
              <w:textAlignment w:val="baseline"/>
              <w:rPr>
                <w:rFonts w:ascii="Arial Narrow" w:hAnsi="Arial Narrow" w:cstheme="minorHAnsi"/>
                <w:color w:val="333333"/>
                <w:sz w:val="20"/>
                <w:szCs w:val="20"/>
              </w:rPr>
            </w:pPr>
          </w:p>
        </w:tc>
        <w:tc>
          <w:tcPr>
            <w:tcW w:w="0" w:type="auto"/>
            <w:shd w:val="clear" w:color="auto" w:fill="auto"/>
            <w:tcMar>
              <w:top w:w="120" w:type="dxa"/>
              <w:left w:w="240" w:type="dxa"/>
              <w:bottom w:w="120" w:type="dxa"/>
              <w:right w:w="240" w:type="dxa"/>
            </w:tcMar>
            <w:hideMark/>
          </w:tcPr>
          <w:p w14:paraId="6C75E0BD" w14:textId="77777777" w:rsidR="00A20123" w:rsidRPr="00901810" w:rsidRDefault="00A20123" w:rsidP="00553B84">
            <w:pPr>
              <w:contextualSpacing/>
              <w:textAlignment w:val="baseline"/>
              <w:rPr>
                <w:rFonts w:ascii="Arial Narrow" w:hAnsi="Arial Narrow" w:cstheme="minorHAnsi"/>
                <w:color w:val="333333"/>
                <w:sz w:val="20"/>
                <w:szCs w:val="20"/>
              </w:rPr>
            </w:pPr>
            <w:r w:rsidRPr="00901810">
              <w:rPr>
                <w:rFonts w:ascii="Arial Narrow" w:hAnsi="Arial Narrow" w:cstheme="minorHAnsi"/>
                <w:b/>
                <w:bCs/>
                <w:color w:val="333333"/>
                <w:sz w:val="20"/>
                <w:szCs w:val="20"/>
                <w:bdr w:val="none" w:sz="0" w:space="0" w:color="auto" w:frame="1"/>
              </w:rPr>
              <w:t>Clinical criteria:</w:t>
            </w:r>
          </w:p>
        </w:tc>
      </w:tr>
      <w:tr w:rsidR="00A20123" w:rsidRPr="00901810" w14:paraId="36DCB352" w14:textId="77777777" w:rsidTr="004B7836">
        <w:trPr>
          <w:trHeight w:val="20"/>
        </w:trPr>
        <w:tc>
          <w:tcPr>
            <w:tcW w:w="1935" w:type="dxa"/>
            <w:shd w:val="clear" w:color="auto" w:fill="auto"/>
            <w:tcMar>
              <w:top w:w="120" w:type="dxa"/>
              <w:left w:w="240" w:type="dxa"/>
              <w:bottom w:w="120" w:type="dxa"/>
              <w:right w:w="240" w:type="dxa"/>
            </w:tcMar>
          </w:tcPr>
          <w:p w14:paraId="66DCE18D" w14:textId="094F415A" w:rsidR="00A20123" w:rsidRPr="00901810" w:rsidRDefault="00A20123" w:rsidP="00553B84">
            <w:pPr>
              <w:contextualSpacing/>
              <w:textAlignment w:val="baseline"/>
              <w:rPr>
                <w:rFonts w:ascii="Arial Narrow" w:hAnsi="Arial Narrow" w:cstheme="minorHAnsi"/>
                <w:color w:val="333333"/>
                <w:sz w:val="20"/>
                <w:szCs w:val="20"/>
              </w:rPr>
            </w:pPr>
          </w:p>
        </w:tc>
        <w:tc>
          <w:tcPr>
            <w:tcW w:w="0" w:type="auto"/>
            <w:shd w:val="clear" w:color="auto" w:fill="auto"/>
            <w:tcMar>
              <w:top w:w="120" w:type="dxa"/>
              <w:left w:w="240" w:type="dxa"/>
              <w:bottom w:w="120" w:type="dxa"/>
              <w:right w:w="240" w:type="dxa"/>
            </w:tcMar>
            <w:hideMark/>
          </w:tcPr>
          <w:p w14:paraId="42C5BC7C" w14:textId="77777777" w:rsidR="00A20123" w:rsidRPr="00901810" w:rsidRDefault="00A20123" w:rsidP="00553B84">
            <w:pPr>
              <w:contextualSpacing/>
              <w:rPr>
                <w:rFonts w:ascii="Arial Narrow" w:hAnsi="Arial Narrow" w:cstheme="minorHAnsi"/>
                <w:color w:val="333333"/>
                <w:sz w:val="20"/>
                <w:szCs w:val="20"/>
              </w:rPr>
            </w:pPr>
            <w:r w:rsidRPr="00901810">
              <w:rPr>
                <w:rFonts w:ascii="Arial Narrow" w:hAnsi="Arial Narrow" w:cstheme="minorHAnsi"/>
                <w:color w:val="333333"/>
                <w:sz w:val="20"/>
                <w:szCs w:val="20"/>
              </w:rPr>
              <w:t xml:space="preserve">Patient must have an LDL cholesterol level in excess of </w:t>
            </w:r>
            <w:r w:rsidRPr="00901810">
              <w:rPr>
                <w:rFonts w:ascii="Arial Narrow" w:hAnsi="Arial Narrow" w:cstheme="minorHAnsi"/>
                <w:strike/>
                <w:color w:val="333333"/>
                <w:sz w:val="20"/>
                <w:szCs w:val="20"/>
              </w:rPr>
              <w:t>2.6</w:t>
            </w:r>
            <w:r w:rsidRPr="00901810">
              <w:rPr>
                <w:rFonts w:ascii="Arial Narrow" w:hAnsi="Arial Narrow" w:cstheme="minorHAnsi"/>
                <w:color w:val="333333"/>
                <w:sz w:val="20"/>
                <w:szCs w:val="20"/>
              </w:rPr>
              <w:t xml:space="preserve"> </w:t>
            </w:r>
            <w:r w:rsidRPr="00901810">
              <w:rPr>
                <w:rFonts w:ascii="Arial Narrow" w:hAnsi="Arial Narrow" w:cstheme="minorHAnsi"/>
                <w:i/>
                <w:iCs/>
                <w:color w:val="333333"/>
                <w:sz w:val="20"/>
                <w:szCs w:val="20"/>
              </w:rPr>
              <w:t>1.8</w:t>
            </w:r>
            <w:r w:rsidRPr="00901810">
              <w:rPr>
                <w:rFonts w:ascii="Arial Narrow" w:hAnsi="Arial Narrow" w:cstheme="minorHAnsi"/>
                <w:color w:val="333333"/>
                <w:sz w:val="20"/>
                <w:szCs w:val="20"/>
              </w:rPr>
              <w:t xml:space="preserve"> millimoles per litre in the presence of symptomatic atherosclerotic cardiovascular disease; or</w:t>
            </w:r>
          </w:p>
        </w:tc>
      </w:tr>
    </w:tbl>
    <w:p w14:paraId="4BD81533" w14:textId="77777777" w:rsidR="00A20123" w:rsidRPr="00B134A1" w:rsidRDefault="00A20123" w:rsidP="00A20123">
      <w:pPr>
        <w:spacing w:before="240" w:after="120"/>
        <w:rPr>
          <w:rFonts w:asciiTheme="minorHAnsi" w:hAnsiTheme="minorHAnsi" w:cstheme="minorHAnsi"/>
        </w:rPr>
      </w:pPr>
      <w:r w:rsidRPr="00845095">
        <w:rPr>
          <w:rFonts w:asciiTheme="minorHAnsi" w:hAnsiTheme="minorHAnsi" w:cstheme="minorHAnsi"/>
          <w:bdr w:val="none" w:sz="0" w:space="0" w:color="auto" w:frame="1"/>
          <w:shd w:val="clear" w:color="auto" w:fill="FFFFFF"/>
        </w:rPr>
        <w:t>12604J</w:t>
      </w:r>
      <w:r w:rsidRPr="00845095">
        <w:rPr>
          <w:rFonts w:asciiTheme="minorHAnsi" w:hAnsiTheme="minorHAnsi" w:cstheme="minorHAnsi"/>
        </w:rPr>
        <w:t>, 12613W</w:t>
      </w:r>
      <w:r w:rsidRPr="00845095" w:rsidDel="00A23190">
        <w:rPr>
          <w:rFonts w:asciiTheme="minorHAnsi" w:hAnsiTheme="minorHAnsi" w:cstheme="minorHAnsi"/>
        </w:rPr>
        <w:t xml:space="preserve"> </w:t>
      </w:r>
      <w:r w:rsidRPr="00845095">
        <w:rPr>
          <w:rFonts w:asciiTheme="minorHAnsi" w:hAnsiTheme="minorHAnsi" w:cstheme="minorHAnsi"/>
          <w:i/>
          <w:iCs/>
        </w:rPr>
        <w:t>Restriction Summary 12053 / ToC: 12054: Authority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F4F4"/>
        <w:tblCellMar>
          <w:left w:w="0" w:type="dxa"/>
          <w:right w:w="0" w:type="dxa"/>
        </w:tblCellMar>
        <w:tblLook w:val="04A0" w:firstRow="1" w:lastRow="0" w:firstColumn="1" w:lastColumn="0" w:noHBand="0" w:noVBand="1"/>
      </w:tblPr>
      <w:tblGrid>
        <w:gridCol w:w="1935"/>
        <w:gridCol w:w="7082"/>
      </w:tblGrid>
      <w:tr w:rsidR="00A20123" w:rsidRPr="00901810" w14:paraId="32253EC1" w14:textId="77777777" w:rsidTr="004B7836">
        <w:trPr>
          <w:trHeight w:val="225"/>
        </w:trPr>
        <w:tc>
          <w:tcPr>
            <w:tcW w:w="1935" w:type="dxa"/>
            <w:shd w:val="clear" w:color="auto" w:fill="auto"/>
            <w:tcMar>
              <w:top w:w="120" w:type="dxa"/>
              <w:left w:w="240" w:type="dxa"/>
              <w:bottom w:w="120" w:type="dxa"/>
              <w:right w:w="240" w:type="dxa"/>
            </w:tcMar>
          </w:tcPr>
          <w:p w14:paraId="3BB21926" w14:textId="1912C0F6" w:rsidR="00A20123" w:rsidRPr="00B134A1" w:rsidRDefault="00A20123" w:rsidP="00553B84">
            <w:pPr>
              <w:textAlignment w:val="baseline"/>
              <w:rPr>
                <w:rFonts w:ascii="Arial Narrow" w:hAnsi="Arial Narrow" w:cstheme="minorHAnsi"/>
                <w:color w:val="333333"/>
                <w:sz w:val="20"/>
                <w:szCs w:val="20"/>
              </w:rPr>
            </w:pPr>
          </w:p>
        </w:tc>
        <w:tc>
          <w:tcPr>
            <w:tcW w:w="0" w:type="auto"/>
            <w:shd w:val="clear" w:color="auto" w:fill="auto"/>
            <w:tcMar>
              <w:top w:w="120" w:type="dxa"/>
              <w:left w:w="240" w:type="dxa"/>
              <w:bottom w:w="120" w:type="dxa"/>
              <w:right w:w="240" w:type="dxa"/>
            </w:tcMar>
            <w:hideMark/>
          </w:tcPr>
          <w:p w14:paraId="3A7B958E" w14:textId="77777777" w:rsidR="00A20123" w:rsidRPr="00901810" w:rsidRDefault="00A20123" w:rsidP="00553B84">
            <w:pPr>
              <w:textAlignment w:val="baseline"/>
              <w:rPr>
                <w:rFonts w:ascii="Arial Narrow" w:hAnsi="Arial Narrow" w:cstheme="minorHAnsi"/>
                <w:b/>
                <w:bCs/>
                <w:color w:val="333333"/>
                <w:sz w:val="20"/>
                <w:szCs w:val="20"/>
              </w:rPr>
            </w:pPr>
            <w:r w:rsidRPr="00901810">
              <w:rPr>
                <w:rFonts w:ascii="Arial Narrow" w:hAnsi="Arial Narrow" w:cstheme="minorHAnsi"/>
                <w:b/>
                <w:bCs/>
                <w:color w:val="333333"/>
                <w:sz w:val="20"/>
                <w:szCs w:val="20"/>
              </w:rPr>
              <w:t>Clinical criteria:</w:t>
            </w:r>
          </w:p>
        </w:tc>
      </w:tr>
      <w:tr w:rsidR="00A20123" w:rsidRPr="00901810" w14:paraId="270855CC" w14:textId="77777777" w:rsidTr="004B7836">
        <w:trPr>
          <w:trHeight w:val="239"/>
        </w:trPr>
        <w:tc>
          <w:tcPr>
            <w:tcW w:w="1935" w:type="dxa"/>
            <w:shd w:val="clear" w:color="auto" w:fill="auto"/>
            <w:tcMar>
              <w:top w:w="120" w:type="dxa"/>
              <w:left w:w="240" w:type="dxa"/>
              <w:bottom w:w="120" w:type="dxa"/>
              <w:right w:w="240" w:type="dxa"/>
            </w:tcMar>
          </w:tcPr>
          <w:p w14:paraId="59E5479B" w14:textId="038ABC2A" w:rsidR="00A20123" w:rsidRPr="00901810" w:rsidRDefault="00A20123" w:rsidP="00553B84">
            <w:pPr>
              <w:textAlignment w:val="baseline"/>
              <w:rPr>
                <w:rFonts w:ascii="Arial Narrow" w:hAnsi="Arial Narrow" w:cstheme="minorHAnsi"/>
                <w:color w:val="333333"/>
                <w:sz w:val="20"/>
                <w:szCs w:val="20"/>
              </w:rPr>
            </w:pPr>
          </w:p>
        </w:tc>
        <w:tc>
          <w:tcPr>
            <w:tcW w:w="0" w:type="auto"/>
            <w:shd w:val="clear" w:color="auto" w:fill="auto"/>
            <w:tcMar>
              <w:top w:w="120" w:type="dxa"/>
              <w:left w:w="240" w:type="dxa"/>
              <w:bottom w:w="120" w:type="dxa"/>
              <w:right w:w="240" w:type="dxa"/>
            </w:tcMar>
            <w:hideMark/>
          </w:tcPr>
          <w:p w14:paraId="4BF8E8D0" w14:textId="77777777" w:rsidR="00A20123" w:rsidRPr="00901810" w:rsidRDefault="00A20123" w:rsidP="00553B84">
            <w:pPr>
              <w:textAlignment w:val="baseline"/>
              <w:rPr>
                <w:rFonts w:ascii="Arial Narrow" w:hAnsi="Arial Narrow" w:cstheme="minorHAnsi"/>
                <w:color w:val="333333"/>
                <w:sz w:val="20"/>
                <w:szCs w:val="20"/>
              </w:rPr>
            </w:pPr>
            <w:r w:rsidRPr="00A23190">
              <w:rPr>
                <w:rFonts w:ascii="Arial Narrow" w:hAnsi="Arial Narrow" w:cstheme="minorHAnsi"/>
                <w:color w:val="333333"/>
                <w:sz w:val="20"/>
                <w:szCs w:val="20"/>
              </w:rPr>
              <w:t xml:space="preserve">Patient must have an LDL cholesterol level in excess of </w:t>
            </w:r>
            <w:r w:rsidRPr="00845095">
              <w:rPr>
                <w:rFonts w:ascii="Arial Narrow" w:hAnsi="Arial Narrow" w:cstheme="minorHAnsi"/>
                <w:strike/>
                <w:color w:val="333333"/>
                <w:sz w:val="20"/>
                <w:szCs w:val="20"/>
              </w:rPr>
              <w:t>2.6</w:t>
            </w:r>
            <w:r w:rsidRPr="00A23190">
              <w:rPr>
                <w:rFonts w:ascii="Arial Narrow" w:hAnsi="Arial Narrow" w:cstheme="minorHAnsi"/>
                <w:color w:val="333333"/>
                <w:sz w:val="20"/>
                <w:szCs w:val="20"/>
              </w:rPr>
              <w:t xml:space="preserve"> </w:t>
            </w:r>
            <w:r>
              <w:rPr>
                <w:rFonts w:ascii="Arial Narrow" w:hAnsi="Arial Narrow" w:cstheme="minorHAnsi"/>
                <w:i/>
                <w:iCs/>
                <w:color w:val="333333"/>
                <w:sz w:val="20"/>
                <w:szCs w:val="20"/>
              </w:rPr>
              <w:t xml:space="preserve">1.8 </w:t>
            </w:r>
            <w:r w:rsidRPr="00A23190">
              <w:rPr>
                <w:rFonts w:ascii="Arial Narrow" w:hAnsi="Arial Narrow" w:cstheme="minorHAnsi"/>
                <w:color w:val="333333"/>
                <w:sz w:val="20"/>
                <w:szCs w:val="20"/>
              </w:rPr>
              <w:t>millimoles per litre prior to commencing treatment with a monoclonal antibody inhibiting proprotein convertase subtilisin kexin type 9 (PCSK9),</w:t>
            </w:r>
          </w:p>
        </w:tc>
      </w:tr>
    </w:tbl>
    <w:p w14:paraId="05D02B9C" w14:textId="77777777" w:rsidR="00A20123" w:rsidRDefault="00A20123" w:rsidP="00A20123">
      <w:pPr>
        <w:spacing w:before="240" w:after="120"/>
        <w:rPr>
          <w:rFonts w:asciiTheme="minorHAnsi" w:hAnsiTheme="minorHAnsi" w:cstheme="minorHAnsi"/>
        </w:rPr>
      </w:pPr>
      <w:r>
        <w:rPr>
          <w:rFonts w:asciiTheme="minorHAnsi" w:hAnsiTheme="minorHAnsi" w:cstheme="minorHAnsi"/>
        </w:rPr>
        <w:t>On all of the above prescribing rules: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F4F4"/>
        <w:tblCellMar>
          <w:left w:w="0" w:type="dxa"/>
          <w:right w:w="0" w:type="dxa"/>
        </w:tblCellMar>
        <w:tblLook w:val="04A0" w:firstRow="1" w:lastRow="0" w:firstColumn="1" w:lastColumn="0" w:noHBand="0" w:noVBand="1"/>
      </w:tblPr>
      <w:tblGrid>
        <w:gridCol w:w="1935"/>
        <w:gridCol w:w="7082"/>
      </w:tblGrid>
      <w:tr w:rsidR="00A20123" w:rsidRPr="00901810" w14:paraId="43FE2A1E" w14:textId="77777777" w:rsidTr="004B7836">
        <w:trPr>
          <w:trHeight w:val="225"/>
        </w:trPr>
        <w:tc>
          <w:tcPr>
            <w:tcW w:w="1935" w:type="dxa"/>
            <w:shd w:val="clear" w:color="auto" w:fill="auto"/>
            <w:tcMar>
              <w:top w:w="120" w:type="dxa"/>
              <w:left w:w="240" w:type="dxa"/>
              <w:bottom w:w="120" w:type="dxa"/>
              <w:right w:w="240" w:type="dxa"/>
            </w:tcMar>
          </w:tcPr>
          <w:p w14:paraId="1E25B180" w14:textId="3BD03C38" w:rsidR="00A20123" w:rsidRPr="00901810" w:rsidRDefault="00A20123" w:rsidP="00553B84">
            <w:pPr>
              <w:textAlignment w:val="baseline"/>
              <w:rPr>
                <w:rFonts w:ascii="Arial Narrow" w:hAnsi="Arial Narrow" w:cstheme="minorHAnsi"/>
                <w:color w:val="333333"/>
                <w:sz w:val="20"/>
                <w:szCs w:val="20"/>
              </w:rPr>
            </w:pPr>
          </w:p>
        </w:tc>
        <w:tc>
          <w:tcPr>
            <w:tcW w:w="0" w:type="auto"/>
            <w:shd w:val="clear" w:color="auto" w:fill="auto"/>
            <w:tcMar>
              <w:top w:w="120" w:type="dxa"/>
              <w:left w:w="240" w:type="dxa"/>
              <w:bottom w:w="120" w:type="dxa"/>
              <w:right w:w="240" w:type="dxa"/>
            </w:tcMar>
            <w:hideMark/>
          </w:tcPr>
          <w:p w14:paraId="27174D53" w14:textId="77777777" w:rsidR="00A20123" w:rsidRPr="00901810" w:rsidRDefault="00A20123" w:rsidP="00553B84">
            <w:pPr>
              <w:textAlignment w:val="baseline"/>
              <w:rPr>
                <w:rFonts w:ascii="Arial Narrow" w:hAnsi="Arial Narrow" w:cstheme="minorHAnsi"/>
                <w:b/>
                <w:bCs/>
                <w:color w:val="333333"/>
                <w:sz w:val="20"/>
                <w:szCs w:val="20"/>
              </w:rPr>
            </w:pPr>
            <w:r>
              <w:rPr>
                <w:rFonts w:ascii="Arial Narrow" w:hAnsi="Arial Narrow" w:cstheme="minorHAnsi"/>
                <w:b/>
                <w:bCs/>
                <w:color w:val="333333"/>
                <w:sz w:val="20"/>
                <w:szCs w:val="20"/>
              </w:rPr>
              <w:t>Treatment criteria</w:t>
            </w:r>
            <w:r w:rsidRPr="00901810">
              <w:rPr>
                <w:rFonts w:ascii="Arial Narrow" w:hAnsi="Arial Narrow" w:cstheme="minorHAnsi"/>
                <w:b/>
                <w:bCs/>
                <w:color w:val="333333"/>
                <w:sz w:val="20"/>
                <w:szCs w:val="20"/>
              </w:rPr>
              <w:t>:</w:t>
            </w:r>
          </w:p>
        </w:tc>
      </w:tr>
      <w:tr w:rsidR="00A20123" w:rsidRPr="00901810" w14:paraId="26DCF73F" w14:textId="77777777" w:rsidTr="004B7836">
        <w:trPr>
          <w:trHeight w:val="239"/>
        </w:trPr>
        <w:tc>
          <w:tcPr>
            <w:tcW w:w="1935" w:type="dxa"/>
            <w:shd w:val="clear" w:color="auto" w:fill="auto"/>
            <w:tcMar>
              <w:top w:w="120" w:type="dxa"/>
              <w:left w:w="240" w:type="dxa"/>
              <w:bottom w:w="120" w:type="dxa"/>
              <w:right w:w="240" w:type="dxa"/>
            </w:tcMar>
          </w:tcPr>
          <w:p w14:paraId="08A286E3" w14:textId="0F128707" w:rsidR="00A20123" w:rsidRPr="00901810" w:rsidRDefault="00A20123" w:rsidP="00553B84">
            <w:pPr>
              <w:textAlignment w:val="baseline"/>
              <w:rPr>
                <w:rFonts w:ascii="Arial Narrow" w:hAnsi="Arial Narrow" w:cstheme="minorHAnsi"/>
                <w:color w:val="333333"/>
                <w:sz w:val="20"/>
                <w:szCs w:val="20"/>
              </w:rPr>
            </w:pPr>
          </w:p>
        </w:tc>
        <w:tc>
          <w:tcPr>
            <w:tcW w:w="0" w:type="auto"/>
            <w:shd w:val="clear" w:color="auto" w:fill="auto"/>
            <w:tcMar>
              <w:top w:w="120" w:type="dxa"/>
              <w:left w:w="240" w:type="dxa"/>
              <w:bottom w:w="120" w:type="dxa"/>
              <w:right w:w="240" w:type="dxa"/>
            </w:tcMar>
            <w:hideMark/>
          </w:tcPr>
          <w:p w14:paraId="5E1D589A" w14:textId="77777777" w:rsidR="00A20123" w:rsidRPr="00901810" w:rsidRDefault="00A20123" w:rsidP="00553B84">
            <w:pPr>
              <w:textAlignment w:val="baseline"/>
              <w:rPr>
                <w:rFonts w:ascii="Arial Narrow" w:hAnsi="Arial Narrow" w:cstheme="minorHAnsi"/>
                <w:color w:val="333333"/>
                <w:sz w:val="20"/>
                <w:szCs w:val="20"/>
              </w:rPr>
            </w:pPr>
            <w:r w:rsidRPr="00901810">
              <w:rPr>
                <w:rFonts w:ascii="Arial Narrow" w:hAnsi="Arial Narrow" w:cstheme="minorHAnsi"/>
                <w:color w:val="333333"/>
                <w:sz w:val="20"/>
                <w:szCs w:val="20"/>
              </w:rPr>
              <w:t xml:space="preserve">Must be treated by </w:t>
            </w:r>
            <w:r>
              <w:rPr>
                <w:rFonts w:ascii="Arial Narrow" w:hAnsi="Arial Narrow" w:cstheme="minorHAnsi"/>
                <w:i/>
                <w:iCs/>
                <w:color w:val="333333"/>
                <w:sz w:val="20"/>
                <w:szCs w:val="20"/>
              </w:rPr>
              <w:t xml:space="preserve">or in consultation with </w:t>
            </w:r>
            <w:r w:rsidRPr="00901810">
              <w:rPr>
                <w:rFonts w:ascii="Arial Narrow" w:hAnsi="Arial Narrow" w:cstheme="minorHAnsi"/>
                <w:color w:val="333333"/>
                <w:sz w:val="20"/>
                <w:szCs w:val="20"/>
              </w:rPr>
              <w:t>a specialist physician</w:t>
            </w:r>
          </w:p>
        </w:tc>
      </w:tr>
    </w:tbl>
    <w:p w14:paraId="731F7332" w14:textId="3A9EC1B0" w:rsidR="001777A4" w:rsidRDefault="007044DF" w:rsidP="00553B84">
      <w:pPr>
        <w:rPr>
          <w:b/>
          <w:i/>
        </w:rPr>
      </w:pPr>
      <w:r w:rsidRPr="007044DF">
        <w:rPr>
          <w:b/>
          <w:i/>
        </w:rPr>
        <w:lastRenderedPageBreak/>
        <w:t xml:space="preserve">This restriction may be subject to further review. Should there be any changes made to the restriction the sponsor will be informed. </w:t>
      </w:r>
    </w:p>
    <w:p w14:paraId="1883B65D" w14:textId="77777777" w:rsidR="001777A4" w:rsidRPr="00DC6997" w:rsidRDefault="001777A4" w:rsidP="00F2213C">
      <w:pPr>
        <w:pStyle w:val="2-SectionHeading"/>
      </w:pPr>
      <w:r w:rsidRPr="00DC6997">
        <w:t>Context for Decision</w:t>
      </w:r>
    </w:p>
    <w:p w14:paraId="0FF7CA8E" w14:textId="77777777" w:rsidR="001777A4" w:rsidRPr="00C7288E" w:rsidRDefault="001777A4" w:rsidP="001777A4">
      <w:pPr>
        <w:spacing w:after="120" w:line="259" w:lineRule="auto"/>
        <w:ind w:left="709"/>
        <w:rPr>
          <w:rFonts w:eastAsia="Calibri"/>
          <w:bCs/>
          <w:lang w:val="en-GB" w:eastAsia="en-US"/>
        </w:rPr>
      </w:pPr>
      <w:r w:rsidRPr="00C7288E">
        <w:rPr>
          <w:rFonts w:eastAsia="Calibri"/>
          <w:bCs/>
          <w:lang w:val="en-GB" w:eastAsia="en-U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02268FA" w14:textId="77777777" w:rsidR="001777A4" w:rsidRPr="00DC6997" w:rsidRDefault="001777A4" w:rsidP="00F2213C">
      <w:pPr>
        <w:pStyle w:val="2-SectionHeading"/>
      </w:pPr>
      <w:r w:rsidRPr="00DC6997">
        <w:t>Sponsor’s Comment</w:t>
      </w:r>
    </w:p>
    <w:p w14:paraId="33220BEC" w14:textId="280F08ED" w:rsidR="001777A4" w:rsidRPr="00C7288E" w:rsidRDefault="00620FD2" w:rsidP="001777A4">
      <w:pPr>
        <w:spacing w:after="120" w:line="259" w:lineRule="auto"/>
        <w:ind w:left="709"/>
        <w:rPr>
          <w:rFonts w:eastAsia="Calibri"/>
          <w:bCs/>
          <w:lang w:eastAsia="en-US"/>
        </w:rPr>
      </w:pPr>
      <w:r w:rsidRPr="00C7288E">
        <w:rPr>
          <w:rFonts w:eastAsia="Calibri"/>
          <w:bCs/>
          <w:lang w:val="en-GB" w:eastAsia="en-US"/>
        </w:rPr>
        <w:t xml:space="preserve">Amgen is pleased that evolocumab will soon be available on the PBS for more Australian patients with </w:t>
      </w:r>
      <w:r w:rsidR="00E11F2E" w:rsidRPr="00C7288E">
        <w:rPr>
          <w:rFonts w:eastAsia="Calibri"/>
          <w:bCs/>
          <w:lang w:val="en-GB" w:eastAsia="en-US"/>
        </w:rPr>
        <w:t xml:space="preserve">hypercholesterolaemia at high risk of cardiovascular events. </w:t>
      </w:r>
    </w:p>
    <w:p w14:paraId="60722B97" w14:textId="77777777" w:rsidR="001777A4" w:rsidRPr="00553B84" w:rsidRDefault="001777A4" w:rsidP="00553B84"/>
    <w:sectPr w:rsidR="001777A4" w:rsidRPr="00553B84" w:rsidSect="006534DA">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1EDAD" w14:textId="77777777" w:rsidR="001162D1" w:rsidRDefault="001162D1" w:rsidP="00124A51">
      <w:r>
        <w:separator/>
      </w:r>
    </w:p>
    <w:p w14:paraId="7607D5A5" w14:textId="77777777" w:rsidR="001162D1" w:rsidRDefault="001162D1"/>
  </w:endnote>
  <w:endnote w:type="continuationSeparator" w:id="0">
    <w:p w14:paraId="6D9CB0B6" w14:textId="77777777" w:rsidR="001162D1" w:rsidRDefault="001162D1" w:rsidP="00124A51">
      <w:r>
        <w:continuationSeparator/>
      </w:r>
    </w:p>
    <w:p w14:paraId="2F341EDE" w14:textId="77777777" w:rsidR="001162D1" w:rsidRDefault="001162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038D9" w14:textId="77777777" w:rsidR="003C31C3" w:rsidRDefault="003C31C3" w:rsidP="001F281D">
    <w:pPr>
      <w:pStyle w:val="Footer"/>
      <w:keepNext/>
      <w:ind w:left="360"/>
      <w:jc w:val="center"/>
      <w:rPr>
        <w:b/>
        <w:iCs/>
      </w:rPr>
    </w:pPr>
    <w:bookmarkStart w:id="50" w:name="_Hlk76375156"/>
  </w:p>
  <w:p w14:paraId="6399E655" w14:textId="0487D26C" w:rsidR="003C31C3" w:rsidRPr="005A25CB" w:rsidRDefault="003C31C3" w:rsidP="001F281D">
    <w:pPr>
      <w:pStyle w:val="Footer"/>
      <w:keepNext/>
      <w:ind w:left="360"/>
      <w:jc w:val="center"/>
    </w:pPr>
    <w:r w:rsidRPr="00836F75">
      <w:rPr>
        <w:b/>
      </w:rPr>
      <w:fldChar w:fldCharType="begin"/>
    </w:r>
    <w:r w:rsidRPr="00836F75">
      <w:rPr>
        <w:b/>
      </w:rPr>
      <w:instrText xml:space="preserve"> PAGE   \* MERGEFORMAT </w:instrText>
    </w:r>
    <w:r w:rsidRPr="00836F75">
      <w:rPr>
        <w:b/>
      </w:rPr>
      <w:fldChar w:fldCharType="separate"/>
    </w:r>
    <w:r w:rsidRPr="00836F75">
      <w:rPr>
        <w:b/>
        <w:noProof/>
      </w:rPr>
      <w:t>1</w:t>
    </w:r>
    <w:r w:rsidRPr="00836F75">
      <w:rPr>
        <w:b/>
        <w:noProof/>
      </w:rPr>
      <w:fldChar w:fldCharType="end"/>
    </w:r>
    <w:r>
      <w:rPr>
        <w:b/>
        <w:noProof/>
      </w:rPr>
      <w:t xml:space="preserve"> </w:t>
    </w:r>
    <w:bookmarkEnd w:id="5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6075F" w14:textId="77777777" w:rsidR="001162D1" w:rsidRDefault="001162D1" w:rsidP="00124A51">
      <w:r>
        <w:separator/>
      </w:r>
    </w:p>
    <w:p w14:paraId="5D859775" w14:textId="77777777" w:rsidR="001162D1" w:rsidRDefault="001162D1"/>
  </w:footnote>
  <w:footnote w:type="continuationSeparator" w:id="0">
    <w:p w14:paraId="33B714F9" w14:textId="77777777" w:rsidR="001162D1" w:rsidRDefault="001162D1" w:rsidP="00124A51">
      <w:r>
        <w:continuationSeparator/>
      </w:r>
    </w:p>
    <w:p w14:paraId="11AC5799" w14:textId="77777777" w:rsidR="001162D1" w:rsidRDefault="001162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00016" w14:textId="77777777" w:rsidR="001777A4" w:rsidRPr="00E3136B" w:rsidRDefault="001777A4" w:rsidP="001777A4">
    <w:pPr>
      <w:pStyle w:val="Header"/>
      <w:ind w:left="360"/>
      <w:jc w:val="center"/>
      <w:rPr>
        <w:rFonts w:asciiTheme="minorHAnsi" w:hAnsiTheme="minorHAnsi"/>
        <w:i/>
        <w:color w:val="808080"/>
      </w:rPr>
    </w:pPr>
    <w:bookmarkStart w:id="49" w:name="_Hlk76375146"/>
    <w:r w:rsidRPr="00E3136B">
      <w:rPr>
        <w:rFonts w:asciiTheme="minorHAnsi" w:hAnsiTheme="minorHAnsi"/>
        <w:i/>
        <w:color w:val="808080"/>
      </w:rPr>
      <w:t>Public Summary Document – July 2022 PBAC Meeting</w:t>
    </w:r>
  </w:p>
  <w:bookmarkEnd w:id="49"/>
  <w:p w14:paraId="5E83BD6D" w14:textId="6B63A5C6" w:rsidR="003C31C3" w:rsidRDefault="003C31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0742B8"/>
    <w:multiLevelType w:val="hybridMultilevel"/>
    <w:tmpl w:val="82847F6E"/>
    <w:lvl w:ilvl="0" w:tplc="3670EF1C">
      <w:numFmt w:val="bullet"/>
      <w:lvlText w:val="-"/>
      <w:lvlJc w:val="left"/>
      <w:pPr>
        <w:ind w:left="720" w:hanging="36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B01BDD"/>
    <w:multiLevelType w:val="hybridMultilevel"/>
    <w:tmpl w:val="59AEFF4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E063C2F"/>
    <w:multiLevelType w:val="hybridMultilevel"/>
    <w:tmpl w:val="F17A883E"/>
    <w:lvl w:ilvl="0" w:tplc="29D427D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9208A8"/>
    <w:multiLevelType w:val="hybridMultilevel"/>
    <w:tmpl w:val="93E09266"/>
    <w:lvl w:ilvl="0" w:tplc="945635C4">
      <w:start w:val="1"/>
      <w:numFmt w:val="decimal"/>
      <w:pStyle w:val="TableNumbered"/>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5FB65EF"/>
    <w:multiLevelType w:val="hybridMultilevel"/>
    <w:tmpl w:val="26FE27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FE67C64"/>
    <w:multiLevelType w:val="hybridMultilevel"/>
    <w:tmpl w:val="AB48979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693D0A"/>
    <w:multiLevelType w:val="hybridMultilevel"/>
    <w:tmpl w:val="CB2A896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C873C3"/>
    <w:multiLevelType w:val="hybridMultilevel"/>
    <w:tmpl w:val="8DF69478"/>
    <w:lvl w:ilvl="0" w:tplc="56A8D3AA">
      <w:start w:val="1"/>
      <w:numFmt w:val="bullet"/>
      <w:pStyle w:val="PI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353673"/>
    <w:multiLevelType w:val="hybridMultilevel"/>
    <w:tmpl w:val="BB147B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5638B5"/>
    <w:multiLevelType w:val="hybridMultilevel"/>
    <w:tmpl w:val="8892C2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5757DC0"/>
    <w:multiLevelType w:val="hybridMultilevel"/>
    <w:tmpl w:val="EAEAA76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76300F"/>
    <w:multiLevelType w:val="hybridMultilevel"/>
    <w:tmpl w:val="66D45F42"/>
    <w:lvl w:ilvl="0" w:tplc="0246780A">
      <w:start w:val="1"/>
      <w:numFmt w:val="bullet"/>
      <w:lvlText w:val=""/>
      <w:lvlJc w:val="left"/>
      <w:pPr>
        <w:tabs>
          <w:tab w:val="num" w:pos="357"/>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pStyle w:val="ListBulletlvl3"/>
      <w:lvlText w:val=""/>
      <w:lvlJc w:val="left"/>
      <w:pPr>
        <w:ind w:left="2160" w:hanging="360"/>
      </w:pPr>
      <w:rPr>
        <w:rFonts w:ascii="Wingdings" w:hAnsi="Wingdings" w:hint="default"/>
      </w:rPr>
    </w:lvl>
    <w:lvl w:ilvl="3" w:tplc="04090001">
      <w:start w:val="1"/>
      <w:numFmt w:val="bullet"/>
      <w:pStyle w:val="ListBulletlvl4"/>
      <w:lvlText w:val=""/>
      <w:lvlJc w:val="left"/>
      <w:pPr>
        <w:ind w:left="2880" w:hanging="360"/>
      </w:pPr>
      <w:rPr>
        <w:rFonts w:ascii="Symbol" w:hAnsi="Symbol" w:hint="default"/>
      </w:rPr>
    </w:lvl>
    <w:lvl w:ilvl="4" w:tplc="04090003">
      <w:start w:val="1"/>
      <w:numFmt w:val="bullet"/>
      <w:pStyle w:val="ListBulletlvl5"/>
      <w:lvlText w:val="o"/>
      <w:lvlJc w:val="left"/>
      <w:pPr>
        <w:ind w:left="3600" w:hanging="360"/>
      </w:pPr>
      <w:rPr>
        <w:rFonts w:ascii="Courier New" w:hAnsi="Courier New" w:hint="default"/>
      </w:rPr>
    </w:lvl>
    <w:lvl w:ilvl="5" w:tplc="04090005">
      <w:start w:val="1"/>
      <w:numFmt w:val="bullet"/>
      <w:pStyle w:val="ListBulletlvl6"/>
      <w:lvlText w:val=""/>
      <w:lvlJc w:val="left"/>
      <w:pPr>
        <w:ind w:left="4320" w:hanging="360"/>
      </w:pPr>
      <w:rPr>
        <w:rFonts w:ascii="Wingdings" w:hAnsi="Wingdings" w:hint="default"/>
      </w:rPr>
    </w:lvl>
    <w:lvl w:ilvl="6" w:tplc="04090001">
      <w:start w:val="1"/>
      <w:numFmt w:val="bullet"/>
      <w:pStyle w:val="ListBulletlvl7"/>
      <w:lvlText w:val=""/>
      <w:lvlJc w:val="left"/>
      <w:pPr>
        <w:ind w:left="5040" w:hanging="360"/>
      </w:pPr>
      <w:rPr>
        <w:rFonts w:ascii="Symbol" w:hAnsi="Symbol" w:hint="default"/>
      </w:rPr>
    </w:lvl>
    <w:lvl w:ilvl="7" w:tplc="04090003">
      <w:start w:val="1"/>
      <w:numFmt w:val="bullet"/>
      <w:pStyle w:val="ListBulletlvl8"/>
      <w:lvlText w:val="o"/>
      <w:lvlJc w:val="left"/>
      <w:pPr>
        <w:ind w:left="5760" w:hanging="360"/>
      </w:pPr>
      <w:rPr>
        <w:rFonts w:ascii="Courier New" w:hAnsi="Courier New" w:hint="default"/>
      </w:rPr>
    </w:lvl>
    <w:lvl w:ilvl="8" w:tplc="04090005">
      <w:start w:val="1"/>
      <w:numFmt w:val="bullet"/>
      <w:pStyle w:val="ListBulletlvl9"/>
      <w:lvlText w:val=""/>
      <w:lvlJc w:val="left"/>
      <w:pPr>
        <w:ind w:left="6480" w:hanging="360"/>
      </w:pPr>
      <w:rPr>
        <w:rFonts w:ascii="Wingdings" w:hAnsi="Wingdings" w:hint="default"/>
      </w:rPr>
    </w:lvl>
  </w:abstractNum>
  <w:abstractNum w:abstractNumId="21"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01605C7"/>
    <w:multiLevelType w:val="hybridMultilevel"/>
    <w:tmpl w:val="C5B2CDF2"/>
    <w:lvl w:ilvl="0" w:tplc="794CDF80">
      <w:start w:val="1"/>
      <w:numFmt w:val="decimal"/>
      <w:lvlText w:val="%1."/>
      <w:lvlJc w:val="left"/>
      <w:pPr>
        <w:ind w:left="720" w:hanging="360"/>
      </w:pPr>
      <w:rPr>
        <w:b w:val="0"/>
        <w:bCs w:val="0"/>
        <w:i/>
        <w:iCs/>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366418"/>
    <w:multiLevelType w:val="hybridMultilevel"/>
    <w:tmpl w:val="39EEE18C"/>
    <w:lvl w:ilvl="0" w:tplc="CDD03002">
      <w:start w:val="1"/>
      <w:numFmt w:val="lowerRoman"/>
      <w:lvlText w:val="(%1)"/>
      <w:lvlJc w:val="right"/>
      <w:pPr>
        <w:ind w:left="720" w:hanging="360"/>
      </w:pPr>
      <w:rPr>
        <w:rFonts w:hint="default"/>
      </w:rPr>
    </w:lvl>
    <w:lvl w:ilvl="1" w:tplc="CB668B9C">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B5324C5"/>
    <w:multiLevelType w:val="hybridMultilevel"/>
    <w:tmpl w:val="B8B0DA3C"/>
    <w:lvl w:ilvl="0" w:tplc="CDD03002">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D5D538F"/>
    <w:multiLevelType w:val="multilevel"/>
    <w:tmpl w:val="B1CC5B2C"/>
    <w:lvl w:ilvl="0">
      <w:start w:val="1"/>
      <w:numFmt w:val="decimal"/>
      <w:lvlText w:val="%1)"/>
      <w:lvlJc w:val="left"/>
      <w:pPr>
        <w:ind w:left="360" w:hanging="360"/>
      </w:p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F347A8A"/>
    <w:multiLevelType w:val="hybridMultilevel"/>
    <w:tmpl w:val="605E7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FC6591"/>
    <w:multiLevelType w:val="hybridMultilevel"/>
    <w:tmpl w:val="08CAA4C8"/>
    <w:lvl w:ilvl="0" w:tplc="04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49F3D15"/>
    <w:multiLevelType w:val="hybridMultilevel"/>
    <w:tmpl w:val="68D65726"/>
    <w:lvl w:ilvl="0" w:tplc="6CB01B16">
      <w:numFmt w:val="bullet"/>
      <w:pStyle w:val="TextDash"/>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84D033C"/>
    <w:multiLevelType w:val="multilevel"/>
    <w:tmpl w:val="CC92A716"/>
    <w:lvl w:ilvl="0">
      <w:start w:val="1"/>
      <w:numFmt w:val="decimal"/>
      <w:pStyle w:val="2-SectionHeading"/>
      <w:lvlText w:val="%1"/>
      <w:lvlJc w:val="left"/>
      <w:pPr>
        <w:ind w:left="720" w:hanging="720"/>
      </w:pPr>
      <w:rPr>
        <w:rFonts w:hint="default"/>
        <w:b/>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29"/>
  </w:num>
  <w:num w:numId="2">
    <w:abstractNumId w:val="18"/>
  </w:num>
  <w:num w:numId="3">
    <w:abstractNumId w:val="0"/>
  </w:num>
  <w:num w:numId="4">
    <w:abstractNumId w:val="29"/>
  </w:num>
  <w:num w:numId="5">
    <w:abstractNumId w:val="16"/>
  </w:num>
  <w:num w:numId="6">
    <w:abstractNumId w:val="20"/>
  </w:num>
  <w:num w:numId="7">
    <w:abstractNumId w:val="14"/>
  </w:num>
  <w:num w:numId="8">
    <w:abstractNumId w:val="15"/>
  </w:num>
  <w:num w:numId="9">
    <w:abstractNumId w:val="12"/>
  </w:num>
  <w:num w:numId="10">
    <w:abstractNumId w:val="9"/>
  </w:num>
  <w:num w:numId="11">
    <w:abstractNumId w:val="8"/>
  </w:num>
  <w:num w:numId="12">
    <w:abstractNumId w:val="23"/>
  </w:num>
  <w:num w:numId="13">
    <w:abstractNumId w:val="24"/>
  </w:num>
  <w:num w:numId="14">
    <w:abstractNumId w:val="6"/>
  </w:num>
  <w:num w:numId="15">
    <w:abstractNumId w:val="28"/>
  </w:num>
  <w:num w:numId="16">
    <w:abstractNumId w:val="17"/>
    <w:lvlOverride w:ilvl="0">
      <w:startOverride w:val="1"/>
    </w:lvlOverride>
  </w:num>
  <w:num w:numId="17">
    <w:abstractNumId w:val="7"/>
  </w:num>
  <w:num w:numId="18">
    <w:abstractNumId w:val="4"/>
  </w:num>
  <w:num w:numId="19">
    <w:abstractNumId w:val="3"/>
  </w:num>
  <w:num w:numId="20">
    <w:abstractNumId w:val="30"/>
  </w:num>
  <w:num w:numId="21">
    <w:abstractNumId w:val="22"/>
  </w:num>
  <w:num w:numId="22">
    <w:abstractNumId w:val="19"/>
  </w:num>
  <w:num w:numId="23">
    <w:abstractNumId w:val="2"/>
  </w:num>
  <w:num w:numId="24">
    <w:abstractNumId w:val="1"/>
  </w:num>
  <w:num w:numId="25">
    <w:abstractNumId w:val="11"/>
  </w:num>
  <w:num w:numId="26">
    <w:abstractNumId w:val="13"/>
  </w:num>
  <w:num w:numId="27">
    <w:abstractNumId w:val="10"/>
  </w:num>
  <w:num w:numId="2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9"/>
  </w:num>
  <w:num w:numId="31">
    <w:abstractNumId w:val="29"/>
  </w:num>
  <w:num w:numId="32">
    <w:abstractNumId w:val="27"/>
  </w:num>
  <w:num w:numId="33">
    <w:abstractNumId w:val="5"/>
  </w:num>
  <w:num w:numId="34">
    <w:abstractNumId w:val="26"/>
  </w:num>
  <w:num w:numId="35">
    <w:abstractNumId w:val="2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0AB0"/>
    <w:rsid w:val="0000110B"/>
    <w:rsid w:val="00001D8A"/>
    <w:rsid w:val="00002441"/>
    <w:rsid w:val="000026C4"/>
    <w:rsid w:val="000026EE"/>
    <w:rsid w:val="00003241"/>
    <w:rsid w:val="00003267"/>
    <w:rsid w:val="0000330F"/>
    <w:rsid w:val="0000339B"/>
    <w:rsid w:val="00003499"/>
    <w:rsid w:val="000039B7"/>
    <w:rsid w:val="00004BF1"/>
    <w:rsid w:val="000055D0"/>
    <w:rsid w:val="0000567B"/>
    <w:rsid w:val="00005DE8"/>
    <w:rsid w:val="00006145"/>
    <w:rsid w:val="00006232"/>
    <w:rsid w:val="0000639A"/>
    <w:rsid w:val="000064FC"/>
    <w:rsid w:val="00006D8D"/>
    <w:rsid w:val="00006E39"/>
    <w:rsid w:val="000101A5"/>
    <w:rsid w:val="00010FC8"/>
    <w:rsid w:val="000111C6"/>
    <w:rsid w:val="00011305"/>
    <w:rsid w:val="000130AF"/>
    <w:rsid w:val="00013139"/>
    <w:rsid w:val="00013247"/>
    <w:rsid w:val="000137C1"/>
    <w:rsid w:val="00013C64"/>
    <w:rsid w:val="00013FA5"/>
    <w:rsid w:val="00014425"/>
    <w:rsid w:val="00014AEF"/>
    <w:rsid w:val="0001555F"/>
    <w:rsid w:val="0001562A"/>
    <w:rsid w:val="00015886"/>
    <w:rsid w:val="000162EF"/>
    <w:rsid w:val="00017A34"/>
    <w:rsid w:val="00020158"/>
    <w:rsid w:val="000201AD"/>
    <w:rsid w:val="00020638"/>
    <w:rsid w:val="000207C9"/>
    <w:rsid w:val="00020C93"/>
    <w:rsid w:val="0002110B"/>
    <w:rsid w:val="00021316"/>
    <w:rsid w:val="00021C6E"/>
    <w:rsid w:val="0002225F"/>
    <w:rsid w:val="000225F0"/>
    <w:rsid w:val="00023096"/>
    <w:rsid w:val="000235CB"/>
    <w:rsid w:val="00023763"/>
    <w:rsid w:val="00023A31"/>
    <w:rsid w:val="00024526"/>
    <w:rsid w:val="000247F6"/>
    <w:rsid w:val="00024FE5"/>
    <w:rsid w:val="0002680B"/>
    <w:rsid w:val="00026EB6"/>
    <w:rsid w:val="000274B8"/>
    <w:rsid w:val="000274F5"/>
    <w:rsid w:val="0002764A"/>
    <w:rsid w:val="00027C83"/>
    <w:rsid w:val="00030019"/>
    <w:rsid w:val="000300A9"/>
    <w:rsid w:val="000304B9"/>
    <w:rsid w:val="00030EFB"/>
    <w:rsid w:val="00030FC3"/>
    <w:rsid w:val="000310B7"/>
    <w:rsid w:val="00031826"/>
    <w:rsid w:val="000320B7"/>
    <w:rsid w:val="00032170"/>
    <w:rsid w:val="000322B9"/>
    <w:rsid w:val="00032CBB"/>
    <w:rsid w:val="00033863"/>
    <w:rsid w:val="000350CB"/>
    <w:rsid w:val="00035609"/>
    <w:rsid w:val="00035DC0"/>
    <w:rsid w:val="000364AB"/>
    <w:rsid w:val="00036829"/>
    <w:rsid w:val="00036F94"/>
    <w:rsid w:val="0003738C"/>
    <w:rsid w:val="000377EE"/>
    <w:rsid w:val="00037CA0"/>
    <w:rsid w:val="00040895"/>
    <w:rsid w:val="00041049"/>
    <w:rsid w:val="00041AD9"/>
    <w:rsid w:val="00042AEB"/>
    <w:rsid w:val="00042C59"/>
    <w:rsid w:val="00042C84"/>
    <w:rsid w:val="000435B5"/>
    <w:rsid w:val="000435EE"/>
    <w:rsid w:val="0004364D"/>
    <w:rsid w:val="00043732"/>
    <w:rsid w:val="00043C37"/>
    <w:rsid w:val="0004496D"/>
    <w:rsid w:val="00045017"/>
    <w:rsid w:val="00045A2B"/>
    <w:rsid w:val="00045C6E"/>
    <w:rsid w:val="00045EFE"/>
    <w:rsid w:val="000462E9"/>
    <w:rsid w:val="0004698F"/>
    <w:rsid w:val="00047515"/>
    <w:rsid w:val="00047FD1"/>
    <w:rsid w:val="000502B8"/>
    <w:rsid w:val="00050AE1"/>
    <w:rsid w:val="00050DF2"/>
    <w:rsid w:val="00050ECB"/>
    <w:rsid w:val="00050F3A"/>
    <w:rsid w:val="00052774"/>
    <w:rsid w:val="00053066"/>
    <w:rsid w:val="00053090"/>
    <w:rsid w:val="000530FA"/>
    <w:rsid w:val="00053485"/>
    <w:rsid w:val="000539D0"/>
    <w:rsid w:val="00054621"/>
    <w:rsid w:val="000546D7"/>
    <w:rsid w:val="0005506D"/>
    <w:rsid w:val="00055B9C"/>
    <w:rsid w:val="00056063"/>
    <w:rsid w:val="00056ECF"/>
    <w:rsid w:val="0005753A"/>
    <w:rsid w:val="000604DF"/>
    <w:rsid w:val="00061273"/>
    <w:rsid w:val="000615AA"/>
    <w:rsid w:val="0006226D"/>
    <w:rsid w:val="0006235F"/>
    <w:rsid w:val="000626B9"/>
    <w:rsid w:val="00062784"/>
    <w:rsid w:val="0006385D"/>
    <w:rsid w:val="00064326"/>
    <w:rsid w:val="000645AB"/>
    <w:rsid w:val="000653B5"/>
    <w:rsid w:val="000658FE"/>
    <w:rsid w:val="0006609E"/>
    <w:rsid w:val="00066360"/>
    <w:rsid w:val="0006688E"/>
    <w:rsid w:val="00066AF8"/>
    <w:rsid w:val="00067A03"/>
    <w:rsid w:val="00067BB1"/>
    <w:rsid w:val="00070353"/>
    <w:rsid w:val="000710BC"/>
    <w:rsid w:val="00071248"/>
    <w:rsid w:val="00071C53"/>
    <w:rsid w:val="00071DD1"/>
    <w:rsid w:val="000720B9"/>
    <w:rsid w:val="0007223F"/>
    <w:rsid w:val="00072C32"/>
    <w:rsid w:val="00072FA3"/>
    <w:rsid w:val="00073002"/>
    <w:rsid w:val="00073225"/>
    <w:rsid w:val="000737F7"/>
    <w:rsid w:val="00074307"/>
    <w:rsid w:val="000743E5"/>
    <w:rsid w:val="00075E3C"/>
    <w:rsid w:val="00075EC8"/>
    <w:rsid w:val="0007635D"/>
    <w:rsid w:val="0007672F"/>
    <w:rsid w:val="00076755"/>
    <w:rsid w:val="00076B24"/>
    <w:rsid w:val="00076B54"/>
    <w:rsid w:val="00076FE5"/>
    <w:rsid w:val="00077037"/>
    <w:rsid w:val="000773D2"/>
    <w:rsid w:val="000774F0"/>
    <w:rsid w:val="0007759F"/>
    <w:rsid w:val="00077FB2"/>
    <w:rsid w:val="00080411"/>
    <w:rsid w:val="00080517"/>
    <w:rsid w:val="000806D7"/>
    <w:rsid w:val="00080780"/>
    <w:rsid w:val="00080909"/>
    <w:rsid w:val="0008096C"/>
    <w:rsid w:val="000809F3"/>
    <w:rsid w:val="00080C7D"/>
    <w:rsid w:val="000812CA"/>
    <w:rsid w:val="0008144B"/>
    <w:rsid w:val="00081477"/>
    <w:rsid w:val="000815A1"/>
    <w:rsid w:val="0008179A"/>
    <w:rsid w:val="00081857"/>
    <w:rsid w:val="000819F9"/>
    <w:rsid w:val="00081D8C"/>
    <w:rsid w:val="00081E63"/>
    <w:rsid w:val="0008258D"/>
    <w:rsid w:val="000828CB"/>
    <w:rsid w:val="00083165"/>
    <w:rsid w:val="00083813"/>
    <w:rsid w:val="000839CC"/>
    <w:rsid w:val="00083A7E"/>
    <w:rsid w:val="00083AB0"/>
    <w:rsid w:val="00083E99"/>
    <w:rsid w:val="000843AB"/>
    <w:rsid w:val="000846B2"/>
    <w:rsid w:val="00084C9D"/>
    <w:rsid w:val="00084FA8"/>
    <w:rsid w:val="000856C5"/>
    <w:rsid w:val="00085C31"/>
    <w:rsid w:val="00085CB6"/>
    <w:rsid w:val="00086108"/>
    <w:rsid w:val="00086D40"/>
    <w:rsid w:val="0009022C"/>
    <w:rsid w:val="000902D9"/>
    <w:rsid w:val="00090514"/>
    <w:rsid w:val="00090C7E"/>
    <w:rsid w:val="00091ECC"/>
    <w:rsid w:val="00092600"/>
    <w:rsid w:val="0009262B"/>
    <w:rsid w:val="0009267D"/>
    <w:rsid w:val="00092DDF"/>
    <w:rsid w:val="00093310"/>
    <w:rsid w:val="0009354C"/>
    <w:rsid w:val="0009370E"/>
    <w:rsid w:val="00093731"/>
    <w:rsid w:val="000938E8"/>
    <w:rsid w:val="000943F9"/>
    <w:rsid w:val="0009445C"/>
    <w:rsid w:val="00094A83"/>
    <w:rsid w:val="00094C1B"/>
    <w:rsid w:val="00095200"/>
    <w:rsid w:val="00095FE5"/>
    <w:rsid w:val="0009615C"/>
    <w:rsid w:val="00096284"/>
    <w:rsid w:val="0009666B"/>
    <w:rsid w:val="00096AEF"/>
    <w:rsid w:val="00096DEB"/>
    <w:rsid w:val="0009707F"/>
    <w:rsid w:val="0009785E"/>
    <w:rsid w:val="00097A1B"/>
    <w:rsid w:val="000A029D"/>
    <w:rsid w:val="000A0BB7"/>
    <w:rsid w:val="000A0C7E"/>
    <w:rsid w:val="000A1530"/>
    <w:rsid w:val="000A1BC0"/>
    <w:rsid w:val="000A255E"/>
    <w:rsid w:val="000A2722"/>
    <w:rsid w:val="000A287E"/>
    <w:rsid w:val="000A2FE7"/>
    <w:rsid w:val="000A36B4"/>
    <w:rsid w:val="000A4901"/>
    <w:rsid w:val="000A4B1D"/>
    <w:rsid w:val="000A4D4A"/>
    <w:rsid w:val="000A4F2C"/>
    <w:rsid w:val="000A6039"/>
    <w:rsid w:val="000A6D6C"/>
    <w:rsid w:val="000A6EC0"/>
    <w:rsid w:val="000A7453"/>
    <w:rsid w:val="000A7D08"/>
    <w:rsid w:val="000B0121"/>
    <w:rsid w:val="000B0670"/>
    <w:rsid w:val="000B073E"/>
    <w:rsid w:val="000B0E75"/>
    <w:rsid w:val="000B1212"/>
    <w:rsid w:val="000B20A6"/>
    <w:rsid w:val="000B231B"/>
    <w:rsid w:val="000B23E6"/>
    <w:rsid w:val="000B286D"/>
    <w:rsid w:val="000B2DCB"/>
    <w:rsid w:val="000B3D25"/>
    <w:rsid w:val="000B4254"/>
    <w:rsid w:val="000B44CA"/>
    <w:rsid w:val="000B568A"/>
    <w:rsid w:val="000B5CE0"/>
    <w:rsid w:val="000B65A1"/>
    <w:rsid w:val="000B6CAC"/>
    <w:rsid w:val="000B70D8"/>
    <w:rsid w:val="000B7183"/>
    <w:rsid w:val="000B75B1"/>
    <w:rsid w:val="000B7612"/>
    <w:rsid w:val="000B77FE"/>
    <w:rsid w:val="000B78AE"/>
    <w:rsid w:val="000C0164"/>
    <w:rsid w:val="000C0242"/>
    <w:rsid w:val="000C07B0"/>
    <w:rsid w:val="000C0B2A"/>
    <w:rsid w:val="000C16D2"/>
    <w:rsid w:val="000C1DEF"/>
    <w:rsid w:val="000C1E5F"/>
    <w:rsid w:val="000C2296"/>
    <w:rsid w:val="000C267B"/>
    <w:rsid w:val="000C2ABE"/>
    <w:rsid w:val="000C3974"/>
    <w:rsid w:val="000C3DF9"/>
    <w:rsid w:val="000C3E0D"/>
    <w:rsid w:val="000C44A4"/>
    <w:rsid w:val="000C5160"/>
    <w:rsid w:val="000C6713"/>
    <w:rsid w:val="000C6C47"/>
    <w:rsid w:val="000C6E5B"/>
    <w:rsid w:val="000C70BF"/>
    <w:rsid w:val="000C7912"/>
    <w:rsid w:val="000C7FEC"/>
    <w:rsid w:val="000D0490"/>
    <w:rsid w:val="000D0515"/>
    <w:rsid w:val="000D0995"/>
    <w:rsid w:val="000D1597"/>
    <w:rsid w:val="000D1BFC"/>
    <w:rsid w:val="000D1D5D"/>
    <w:rsid w:val="000D281A"/>
    <w:rsid w:val="000D2848"/>
    <w:rsid w:val="000D3040"/>
    <w:rsid w:val="000D326A"/>
    <w:rsid w:val="000D32D4"/>
    <w:rsid w:val="000D33C6"/>
    <w:rsid w:val="000D3547"/>
    <w:rsid w:val="000D461C"/>
    <w:rsid w:val="000D4667"/>
    <w:rsid w:val="000D51FB"/>
    <w:rsid w:val="000D547E"/>
    <w:rsid w:val="000D57E7"/>
    <w:rsid w:val="000D5E55"/>
    <w:rsid w:val="000D6821"/>
    <w:rsid w:val="000D68A6"/>
    <w:rsid w:val="000D6A21"/>
    <w:rsid w:val="000D704E"/>
    <w:rsid w:val="000D7831"/>
    <w:rsid w:val="000E03A5"/>
    <w:rsid w:val="000E0640"/>
    <w:rsid w:val="000E1174"/>
    <w:rsid w:val="000E135D"/>
    <w:rsid w:val="000E18D1"/>
    <w:rsid w:val="000E2713"/>
    <w:rsid w:val="000E27D0"/>
    <w:rsid w:val="000E39AD"/>
    <w:rsid w:val="000E3A4B"/>
    <w:rsid w:val="000E3F66"/>
    <w:rsid w:val="000E5443"/>
    <w:rsid w:val="000E614B"/>
    <w:rsid w:val="000E68FE"/>
    <w:rsid w:val="000E6E79"/>
    <w:rsid w:val="000E6FBC"/>
    <w:rsid w:val="000E71AA"/>
    <w:rsid w:val="000E767D"/>
    <w:rsid w:val="000F00BA"/>
    <w:rsid w:val="000F00F7"/>
    <w:rsid w:val="000F09D1"/>
    <w:rsid w:val="000F16B2"/>
    <w:rsid w:val="000F1AE4"/>
    <w:rsid w:val="000F1F34"/>
    <w:rsid w:val="000F316A"/>
    <w:rsid w:val="000F3B31"/>
    <w:rsid w:val="000F3C74"/>
    <w:rsid w:val="000F3F34"/>
    <w:rsid w:val="000F4AB9"/>
    <w:rsid w:val="000F4B43"/>
    <w:rsid w:val="000F4BB8"/>
    <w:rsid w:val="000F4BE4"/>
    <w:rsid w:val="000F4EAB"/>
    <w:rsid w:val="000F4FA9"/>
    <w:rsid w:val="000F53FB"/>
    <w:rsid w:val="000F601D"/>
    <w:rsid w:val="000F610F"/>
    <w:rsid w:val="000F63EF"/>
    <w:rsid w:val="000F66B3"/>
    <w:rsid w:val="000F698B"/>
    <w:rsid w:val="000F7127"/>
    <w:rsid w:val="000F7739"/>
    <w:rsid w:val="000F785C"/>
    <w:rsid w:val="000F7A82"/>
    <w:rsid w:val="000F7B50"/>
    <w:rsid w:val="000F7B54"/>
    <w:rsid w:val="001001C6"/>
    <w:rsid w:val="0010072F"/>
    <w:rsid w:val="00100F8A"/>
    <w:rsid w:val="0010163C"/>
    <w:rsid w:val="0010191A"/>
    <w:rsid w:val="00102CA6"/>
    <w:rsid w:val="00102D11"/>
    <w:rsid w:val="0010303C"/>
    <w:rsid w:val="0010396D"/>
    <w:rsid w:val="00103CBA"/>
    <w:rsid w:val="0010452E"/>
    <w:rsid w:val="00104D4D"/>
    <w:rsid w:val="00105AE2"/>
    <w:rsid w:val="001060C6"/>
    <w:rsid w:val="00106B80"/>
    <w:rsid w:val="00107851"/>
    <w:rsid w:val="00107E2A"/>
    <w:rsid w:val="00107F15"/>
    <w:rsid w:val="00110088"/>
    <w:rsid w:val="0011023C"/>
    <w:rsid w:val="0011032E"/>
    <w:rsid w:val="00110A36"/>
    <w:rsid w:val="001119A2"/>
    <w:rsid w:val="001119F8"/>
    <w:rsid w:val="00111A0A"/>
    <w:rsid w:val="0011218F"/>
    <w:rsid w:val="00113194"/>
    <w:rsid w:val="0011348B"/>
    <w:rsid w:val="00113CCE"/>
    <w:rsid w:val="00114A21"/>
    <w:rsid w:val="00114CAF"/>
    <w:rsid w:val="00114E74"/>
    <w:rsid w:val="00115982"/>
    <w:rsid w:val="00115A2B"/>
    <w:rsid w:val="001162D1"/>
    <w:rsid w:val="001164C7"/>
    <w:rsid w:val="00116C53"/>
    <w:rsid w:val="001205F9"/>
    <w:rsid w:val="00120CE2"/>
    <w:rsid w:val="001211F9"/>
    <w:rsid w:val="001214D7"/>
    <w:rsid w:val="00121799"/>
    <w:rsid w:val="001222FC"/>
    <w:rsid w:val="00122458"/>
    <w:rsid w:val="0012259C"/>
    <w:rsid w:val="00122A94"/>
    <w:rsid w:val="0012313C"/>
    <w:rsid w:val="00123902"/>
    <w:rsid w:val="00123A44"/>
    <w:rsid w:val="00123CBC"/>
    <w:rsid w:val="001244AE"/>
    <w:rsid w:val="001245D5"/>
    <w:rsid w:val="00124A51"/>
    <w:rsid w:val="00126621"/>
    <w:rsid w:val="00126B1D"/>
    <w:rsid w:val="00127555"/>
    <w:rsid w:val="001301E9"/>
    <w:rsid w:val="001301FE"/>
    <w:rsid w:val="0013068E"/>
    <w:rsid w:val="001309F8"/>
    <w:rsid w:val="00131D82"/>
    <w:rsid w:val="00131E4F"/>
    <w:rsid w:val="00132119"/>
    <w:rsid w:val="00132608"/>
    <w:rsid w:val="00132B22"/>
    <w:rsid w:val="00133D36"/>
    <w:rsid w:val="001347C6"/>
    <w:rsid w:val="00134DDC"/>
    <w:rsid w:val="0013551A"/>
    <w:rsid w:val="001359C8"/>
    <w:rsid w:val="00135CED"/>
    <w:rsid w:val="00135FE4"/>
    <w:rsid w:val="00136016"/>
    <w:rsid w:val="00136DF8"/>
    <w:rsid w:val="00137645"/>
    <w:rsid w:val="0014015A"/>
    <w:rsid w:val="0014031E"/>
    <w:rsid w:val="001404C7"/>
    <w:rsid w:val="00140E99"/>
    <w:rsid w:val="00141135"/>
    <w:rsid w:val="0014127F"/>
    <w:rsid w:val="001414D7"/>
    <w:rsid w:val="00141CEB"/>
    <w:rsid w:val="001420E8"/>
    <w:rsid w:val="00142EE2"/>
    <w:rsid w:val="00142FCC"/>
    <w:rsid w:val="00143908"/>
    <w:rsid w:val="00143F67"/>
    <w:rsid w:val="001441CD"/>
    <w:rsid w:val="00144F71"/>
    <w:rsid w:val="00144FB5"/>
    <w:rsid w:val="00145540"/>
    <w:rsid w:val="001456B0"/>
    <w:rsid w:val="0014574D"/>
    <w:rsid w:val="0014669F"/>
    <w:rsid w:val="00146B86"/>
    <w:rsid w:val="00147116"/>
    <w:rsid w:val="00150146"/>
    <w:rsid w:val="00150D08"/>
    <w:rsid w:val="00151564"/>
    <w:rsid w:val="00151789"/>
    <w:rsid w:val="001517A1"/>
    <w:rsid w:val="001521B1"/>
    <w:rsid w:val="00152C0F"/>
    <w:rsid w:val="00152E59"/>
    <w:rsid w:val="00152FFC"/>
    <w:rsid w:val="00153971"/>
    <w:rsid w:val="00153BCF"/>
    <w:rsid w:val="00153C6E"/>
    <w:rsid w:val="00155147"/>
    <w:rsid w:val="0015525A"/>
    <w:rsid w:val="00156888"/>
    <w:rsid w:val="00156B18"/>
    <w:rsid w:val="00156EC9"/>
    <w:rsid w:val="00156F8F"/>
    <w:rsid w:val="00157130"/>
    <w:rsid w:val="001576B1"/>
    <w:rsid w:val="0016047B"/>
    <w:rsid w:val="00160A4C"/>
    <w:rsid w:val="00160C29"/>
    <w:rsid w:val="00160C6E"/>
    <w:rsid w:val="00160E37"/>
    <w:rsid w:val="001614BB"/>
    <w:rsid w:val="00161735"/>
    <w:rsid w:val="00161972"/>
    <w:rsid w:val="00162913"/>
    <w:rsid w:val="00162BC2"/>
    <w:rsid w:val="00162EC4"/>
    <w:rsid w:val="00163364"/>
    <w:rsid w:val="0016346B"/>
    <w:rsid w:val="00163DAB"/>
    <w:rsid w:val="00163EFF"/>
    <w:rsid w:val="00163F66"/>
    <w:rsid w:val="001657A0"/>
    <w:rsid w:val="00165AE8"/>
    <w:rsid w:val="00165D21"/>
    <w:rsid w:val="001661FB"/>
    <w:rsid w:val="00166424"/>
    <w:rsid w:val="00166ADB"/>
    <w:rsid w:val="001671A0"/>
    <w:rsid w:val="001673AB"/>
    <w:rsid w:val="0016767F"/>
    <w:rsid w:val="00170CD4"/>
    <w:rsid w:val="00170D9F"/>
    <w:rsid w:val="00171326"/>
    <w:rsid w:val="00171BF9"/>
    <w:rsid w:val="001722E9"/>
    <w:rsid w:val="001727FD"/>
    <w:rsid w:val="00173565"/>
    <w:rsid w:val="0017360E"/>
    <w:rsid w:val="00173B07"/>
    <w:rsid w:val="00174344"/>
    <w:rsid w:val="00174621"/>
    <w:rsid w:val="00174D21"/>
    <w:rsid w:val="00175031"/>
    <w:rsid w:val="001750B4"/>
    <w:rsid w:val="001751FA"/>
    <w:rsid w:val="001754E8"/>
    <w:rsid w:val="0017684F"/>
    <w:rsid w:val="00176AE8"/>
    <w:rsid w:val="00177520"/>
    <w:rsid w:val="001776EA"/>
    <w:rsid w:val="001777A4"/>
    <w:rsid w:val="001778E4"/>
    <w:rsid w:val="00177D8B"/>
    <w:rsid w:val="001807F2"/>
    <w:rsid w:val="00180BF1"/>
    <w:rsid w:val="00180D3F"/>
    <w:rsid w:val="00181647"/>
    <w:rsid w:val="00181B8F"/>
    <w:rsid w:val="00181CFE"/>
    <w:rsid w:val="00181D9C"/>
    <w:rsid w:val="00181F52"/>
    <w:rsid w:val="001825CF"/>
    <w:rsid w:val="00182B1C"/>
    <w:rsid w:val="00183595"/>
    <w:rsid w:val="00183801"/>
    <w:rsid w:val="001840A2"/>
    <w:rsid w:val="00184B0E"/>
    <w:rsid w:val="00185489"/>
    <w:rsid w:val="00185521"/>
    <w:rsid w:val="00186AB0"/>
    <w:rsid w:val="0018752F"/>
    <w:rsid w:val="0019034A"/>
    <w:rsid w:val="0019037B"/>
    <w:rsid w:val="00190637"/>
    <w:rsid w:val="00190E34"/>
    <w:rsid w:val="00192F49"/>
    <w:rsid w:val="00192F7C"/>
    <w:rsid w:val="00192FCC"/>
    <w:rsid w:val="00193205"/>
    <w:rsid w:val="00193444"/>
    <w:rsid w:val="001934BC"/>
    <w:rsid w:val="00193838"/>
    <w:rsid w:val="00193E7C"/>
    <w:rsid w:val="00194AD8"/>
    <w:rsid w:val="00194D53"/>
    <w:rsid w:val="00195222"/>
    <w:rsid w:val="00195767"/>
    <w:rsid w:val="00195A98"/>
    <w:rsid w:val="0019617F"/>
    <w:rsid w:val="0019687A"/>
    <w:rsid w:val="00196B6B"/>
    <w:rsid w:val="001975D6"/>
    <w:rsid w:val="001975D8"/>
    <w:rsid w:val="00197E97"/>
    <w:rsid w:val="00197F79"/>
    <w:rsid w:val="001A01FE"/>
    <w:rsid w:val="001A05E1"/>
    <w:rsid w:val="001A0750"/>
    <w:rsid w:val="001A08D1"/>
    <w:rsid w:val="001A1257"/>
    <w:rsid w:val="001A1756"/>
    <w:rsid w:val="001A178E"/>
    <w:rsid w:val="001A1BBB"/>
    <w:rsid w:val="001A1E39"/>
    <w:rsid w:val="001A22CF"/>
    <w:rsid w:val="001A2C67"/>
    <w:rsid w:val="001A37FC"/>
    <w:rsid w:val="001A4170"/>
    <w:rsid w:val="001A4308"/>
    <w:rsid w:val="001A43FA"/>
    <w:rsid w:val="001A47C5"/>
    <w:rsid w:val="001A48EC"/>
    <w:rsid w:val="001A509F"/>
    <w:rsid w:val="001A50FB"/>
    <w:rsid w:val="001A54C3"/>
    <w:rsid w:val="001A5667"/>
    <w:rsid w:val="001A5757"/>
    <w:rsid w:val="001A59FB"/>
    <w:rsid w:val="001A5E9E"/>
    <w:rsid w:val="001A5F02"/>
    <w:rsid w:val="001A6200"/>
    <w:rsid w:val="001A6354"/>
    <w:rsid w:val="001A6366"/>
    <w:rsid w:val="001A6920"/>
    <w:rsid w:val="001A6BA2"/>
    <w:rsid w:val="001A7AE8"/>
    <w:rsid w:val="001B040F"/>
    <w:rsid w:val="001B0429"/>
    <w:rsid w:val="001B1B3B"/>
    <w:rsid w:val="001B1BBF"/>
    <w:rsid w:val="001B1DD1"/>
    <w:rsid w:val="001B204E"/>
    <w:rsid w:val="001B2372"/>
    <w:rsid w:val="001B2D17"/>
    <w:rsid w:val="001B3443"/>
    <w:rsid w:val="001B34A0"/>
    <w:rsid w:val="001B359E"/>
    <w:rsid w:val="001B3669"/>
    <w:rsid w:val="001B3720"/>
    <w:rsid w:val="001B3B60"/>
    <w:rsid w:val="001B3E52"/>
    <w:rsid w:val="001B44AA"/>
    <w:rsid w:val="001B49E1"/>
    <w:rsid w:val="001B4D20"/>
    <w:rsid w:val="001B4E98"/>
    <w:rsid w:val="001B503C"/>
    <w:rsid w:val="001B5DAB"/>
    <w:rsid w:val="001B7089"/>
    <w:rsid w:val="001B7A62"/>
    <w:rsid w:val="001B7BA4"/>
    <w:rsid w:val="001C0DA1"/>
    <w:rsid w:val="001C12D8"/>
    <w:rsid w:val="001C1B22"/>
    <w:rsid w:val="001C1C5F"/>
    <w:rsid w:val="001C2279"/>
    <w:rsid w:val="001C25F0"/>
    <w:rsid w:val="001C2A9B"/>
    <w:rsid w:val="001C2B03"/>
    <w:rsid w:val="001C2DC9"/>
    <w:rsid w:val="001C2F11"/>
    <w:rsid w:val="001C3457"/>
    <w:rsid w:val="001C3505"/>
    <w:rsid w:val="001C35C9"/>
    <w:rsid w:val="001C3E76"/>
    <w:rsid w:val="001C4079"/>
    <w:rsid w:val="001C4299"/>
    <w:rsid w:val="001C4857"/>
    <w:rsid w:val="001C4874"/>
    <w:rsid w:val="001C4DC3"/>
    <w:rsid w:val="001C5357"/>
    <w:rsid w:val="001C5F94"/>
    <w:rsid w:val="001C6506"/>
    <w:rsid w:val="001C6574"/>
    <w:rsid w:val="001C6861"/>
    <w:rsid w:val="001C6E66"/>
    <w:rsid w:val="001D1095"/>
    <w:rsid w:val="001D1100"/>
    <w:rsid w:val="001D1391"/>
    <w:rsid w:val="001D1780"/>
    <w:rsid w:val="001D2130"/>
    <w:rsid w:val="001D21FB"/>
    <w:rsid w:val="001D25D7"/>
    <w:rsid w:val="001D2F1D"/>
    <w:rsid w:val="001D34C9"/>
    <w:rsid w:val="001D387A"/>
    <w:rsid w:val="001D3FCE"/>
    <w:rsid w:val="001D4348"/>
    <w:rsid w:val="001D4430"/>
    <w:rsid w:val="001D4EF5"/>
    <w:rsid w:val="001D50B2"/>
    <w:rsid w:val="001D5111"/>
    <w:rsid w:val="001D51AB"/>
    <w:rsid w:val="001D5A37"/>
    <w:rsid w:val="001D5AA7"/>
    <w:rsid w:val="001D6C39"/>
    <w:rsid w:val="001D7255"/>
    <w:rsid w:val="001D7645"/>
    <w:rsid w:val="001E0695"/>
    <w:rsid w:val="001E0DC8"/>
    <w:rsid w:val="001E1E86"/>
    <w:rsid w:val="001E238E"/>
    <w:rsid w:val="001E2483"/>
    <w:rsid w:val="001E2542"/>
    <w:rsid w:val="001E2610"/>
    <w:rsid w:val="001E2B1E"/>
    <w:rsid w:val="001E2CFF"/>
    <w:rsid w:val="001E2D20"/>
    <w:rsid w:val="001E2F24"/>
    <w:rsid w:val="001E30D4"/>
    <w:rsid w:val="001E34DF"/>
    <w:rsid w:val="001E4290"/>
    <w:rsid w:val="001E49D5"/>
    <w:rsid w:val="001E4BD1"/>
    <w:rsid w:val="001E4D37"/>
    <w:rsid w:val="001E52EB"/>
    <w:rsid w:val="001E56F2"/>
    <w:rsid w:val="001E56FE"/>
    <w:rsid w:val="001E6189"/>
    <w:rsid w:val="001E61D2"/>
    <w:rsid w:val="001E6F1A"/>
    <w:rsid w:val="001E70AC"/>
    <w:rsid w:val="001E715B"/>
    <w:rsid w:val="001E72AF"/>
    <w:rsid w:val="001E740C"/>
    <w:rsid w:val="001E7472"/>
    <w:rsid w:val="001E76A7"/>
    <w:rsid w:val="001E7D46"/>
    <w:rsid w:val="001F0330"/>
    <w:rsid w:val="001F037E"/>
    <w:rsid w:val="001F051B"/>
    <w:rsid w:val="001F1235"/>
    <w:rsid w:val="001F15E2"/>
    <w:rsid w:val="001F1CB3"/>
    <w:rsid w:val="001F1DE1"/>
    <w:rsid w:val="001F281D"/>
    <w:rsid w:val="001F29CE"/>
    <w:rsid w:val="001F31B0"/>
    <w:rsid w:val="001F326D"/>
    <w:rsid w:val="001F3542"/>
    <w:rsid w:val="001F38B5"/>
    <w:rsid w:val="001F3F6E"/>
    <w:rsid w:val="001F4081"/>
    <w:rsid w:val="001F41A0"/>
    <w:rsid w:val="001F4B6E"/>
    <w:rsid w:val="001F4C5A"/>
    <w:rsid w:val="001F5129"/>
    <w:rsid w:val="001F5A62"/>
    <w:rsid w:val="001F5E22"/>
    <w:rsid w:val="001F6C44"/>
    <w:rsid w:val="001F7361"/>
    <w:rsid w:val="001F74B0"/>
    <w:rsid w:val="00200569"/>
    <w:rsid w:val="002007AB"/>
    <w:rsid w:val="00200EF8"/>
    <w:rsid w:val="002011B0"/>
    <w:rsid w:val="002012D0"/>
    <w:rsid w:val="00201F4E"/>
    <w:rsid w:val="002025F2"/>
    <w:rsid w:val="00202DDE"/>
    <w:rsid w:val="00203007"/>
    <w:rsid w:val="00203181"/>
    <w:rsid w:val="00203783"/>
    <w:rsid w:val="0020385F"/>
    <w:rsid w:val="00203B07"/>
    <w:rsid w:val="00203E5F"/>
    <w:rsid w:val="0020420A"/>
    <w:rsid w:val="002047CB"/>
    <w:rsid w:val="00204AB8"/>
    <w:rsid w:val="002050F6"/>
    <w:rsid w:val="00205150"/>
    <w:rsid w:val="0020562A"/>
    <w:rsid w:val="00205B5F"/>
    <w:rsid w:val="00205B63"/>
    <w:rsid w:val="0020666E"/>
    <w:rsid w:val="00206772"/>
    <w:rsid w:val="002068A0"/>
    <w:rsid w:val="002069A7"/>
    <w:rsid w:val="00207021"/>
    <w:rsid w:val="0020732F"/>
    <w:rsid w:val="00207479"/>
    <w:rsid w:val="00207D00"/>
    <w:rsid w:val="002105C1"/>
    <w:rsid w:val="00211028"/>
    <w:rsid w:val="00211034"/>
    <w:rsid w:val="0021114D"/>
    <w:rsid w:val="002112FC"/>
    <w:rsid w:val="00211762"/>
    <w:rsid w:val="00213EF5"/>
    <w:rsid w:val="00214158"/>
    <w:rsid w:val="00214178"/>
    <w:rsid w:val="00215102"/>
    <w:rsid w:val="00215319"/>
    <w:rsid w:val="002156D4"/>
    <w:rsid w:val="00216833"/>
    <w:rsid w:val="00216B0F"/>
    <w:rsid w:val="00216BF5"/>
    <w:rsid w:val="00216CB3"/>
    <w:rsid w:val="00216F3A"/>
    <w:rsid w:val="00217424"/>
    <w:rsid w:val="00217D2F"/>
    <w:rsid w:val="00217F5D"/>
    <w:rsid w:val="0022072D"/>
    <w:rsid w:val="00220B53"/>
    <w:rsid w:val="0022190C"/>
    <w:rsid w:val="00222149"/>
    <w:rsid w:val="00222A09"/>
    <w:rsid w:val="00222AC8"/>
    <w:rsid w:val="0022334D"/>
    <w:rsid w:val="00223A29"/>
    <w:rsid w:val="00223B49"/>
    <w:rsid w:val="00223D5A"/>
    <w:rsid w:val="00223EFE"/>
    <w:rsid w:val="00224DD4"/>
    <w:rsid w:val="00224F39"/>
    <w:rsid w:val="00225176"/>
    <w:rsid w:val="00225543"/>
    <w:rsid w:val="00225D23"/>
    <w:rsid w:val="0022677F"/>
    <w:rsid w:val="00226F0C"/>
    <w:rsid w:val="002271A5"/>
    <w:rsid w:val="002273E7"/>
    <w:rsid w:val="002278A0"/>
    <w:rsid w:val="0023097F"/>
    <w:rsid w:val="002309CC"/>
    <w:rsid w:val="00230DB1"/>
    <w:rsid w:val="0023146F"/>
    <w:rsid w:val="002316F9"/>
    <w:rsid w:val="0023209F"/>
    <w:rsid w:val="00233C01"/>
    <w:rsid w:val="0023413C"/>
    <w:rsid w:val="002343F5"/>
    <w:rsid w:val="002346F0"/>
    <w:rsid w:val="00234D91"/>
    <w:rsid w:val="00234EE0"/>
    <w:rsid w:val="00235FD3"/>
    <w:rsid w:val="0023629D"/>
    <w:rsid w:val="00236AC6"/>
    <w:rsid w:val="00237255"/>
    <w:rsid w:val="00237546"/>
    <w:rsid w:val="0023778D"/>
    <w:rsid w:val="002378E6"/>
    <w:rsid w:val="00237A44"/>
    <w:rsid w:val="00237F17"/>
    <w:rsid w:val="00240EEA"/>
    <w:rsid w:val="00240FB8"/>
    <w:rsid w:val="002411EA"/>
    <w:rsid w:val="002412FC"/>
    <w:rsid w:val="00241351"/>
    <w:rsid w:val="00241A32"/>
    <w:rsid w:val="002424AF"/>
    <w:rsid w:val="00243174"/>
    <w:rsid w:val="002432F8"/>
    <w:rsid w:val="00243310"/>
    <w:rsid w:val="002435F2"/>
    <w:rsid w:val="002439DC"/>
    <w:rsid w:val="00243AA3"/>
    <w:rsid w:val="00243B9D"/>
    <w:rsid w:val="002441D2"/>
    <w:rsid w:val="0024441A"/>
    <w:rsid w:val="00244454"/>
    <w:rsid w:val="00244A6E"/>
    <w:rsid w:val="00244C9C"/>
    <w:rsid w:val="00244D3A"/>
    <w:rsid w:val="00244DC8"/>
    <w:rsid w:val="00245033"/>
    <w:rsid w:val="002458BA"/>
    <w:rsid w:val="00245B8F"/>
    <w:rsid w:val="00245CE9"/>
    <w:rsid w:val="0024602A"/>
    <w:rsid w:val="002460CF"/>
    <w:rsid w:val="0024624E"/>
    <w:rsid w:val="0024636C"/>
    <w:rsid w:val="00246676"/>
    <w:rsid w:val="002466AC"/>
    <w:rsid w:val="00246724"/>
    <w:rsid w:val="00246DDC"/>
    <w:rsid w:val="0024711A"/>
    <w:rsid w:val="00247925"/>
    <w:rsid w:val="00250001"/>
    <w:rsid w:val="002500D7"/>
    <w:rsid w:val="002508D3"/>
    <w:rsid w:val="00251006"/>
    <w:rsid w:val="002524D5"/>
    <w:rsid w:val="00252753"/>
    <w:rsid w:val="0025303D"/>
    <w:rsid w:val="00253B1D"/>
    <w:rsid w:val="002546A0"/>
    <w:rsid w:val="002547C4"/>
    <w:rsid w:val="002547E4"/>
    <w:rsid w:val="00254DCF"/>
    <w:rsid w:val="0025534B"/>
    <w:rsid w:val="00255BB7"/>
    <w:rsid w:val="00255CDF"/>
    <w:rsid w:val="0025701C"/>
    <w:rsid w:val="00257100"/>
    <w:rsid w:val="00257541"/>
    <w:rsid w:val="00257A39"/>
    <w:rsid w:val="00257AC4"/>
    <w:rsid w:val="00260778"/>
    <w:rsid w:val="00261EEF"/>
    <w:rsid w:val="002626E5"/>
    <w:rsid w:val="00262A1A"/>
    <w:rsid w:val="00262A87"/>
    <w:rsid w:val="002638DE"/>
    <w:rsid w:val="00263ACB"/>
    <w:rsid w:val="002643BC"/>
    <w:rsid w:val="002643CB"/>
    <w:rsid w:val="00264861"/>
    <w:rsid w:val="00264D26"/>
    <w:rsid w:val="002655E2"/>
    <w:rsid w:val="0026574E"/>
    <w:rsid w:val="002662D3"/>
    <w:rsid w:val="00266843"/>
    <w:rsid w:val="00267642"/>
    <w:rsid w:val="00267AEA"/>
    <w:rsid w:val="00267CDF"/>
    <w:rsid w:val="00267D19"/>
    <w:rsid w:val="002700E6"/>
    <w:rsid w:val="00270CED"/>
    <w:rsid w:val="00271105"/>
    <w:rsid w:val="00271129"/>
    <w:rsid w:val="002711B7"/>
    <w:rsid w:val="002720E3"/>
    <w:rsid w:val="00272417"/>
    <w:rsid w:val="0027294B"/>
    <w:rsid w:val="00272A7B"/>
    <w:rsid w:val="00272CFC"/>
    <w:rsid w:val="00273699"/>
    <w:rsid w:val="00273E6A"/>
    <w:rsid w:val="00273EB4"/>
    <w:rsid w:val="002742BC"/>
    <w:rsid w:val="00274682"/>
    <w:rsid w:val="00274939"/>
    <w:rsid w:val="00274B14"/>
    <w:rsid w:val="00274D09"/>
    <w:rsid w:val="00274FEE"/>
    <w:rsid w:val="002750D3"/>
    <w:rsid w:val="00275A7D"/>
    <w:rsid w:val="00275C5A"/>
    <w:rsid w:val="0027662A"/>
    <w:rsid w:val="00276903"/>
    <w:rsid w:val="00276E21"/>
    <w:rsid w:val="00277807"/>
    <w:rsid w:val="00277D9A"/>
    <w:rsid w:val="00280182"/>
    <w:rsid w:val="00280302"/>
    <w:rsid w:val="00280377"/>
    <w:rsid w:val="00280651"/>
    <w:rsid w:val="00281014"/>
    <w:rsid w:val="002810BC"/>
    <w:rsid w:val="00281116"/>
    <w:rsid w:val="002813B2"/>
    <w:rsid w:val="002815D9"/>
    <w:rsid w:val="00281CD0"/>
    <w:rsid w:val="00281CD2"/>
    <w:rsid w:val="00282071"/>
    <w:rsid w:val="00282445"/>
    <w:rsid w:val="00282570"/>
    <w:rsid w:val="00283858"/>
    <w:rsid w:val="0028393C"/>
    <w:rsid w:val="00284A2A"/>
    <w:rsid w:val="00285EBA"/>
    <w:rsid w:val="0028665D"/>
    <w:rsid w:val="002873A4"/>
    <w:rsid w:val="00287CAC"/>
    <w:rsid w:val="00287D56"/>
    <w:rsid w:val="00290294"/>
    <w:rsid w:val="00290A6D"/>
    <w:rsid w:val="00290BD4"/>
    <w:rsid w:val="00291AA7"/>
    <w:rsid w:val="002925FD"/>
    <w:rsid w:val="00292E35"/>
    <w:rsid w:val="00293D33"/>
    <w:rsid w:val="00293D81"/>
    <w:rsid w:val="00293F12"/>
    <w:rsid w:val="002940E9"/>
    <w:rsid w:val="00294C03"/>
    <w:rsid w:val="00294FF8"/>
    <w:rsid w:val="00296B1A"/>
    <w:rsid w:val="002A048B"/>
    <w:rsid w:val="002A08A7"/>
    <w:rsid w:val="002A0C8F"/>
    <w:rsid w:val="002A14AB"/>
    <w:rsid w:val="002A1B68"/>
    <w:rsid w:val="002A1BE0"/>
    <w:rsid w:val="002A2801"/>
    <w:rsid w:val="002A2ADE"/>
    <w:rsid w:val="002A2AF5"/>
    <w:rsid w:val="002A2BA3"/>
    <w:rsid w:val="002A2F50"/>
    <w:rsid w:val="002A49CF"/>
    <w:rsid w:val="002A583B"/>
    <w:rsid w:val="002A6985"/>
    <w:rsid w:val="002B016B"/>
    <w:rsid w:val="002B028C"/>
    <w:rsid w:val="002B05A1"/>
    <w:rsid w:val="002B09A4"/>
    <w:rsid w:val="002B1782"/>
    <w:rsid w:val="002B1C1F"/>
    <w:rsid w:val="002B1E21"/>
    <w:rsid w:val="002B245C"/>
    <w:rsid w:val="002B2FA4"/>
    <w:rsid w:val="002B3AE3"/>
    <w:rsid w:val="002B432F"/>
    <w:rsid w:val="002B49E2"/>
    <w:rsid w:val="002B4BA1"/>
    <w:rsid w:val="002B4C6B"/>
    <w:rsid w:val="002B50F9"/>
    <w:rsid w:val="002B55E1"/>
    <w:rsid w:val="002B55FA"/>
    <w:rsid w:val="002B5773"/>
    <w:rsid w:val="002B5C92"/>
    <w:rsid w:val="002B62B3"/>
    <w:rsid w:val="002B6336"/>
    <w:rsid w:val="002B6754"/>
    <w:rsid w:val="002B6CCE"/>
    <w:rsid w:val="002B7A87"/>
    <w:rsid w:val="002B7F56"/>
    <w:rsid w:val="002C001A"/>
    <w:rsid w:val="002C0513"/>
    <w:rsid w:val="002C0950"/>
    <w:rsid w:val="002C096A"/>
    <w:rsid w:val="002C2199"/>
    <w:rsid w:val="002C2510"/>
    <w:rsid w:val="002C2775"/>
    <w:rsid w:val="002C27C1"/>
    <w:rsid w:val="002C2D0D"/>
    <w:rsid w:val="002C34B7"/>
    <w:rsid w:val="002C3ECB"/>
    <w:rsid w:val="002C4096"/>
    <w:rsid w:val="002C5099"/>
    <w:rsid w:val="002C540D"/>
    <w:rsid w:val="002C5889"/>
    <w:rsid w:val="002C6AE8"/>
    <w:rsid w:val="002C6AEF"/>
    <w:rsid w:val="002C71CE"/>
    <w:rsid w:val="002C7BB8"/>
    <w:rsid w:val="002D0065"/>
    <w:rsid w:val="002D01F5"/>
    <w:rsid w:val="002D08F8"/>
    <w:rsid w:val="002D1D62"/>
    <w:rsid w:val="002D38DB"/>
    <w:rsid w:val="002D38E8"/>
    <w:rsid w:val="002D3AB5"/>
    <w:rsid w:val="002D3ABE"/>
    <w:rsid w:val="002D3BE0"/>
    <w:rsid w:val="002D4D48"/>
    <w:rsid w:val="002D4DBA"/>
    <w:rsid w:val="002D53EE"/>
    <w:rsid w:val="002D577C"/>
    <w:rsid w:val="002D6596"/>
    <w:rsid w:val="002D6BDC"/>
    <w:rsid w:val="002D75F4"/>
    <w:rsid w:val="002E015B"/>
    <w:rsid w:val="002E0A80"/>
    <w:rsid w:val="002E0ABD"/>
    <w:rsid w:val="002E1071"/>
    <w:rsid w:val="002E1490"/>
    <w:rsid w:val="002E15B9"/>
    <w:rsid w:val="002E1B69"/>
    <w:rsid w:val="002E1C4E"/>
    <w:rsid w:val="002E2158"/>
    <w:rsid w:val="002E26DD"/>
    <w:rsid w:val="002E30BB"/>
    <w:rsid w:val="002E3700"/>
    <w:rsid w:val="002E3C7F"/>
    <w:rsid w:val="002E4556"/>
    <w:rsid w:val="002E46DD"/>
    <w:rsid w:val="002E4D2D"/>
    <w:rsid w:val="002E4F02"/>
    <w:rsid w:val="002E4FEA"/>
    <w:rsid w:val="002E5708"/>
    <w:rsid w:val="002E592D"/>
    <w:rsid w:val="002E73DB"/>
    <w:rsid w:val="002E76A6"/>
    <w:rsid w:val="002E7722"/>
    <w:rsid w:val="002F0170"/>
    <w:rsid w:val="002F07BA"/>
    <w:rsid w:val="002F0DA9"/>
    <w:rsid w:val="002F0DF4"/>
    <w:rsid w:val="002F1014"/>
    <w:rsid w:val="002F14DC"/>
    <w:rsid w:val="002F181E"/>
    <w:rsid w:val="002F400C"/>
    <w:rsid w:val="002F4467"/>
    <w:rsid w:val="002F4514"/>
    <w:rsid w:val="002F4579"/>
    <w:rsid w:val="002F460D"/>
    <w:rsid w:val="002F5589"/>
    <w:rsid w:val="002F643C"/>
    <w:rsid w:val="002F65C4"/>
    <w:rsid w:val="002F708C"/>
    <w:rsid w:val="002F71C0"/>
    <w:rsid w:val="002F71EE"/>
    <w:rsid w:val="002F74F1"/>
    <w:rsid w:val="002F7BE1"/>
    <w:rsid w:val="0030026C"/>
    <w:rsid w:val="0030049C"/>
    <w:rsid w:val="00301017"/>
    <w:rsid w:val="0030155F"/>
    <w:rsid w:val="003016D5"/>
    <w:rsid w:val="00301869"/>
    <w:rsid w:val="00301BDF"/>
    <w:rsid w:val="00302EAD"/>
    <w:rsid w:val="00303BC9"/>
    <w:rsid w:val="00303EE9"/>
    <w:rsid w:val="00304121"/>
    <w:rsid w:val="003047FD"/>
    <w:rsid w:val="00305353"/>
    <w:rsid w:val="0030587B"/>
    <w:rsid w:val="003059A1"/>
    <w:rsid w:val="00305CCA"/>
    <w:rsid w:val="00305D7A"/>
    <w:rsid w:val="00306CEC"/>
    <w:rsid w:val="00306D98"/>
    <w:rsid w:val="00306F97"/>
    <w:rsid w:val="0030700A"/>
    <w:rsid w:val="0030772F"/>
    <w:rsid w:val="0030786C"/>
    <w:rsid w:val="0031031A"/>
    <w:rsid w:val="003104B3"/>
    <w:rsid w:val="00310784"/>
    <w:rsid w:val="00310981"/>
    <w:rsid w:val="00310CDD"/>
    <w:rsid w:val="0031148B"/>
    <w:rsid w:val="00311AA0"/>
    <w:rsid w:val="00311AF3"/>
    <w:rsid w:val="00311D25"/>
    <w:rsid w:val="003124D9"/>
    <w:rsid w:val="00312594"/>
    <w:rsid w:val="003128D4"/>
    <w:rsid w:val="00313BE7"/>
    <w:rsid w:val="00315498"/>
    <w:rsid w:val="00315DBF"/>
    <w:rsid w:val="003160C6"/>
    <w:rsid w:val="00316274"/>
    <w:rsid w:val="00316474"/>
    <w:rsid w:val="00320BDB"/>
    <w:rsid w:val="0032189A"/>
    <w:rsid w:val="00322107"/>
    <w:rsid w:val="00322355"/>
    <w:rsid w:val="00322846"/>
    <w:rsid w:val="00322C1E"/>
    <w:rsid w:val="00322C4B"/>
    <w:rsid w:val="00322D57"/>
    <w:rsid w:val="00322DF0"/>
    <w:rsid w:val="00322E9F"/>
    <w:rsid w:val="00322F09"/>
    <w:rsid w:val="00323163"/>
    <w:rsid w:val="00323304"/>
    <w:rsid w:val="00323719"/>
    <w:rsid w:val="00323DE9"/>
    <w:rsid w:val="003241FF"/>
    <w:rsid w:val="003255A5"/>
    <w:rsid w:val="00325CC3"/>
    <w:rsid w:val="003262AC"/>
    <w:rsid w:val="00326348"/>
    <w:rsid w:val="00326504"/>
    <w:rsid w:val="00326DA7"/>
    <w:rsid w:val="00326F1B"/>
    <w:rsid w:val="00326FE0"/>
    <w:rsid w:val="003270E4"/>
    <w:rsid w:val="003276E8"/>
    <w:rsid w:val="00330663"/>
    <w:rsid w:val="00330C60"/>
    <w:rsid w:val="00330DAA"/>
    <w:rsid w:val="00330F5C"/>
    <w:rsid w:val="003315DE"/>
    <w:rsid w:val="00331FE8"/>
    <w:rsid w:val="0033236F"/>
    <w:rsid w:val="003326AE"/>
    <w:rsid w:val="00332720"/>
    <w:rsid w:val="00332DC8"/>
    <w:rsid w:val="00332E70"/>
    <w:rsid w:val="0033393E"/>
    <w:rsid w:val="00333A5F"/>
    <w:rsid w:val="00333D95"/>
    <w:rsid w:val="00333E55"/>
    <w:rsid w:val="003342AE"/>
    <w:rsid w:val="00335361"/>
    <w:rsid w:val="0033644F"/>
    <w:rsid w:val="003366C3"/>
    <w:rsid w:val="003366C9"/>
    <w:rsid w:val="003367D7"/>
    <w:rsid w:val="0033682D"/>
    <w:rsid w:val="00336A4C"/>
    <w:rsid w:val="00336C74"/>
    <w:rsid w:val="003371B0"/>
    <w:rsid w:val="003377D2"/>
    <w:rsid w:val="003401D3"/>
    <w:rsid w:val="00340BE7"/>
    <w:rsid w:val="00340DF1"/>
    <w:rsid w:val="00340DFA"/>
    <w:rsid w:val="0034115E"/>
    <w:rsid w:val="0034163D"/>
    <w:rsid w:val="003416AB"/>
    <w:rsid w:val="0034170E"/>
    <w:rsid w:val="00341DEF"/>
    <w:rsid w:val="0034264F"/>
    <w:rsid w:val="00342CDB"/>
    <w:rsid w:val="00343294"/>
    <w:rsid w:val="0034368B"/>
    <w:rsid w:val="003438CF"/>
    <w:rsid w:val="00343922"/>
    <w:rsid w:val="00344C83"/>
    <w:rsid w:val="00344CA4"/>
    <w:rsid w:val="00345085"/>
    <w:rsid w:val="00345E4B"/>
    <w:rsid w:val="003462E3"/>
    <w:rsid w:val="003467AB"/>
    <w:rsid w:val="00346E7E"/>
    <w:rsid w:val="0034763E"/>
    <w:rsid w:val="003476C2"/>
    <w:rsid w:val="00347C98"/>
    <w:rsid w:val="003501EE"/>
    <w:rsid w:val="003513EE"/>
    <w:rsid w:val="003517F9"/>
    <w:rsid w:val="0035184C"/>
    <w:rsid w:val="00351BA9"/>
    <w:rsid w:val="00351EA8"/>
    <w:rsid w:val="00351F87"/>
    <w:rsid w:val="003523D1"/>
    <w:rsid w:val="003526BA"/>
    <w:rsid w:val="00352B0D"/>
    <w:rsid w:val="00352C69"/>
    <w:rsid w:val="00353016"/>
    <w:rsid w:val="00353038"/>
    <w:rsid w:val="00354A2F"/>
    <w:rsid w:val="00354F64"/>
    <w:rsid w:val="00355342"/>
    <w:rsid w:val="003560D6"/>
    <w:rsid w:val="0035620E"/>
    <w:rsid w:val="0035662D"/>
    <w:rsid w:val="00356A45"/>
    <w:rsid w:val="003573B5"/>
    <w:rsid w:val="003579A8"/>
    <w:rsid w:val="00357FC4"/>
    <w:rsid w:val="00360345"/>
    <w:rsid w:val="00360FF6"/>
    <w:rsid w:val="00360FF9"/>
    <w:rsid w:val="0036129B"/>
    <w:rsid w:val="00361A05"/>
    <w:rsid w:val="003624C4"/>
    <w:rsid w:val="00362773"/>
    <w:rsid w:val="00362ABD"/>
    <w:rsid w:val="00362AC5"/>
    <w:rsid w:val="003630CC"/>
    <w:rsid w:val="003637D9"/>
    <w:rsid w:val="00363B00"/>
    <w:rsid w:val="00363E7C"/>
    <w:rsid w:val="003644E8"/>
    <w:rsid w:val="0036465D"/>
    <w:rsid w:val="003654AC"/>
    <w:rsid w:val="0036603E"/>
    <w:rsid w:val="0036645C"/>
    <w:rsid w:val="00367291"/>
    <w:rsid w:val="00367788"/>
    <w:rsid w:val="0037003C"/>
    <w:rsid w:val="00370094"/>
    <w:rsid w:val="00370E38"/>
    <w:rsid w:val="003710CF"/>
    <w:rsid w:val="0037150D"/>
    <w:rsid w:val="0037178A"/>
    <w:rsid w:val="00371C98"/>
    <w:rsid w:val="00372F3F"/>
    <w:rsid w:val="0037358A"/>
    <w:rsid w:val="003750F6"/>
    <w:rsid w:val="003756B8"/>
    <w:rsid w:val="00375EB4"/>
    <w:rsid w:val="003760FC"/>
    <w:rsid w:val="0037662B"/>
    <w:rsid w:val="00376748"/>
    <w:rsid w:val="0037677D"/>
    <w:rsid w:val="00376896"/>
    <w:rsid w:val="00376E58"/>
    <w:rsid w:val="00377A40"/>
    <w:rsid w:val="003803D9"/>
    <w:rsid w:val="00380BA7"/>
    <w:rsid w:val="00380D99"/>
    <w:rsid w:val="0038365C"/>
    <w:rsid w:val="0038369B"/>
    <w:rsid w:val="00383B78"/>
    <w:rsid w:val="00383C11"/>
    <w:rsid w:val="00384A5F"/>
    <w:rsid w:val="003858C3"/>
    <w:rsid w:val="00385A9D"/>
    <w:rsid w:val="00385B3C"/>
    <w:rsid w:val="00386117"/>
    <w:rsid w:val="00386863"/>
    <w:rsid w:val="00386F4D"/>
    <w:rsid w:val="003872B5"/>
    <w:rsid w:val="0038744C"/>
    <w:rsid w:val="00387C70"/>
    <w:rsid w:val="00387D93"/>
    <w:rsid w:val="003902B1"/>
    <w:rsid w:val="0039128C"/>
    <w:rsid w:val="0039179C"/>
    <w:rsid w:val="0039185C"/>
    <w:rsid w:val="00391BAD"/>
    <w:rsid w:val="00392204"/>
    <w:rsid w:val="0039265F"/>
    <w:rsid w:val="00392E86"/>
    <w:rsid w:val="00393506"/>
    <w:rsid w:val="00393A71"/>
    <w:rsid w:val="00394D4B"/>
    <w:rsid w:val="00394DB2"/>
    <w:rsid w:val="00395EF5"/>
    <w:rsid w:val="003960FD"/>
    <w:rsid w:val="00396896"/>
    <w:rsid w:val="00396E96"/>
    <w:rsid w:val="00396FD0"/>
    <w:rsid w:val="00397043"/>
    <w:rsid w:val="00397EB0"/>
    <w:rsid w:val="003A03A5"/>
    <w:rsid w:val="003A0972"/>
    <w:rsid w:val="003A0D21"/>
    <w:rsid w:val="003A10A5"/>
    <w:rsid w:val="003A16D0"/>
    <w:rsid w:val="003A1A7A"/>
    <w:rsid w:val="003A2387"/>
    <w:rsid w:val="003A2392"/>
    <w:rsid w:val="003A2831"/>
    <w:rsid w:val="003A293A"/>
    <w:rsid w:val="003A30B8"/>
    <w:rsid w:val="003A3CB6"/>
    <w:rsid w:val="003A3ED1"/>
    <w:rsid w:val="003A3F31"/>
    <w:rsid w:val="003A4016"/>
    <w:rsid w:val="003A433A"/>
    <w:rsid w:val="003A44DB"/>
    <w:rsid w:val="003A4903"/>
    <w:rsid w:val="003A4AF3"/>
    <w:rsid w:val="003A59C3"/>
    <w:rsid w:val="003A6304"/>
    <w:rsid w:val="003A6B16"/>
    <w:rsid w:val="003A6EED"/>
    <w:rsid w:val="003A79CD"/>
    <w:rsid w:val="003A7A1D"/>
    <w:rsid w:val="003B01AC"/>
    <w:rsid w:val="003B0D90"/>
    <w:rsid w:val="003B123F"/>
    <w:rsid w:val="003B1762"/>
    <w:rsid w:val="003B1BED"/>
    <w:rsid w:val="003B1F4D"/>
    <w:rsid w:val="003B2519"/>
    <w:rsid w:val="003B3971"/>
    <w:rsid w:val="003B3E49"/>
    <w:rsid w:val="003B40EB"/>
    <w:rsid w:val="003B489D"/>
    <w:rsid w:val="003B4A79"/>
    <w:rsid w:val="003B4CCA"/>
    <w:rsid w:val="003B4FD8"/>
    <w:rsid w:val="003B5309"/>
    <w:rsid w:val="003B55D1"/>
    <w:rsid w:val="003B5934"/>
    <w:rsid w:val="003B5B61"/>
    <w:rsid w:val="003B5F67"/>
    <w:rsid w:val="003B60F5"/>
    <w:rsid w:val="003B6759"/>
    <w:rsid w:val="003B6776"/>
    <w:rsid w:val="003B715D"/>
    <w:rsid w:val="003B73A0"/>
    <w:rsid w:val="003B7D67"/>
    <w:rsid w:val="003C0191"/>
    <w:rsid w:val="003C099F"/>
    <w:rsid w:val="003C0AB3"/>
    <w:rsid w:val="003C0AD5"/>
    <w:rsid w:val="003C0FF3"/>
    <w:rsid w:val="003C10AB"/>
    <w:rsid w:val="003C1654"/>
    <w:rsid w:val="003C16BC"/>
    <w:rsid w:val="003C1E62"/>
    <w:rsid w:val="003C233D"/>
    <w:rsid w:val="003C31C3"/>
    <w:rsid w:val="003C31F3"/>
    <w:rsid w:val="003C354B"/>
    <w:rsid w:val="003C396B"/>
    <w:rsid w:val="003C44EF"/>
    <w:rsid w:val="003C4E0A"/>
    <w:rsid w:val="003C5542"/>
    <w:rsid w:val="003C630F"/>
    <w:rsid w:val="003C7D19"/>
    <w:rsid w:val="003C7D2F"/>
    <w:rsid w:val="003D0027"/>
    <w:rsid w:val="003D05F8"/>
    <w:rsid w:val="003D0CD7"/>
    <w:rsid w:val="003D1828"/>
    <w:rsid w:val="003D1B78"/>
    <w:rsid w:val="003D1DE4"/>
    <w:rsid w:val="003D1E9A"/>
    <w:rsid w:val="003D1E9C"/>
    <w:rsid w:val="003D2422"/>
    <w:rsid w:val="003D281D"/>
    <w:rsid w:val="003D2979"/>
    <w:rsid w:val="003D31DB"/>
    <w:rsid w:val="003D329D"/>
    <w:rsid w:val="003D39A1"/>
    <w:rsid w:val="003D3C82"/>
    <w:rsid w:val="003D3FBF"/>
    <w:rsid w:val="003D4A30"/>
    <w:rsid w:val="003D566E"/>
    <w:rsid w:val="003D5754"/>
    <w:rsid w:val="003D5BAA"/>
    <w:rsid w:val="003D659F"/>
    <w:rsid w:val="003D67BC"/>
    <w:rsid w:val="003D6DA1"/>
    <w:rsid w:val="003D7452"/>
    <w:rsid w:val="003D7963"/>
    <w:rsid w:val="003D79BB"/>
    <w:rsid w:val="003D7C98"/>
    <w:rsid w:val="003D7D9D"/>
    <w:rsid w:val="003E0543"/>
    <w:rsid w:val="003E0E54"/>
    <w:rsid w:val="003E5292"/>
    <w:rsid w:val="003E5452"/>
    <w:rsid w:val="003E5C1E"/>
    <w:rsid w:val="003E5FE9"/>
    <w:rsid w:val="003E602C"/>
    <w:rsid w:val="003E622E"/>
    <w:rsid w:val="003E63BC"/>
    <w:rsid w:val="003E6408"/>
    <w:rsid w:val="003E6ABF"/>
    <w:rsid w:val="003E749E"/>
    <w:rsid w:val="003E7703"/>
    <w:rsid w:val="003F0CB0"/>
    <w:rsid w:val="003F1470"/>
    <w:rsid w:val="003F2823"/>
    <w:rsid w:val="003F2C68"/>
    <w:rsid w:val="003F4156"/>
    <w:rsid w:val="003F4B59"/>
    <w:rsid w:val="003F4BFC"/>
    <w:rsid w:val="003F4C48"/>
    <w:rsid w:val="003F5ADF"/>
    <w:rsid w:val="003F652C"/>
    <w:rsid w:val="003F68A0"/>
    <w:rsid w:val="003F77A2"/>
    <w:rsid w:val="003F78EB"/>
    <w:rsid w:val="003F7BF9"/>
    <w:rsid w:val="00400565"/>
    <w:rsid w:val="004006CD"/>
    <w:rsid w:val="00400B29"/>
    <w:rsid w:val="00400E2C"/>
    <w:rsid w:val="0040243D"/>
    <w:rsid w:val="0040290C"/>
    <w:rsid w:val="0040297D"/>
    <w:rsid w:val="00403F8B"/>
    <w:rsid w:val="00404079"/>
    <w:rsid w:val="00404F78"/>
    <w:rsid w:val="0040504B"/>
    <w:rsid w:val="004050D0"/>
    <w:rsid w:val="00405998"/>
    <w:rsid w:val="004059F4"/>
    <w:rsid w:val="00406118"/>
    <w:rsid w:val="0040635D"/>
    <w:rsid w:val="00406619"/>
    <w:rsid w:val="0040789F"/>
    <w:rsid w:val="00407A26"/>
    <w:rsid w:val="00407B9C"/>
    <w:rsid w:val="00407C9E"/>
    <w:rsid w:val="00407FE5"/>
    <w:rsid w:val="004101B0"/>
    <w:rsid w:val="00410326"/>
    <w:rsid w:val="00410708"/>
    <w:rsid w:val="00410EC7"/>
    <w:rsid w:val="00411075"/>
    <w:rsid w:val="00411211"/>
    <w:rsid w:val="0041141B"/>
    <w:rsid w:val="00411B39"/>
    <w:rsid w:val="00411E47"/>
    <w:rsid w:val="00411EE9"/>
    <w:rsid w:val="004127A7"/>
    <w:rsid w:val="004138EF"/>
    <w:rsid w:val="00413A1E"/>
    <w:rsid w:val="004140D1"/>
    <w:rsid w:val="00414156"/>
    <w:rsid w:val="00414476"/>
    <w:rsid w:val="00414618"/>
    <w:rsid w:val="0041467F"/>
    <w:rsid w:val="00414AEA"/>
    <w:rsid w:val="00414C2E"/>
    <w:rsid w:val="004151CF"/>
    <w:rsid w:val="0041565D"/>
    <w:rsid w:val="00415AEE"/>
    <w:rsid w:val="00415C8A"/>
    <w:rsid w:val="00416364"/>
    <w:rsid w:val="004165F3"/>
    <w:rsid w:val="004202C0"/>
    <w:rsid w:val="004203E9"/>
    <w:rsid w:val="0042047F"/>
    <w:rsid w:val="004205CC"/>
    <w:rsid w:val="00420712"/>
    <w:rsid w:val="00420AA6"/>
    <w:rsid w:val="00420B20"/>
    <w:rsid w:val="00420B9F"/>
    <w:rsid w:val="00420D5C"/>
    <w:rsid w:val="00420EA0"/>
    <w:rsid w:val="0042192C"/>
    <w:rsid w:val="00421DFA"/>
    <w:rsid w:val="00422260"/>
    <w:rsid w:val="00422EF9"/>
    <w:rsid w:val="00423AD2"/>
    <w:rsid w:val="00424061"/>
    <w:rsid w:val="0042413F"/>
    <w:rsid w:val="0042426A"/>
    <w:rsid w:val="004243A6"/>
    <w:rsid w:val="004254D7"/>
    <w:rsid w:val="0042587B"/>
    <w:rsid w:val="00425AFB"/>
    <w:rsid w:val="00426310"/>
    <w:rsid w:val="00427239"/>
    <w:rsid w:val="00427255"/>
    <w:rsid w:val="0042781D"/>
    <w:rsid w:val="00430274"/>
    <w:rsid w:val="00430627"/>
    <w:rsid w:val="004306CB"/>
    <w:rsid w:val="00430836"/>
    <w:rsid w:val="004314DD"/>
    <w:rsid w:val="00431651"/>
    <w:rsid w:val="004319F8"/>
    <w:rsid w:val="00431B49"/>
    <w:rsid w:val="00431E55"/>
    <w:rsid w:val="004321F6"/>
    <w:rsid w:val="004322A1"/>
    <w:rsid w:val="004324AD"/>
    <w:rsid w:val="00432C45"/>
    <w:rsid w:val="00433044"/>
    <w:rsid w:val="00433734"/>
    <w:rsid w:val="00434088"/>
    <w:rsid w:val="004342F3"/>
    <w:rsid w:val="0043447B"/>
    <w:rsid w:val="004344C8"/>
    <w:rsid w:val="0043482A"/>
    <w:rsid w:val="00434A8E"/>
    <w:rsid w:val="00435490"/>
    <w:rsid w:val="00436539"/>
    <w:rsid w:val="00436970"/>
    <w:rsid w:val="004372A1"/>
    <w:rsid w:val="0043735B"/>
    <w:rsid w:val="004374CF"/>
    <w:rsid w:val="004375B9"/>
    <w:rsid w:val="004378BB"/>
    <w:rsid w:val="00437D27"/>
    <w:rsid w:val="004403D1"/>
    <w:rsid w:val="00440911"/>
    <w:rsid w:val="004428D0"/>
    <w:rsid w:val="00442BC8"/>
    <w:rsid w:val="00443406"/>
    <w:rsid w:val="00443857"/>
    <w:rsid w:val="00443970"/>
    <w:rsid w:val="00443A96"/>
    <w:rsid w:val="00443C0F"/>
    <w:rsid w:val="00444185"/>
    <w:rsid w:val="004443A7"/>
    <w:rsid w:val="0044442C"/>
    <w:rsid w:val="004453AE"/>
    <w:rsid w:val="004457B4"/>
    <w:rsid w:val="00445941"/>
    <w:rsid w:val="00446049"/>
    <w:rsid w:val="004464EB"/>
    <w:rsid w:val="00446593"/>
    <w:rsid w:val="00446EC7"/>
    <w:rsid w:val="004470BD"/>
    <w:rsid w:val="0044712A"/>
    <w:rsid w:val="00447D26"/>
    <w:rsid w:val="00447DFC"/>
    <w:rsid w:val="0045043B"/>
    <w:rsid w:val="00450D89"/>
    <w:rsid w:val="004524C4"/>
    <w:rsid w:val="00452806"/>
    <w:rsid w:val="00452856"/>
    <w:rsid w:val="00453447"/>
    <w:rsid w:val="00453CE5"/>
    <w:rsid w:val="00454262"/>
    <w:rsid w:val="00454C23"/>
    <w:rsid w:val="00455329"/>
    <w:rsid w:val="00455437"/>
    <w:rsid w:val="00455D45"/>
    <w:rsid w:val="00455DB0"/>
    <w:rsid w:val="0045605B"/>
    <w:rsid w:val="004568A9"/>
    <w:rsid w:val="00456E30"/>
    <w:rsid w:val="0045745B"/>
    <w:rsid w:val="0045758A"/>
    <w:rsid w:val="004575EA"/>
    <w:rsid w:val="00457A58"/>
    <w:rsid w:val="00457D47"/>
    <w:rsid w:val="00457DFD"/>
    <w:rsid w:val="00460A29"/>
    <w:rsid w:val="00461350"/>
    <w:rsid w:val="004613D3"/>
    <w:rsid w:val="0046179D"/>
    <w:rsid w:val="00461923"/>
    <w:rsid w:val="00461D56"/>
    <w:rsid w:val="00461EE3"/>
    <w:rsid w:val="00462040"/>
    <w:rsid w:val="004633B8"/>
    <w:rsid w:val="004635C2"/>
    <w:rsid w:val="00464595"/>
    <w:rsid w:val="004649BC"/>
    <w:rsid w:val="00465875"/>
    <w:rsid w:val="004658B5"/>
    <w:rsid w:val="00466045"/>
    <w:rsid w:val="00466C37"/>
    <w:rsid w:val="00466D81"/>
    <w:rsid w:val="0046736E"/>
    <w:rsid w:val="00470C00"/>
    <w:rsid w:val="00471AC9"/>
    <w:rsid w:val="00471EA5"/>
    <w:rsid w:val="00472A79"/>
    <w:rsid w:val="00472B52"/>
    <w:rsid w:val="0047301C"/>
    <w:rsid w:val="004737D0"/>
    <w:rsid w:val="00473F19"/>
    <w:rsid w:val="00473F2F"/>
    <w:rsid w:val="004744E6"/>
    <w:rsid w:val="00475688"/>
    <w:rsid w:val="00475A08"/>
    <w:rsid w:val="00475E22"/>
    <w:rsid w:val="00475F11"/>
    <w:rsid w:val="004762FE"/>
    <w:rsid w:val="00476AC7"/>
    <w:rsid w:val="00476C0C"/>
    <w:rsid w:val="00476E4A"/>
    <w:rsid w:val="00476EC2"/>
    <w:rsid w:val="0048088E"/>
    <w:rsid w:val="00480E19"/>
    <w:rsid w:val="00480F2B"/>
    <w:rsid w:val="00480FE0"/>
    <w:rsid w:val="004810F3"/>
    <w:rsid w:val="00481471"/>
    <w:rsid w:val="00481AB8"/>
    <w:rsid w:val="00481B61"/>
    <w:rsid w:val="00482720"/>
    <w:rsid w:val="00482AA0"/>
    <w:rsid w:val="00482ACB"/>
    <w:rsid w:val="00483103"/>
    <w:rsid w:val="004835E7"/>
    <w:rsid w:val="004836F6"/>
    <w:rsid w:val="004837F3"/>
    <w:rsid w:val="00483833"/>
    <w:rsid w:val="00483E8F"/>
    <w:rsid w:val="00483F19"/>
    <w:rsid w:val="0048467F"/>
    <w:rsid w:val="00485091"/>
    <w:rsid w:val="00485EC2"/>
    <w:rsid w:val="00486288"/>
    <w:rsid w:val="004867E2"/>
    <w:rsid w:val="00487193"/>
    <w:rsid w:val="00487A3B"/>
    <w:rsid w:val="00487B85"/>
    <w:rsid w:val="00490474"/>
    <w:rsid w:val="00490586"/>
    <w:rsid w:val="00490B17"/>
    <w:rsid w:val="00491126"/>
    <w:rsid w:val="004911F5"/>
    <w:rsid w:val="004912E6"/>
    <w:rsid w:val="004915AF"/>
    <w:rsid w:val="00491603"/>
    <w:rsid w:val="00491706"/>
    <w:rsid w:val="00491740"/>
    <w:rsid w:val="00491B3A"/>
    <w:rsid w:val="00492746"/>
    <w:rsid w:val="00492CAC"/>
    <w:rsid w:val="00492CFD"/>
    <w:rsid w:val="004930F8"/>
    <w:rsid w:val="00493528"/>
    <w:rsid w:val="00493730"/>
    <w:rsid w:val="00494207"/>
    <w:rsid w:val="004944E1"/>
    <w:rsid w:val="00494577"/>
    <w:rsid w:val="00494692"/>
    <w:rsid w:val="00494B90"/>
    <w:rsid w:val="00494DD5"/>
    <w:rsid w:val="00495909"/>
    <w:rsid w:val="00495AC6"/>
    <w:rsid w:val="004962D2"/>
    <w:rsid w:val="00496E77"/>
    <w:rsid w:val="004970D9"/>
    <w:rsid w:val="00497EA3"/>
    <w:rsid w:val="004A0537"/>
    <w:rsid w:val="004A0DA1"/>
    <w:rsid w:val="004A0E7E"/>
    <w:rsid w:val="004A10AB"/>
    <w:rsid w:val="004A13D6"/>
    <w:rsid w:val="004A1793"/>
    <w:rsid w:val="004A17DA"/>
    <w:rsid w:val="004A1E1D"/>
    <w:rsid w:val="004A1F8E"/>
    <w:rsid w:val="004A1F96"/>
    <w:rsid w:val="004A1FE1"/>
    <w:rsid w:val="004A2B1F"/>
    <w:rsid w:val="004A2FEC"/>
    <w:rsid w:val="004A3597"/>
    <w:rsid w:val="004A3885"/>
    <w:rsid w:val="004A500C"/>
    <w:rsid w:val="004A515D"/>
    <w:rsid w:val="004A52E9"/>
    <w:rsid w:val="004A5ADB"/>
    <w:rsid w:val="004A6040"/>
    <w:rsid w:val="004A6499"/>
    <w:rsid w:val="004A6597"/>
    <w:rsid w:val="004A67BC"/>
    <w:rsid w:val="004A6C6F"/>
    <w:rsid w:val="004A6DC0"/>
    <w:rsid w:val="004A72BB"/>
    <w:rsid w:val="004A7405"/>
    <w:rsid w:val="004A75D0"/>
    <w:rsid w:val="004A7848"/>
    <w:rsid w:val="004B03C6"/>
    <w:rsid w:val="004B0C1B"/>
    <w:rsid w:val="004B0E89"/>
    <w:rsid w:val="004B17A9"/>
    <w:rsid w:val="004B1CB4"/>
    <w:rsid w:val="004B1D35"/>
    <w:rsid w:val="004B1F4A"/>
    <w:rsid w:val="004B1FD9"/>
    <w:rsid w:val="004B2750"/>
    <w:rsid w:val="004B2E42"/>
    <w:rsid w:val="004B2F18"/>
    <w:rsid w:val="004B339A"/>
    <w:rsid w:val="004B35E0"/>
    <w:rsid w:val="004B3A91"/>
    <w:rsid w:val="004B3B1B"/>
    <w:rsid w:val="004B3DDB"/>
    <w:rsid w:val="004B419D"/>
    <w:rsid w:val="004B44FD"/>
    <w:rsid w:val="004B48AA"/>
    <w:rsid w:val="004B4ED4"/>
    <w:rsid w:val="004B5425"/>
    <w:rsid w:val="004B559F"/>
    <w:rsid w:val="004B5CFC"/>
    <w:rsid w:val="004B5FFD"/>
    <w:rsid w:val="004B60D1"/>
    <w:rsid w:val="004B64DB"/>
    <w:rsid w:val="004B6C6E"/>
    <w:rsid w:val="004B6EC8"/>
    <w:rsid w:val="004B6F79"/>
    <w:rsid w:val="004B726A"/>
    <w:rsid w:val="004B774D"/>
    <w:rsid w:val="004B77C9"/>
    <w:rsid w:val="004B7836"/>
    <w:rsid w:val="004B7D08"/>
    <w:rsid w:val="004B7FE9"/>
    <w:rsid w:val="004C175A"/>
    <w:rsid w:val="004C1BC9"/>
    <w:rsid w:val="004C1EE5"/>
    <w:rsid w:val="004C47E3"/>
    <w:rsid w:val="004C4982"/>
    <w:rsid w:val="004C4AED"/>
    <w:rsid w:val="004C4C7E"/>
    <w:rsid w:val="004C5288"/>
    <w:rsid w:val="004C5508"/>
    <w:rsid w:val="004C5684"/>
    <w:rsid w:val="004C5F4E"/>
    <w:rsid w:val="004C6268"/>
    <w:rsid w:val="004C6747"/>
    <w:rsid w:val="004C7635"/>
    <w:rsid w:val="004C7FA9"/>
    <w:rsid w:val="004D02B1"/>
    <w:rsid w:val="004D03F8"/>
    <w:rsid w:val="004D12F5"/>
    <w:rsid w:val="004D1636"/>
    <w:rsid w:val="004D1B24"/>
    <w:rsid w:val="004D2C2D"/>
    <w:rsid w:val="004D2E05"/>
    <w:rsid w:val="004D3D2A"/>
    <w:rsid w:val="004D3E6D"/>
    <w:rsid w:val="004D55DE"/>
    <w:rsid w:val="004D5673"/>
    <w:rsid w:val="004D598F"/>
    <w:rsid w:val="004D5E3C"/>
    <w:rsid w:val="004D5FB3"/>
    <w:rsid w:val="004D62A3"/>
    <w:rsid w:val="004D67E6"/>
    <w:rsid w:val="004D69B5"/>
    <w:rsid w:val="004D7227"/>
    <w:rsid w:val="004D7700"/>
    <w:rsid w:val="004D7E8B"/>
    <w:rsid w:val="004E033E"/>
    <w:rsid w:val="004E0AA0"/>
    <w:rsid w:val="004E0E7F"/>
    <w:rsid w:val="004E0EB8"/>
    <w:rsid w:val="004E105F"/>
    <w:rsid w:val="004E155B"/>
    <w:rsid w:val="004E18E9"/>
    <w:rsid w:val="004E2223"/>
    <w:rsid w:val="004E2ADC"/>
    <w:rsid w:val="004E43B2"/>
    <w:rsid w:val="004E5259"/>
    <w:rsid w:val="004E558B"/>
    <w:rsid w:val="004E560D"/>
    <w:rsid w:val="004E5A4E"/>
    <w:rsid w:val="004E646B"/>
    <w:rsid w:val="004E65D4"/>
    <w:rsid w:val="004E687B"/>
    <w:rsid w:val="004E6A70"/>
    <w:rsid w:val="004F0035"/>
    <w:rsid w:val="004F0413"/>
    <w:rsid w:val="004F04E3"/>
    <w:rsid w:val="004F0745"/>
    <w:rsid w:val="004F0946"/>
    <w:rsid w:val="004F0B15"/>
    <w:rsid w:val="004F0CAF"/>
    <w:rsid w:val="004F1CD4"/>
    <w:rsid w:val="004F1D02"/>
    <w:rsid w:val="004F23D4"/>
    <w:rsid w:val="004F2679"/>
    <w:rsid w:val="004F2F21"/>
    <w:rsid w:val="004F35F8"/>
    <w:rsid w:val="004F3DE5"/>
    <w:rsid w:val="004F421A"/>
    <w:rsid w:val="004F44E3"/>
    <w:rsid w:val="004F4836"/>
    <w:rsid w:val="004F4B87"/>
    <w:rsid w:val="004F4E00"/>
    <w:rsid w:val="004F5131"/>
    <w:rsid w:val="004F576E"/>
    <w:rsid w:val="004F5DCC"/>
    <w:rsid w:val="004F6913"/>
    <w:rsid w:val="004F6EFA"/>
    <w:rsid w:val="004F6F03"/>
    <w:rsid w:val="004F77AC"/>
    <w:rsid w:val="004F7865"/>
    <w:rsid w:val="004F78DD"/>
    <w:rsid w:val="005009FE"/>
    <w:rsid w:val="0050158E"/>
    <w:rsid w:val="0050174E"/>
    <w:rsid w:val="00501854"/>
    <w:rsid w:val="0050219B"/>
    <w:rsid w:val="005038C9"/>
    <w:rsid w:val="00503BF2"/>
    <w:rsid w:val="00503F17"/>
    <w:rsid w:val="005053E4"/>
    <w:rsid w:val="00505405"/>
    <w:rsid w:val="0050550E"/>
    <w:rsid w:val="00505885"/>
    <w:rsid w:val="00505E03"/>
    <w:rsid w:val="00506928"/>
    <w:rsid w:val="00506EC1"/>
    <w:rsid w:val="00506EF8"/>
    <w:rsid w:val="00507381"/>
    <w:rsid w:val="00507604"/>
    <w:rsid w:val="005077EF"/>
    <w:rsid w:val="005109E3"/>
    <w:rsid w:val="00510D25"/>
    <w:rsid w:val="00510F46"/>
    <w:rsid w:val="005110D1"/>
    <w:rsid w:val="00511AD5"/>
    <w:rsid w:val="00511DC7"/>
    <w:rsid w:val="00512A29"/>
    <w:rsid w:val="00513519"/>
    <w:rsid w:val="005142C5"/>
    <w:rsid w:val="005143A9"/>
    <w:rsid w:val="00514C66"/>
    <w:rsid w:val="00514F8E"/>
    <w:rsid w:val="0051501B"/>
    <w:rsid w:val="005151D6"/>
    <w:rsid w:val="005152B5"/>
    <w:rsid w:val="005153E1"/>
    <w:rsid w:val="00516294"/>
    <w:rsid w:val="0051639A"/>
    <w:rsid w:val="00516F16"/>
    <w:rsid w:val="00517380"/>
    <w:rsid w:val="00517AAF"/>
    <w:rsid w:val="00517EDB"/>
    <w:rsid w:val="00517F29"/>
    <w:rsid w:val="00520B70"/>
    <w:rsid w:val="005211A4"/>
    <w:rsid w:val="0052123C"/>
    <w:rsid w:val="00521319"/>
    <w:rsid w:val="00521AF0"/>
    <w:rsid w:val="00521F24"/>
    <w:rsid w:val="00522266"/>
    <w:rsid w:val="00522BC8"/>
    <w:rsid w:val="00522BED"/>
    <w:rsid w:val="00522EF5"/>
    <w:rsid w:val="0052302C"/>
    <w:rsid w:val="00523208"/>
    <w:rsid w:val="005235AA"/>
    <w:rsid w:val="00523BF0"/>
    <w:rsid w:val="00523C28"/>
    <w:rsid w:val="00523D98"/>
    <w:rsid w:val="00524551"/>
    <w:rsid w:val="005248B6"/>
    <w:rsid w:val="0052514A"/>
    <w:rsid w:val="0052682B"/>
    <w:rsid w:val="00527207"/>
    <w:rsid w:val="005279B8"/>
    <w:rsid w:val="00527C4F"/>
    <w:rsid w:val="0053028B"/>
    <w:rsid w:val="00530561"/>
    <w:rsid w:val="005305BB"/>
    <w:rsid w:val="00530AA9"/>
    <w:rsid w:val="00531049"/>
    <w:rsid w:val="005316A6"/>
    <w:rsid w:val="0053176B"/>
    <w:rsid w:val="00531798"/>
    <w:rsid w:val="00532340"/>
    <w:rsid w:val="00533486"/>
    <w:rsid w:val="00533A6A"/>
    <w:rsid w:val="00533BD5"/>
    <w:rsid w:val="00533ED6"/>
    <w:rsid w:val="00534A61"/>
    <w:rsid w:val="00535F18"/>
    <w:rsid w:val="00536457"/>
    <w:rsid w:val="00536F42"/>
    <w:rsid w:val="00537182"/>
    <w:rsid w:val="00540250"/>
    <w:rsid w:val="005409FE"/>
    <w:rsid w:val="00541B53"/>
    <w:rsid w:val="00541EDD"/>
    <w:rsid w:val="00542743"/>
    <w:rsid w:val="00542C2D"/>
    <w:rsid w:val="00542DE3"/>
    <w:rsid w:val="00542E70"/>
    <w:rsid w:val="00544364"/>
    <w:rsid w:val="00544A00"/>
    <w:rsid w:val="005452FA"/>
    <w:rsid w:val="00545EA6"/>
    <w:rsid w:val="0054608A"/>
    <w:rsid w:val="00546D9F"/>
    <w:rsid w:val="0054749D"/>
    <w:rsid w:val="005478BD"/>
    <w:rsid w:val="005479E3"/>
    <w:rsid w:val="00547E89"/>
    <w:rsid w:val="0055069F"/>
    <w:rsid w:val="00551985"/>
    <w:rsid w:val="0055218B"/>
    <w:rsid w:val="00552BA0"/>
    <w:rsid w:val="00552BD3"/>
    <w:rsid w:val="0055320F"/>
    <w:rsid w:val="005532A0"/>
    <w:rsid w:val="00553A0A"/>
    <w:rsid w:val="00553B84"/>
    <w:rsid w:val="00554391"/>
    <w:rsid w:val="00554822"/>
    <w:rsid w:val="005549A6"/>
    <w:rsid w:val="00554EA6"/>
    <w:rsid w:val="00555109"/>
    <w:rsid w:val="0055520A"/>
    <w:rsid w:val="005556AC"/>
    <w:rsid w:val="00555CA6"/>
    <w:rsid w:val="005563F2"/>
    <w:rsid w:val="005564D6"/>
    <w:rsid w:val="00556B35"/>
    <w:rsid w:val="0055741A"/>
    <w:rsid w:val="0055757B"/>
    <w:rsid w:val="00557D11"/>
    <w:rsid w:val="00560033"/>
    <w:rsid w:val="005610A7"/>
    <w:rsid w:val="005611B7"/>
    <w:rsid w:val="00561668"/>
    <w:rsid w:val="0056186D"/>
    <w:rsid w:val="005618D4"/>
    <w:rsid w:val="00561B64"/>
    <w:rsid w:val="00561F8C"/>
    <w:rsid w:val="00563522"/>
    <w:rsid w:val="00563E4C"/>
    <w:rsid w:val="00565377"/>
    <w:rsid w:val="0056593B"/>
    <w:rsid w:val="00565DF0"/>
    <w:rsid w:val="005661FE"/>
    <w:rsid w:val="005662EF"/>
    <w:rsid w:val="005665F0"/>
    <w:rsid w:val="0056696F"/>
    <w:rsid w:val="00567669"/>
    <w:rsid w:val="00570A65"/>
    <w:rsid w:val="00571155"/>
    <w:rsid w:val="00571924"/>
    <w:rsid w:val="0057217B"/>
    <w:rsid w:val="00572269"/>
    <w:rsid w:val="0057244A"/>
    <w:rsid w:val="005726C4"/>
    <w:rsid w:val="00572776"/>
    <w:rsid w:val="00572D81"/>
    <w:rsid w:val="00572E0C"/>
    <w:rsid w:val="00572F26"/>
    <w:rsid w:val="00573481"/>
    <w:rsid w:val="00574108"/>
    <w:rsid w:val="00574387"/>
    <w:rsid w:val="005750C5"/>
    <w:rsid w:val="005752DE"/>
    <w:rsid w:val="005758E8"/>
    <w:rsid w:val="005758FA"/>
    <w:rsid w:val="00575D8D"/>
    <w:rsid w:val="00576972"/>
    <w:rsid w:val="005775AC"/>
    <w:rsid w:val="005800B3"/>
    <w:rsid w:val="00580391"/>
    <w:rsid w:val="005808A8"/>
    <w:rsid w:val="0058184A"/>
    <w:rsid w:val="00581B59"/>
    <w:rsid w:val="00581B67"/>
    <w:rsid w:val="00583699"/>
    <w:rsid w:val="00583A77"/>
    <w:rsid w:val="00583F21"/>
    <w:rsid w:val="00584B4B"/>
    <w:rsid w:val="00584FE2"/>
    <w:rsid w:val="00585783"/>
    <w:rsid w:val="00585A21"/>
    <w:rsid w:val="00585CDD"/>
    <w:rsid w:val="0058658C"/>
    <w:rsid w:val="00586BAE"/>
    <w:rsid w:val="00587058"/>
    <w:rsid w:val="005871B1"/>
    <w:rsid w:val="00587939"/>
    <w:rsid w:val="00590A47"/>
    <w:rsid w:val="00590C85"/>
    <w:rsid w:val="00591957"/>
    <w:rsid w:val="00591FA4"/>
    <w:rsid w:val="005932FD"/>
    <w:rsid w:val="00593DD7"/>
    <w:rsid w:val="00596648"/>
    <w:rsid w:val="0059692A"/>
    <w:rsid w:val="00597270"/>
    <w:rsid w:val="005972EF"/>
    <w:rsid w:val="00597B37"/>
    <w:rsid w:val="00597BF9"/>
    <w:rsid w:val="005A02FD"/>
    <w:rsid w:val="005A0E5C"/>
    <w:rsid w:val="005A1389"/>
    <w:rsid w:val="005A1C99"/>
    <w:rsid w:val="005A25CB"/>
    <w:rsid w:val="005A283E"/>
    <w:rsid w:val="005A29A6"/>
    <w:rsid w:val="005A309A"/>
    <w:rsid w:val="005A34AF"/>
    <w:rsid w:val="005A353C"/>
    <w:rsid w:val="005A35B1"/>
    <w:rsid w:val="005A373D"/>
    <w:rsid w:val="005A3ABA"/>
    <w:rsid w:val="005A5216"/>
    <w:rsid w:val="005A5983"/>
    <w:rsid w:val="005A5BEF"/>
    <w:rsid w:val="005A630D"/>
    <w:rsid w:val="005A64CC"/>
    <w:rsid w:val="005A673B"/>
    <w:rsid w:val="005A674B"/>
    <w:rsid w:val="005A6F83"/>
    <w:rsid w:val="005A71B9"/>
    <w:rsid w:val="005A7264"/>
    <w:rsid w:val="005A7659"/>
    <w:rsid w:val="005B0B58"/>
    <w:rsid w:val="005B0C0A"/>
    <w:rsid w:val="005B1219"/>
    <w:rsid w:val="005B145C"/>
    <w:rsid w:val="005B1B6C"/>
    <w:rsid w:val="005B2353"/>
    <w:rsid w:val="005B2B62"/>
    <w:rsid w:val="005B2DD4"/>
    <w:rsid w:val="005B3DC3"/>
    <w:rsid w:val="005B4469"/>
    <w:rsid w:val="005B4E53"/>
    <w:rsid w:val="005B5857"/>
    <w:rsid w:val="005B5ED2"/>
    <w:rsid w:val="005B6359"/>
    <w:rsid w:val="005B653E"/>
    <w:rsid w:val="005B7483"/>
    <w:rsid w:val="005B7B2C"/>
    <w:rsid w:val="005B7F33"/>
    <w:rsid w:val="005C0B93"/>
    <w:rsid w:val="005C0E5B"/>
    <w:rsid w:val="005C13E4"/>
    <w:rsid w:val="005C1540"/>
    <w:rsid w:val="005C1B83"/>
    <w:rsid w:val="005C236E"/>
    <w:rsid w:val="005C25FF"/>
    <w:rsid w:val="005C2D55"/>
    <w:rsid w:val="005C346B"/>
    <w:rsid w:val="005C3561"/>
    <w:rsid w:val="005C3B6F"/>
    <w:rsid w:val="005C3DA7"/>
    <w:rsid w:val="005C47F9"/>
    <w:rsid w:val="005C513F"/>
    <w:rsid w:val="005C55B0"/>
    <w:rsid w:val="005C6028"/>
    <w:rsid w:val="005C6275"/>
    <w:rsid w:val="005C6492"/>
    <w:rsid w:val="005C6B68"/>
    <w:rsid w:val="005C6F84"/>
    <w:rsid w:val="005C74B1"/>
    <w:rsid w:val="005C79EB"/>
    <w:rsid w:val="005C7A74"/>
    <w:rsid w:val="005D0103"/>
    <w:rsid w:val="005D0409"/>
    <w:rsid w:val="005D044D"/>
    <w:rsid w:val="005D0556"/>
    <w:rsid w:val="005D0ABD"/>
    <w:rsid w:val="005D0D94"/>
    <w:rsid w:val="005D16F1"/>
    <w:rsid w:val="005D18AD"/>
    <w:rsid w:val="005D1900"/>
    <w:rsid w:val="005D1E88"/>
    <w:rsid w:val="005D2116"/>
    <w:rsid w:val="005D213A"/>
    <w:rsid w:val="005D25E4"/>
    <w:rsid w:val="005D26B4"/>
    <w:rsid w:val="005D46B1"/>
    <w:rsid w:val="005D47C0"/>
    <w:rsid w:val="005D551F"/>
    <w:rsid w:val="005D55D3"/>
    <w:rsid w:val="005D5957"/>
    <w:rsid w:val="005D648D"/>
    <w:rsid w:val="005D650E"/>
    <w:rsid w:val="005D6ACA"/>
    <w:rsid w:val="005D6E42"/>
    <w:rsid w:val="005E0096"/>
    <w:rsid w:val="005E02E9"/>
    <w:rsid w:val="005E0EFF"/>
    <w:rsid w:val="005E10F2"/>
    <w:rsid w:val="005E1D7D"/>
    <w:rsid w:val="005E3714"/>
    <w:rsid w:val="005E377B"/>
    <w:rsid w:val="005E3C73"/>
    <w:rsid w:val="005E3CEF"/>
    <w:rsid w:val="005E3D04"/>
    <w:rsid w:val="005E3D09"/>
    <w:rsid w:val="005E4572"/>
    <w:rsid w:val="005E4984"/>
    <w:rsid w:val="005E6CBC"/>
    <w:rsid w:val="005E72FF"/>
    <w:rsid w:val="005E73C0"/>
    <w:rsid w:val="005E7E47"/>
    <w:rsid w:val="005F0574"/>
    <w:rsid w:val="005F0588"/>
    <w:rsid w:val="005F0E3D"/>
    <w:rsid w:val="005F0EEB"/>
    <w:rsid w:val="005F1204"/>
    <w:rsid w:val="005F1218"/>
    <w:rsid w:val="005F1E15"/>
    <w:rsid w:val="005F2706"/>
    <w:rsid w:val="005F2C00"/>
    <w:rsid w:val="005F2E85"/>
    <w:rsid w:val="005F3617"/>
    <w:rsid w:val="005F3BC9"/>
    <w:rsid w:val="005F3D8A"/>
    <w:rsid w:val="005F43A1"/>
    <w:rsid w:val="005F491A"/>
    <w:rsid w:val="005F57A7"/>
    <w:rsid w:val="005F5F41"/>
    <w:rsid w:val="005F6A8F"/>
    <w:rsid w:val="005F6BB7"/>
    <w:rsid w:val="005F725E"/>
    <w:rsid w:val="005F7437"/>
    <w:rsid w:val="005F74E0"/>
    <w:rsid w:val="005F7588"/>
    <w:rsid w:val="005F7615"/>
    <w:rsid w:val="005F77E5"/>
    <w:rsid w:val="00600BF9"/>
    <w:rsid w:val="006013DC"/>
    <w:rsid w:val="006017B9"/>
    <w:rsid w:val="00602408"/>
    <w:rsid w:val="006028F9"/>
    <w:rsid w:val="00602A7F"/>
    <w:rsid w:val="00603DB9"/>
    <w:rsid w:val="006041DB"/>
    <w:rsid w:val="00604A63"/>
    <w:rsid w:val="00604AE1"/>
    <w:rsid w:val="00604DA9"/>
    <w:rsid w:val="006056FA"/>
    <w:rsid w:val="00606C8B"/>
    <w:rsid w:val="00606D47"/>
    <w:rsid w:val="00606F2C"/>
    <w:rsid w:val="00606FBA"/>
    <w:rsid w:val="006070ED"/>
    <w:rsid w:val="006071CA"/>
    <w:rsid w:val="00607669"/>
    <w:rsid w:val="006076F4"/>
    <w:rsid w:val="00607AFD"/>
    <w:rsid w:val="006107E7"/>
    <w:rsid w:val="006109BE"/>
    <w:rsid w:val="00610A88"/>
    <w:rsid w:val="00611332"/>
    <w:rsid w:val="0061177A"/>
    <w:rsid w:val="00612D70"/>
    <w:rsid w:val="00612D99"/>
    <w:rsid w:val="00612F97"/>
    <w:rsid w:val="0061345D"/>
    <w:rsid w:val="006148A9"/>
    <w:rsid w:val="0061549B"/>
    <w:rsid w:val="00615D2E"/>
    <w:rsid w:val="00615DAB"/>
    <w:rsid w:val="00615FD1"/>
    <w:rsid w:val="006160B3"/>
    <w:rsid w:val="006161F9"/>
    <w:rsid w:val="00616456"/>
    <w:rsid w:val="006166D1"/>
    <w:rsid w:val="00616802"/>
    <w:rsid w:val="00616A88"/>
    <w:rsid w:val="00616CC2"/>
    <w:rsid w:val="00617A9C"/>
    <w:rsid w:val="00617C17"/>
    <w:rsid w:val="00617E12"/>
    <w:rsid w:val="00620037"/>
    <w:rsid w:val="0062068E"/>
    <w:rsid w:val="00620A12"/>
    <w:rsid w:val="00620C25"/>
    <w:rsid w:val="00620FD2"/>
    <w:rsid w:val="00621477"/>
    <w:rsid w:val="00621ADA"/>
    <w:rsid w:val="00621C8E"/>
    <w:rsid w:val="00621F63"/>
    <w:rsid w:val="0062205C"/>
    <w:rsid w:val="006224CC"/>
    <w:rsid w:val="006229F2"/>
    <w:rsid w:val="00622CA1"/>
    <w:rsid w:val="00622E07"/>
    <w:rsid w:val="00623026"/>
    <w:rsid w:val="006230CC"/>
    <w:rsid w:val="00623BE0"/>
    <w:rsid w:val="00623CC7"/>
    <w:rsid w:val="00623F7B"/>
    <w:rsid w:val="00624492"/>
    <w:rsid w:val="0062457F"/>
    <w:rsid w:val="00624B40"/>
    <w:rsid w:val="00624C8F"/>
    <w:rsid w:val="00625056"/>
    <w:rsid w:val="006254C1"/>
    <w:rsid w:val="0062555F"/>
    <w:rsid w:val="006257F1"/>
    <w:rsid w:val="00625CC9"/>
    <w:rsid w:val="00625EB4"/>
    <w:rsid w:val="006264DA"/>
    <w:rsid w:val="006279EC"/>
    <w:rsid w:val="00630967"/>
    <w:rsid w:val="00630DEE"/>
    <w:rsid w:val="0063158F"/>
    <w:rsid w:val="006318D9"/>
    <w:rsid w:val="00631966"/>
    <w:rsid w:val="00631B47"/>
    <w:rsid w:val="00631D6B"/>
    <w:rsid w:val="00632183"/>
    <w:rsid w:val="0063222D"/>
    <w:rsid w:val="00632F11"/>
    <w:rsid w:val="006330A1"/>
    <w:rsid w:val="0063479F"/>
    <w:rsid w:val="006353F0"/>
    <w:rsid w:val="006357B5"/>
    <w:rsid w:val="006364A1"/>
    <w:rsid w:val="0063678E"/>
    <w:rsid w:val="00636916"/>
    <w:rsid w:val="00636A20"/>
    <w:rsid w:val="00636EB8"/>
    <w:rsid w:val="00637289"/>
    <w:rsid w:val="0063747D"/>
    <w:rsid w:val="00637BFD"/>
    <w:rsid w:val="00637EDE"/>
    <w:rsid w:val="006406CA"/>
    <w:rsid w:val="00640AC8"/>
    <w:rsid w:val="006412D1"/>
    <w:rsid w:val="00641BD2"/>
    <w:rsid w:val="00641C4E"/>
    <w:rsid w:val="00641FB3"/>
    <w:rsid w:val="0064237F"/>
    <w:rsid w:val="00642EE0"/>
    <w:rsid w:val="00643260"/>
    <w:rsid w:val="006436A0"/>
    <w:rsid w:val="00643DD9"/>
    <w:rsid w:val="00643FD3"/>
    <w:rsid w:val="0064434C"/>
    <w:rsid w:val="00644D7E"/>
    <w:rsid w:val="006458F7"/>
    <w:rsid w:val="0064629F"/>
    <w:rsid w:val="00646AD5"/>
    <w:rsid w:val="006471CC"/>
    <w:rsid w:val="00647A29"/>
    <w:rsid w:val="00647A35"/>
    <w:rsid w:val="006501E4"/>
    <w:rsid w:val="00650200"/>
    <w:rsid w:val="0065079F"/>
    <w:rsid w:val="00650AE4"/>
    <w:rsid w:val="00650B02"/>
    <w:rsid w:val="00650CB8"/>
    <w:rsid w:val="00650F43"/>
    <w:rsid w:val="00650F58"/>
    <w:rsid w:val="00651CF2"/>
    <w:rsid w:val="0065275F"/>
    <w:rsid w:val="00652999"/>
    <w:rsid w:val="00652A28"/>
    <w:rsid w:val="00653492"/>
    <w:rsid w:val="006534DA"/>
    <w:rsid w:val="0065379F"/>
    <w:rsid w:val="00653A8A"/>
    <w:rsid w:val="006540B2"/>
    <w:rsid w:val="006542DD"/>
    <w:rsid w:val="00654A4D"/>
    <w:rsid w:val="00654BB8"/>
    <w:rsid w:val="00654D90"/>
    <w:rsid w:val="0065513F"/>
    <w:rsid w:val="00655EDF"/>
    <w:rsid w:val="00656188"/>
    <w:rsid w:val="00656893"/>
    <w:rsid w:val="0065715A"/>
    <w:rsid w:val="0065739D"/>
    <w:rsid w:val="006574B2"/>
    <w:rsid w:val="00660060"/>
    <w:rsid w:val="00660A15"/>
    <w:rsid w:val="006610F1"/>
    <w:rsid w:val="00661818"/>
    <w:rsid w:val="006618F0"/>
    <w:rsid w:val="00661C6B"/>
    <w:rsid w:val="00662F35"/>
    <w:rsid w:val="00663365"/>
    <w:rsid w:val="0066345E"/>
    <w:rsid w:val="006639D0"/>
    <w:rsid w:val="00664059"/>
    <w:rsid w:val="00664C2C"/>
    <w:rsid w:val="00665244"/>
    <w:rsid w:val="0066690C"/>
    <w:rsid w:val="00666D4D"/>
    <w:rsid w:val="0066769D"/>
    <w:rsid w:val="00670CC8"/>
    <w:rsid w:val="00671004"/>
    <w:rsid w:val="00672646"/>
    <w:rsid w:val="0067369B"/>
    <w:rsid w:val="0067465F"/>
    <w:rsid w:val="00674E42"/>
    <w:rsid w:val="00674E71"/>
    <w:rsid w:val="006754AE"/>
    <w:rsid w:val="00675821"/>
    <w:rsid w:val="006758A4"/>
    <w:rsid w:val="006766E8"/>
    <w:rsid w:val="006767BA"/>
    <w:rsid w:val="00677AC7"/>
    <w:rsid w:val="006801A5"/>
    <w:rsid w:val="0068042A"/>
    <w:rsid w:val="0068060A"/>
    <w:rsid w:val="00680FCA"/>
    <w:rsid w:val="006813F8"/>
    <w:rsid w:val="00681FD0"/>
    <w:rsid w:val="00682112"/>
    <w:rsid w:val="006826E4"/>
    <w:rsid w:val="00682AB9"/>
    <w:rsid w:val="00682BA6"/>
    <w:rsid w:val="00682D00"/>
    <w:rsid w:val="0068302F"/>
    <w:rsid w:val="006835FD"/>
    <w:rsid w:val="00683A1B"/>
    <w:rsid w:val="00683E8F"/>
    <w:rsid w:val="00683F71"/>
    <w:rsid w:val="006841ED"/>
    <w:rsid w:val="006851DB"/>
    <w:rsid w:val="006858C4"/>
    <w:rsid w:val="006859AD"/>
    <w:rsid w:val="00686957"/>
    <w:rsid w:val="00686AA1"/>
    <w:rsid w:val="00686C14"/>
    <w:rsid w:val="006872BA"/>
    <w:rsid w:val="00687C78"/>
    <w:rsid w:val="00690795"/>
    <w:rsid w:val="006907B1"/>
    <w:rsid w:val="00690E45"/>
    <w:rsid w:val="006910E3"/>
    <w:rsid w:val="00691648"/>
    <w:rsid w:val="006917D7"/>
    <w:rsid w:val="00691A2E"/>
    <w:rsid w:val="006922DC"/>
    <w:rsid w:val="006931E4"/>
    <w:rsid w:val="00693884"/>
    <w:rsid w:val="0069434C"/>
    <w:rsid w:val="006945B8"/>
    <w:rsid w:val="00694F44"/>
    <w:rsid w:val="00694FDE"/>
    <w:rsid w:val="006958E0"/>
    <w:rsid w:val="00695C67"/>
    <w:rsid w:val="006961DF"/>
    <w:rsid w:val="00696353"/>
    <w:rsid w:val="006966D9"/>
    <w:rsid w:val="0069684D"/>
    <w:rsid w:val="00696F51"/>
    <w:rsid w:val="006978DB"/>
    <w:rsid w:val="006979A5"/>
    <w:rsid w:val="006A055E"/>
    <w:rsid w:val="006A16F5"/>
    <w:rsid w:val="006A1B02"/>
    <w:rsid w:val="006A220F"/>
    <w:rsid w:val="006A2821"/>
    <w:rsid w:val="006A2D10"/>
    <w:rsid w:val="006A33C5"/>
    <w:rsid w:val="006A35DD"/>
    <w:rsid w:val="006A3737"/>
    <w:rsid w:val="006A383E"/>
    <w:rsid w:val="006A3AD6"/>
    <w:rsid w:val="006A3B06"/>
    <w:rsid w:val="006A3B8F"/>
    <w:rsid w:val="006A4660"/>
    <w:rsid w:val="006A50B2"/>
    <w:rsid w:val="006A52DA"/>
    <w:rsid w:val="006A5A15"/>
    <w:rsid w:val="006A68F7"/>
    <w:rsid w:val="006A6B99"/>
    <w:rsid w:val="006A7AE4"/>
    <w:rsid w:val="006A7DE3"/>
    <w:rsid w:val="006A7E5F"/>
    <w:rsid w:val="006B0ABD"/>
    <w:rsid w:val="006B121D"/>
    <w:rsid w:val="006B1309"/>
    <w:rsid w:val="006B261B"/>
    <w:rsid w:val="006B2C90"/>
    <w:rsid w:val="006B35E6"/>
    <w:rsid w:val="006B3DC0"/>
    <w:rsid w:val="006B465A"/>
    <w:rsid w:val="006B4CA6"/>
    <w:rsid w:val="006B4DC7"/>
    <w:rsid w:val="006B601B"/>
    <w:rsid w:val="006B61DB"/>
    <w:rsid w:val="006B65A4"/>
    <w:rsid w:val="006B6A84"/>
    <w:rsid w:val="006B6DD0"/>
    <w:rsid w:val="006C0399"/>
    <w:rsid w:val="006C04F5"/>
    <w:rsid w:val="006C15B0"/>
    <w:rsid w:val="006C24FC"/>
    <w:rsid w:val="006C2A8E"/>
    <w:rsid w:val="006C2BA6"/>
    <w:rsid w:val="006C2EDC"/>
    <w:rsid w:val="006C2F6E"/>
    <w:rsid w:val="006C3255"/>
    <w:rsid w:val="006C35DF"/>
    <w:rsid w:val="006C3F26"/>
    <w:rsid w:val="006C4746"/>
    <w:rsid w:val="006C581D"/>
    <w:rsid w:val="006C5DAD"/>
    <w:rsid w:val="006C6286"/>
    <w:rsid w:val="006C644E"/>
    <w:rsid w:val="006C64E3"/>
    <w:rsid w:val="006C6C08"/>
    <w:rsid w:val="006C6CA5"/>
    <w:rsid w:val="006C6DE4"/>
    <w:rsid w:val="006D007A"/>
    <w:rsid w:val="006D08B3"/>
    <w:rsid w:val="006D0BB8"/>
    <w:rsid w:val="006D0D17"/>
    <w:rsid w:val="006D0FF5"/>
    <w:rsid w:val="006D1246"/>
    <w:rsid w:val="006D19B8"/>
    <w:rsid w:val="006D1A0C"/>
    <w:rsid w:val="006D202F"/>
    <w:rsid w:val="006D22C0"/>
    <w:rsid w:val="006D239F"/>
    <w:rsid w:val="006D2936"/>
    <w:rsid w:val="006D3A21"/>
    <w:rsid w:val="006D3C7D"/>
    <w:rsid w:val="006D4659"/>
    <w:rsid w:val="006D544B"/>
    <w:rsid w:val="006D5D5F"/>
    <w:rsid w:val="006D5DFD"/>
    <w:rsid w:val="006D6121"/>
    <w:rsid w:val="006D64C6"/>
    <w:rsid w:val="006D6895"/>
    <w:rsid w:val="006D68FB"/>
    <w:rsid w:val="006D7786"/>
    <w:rsid w:val="006D7D0A"/>
    <w:rsid w:val="006D7D65"/>
    <w:rsid w:val="006E0378"/>
    <w:rsid w:val="006E0E47"/>
    <w:rsid w:val="006E1008"/>
    <w:rsid w:val="006E13C8"/>
    <w:rsid w:val="006E1C15"/>
    <w:rsid w:val="006E2652"/>
    <w:rsid w:val="006E2868"/>
    <w:rsid w:val="006E2E17"/>
    <w:rsid w:val="006E2EE4"/>
    <w:rsid w:val="006E3433"/>
    <w:rsid w:val="006E3E13"/>
    <w:rsid w:val="006E3F56"/>
    <w:rsid w:val="006E44CC"/>
    <w:rsid w:val="006E5598"/>
    <w:rsid w:val="006E5E9A"/>
    <w:rsid w:val="006E6F50"/>
    <w:rsid w:val="006E6F89"/>
    <w:rsid w:val="006E71BB"/>
    <w:rsid w:val="006E77F2"/>
    <w:rsid w:val="006F050A"/>
    <w:rsid w:val="006F0C00"/>
    <w:rsid w:val="006F14E8"/>
    <w:rsid w:val="006F18E3"/>
    <w:rsid w:val="006F1902"/>
    <w:rsid w:val="006F19FE"/>
    <w:rsid w:val="006F1A0E"/>
    <w:rsid w:val="006F1DF1"/>
    <w:rsid w:val="006F2CED"/>
    <w:rsid w:val="006F306C"/>
    <w:rsid w:val="006F3098"/>
    <w:rsid w:val="006F331F"/>
    <w:rsid w:val="006F4A9F"/>
    <w:rsid w:val="006F58AF"/>
    <w:rsid w:val="006F59B0"/>
    <w:rsid w:val="006F5D3B"/>
    <w:rsid w:val="006F5ECA"/>
    <w:rsid w:val="006F61DA"/>
    <w:rsid w:val="006F627D"/>
    <w:rsid w:val="006F63A5"/>
    <w:rsid w:val="006F6AA6"/>
    <w:rsid w:val="00700D13"/>
    <w:rsid w:val="0070142B"/>
    <w:rsid w:val="00701767"/>
    <w:rsid w:val="007023E9"/>
    <w:rsid w:val="0070276E"/>
    <w:rsid w:val="00702F8F"/>
    <w:rsid w:val="00703A89"/>
    <w:rsid w:val="007043B4"/>
    <w:rsid w:val="007043ED"/>
    <w:rsid w:val="007044DF"/>
    <w:rsid w:val="00704AC8"/>
    <w:rsid w:val="0070644A"/>
    <w:rsid w:val="007064C0"/>
    <w:rsid w:val="007066A2"/>
    <w:rsid w:val="00707161"/>
    <w:rsid w:val="00707750"/>
    <w:rsid w:val="007079FC"/>
    <w:rsid w:val="00707A47"/>
    <w:rsid w:val="00710967"/>
    <w:rsid w:val="00710B74"/>
    <w:rsid w:val="0071167D"/>
    <w:rsid w:val="00711A36"/>
    <w:rsid w:val="0071204A"/>
    <w:rsid w:val="00712384"/>
    <w:rsid w:val="00712DCD"/>
    <w:rsid w:val="007146A4"/>
    <w:rsid w:val="0071499B"/>
    <w:rsid w:val="0071499C"/>
    <w:rsid w:val="00714BBC"/>
    <w:rsid w:val="00714C26"/>
    <w:rsid w:val="00714D9E"/>
    <w:rsid w:val="00714EE6"/>
    <w:rsid w:val="007151E8"/>
    <w:rsid w:val="0071529C"/>
    <w:rsid w:val="007157F5"/>
    <w:rsid w:val="00715801"/>
    <w:rsid w:val="00716246"/>
    <w:rsid w:val="00716698"/>
    <w:rsid w:val="00716E0C"/>
    <w:rsid w:val="007170DA"/>
    <w:rsid w:val="007172AD"/>
    <w:rsid w:val="007178B4"/>
    <w:rsid w:val="00717B38"/>
    <w:rsid w:val="00717D22"/>
    <w:rsid w:val="0072017A"/>
    <w:rsid w:val="00720801"/>
    <w:rsid w:val="0072084D"/>
    <w:rsid w:val="00721139"/>
    <w:rsid w:val="00721414"/>
    <w:rsid w:val="00721EC3"/>
    <w:rsid w:val="00722595"/>
    <w:rsid w:val="00722B1B"/>
    <w:rsid w:val="0072314D"/>
    <w:rsid w:val="007231A4"/>
    <w:rsid w:val="007238C4"/>
    <w:rsid w:val="00723BFB"/>
    <w:rsid w:val="00723C84"/>
    <w:rsid w:val="00723E36"/>
    <w:rsid w:val="0072416F"/>
    <w:rsid w:val="00724D96"/>
    <w:rsid w:val="00724F23"/>
    <w:rsid w:val="00725D64"/>
    <w:rsid w:val="00725DDC"/>
    <w:rsid w:val="00725EFE"/>
    <w:rsid w:val="007262D7"/>
    <w:rsid w:val="00726338"/>
    <w:rsid w:val="007265C4"/>
    <w:rsid w:val="0072688C"/>
    <w:rsid w:val="00726A12"/>
    <w:rsid w:val="00726B42"/>
    <w:rsid w:val="00726C30"/>
    <w:rsid w:val="00726DD7"/>
    <w:rsid w:val="00727C94"/>
    <w:rsid w:val="007302DF"/>
    <w:rsid w:val="007305D4"/>
    <w:rsid w:val="007311C3"/>
    <w:rsid w:val="00731B0A"/>
    <w:rsid w:val="00731EAE"/>
    <w:rsid w:val="0073202E"/>
    <w:rsid w:val="007329EC"/>
    <w:rsid w:val="00732E64"/>
    <w:rsid w:val="00733073"/>
    <w:rsid w:val="00733402"/>
    <w:rsid w:val="00733D7D"/>
    <w:rsid w:val="00734500"/>
    <w:rsid w:val="0073464B"/>
    <w:rsid w:val="00735033"/>
    <w:rsid w:val="00735328"/>
    <w:rsid w:val="00735509"/>
    <w:rsid w:val="00735A86"/>
    <w:rsid w:val="00735D8E"/>
    <w:rsid w:val="007366DC"/>
    <w:rsid w:val="007366DD"/>
    <w:rsid w:val="00736777"/>
    <w:rsid w:val="0073685B"/>
    <w:rsid w:val="00736B67"/>
    <w:rsid w:val="00736DBD"/>
    <w:rsid w:val="00737C71"/>
    <w:rsid w:val="00740357"/>
    <w:rsid w:val="00740A2F"/>
    <w:rsid w:val="00740E7F"/>
    <w:rsid w:val="00742A62"/>
    <w:rsid w:val="00742B44"/>
    <w:rsid w:val="00744042"/>
    <w:rsid w:val="007449BF"/>
    <w:rsid w:val="00744C22"/>
    <w:rsid w:val="00745230"/>
    <w:rsid w:val="0074530B"/>
    <w:rsid w:val="007454D8"/>
    <w:rsid w:val="00745AF7"/>
    <w:rsid w:val="00745C14"/>
    <w:rsid w:val="00746405"/>
    <w:rsid w:val="00746630"/>
    <w:rsid w:val="00746BC0"/>
    <w:rsid w:val="007476A1"/>
    <w:rsid w:val="0074783D"/>
    <w:rsid w:val="00747CCE"/>
    <w:rsid w:val="00747FC1"/>
    <w:rsid w:val="00750C10"/>
    <w:rsid w:val="00750D87"/>
    <w:rsid w:val="007510B4"/>
    <w:rsid w:val="0075115A"/>
    <w:rsid w:val="00751773"/>
    <w:rsid w:val="0075186D"/>
    <w:rsid w:val="00751B93"/>
    <w:rsid w:val="007520C7"/>
    <w:rsid w:val="00752142"/>
    <w:rsid w:val="007523F9"/>
    <w:rsid w:val="0075276C"/>
    <w:rsid w:val="00752B18"/>
    <w:rsid w:val="00752C9D"/>
    <w:rsid w:val="007531AD"/>
    <w:rsid w:val="0075347B"/>
    <w:rsid w:val="0075357E"/>
    <w:rsid w:val="00754291"/>
    <w:rsid w:val="007545D0"/>
    <w:rsid w:val="00754683"/>
    <w:rsid w:val="0075471B"/>
    <w:rsid w:val="00754ADB"/>
    <w:rsid w:val="00754E9F"/>
    <w:rsid w:val="00756530"/>
    <w:rsid w:val="007568BB"/>
    <w:rsid w:val="007569C4"/>
    <w:rsid w:val="00757170"/>
    <w:rsid w:val="007573E8"/>
    <w:rsid w:val="0075757D"/>
    <w:rsid w:val="00757765"/>
    <w:rsid w:val="007600CD"/>
    <w:rsid w:val="0076016C"/>
    <w:rsid w:val="007605C6"/>
    <w:rsid w:val="00760C4E"/>
    <w:rsid w:val="00760F9E"/>
    <w:rsid w:val="007612E2"/>
    <w:rsid w:val="00761C24"/>
    <w:rsid w:val="00761D1B"/>
    <w:rsid w:val="0076246F"/>
    <w:rsid w:val="00762528"/>
    <w:rsid w:val="007627BE"/>
    <w:rsid w:val="00763816"/>
    <w:rsid w:val="007639D3"/>
    <w:rsid w:val="00763CCD"/>
    <w:rsid w:val="007644F6"/>
    <w:rsid w:val="007646F8"/>
    <w:rsid w:val="00764AB4"/>
    <w:rsid w:val="00764BE4"/>
    <w:rsid w:val="00764F03"/>
    <w:rsid w:val="00765A59"/>
    <w:rsid w:val="00765B1A"/>
    <w:rsid w:val="00765CD9"/>
    <w:rsid w:val="007664C1"/>
    <w:rsid w:val="007666EF"/>
    <w:rsid w:val="0076696A"/>
    <w:rsid w:val="00766A2A"/>
    <w:rsid w:val="00766EEA"/>
    <w:rsid w:val="00766F22"/>
    <w:rsid w:val="00767DF1"/>
    <w:rsid w:val="00770B78"/>
    <w:rsid w:val="00770CE9"/>
    <w:rsid w:val="00770D10"/>
    <w:rsid w:val="00771015"/>
    <w:rsid w:val="007719F5"/>
    <w:rsid w:val="00771BFE"/>
    <w:rsid w:val="00772540"/>
    <w:rsid w:val="00772A04"/>
    <w:rsid w:val="00772D38"/>
    <w:rsid w:val="00773314"/>
    <w:rsid w:val="00773502"/>
    <w:rsid w:val="00773B46"/>
    <w:rsid w:val="00773B48"/>
    <w:rsid w:val="00773C6C"/>
    <w:rsid w:val="007741BF"/>
    <w:rsid w:val="00774441"/>
    <w:rsid w:val="00774CE9"/>
    <w:rsid w:val="00774F22"/>
    <w:rsid w:val="0077716A"/>
    <w:rsid w:val="007771F6"/>
    <w:rsid w:val="00777335"/>
    <w:rsid w:val="00777BF2"/>
    <w:rsid w:val="007804EC"/>
    <w:rsid w:val="007812D6"/>
    <w:rsid w:val="007813C9"/>
    <w:rsid w:val="007814BD"/>
    <w:rsid w:val="00781509"/>
    <w:rsid w:val="00781786"/>
    <w:rsid w:val="007820F8"/>
    <w:rsid w:val="007822FC"/>
    <w:rsid w:val="00782477"/>
    <w:rsid w:val="00782589"/>
    <w:rsid w:val="00782D94"/>
    <w:rsid w:val="00782EB5"/>
    <w:rsid w:val="00782EBC"/>
    <w:rsid w:val="00783767"/>
    <w:rsid w:val="00783B4C"/>
    <w:rsid w:val="00783C2F"/>
    <w:rsid w:val="007841AC"/>
    <w:rsid w:val="007843F2"/>
    <w:rsid w:val="0078446E"/>
    <w:rsid w:val="007849A5"/>
    <w:rsid w:val="007849EE"/>
    <w:rsid w:val="00784B8C"/>
    <w:rsid w:val="00785318"/>
    <w:rsid w:val="007859BB"/>
    <w:rsid w:val="00785A9F"/>
    <w:rsid w:val="00785B44"/>
    <w:rsid w:val="007869BC"/>
    <w:rsid w:val="00787551"/>
    <w:rsid w:val="007875AE"/>
    <w:rsid w:val="00787AE2"/>
    <w:rsid w:val="00790943"/>
    <w:rsid w:val="00791BFC"/>
    <w:rsid w:val="00791F99"/>
    <w:rsid w:val="007922DA"/>
    <w:rsid w:val="007925DF"/>
    <w:rsid w:val="00792EDA"/>
    <w:rsid w:val="00793313"/>
    <w:rsid w:val="00793563"/>
    <w:rsid w:val="007958F0"/>
    <w:rsid w:val="007967FE"/>
    <w:rsid w:val="00796C56"/>
    <w:rsid w:val="007977FD"/>
    <w:rsid w:val="007A08AA"/>
    <w:rsid w:val="007A0A12"/>
    <w:rsid w:val="007A0B4C"/>
    <w:rsid w:val="007A132D"/>
    <w:rsid w:val="007A1345"/>
    <w:rsid w:val="007A1B62"/>
    <w:rsid w:val="007A1C8D"/>
    <w:rsid w:val="007A2B0D"/>
    <w:rsid w:val="007A2DDB"/>
    <w:rsid w:val="007A305F"/>
    <w:rsid w:val="007A3220"/>
    <w:rsid w:val="007A32DD"/>
    <w:rsid w:val="007A3C8C"/>
    <w:rsid w:val="007A3E83"/>
    <w:rsid w:val="007A45D3"/>
    <w:rsid w:val="007A4906"/>
    <w:rsid w:val="007A5338"/>
    <w:rsid w:val="007A60B0"/>
    <w:rsid w:val="007A60F2"/>
    <w:rsid w:val="007A683E"/>
    <w:rsid w:val="007A6BBA"/>
    <w:rsid w:val="007A70BA"/>
    <w:rsid w:val="007A7480"/>
    <w:rsid w:val="007A79D6"/>
    <w:rsid w:val="007A7A3C"/>
    <w:rsid w:val="007A7DE7"/>
    <w:rsid w:val="007B0B80"/>
    <w:rsid w:val="007B0D68"/>
    <w:rsid w:val="007B1201"/>
    <w:rsid w:val="007B12A4"/>
    <w:rsid w:val="007B24D5"/>
    <w:rsid w:val="007B251D"/>
    <w:rsid w:val="007B29EE"/>
    <w:rsid w:val="007B4BAA"/>
    <w:rsid w:val="007B4F58"/>
    <w:rsid w:val="007B528D"/>
    <w:rsid w:val="007B63CA"/>
    <w:rsid w:val="007B65D3"/>
    <w:rsid w:val="007B74E1"/>
    <w:rsid w:val="007B77AF"/>
    <w:rsid w:val="007B77D1"/>
    <w:rsid w:val="007C0312"/>
    <w:rsid w:val="007C0412"/>
    <w:rsid w:val="007C07C7"/>
    <w:rsid w:val="007C13E0"/>
    <w:rsid w:val="007C1CD9"/>
    <w:rsid w:val="007C20CD"/>
    <w:rsid w:val="007C22E7"/>
    <w:rsid w:val="007C2411"/>
    <w:rsid w:val="007C249B"/>
    <w:rsid w:val="007C24F2"/>
    <w:rsid w:val="007C2A01"/>
    <w:rsid w:val="007C32EF"/>
    <w:rsid w:val="007C32F9"/>
    <w:rsid w:val="007C361D"/>
    <w:rsid w:val="007C36BB"/>
    <w:rsid w:val="007C42BF"/>
    <w:rsid w:val="007C4B84"/>
    <w:rsid w:val="007C4BEB"/>
    <w:rsid w:val="007C4F07"/>
    <w:rsid w:val="007C50F6"/>
    <w:rsid w:val="007C6FFF"/>
    <w:rsid w:val="007C70FF"/>
    <w:rsid w:val="007C745B"/>
    <w:rsid w:val="007C76CF"/>
    <w:rsid w:val="007C7C25"/>
    <w:rsid w:val="007C7E97"/>
    <w:rsid w:val="007D004F"/>
    <w:rsid w:val="007D0549"/>
    <w:rsid w:val="007D0561"/>
    <w:rsid w:val="007D08A4"/>
    <w:rsid w:val="007D0B38"/>
    <w:rsid w:val="007D0BD1"/>
    <w:rsid w:val="007D0E6D"/>
    <w:rsid w:val="007D12BD"/>
    <w:rsid w:val="007D1437"/>
    <w:rsid w:val="007D1801"/>
    <w:rsid w:val="007D1A3C"/>
    <w:rsid w:val="007D20AA"/>
    <w:rsid w:val="007D25AB"/>
    <w:rsid w:val="007D28C6"/>
    <w:rsid w:val="007D2AA5"/>
    <w:rsid w:val="007D3327"/>
    <w:rsid w:val="007D4C7B"/>
    <w:rsid w:val="007D5440"/>
    <w:rsid w:val="007D5614"/>
    <w:rsid w:val="007D6691"/>
    <w:rsid w:val="007D69EB"/>
    <w:rsid w:val="007D6B1A"/>
    <w:rsid w:val="007D7648"/>
    <w:rsid w:val="007D7BB0"/>
    <w:rsid w:val="007D7CF7"/>
    <w:rsid w:val="007D7E45"/>
    <w:rsid w:val="007E002A"/>
    <w:rsid w:val="007E0DFB"/>
    <w:rsid w:val="007E128F"/>
    <w:rsid w:val="007E1AD4"/>
    <w:rsid w:val="007E1BBC"/>
    <w:rsid w:val="007E1BE7"/>
    <w:rsid w:val="007E3137"/>
    <w:rsid w:val="007E390B"/>
    <w:rsid w:val="007E3AA8"/>
    <w:rsid w:val="007E40D5"/>
    <w:rsid w:val="007E41BE"/>
    <w:rsid w:val="007E4628"/>
    <w:rsid w:val="007E47A9"/>
    <w:rsid w:val="007E59BF"/>
    <w:rsid w:val="007E5A11"/>
    <w:rsid w:val="007E6985"/>
    <w:rsid w:val="007E7718"/>
    <w:rsid w:val="007E7BFF"/>
    <w:rsid w:val="007E7C9F"/>
    <w:rsid w:val="007E7DFE"/>
    <w:rsid w:val="007F0E8F"/>
    <w:rsid w:val="007F1017"/>
    <w:rsid w:val="007F10C2"/>
    <w:rsid w:val="007F1947"/>
    <w:rsid w:val="007F24B2"/>
    <w:rsid w:val="007F2CB2"/>
    <w:rsid w:val="007F31AD"/>
    <w:rsid w:val="007F33C9"/>
    <w:rsid w:val="007F3CFF"/>
    <w:rsid w:val="007F4019"/>
    <w:rsid w:val="007F401E"/>
    <w:rsid w:val="007F43AD"/>
    <w:rsid w:val="007F46FD"/>
    <w:rsid w:val="007F480B"/>
    <w:rsid w:val="007F4A3F"/>
    <w:rsid w:val="007F4A61"/>
    <w:rsid w:val="007F4E1A"/>
    <w:rsid w:val="007F5021"/>
    <w:rsid w:val="007F5255"/>
    <w:rsid w:val="007F52FA"/>
    <w:rsid w:val="007F56CC"/>
    <w:rsid w:val="007F57A1"/>
    <w:rsid w:val="007F5E94"/>
    <w:rsid w:val="007F61C2"/>
    <w:rsid w:val="007F65F3"/>
    <w:rsid w:val="007F7301"/>
    <w:rsid w:val="007F7F7E"/>
    <w:rsid w:val="00800BD9"/>
    <w:rsid w:val="00800FE8"/>
    <w:rsid w:val="00801334"/>
    <w:rsid w:val="008016B8"/>
    <w:rsid w:val="008026BD"/>
    <w:rsid w:val="00803A17"/>
    <w:rsid w:val="00803BE2"/>
    <w:rsid w:val="0080437A"/>
    <w:rsid w:val="00804FEC"/>
    <w:rsid w:val="00805142"/>
    <w:rsid w:val="00805F4E"/>
    <w:rsid w:val="00805FCE"/>
    <w:rsid w:val="00806108"/>
    <w:rsid w:val="0080692C"/>
    <w:rsid w:val="008070DB"/>
    <w:rsid w:val="00807A8B"/>
    <w:rsid w:val="00810695"/>
    <w:rsid w:val="00810F63"/>
    <w:rsid w:val="00811383"/>
    <w:rsid w:val="00812149"/>
    <w:rsid w:val="00812218"/>
    <w:rsid w:val="008128E7"/>
    <w:rsid w:val="00812CAC"/>
    <w:rsid w:val="00812E83"/>
    <w:rsid w:val="00812F41"/>
    <w:rsid w:val="00812FEF"/>
    <w:rsid w:val="0081391C"/>
    <w:rsid w:val="00813AB7"/>
    <w:rsid w:val="00813FBE"/>
    <w:rsid w:val="008142A8"/>
    <w:rsid w:val="00814518"/>
    <w:rsid w:val="0081528E"/>
    <w:rsid w:val="0081533B"/>
    <w:rsid w:val="0081540C"/>
    <w:rsid w:val="00815703"/>
    <w:rsid w:val="008158D5"/>
    <w:rsid w:val="00815DDA"/>
    <w:rsid w:val="00816361"/>
    <w:rsid w:val="008166EF"/>
    <w:rsid w:val="00816FEF"/>
    <w:rsid w:val="00820844"/>
    <w:rsid w:val="00820A8C"/>
    <w:rsid w:val="008215FB"/>
    <w:rsid w:val="0082227C"/>
    <w:rsid w:val="00822849"/>
    <w:rsid w:val="0082306D"/>
    <w:rsid w:val="00823174"/>
    <w:rsid w:val="00823317"/>
    <w:rsid w:val="00823383"/>
    <w:rsid w:val="0082350B"/>
    <w:rsid w:val="00823B1E"/>
    <w:rsid w:val="0082402B"/>
    <w:rsid w:val="00824298"/>
    <w:rsid w:val="00825751"/>
    <w:rsid w:val="00825DA0"/>
    <w:rsid w:val="008264EB"/>
    <w:rsid w:val="008265BD"/>
    <w:rsid w:val="00826ABA"/>
    <w:rsid w:val="00826B4F"/>
    <w:rsid w:val="00826BA3"/>
    <w:rsid w:val="008279DC"/>
    <w:rsid w:val="00827CD2"/>
    <w:rsid w:val="00827E03"/>
    <w:rsid w:val="008314EC"/>
    <w:rsid w:val="008321BB"/>
    <w:rsid w:val="00832C71"/>
    <w:rsid w:val="00833703"/>
    <w:rsid w:val="0083398F"/>
    <w:rsid w:val="00833B05"/>
    <w:rsid w:val="0083430B"/>
    <w:rsid w:val="00835C5F"/>
    <w:rsid w:val="008360EA"/>
    <w:rsid w:val="008362B4"/>
    <w:rsid w:val="008364CD"/>
    <w:rsid w:val="00836504"/>
    <w:rsid w:val="00836C61"/>
    <w:rsid w:val="00836DD2"/>
    <w:rsid w:val="008375EB"/>
    <w:rsid w:val="008401BE"/>
    <w:rsid w:val="008405E3"/>
    <w:rsid w:val="00840BC2"/>
    <w:rsid w:val="00840CA2"/>
    <w:rsid w:val="00841CEA"/>
    <w:rsid w:val="008422A6"/>
    <w:rsid w:val="008423F9"/>
    <w:rsid w:val="008425CC"/>
    <w:rsid w:val="00842678"/>
    <w:rsid w:val="00842746"/>
    <w:rsid w:val="0084374F"/>
    <w:rsid w:val="008437FE"/>
    <w:rsid w:val="0084467D"/>
    <w:rsid w:val="00844A22"/>
    <w:rsid w:val="008453C1"/>
    <w:rsid w:val="008453E8"/>
    <w:rsid w:val="00845BA6"/>
    <w:rsid w:val="0084612A"/>
    <w:rsid w:val="0084618D"/>
    <w:rsid w:val="00846841"/>
    <w:rsid w:val="00847703"/>
    <w:rsid w:val="008479C5"/>
    <w:rsid w:val="00847DF5"/>
    <w:rsid w:val="00850A06"/>
    <w:rsid w:val="00850FC7"/>
    <w:rsid w:val="00851524"/>
    <w:rsid w:val="00851A0D"/>
    <w:rsid w:val="00851F2C"/>
    <w:rsid w:val="0085214F"/>
    <w:rsid w:val="008521F9"/>
    <w:rsid w:val="00852520"/>
    <w:rsid w:val="00852764"/>
    <w:rsid w:val="0085309D"/>
    <w:rsid w:val="008533C5"/>
    <w:rsid w:val="00853BAA"/>
    <w:rsid w:val="00854D83"/>
    <w:rsid w:val="008556BE"/>
    <w:rsid w:val="00856488"/>
    <w:rsid w:val="008564A0"/>
    <w:rsid w:val="00856897"/>
    <w:rsid w:val="00856E9A"/>
    <w:rsid w:val="00857282"/>
    <w:rsid w:val="0085766C"/>
    <w:rsid w:val="008600BF"/>
    <w:rsid w:val="0086075D"/>
    <w:rsid w:val="008620D4"/>
    <w:rsid w:val="008621F4"/>
    <w:rsid w:val="00862502"/>
    <w:rsid w:val="008625B0"/>
    <w:rsid w:val="00862A86"/>
    <w:rsid w:val="00862CC1"/>
    <w:rsid w:val="008638AA"/>
    <w:rsid w:val="00863F8A"/>
    <w:rsid w:val="00864121"/>
    <w:rsid w:val="00865351"/>
    <w:rsid w:val="00865436"/>
    <w:rsid w:val="00865F73"/>
    <w:rsid w:val="008660D4"/>
    <w:rsid w:val="008662B0"/>
    <w:rsid w:val="008662FB"/>
    <w:rsid w:val="00866868"/>
    <w:rsid w:val="008677D1"/>
    <w:rsid w:val="00867C85"/>
    <w:rsid w:val="00871A09"/>
    <w:rsid w:val="00871FA9"/>
    <w:rsid w:val="008728E9"/>
    <w:rsid w:val="00872BB3"/>
    <w:rsid w:val="00872FBA"/>
    <w:rsid w:val="00873A24"/>
    <w:rsid w:val="00873AD8"/>
    <w:rsid w:val="008742FF"/>
    <w:rsid w:val="008745D9"/>
    <w:rsid w:val="00874AAC"/>
    <w:rsid w:val="0087510D"/>
    <w:rsid w:val="008754F0"/>
    <w:rsid w:val="008755EB"/>
    <w:rsid w:val="00875EFC"/>
    <w:rsid w:val="00876A16"/>
    <w:rsid w:val="008774DC"/>
    <w:rsid w:val="00877611"/>
    <w:rsid w:val="00877891"/>
    <w:rsid w:val="00877E0C"/>
    <w:rsid w:val="00877F4E"/>
    <w:rsid w:val="00880410"/>
    <w:rsid w:val="0088123D"/>
    <w:rsid w:val="00881669"/>
    <w:rsid w:val="0088182B"/>
    <w:rsid w:val="008819A6"/>
    <w:rsid w:val="00882874"/>
    <w:rsid w:val="00882E3C"/>
    <w:rsid w:val="008832D2"/>
    <w:rsid w:val="00883787"/>
    <w:rsid w:val="00883901"/>
    <w:rsid w:val="00883948"/>
    <w:rsid w:val="00884E5D"/>
    <w:rsid w:val="00884E6C"/>
    <w:rsid w:val="008855E4"/>
    <w:rsid w:val="008856A3"/>
    <w:rsid w:val="00886009"/>
    <w:rsid w:val="00886442"/>
    <w:rsid w:val="00886CD2"/>
    <w:rsid w:val="00887571"/>
    <w:rsid w:val="008876E3"/>
    <w:rsid w:val="0088780B"/>
    <w:rsid w:val="00887E48"/>
    <w:rsid w:val="008900D1"/>
    <w:rsid w:val="008900F6"/>
    <w:rsid w:val="00890330"/>
    <w:rsid w:val="00891096"/>
    <w:rsid w:val="0089181F"/>
    <w:rsid w:val="00891E6F"/>
    <w:rsid w:val="0089252D"/>
    <w:rsid w:val="0089275D"/>
    <w:rsid w:val="00892973"/>
    <w:rsid w:val="00892A36"/>
    <w:rsid w:val="008930D5"/>
    <w:rsid w:val="00893239"/>
    <w:rsid w:val="008932CF"/>
    <w:rsid w:val="008932D5"/>
    <w:rsid w:val="00893B40"/>
    <w:rsid w:val="00893DA4"/>
    <w:rsid w:val="00894489"/>
    <w:rsid w:val="008947E8"/>
    <w:rsid w:val="008948B5"/>
    <w:rsid w:val="008949B6"/>
    <w:rsid w:val="008963A5"/>
    <w:rsid w:val="00896D5D"/>
    <w:rsid w:val="00897A76"/>
    <w:rsid w:val="00897BFB"/>
    <w:rsid w:val="00897D40"/>
    <w:rsid w:val="008A00E2"/>
    <w:rsid w:val="008A178B"/>
    <w:rsid w:val="008A1C21"/>
    <w:rsid w:val="008A264F"/>
    <w:rsid w:val="008A29D8"/>
    <w:rsid w:val="008A2F46"/>
    <w:rsid w:val="008A3363"/>
    <w:rsid w:val="008A3371"/>
    <w:rsid w:val="008A3C3E"/>
    <w:rsid w:val="008A4993"/>
    <w:rsid w:val="008A4CE1"/>
    <w:rsid w:val="008A4F8A"/>
    <w:rsid w:val="008A5211"/>
    <w:rsid w:val="008A52F3"/>
    <w:rsid w:val="008A54CB"/>
    <w:rsid w:val="008A5C68"/>
    <w:rsid w:val="008A65F8"/>
    <w:rsid w:val="008A6CC3"/>
    <w:rsid w:val="008A6CEA"/>
    <w:rsid w:val="008A796D"/>
    <w:rsid w:val="008A79DE"/>
    <w:rsid w:val="008A7B0D"/>
    <w:rsid w:val="008B0166"/>
    <w:rsid w:val="008B059D"/>
    <w:rsid w:val="008B081E"/>
    <w:rsid w:val="008B095B"/>
    <w:rsid w:val="008B0A21"/>
    <w:rsid w:val="008B0C97"/>
    <w:rsid w:val="008B1091"/>
    <w:rsid w:val="008B153A"/>
    <w:rsid w:val="008B1757"/>
    <w:rsid w:val="008B1C23"/>
    <w:rsid w:val="008B1D8B"/>
    <w:rsid w:val="008B2072"/>
    <w:rsid w:val="008B278E"/>
    <w:rsid w:val="008B34CB"/>
    <w:rsid w:val="008B37CB"/>
    <w:rsid w:val="008B3CF0"/>
    <w:rsid w:val="008B4CBF"/>
    <w:rsid w:val="008B59F9"/>
    <w:rsid w:val="008B5B7E"/>
    <w:rsid w:val="008B6759"/>
    <w:rsid w:val="008B6E4B"/>
    <w:rsid w:val="008B7746"/>
    <w:rsid w:val="008B77CC"/>
    <w:rsid w:val="008B7992"/>
    <w:rsid w:val="008B7D0F"/>
    <w:rsid w:val="008B7D34"/>
    <w:rsid w:val="008B7D7E"/>
    <w:rsid w:val="008B7F34"/>
    <w:rsid w:val="008C0439"/>
    <w:rsid w:val="008C0CDB"/>
    <w:rsid w:val="008C1156"/>
    <w:rsid w:val="008C1C44"/>
    <w:rsid w:val="008C222F"/>
    <w:rsid w:val="008C30B3"/>
    <w:rsid w:val="008C32A9"/>
    <w:rsid w:val="008C37D8"/>
    <w:rsid w:val="008C3A79"/>
    <w:rsid w:val="008C41F0"/>
    <w:rsid w:val="008C41F6"/>
    <w:rsid w:val="008C44D9"/>
    <w:rsid w:val="008C4772"/>
    <w:rsid w:val="008C4ED7"/>
    <w:rsid w:val="008C4F76"/>
    <w:rsid w:val="008C53A0"/>
    <w:rsid w:val="008C5610"/>
    <w:rsid w:val="008C5739"/>
    <w:rsid w:val="008C5814"/>
    <w:rsid w:val="008C5EA9"/>
    <w:rsid w:val="008C61CF"/>
    <w:rsid w:val="008C6457"/>
    <w:rsid w:val="008C6B24"/>
    <w:rsid w:val="008C7ECB"/>
    <w:rsid w:val="008D05EC"/>
    <w:rsid w:val="008D0C44"/>
    <w:rsid w:val="008D14E6"/>
    <w:rsid w:val="008D1F68"/>
    <w:rsid w:val="008D2156"/>
    <w:rsid w:val="008D29DE"/>
    <w:rsid w:val="008D2A46"/>
    <w:rsid w:val="008D38BB"/>
    <w:rsid w:val="008D3B3D"/>
    <w:rsid w:val="008D3B86"/>
    <w:rsid w:val="008D3DCF"/>
    <w:rsid w:val="008D4755"/>
    <w:rsid w:val="008D496E"/>
    <w:rsid w:val="008D4C3D"/>
    <w:rsid w:val="008D527C"/>
    <w:rsid w:val="008D60D6"/>
    <w:rsid w:val="008D6EEE"/>
    <w:rsid w:val="008D743C"/>
    <w:rsid w:val="008D7ECF"/>
    <w:rsid w:val="008E0605"/>
    <w:rsid w:val="008E0A51"/>
    <w:rsid w:val="008E0D3C"/>
    <w:rsid w:val="008E1269"/>
    <w:rsid w:val="008E1978"/>
    <w:rsid w:val="008E1B9E"/>
    <w:rsid w:val="008E2532"/>
    <w:rsid w:val="008E2A68"/>
    <w:rsid w:val="008E3E7E"/>
    <w:rsid w:val="008E420D"/>
    <w:rsid w:val="008E4688"/>
    <w:rsid w:val="008E4A5F"/>
    <w:rsid w:val="008E4F55"/>
    <w:rsid w:val="008E55AB"/>
    <w:rsid w:val="008E68D6"/>
    <w:rsid w:val="008E72A9"/>
    <w:rsid w:val="008E7683"/>
    <w:rsid w:val="008F03AD"/>
    <w:rsid w:val="008F0B80"/>
    <w:rsid w:val="008F0DE1"/>
    <w:rsid w:val="008F0EEC"/>
    <w:rsid w:val="008F120A"/>
    <w:rsid w:val="008F13B2"/>
    <w:rsid w:val="008F1E41"/>
    <w:rsid w:val="008F253D"/>
    <w:rsid w:val="008F27E0"/>
    <w:rsid w:val="008F28AB"/>
    <w:rsid w:val="008F2BBA"/>
    <w:rsid w:val="008F3DC0"/>
    <w:rsid w:val="008F42E3"/>
    <w:rsid w:val="008F459A"/>
    <w:rsid w:val="008F47A9"/>
    <w:rsid w:val="008F48EB"/>
    <w:rsid w:val="008F4F0B"/>
    <w:rsid w:val="008F5133"/>
    <w:rsid w:val="008F619A"/>
    <w:rsid w:val="008F6312"/>
    <w:rsid w:val="008F674D"/>
    <w:rsid w:val="008F7446"/>
    <w:rsid w:val="008F77C9"/>
    <w:rsid w:val="0090035F"/>
    <w:rsid w:val="009003CA"/>
    <w:rsid w:val="00901BBA"/>
    <w:rsid w:val="00901C8C"/>
    <w:rsid w:val="00901F6D"/>
    <w:rsid w:val="009021E0"/>
    <w:rsid w:val="0090291C"/>
    <w:rsid w:val="00902BD5"/>
    <w:rsid w:val="00902CC3"/>
    <w:rsid w:val="00903E84"/>
    <w:rsid w:val="00903ECA"/>
    <w:rsid w:val="009040B6"/>
    <w:rsid w:val="00904585"/>
    <w:rsid w:val="009046C4"/>
    <w:rsid w:val="009062A5"/>
    <w:rsid w:val="00906677"/>
    <w:rsid w:val="00906787"/>
    <w:rsid w:val="00906AE8"/>
    <w:rsid w:val="0090766B"/>
    <w:rsid w:val="009079F3"/>
    <w:rsid w:val="00910A07"/>
    <w:rsid w:val="00910D2D"/>
    <w:rsid w:val="00910FA7"/>
    <w:rsid w:val="0091120E"/>
    <w:rsid w:val="00911272"/>
    <w:rsid w:val="009114DB"/>
    <w:rsid w:val="009120AD"/>
    <w:rsid w:val="00912635"/>
    <w:rsid w:val="00912733"/>
    <w:rsid w:val="00912BF6"/>
    <w:rsid w:val="009135D6"/>
    <w:rsid w:val="00913A94"/>
    <w:rsid w:val="00913B28"/>
    <w:rsid w:val="00913C45"/>
    <w:rsid w:val="00914062"/>
    <w:rsid w:val="0091473C"/>
    <w:rsid w:val="00914AD9"/>
    <w:rsid w:val="00914C77"/>
    <w:rsid w:val="0091588D"/>
    <w:rsid w:val="00915A6B"/>
    <w:rsid w:val="009167EF"/>
    <w:rsid w:val="00916B19"/>
    <w:rsid w:val="009170B3"/>
    <w:rsid w:val="009171CA"/>
    <w:rsid w:val="00917818"/>
    <w:rsid w:val="00917F78"/>
    <w:rsid w:val="009212E0"/>
    <w:rsid w:val="009214C1"/>
    <w:rsid w:val="00921ACB"/>
    <w:rsid w:val="00921D7F"/>
    <w:rsid w:val="00921D89"/>
    <w:rsid w:val="00922432"/>
    <w:rsid w:val="00922EFE"/>
    <w:rsid w:val="009230C8"/>
    <w:rsid w:val="0092369B"/>
    <w:rsid w:val="0092492C"/>
    <w:rsid w:val="00924B6D"/>
    <w:rsid w:val="00924E64"/>
    <w:rsid w:val="00924E6C"/>
    <w:rsid w:val="00925180"/>
    <w:rsid w:val="009255BD"/>
    <w:rsid w:val="00925AF3"/>
    <w:rsid w:val="00925D32"/>
    <w:rsid w:val="009263C1"/>
    <w:rsid w:val="00927086"/>
    <w:rsid w:val="009274A1"/>
    <w:rsid w:val="0092772E"/>
    <w:rsid w:val="00927A7E"/>
    <w:rsid w:val="00927BE9"/>
    <w:rsid w:val="009302FC"/>
    <w:rsid w:val="009307B5"/>
    <w:rsid w:val="00930EC2"/>
    <w:rsid w:val="00930FFD"/>
    <w:rsid w:val="009318C2"/>
    <w:rsid w:val="0093222E"/>
    <w:rsid w:val="0093250B"/>
    <w:rsid w:val="00932595"/>
    <w:rsid w:val="0093375A"/>
    <w:rsid w:val="009341B9"/>
    <w:rsid w:val="0093462F"/>
    <w:rsid w:val="00934988"/>
    <w:rsid w:val="00935145"/>
    <w:rsid w:val="009356B0"/>
    <w:rsid w:val="00936598"/>
    <w:rsid w:val="009365CE"/>
    <w:rsid w:val="00937089"/>
    <w:rsid w:val="00937506"/>
    <w:rsid w:val="0093786D"/>
    <w:rsid w:val="00940080"/>
    <w:rsid w:val="00940109"/>
    <w:rsid w:val="0094054F"/>
    <w:rsid w:val="00940B0B"/>
    <w:rsid w:val="009413FB"/>
    <w:rsid w:val="00941A11"/>
    <w:rsid w:val="00942060"/>
    <w:rsid w:val="00942CA0"/>
    <w:rsid w:val="00942F35"/>
    <w:rsid w:val="009433FB"/>
    <w:rsid w:val="0094341F"/>
    <w:rsid w:val="009434F0"/>
    <w:rsid w:val="00943799"/>
    <w:rsid w:val="00943889"/>
    <w:rsid w:val="00943BEF"/>
    <w:rsid w:val="00944168"/>
    <w:rsid w:val="009443F7"/>
    <w:rsid w:val="00944DCF"/>
    <w:rsid w:val="00944EAE"/>
    <w:rsid w:val="00944F8A"/>
    <w:rsid w:val="009462E7"/>
    <w:rsid w:val="0094644C"/>
    <w:rsid w:val="009464CF"/>
    <w:rsid w:val="00946A19"/>
    <w:rsid w:val="00947466"/>
    <w:rsid w:val="00947E4D"/>
    <w:rsid w:val="00947F83"/>
    <w:rsid w:val="00950379"/>
    <w:rsid w:val="00950B31"/>
    <w:rsid w:val="00950D18"/>
    <w:rsid w:val="009510A2"/>
    <w:rsid w:val="0095147E"/>
    <w:rsid w:val="00951E66"/>
    <w:rsid w:val="00952E37"/>
    <w:rsid w:val="00953257"/>
    <w:rsid w:val="00953573"/>
    <w:rsid w:val="009537E2"/>
    <w:rsid w:val="0095388F"/>
    <w:rsid w:val="00953D41"/>
    <w:rsid w:val="0095474C"/>
    <w:rsid w:val="0095479B"/>
    <w:rsid w:val="009548F7"/>
    <w:rsid w:val="00954C81"/>
    <w:rsid w:val="009557A2"/>
    <w:rsid w:val="00955C0C"/>
    <w:rsid w:val="009560B6"/>
    <w:rsid w:val="00956511"/>
    <w:rsid w:val="009578CB"/>
    <w:rsid w:val="00957DB3"/>
    <w:rsid w:val="00960142"/>
    <w:rsid w:val="009602EA"/>
    <w:rsid w:val="00960D3B"/>
    <w:rsid w:val="00960FF8"/>
    <w:rsid w:val="00961C24"/>
    <w:rsid w:val="00962912"/>
    <w:rsid w:val="00962CB9"/>
    <w:rsid w:val="00964312"/>
    <w:rsid w:val="009643B4"/>
    <w:rsid w:val="00964A74"/>
    <w:rsid w:val="00964BFE"/>
    <w:rsid w:val="00964F10"/>
    <w:rsid w:val="009651B3"/>
    <w:rsid w:val="00965676"/>
    <w:rsid w:val="00965B8A"/>
    <w:rsid w:val="009664BA"/>
    <w:rsid w:val="0096658A"/>
    <w:rsid w:val="009667C0"/>
    <w:rsid w:val="00966875"/>
    <w:rsid w:val="00966ADB"/>
    <w:rsid w:val="00966BEA"/>
    <w:rsid w:val="009677E2"/>
    <w:rsid w:val="009677F8"/>
    <w:rsid w:val="00967FF1"/>
    <w:rsid w:val="0097071F"/>
    <w:rsid w:val="00970BB5"/>
    <w:rsid w:val="00970FF6"/>
    <w:rsid w:val="00971235"/>
    <w:rsid w:val="00971391"/>
    <w:rsid w:val="009717AC"/>
    <w:rsid w:val="00971A7E"/>
    <w:rsid w:val="00971E39"/>
    <w:rsid w:val="00972EB0"/>
    <w:rsid w:val="00973360"/>
    <w:rsid w:val="009741B2"/>
    <w:rsid w:val="009745A6"/>
    <w:rsid w:val="0097509B"/>
    <w:rsid w:val="009751C1"/>
    <w:rsid w:val="00975D68"/>
    <w:rsid w:val="00975F19"/>
    <w:rsid w:val="009763D2"/>
    <w:rsid w:val="0097645D"/>
    <w:rsid w:val="00976FEF"/>
    <w:rsid w:val="009771EA"/>
    <w:rsid w:val="009779E2"/>
    <w:rsid w:val="009805F6"/>
    <w:rsid w:val="00980600"/>
    <w:rsid w:val="009811F1"/>
    <w:rsid w:val="009813F6"/>
    <w:rsid w:val="009815EA"/>
    <w:rsid w:val="00981ED8"/>
    <w:rsid w:val="009822A1"/>
    <w:rsid w:val="00982C68"/>
    <w:rsid w:val="00982CDB"/>
    <w:rsid w:val="00982CE2"/>
    <w:rsid w:val="0098339A"/>
    <w:rsid w:val="009833AE"/>
    <w:rsid w:val="00983E57"/>
    <w:rsid w:val="00983F7B"/>
    <w:rsid w:val="0098467E"/>
    <w:rsid w:val="00984986"/>
    <w:rsid w:val="009851E7"/>
    <w:rsid w:val="00985590"/>
    <w:rsid w:val="00985C2C"/>
    <w:rsid w:val="00985DE2"/>
    <w:rsid w:val="00986321"/>
    <w:rsid w:val="0098675D"/>
    <w:rsid w:val="00986C3F"/>
    <w:rsid w:val="00987306"/>
    <w:rsid w:val="009876BF"/>
    <w:rsid w:val="0099007E"/>
    <w:rsid w:val="00990ACE"/>
    <w:rsid w:val="00990D3C"/>
    <w:rsid w:val="0099190A"/>
    <w:rsid w:val="00991C9E"/>
    <w:rsid w:val="009926E0"/>
    <w:rsid w:val="00992D26"/>
    <w:rsid w:val="00992DCE"/>
    <w:rsid w:val="0099383F"/>
    <w:rsid w:val="00993E2E"/>
    <w:rsid w:val="0099451E"/>
    <w:rsid w:val="00994596"/>
    <w:rsid w:val="009945D2"/>
    <w:rsid w:val="00994CCE"/>
    <w:rsid w:val="00994D10"/>
    <w:rsid w:val="00994E6E"/>
    <w:rsid w:val="00995881"/>
    <w:rsid w:val="009963E8"/>
    <w:rsid w:val="009964BA"/>
    <w:rsid w:val="00996964"/>
    <w:rsid w:val="00996B1A"/>
    <w:rsid w:val="0099718C"/>
    <w:rsid w:val="00997882"/>
    <w:rsid w:val="009A0410"/>
    <w:rsid w:val="009A08F2"/>
    <w:rsid w:val="009A0A82"/>
    <w:rsid w:val="009A0C16"/>
    <w:rsid w:val="009A18FE"/>
    <w:rsid w:val="009A1EC9"/>
    <w:rsid w:val="009A2A74"/>
    <w:rsid w:val="009A2C2E"/>
    <w:rsid w:val="009A2DCC"/>
    <w:rsid w:val="009A37D3"/>
    <w:rsid w:val="009A3EF0"/>
    <w:rsid w:val="009A417F"/>
    <w:rsid w:val="009A4E02"/>
    <w:rsid w:val="009A5ABC"/>
    <w:rsid w:val="009A653B"/>
    <w:rsid w:val="009A6618"/>
    <w:rsid w:val="009A7B7E"/>
    <w:rsid w:val="009A7D81"/>
    <w:rsid w:val="009A7F10"/>
    <w:rsid w:val="009B0948"/>
    <w:rsid w:val="009B0D42"/>
    <w:rsid w:val="009B38D3"/>
    <w:rsid w:val="009B3E26"/>
    <w:rsid w:val="009B421F"/>
    <w:rsid w:val="009B584B"/>
    <w:rsid w:val="009B5A55"/>
    <w:rsid w:val="009B62C2"/>
    <w:rsid w:val="009C00E4"/>
    <w:rsid w:val="009C0E0F"/>
    <w:rsid w:val="009C16BD"/>
    <w:rsid w:val="009C1A65"/>
    <w:rsid w:val="009C1FBD"/>
    <w:rsid w:val="009C21C0"/>
    <w:rsid w:val="009C27F7"/>
    <w:rsid w:val="009C30E6"/>
    <w:rsid w:val="009C3706"/>
    <w:rsid w:val="009C3894"/>
    <w:rsid w:val="009C3A3A"/>
    <w:rsid w:val="009C4216"/>
    <w:rsid w:val="009C42CA"/>
    <w:rsid w:val="009C4DFB"/>
    <w:rsid w:val="009C549A"/>
    <w:rsid w:val="009C5844"/>
    <w:rsid w:val="009C5E84"/>
    <w:rsid w:val="009C6684"/>
    <w:rsid w:val="009C6CEA"/>
    <w:rsid w:val="009C6EC5"/>
    <w:rsid w:val="009C7001"/>
    <w:rsid w:val="009C7A82"/>
    <w:rsid w:val="009C7B85"/>
    <w:rsid w:val="009D0254"/>
    <w:rsid w:val="009D02FB"/>
    <w:rsid w:val="009D1007"/>
    <w:rsid w:val="009D1A64"/>
    <w:rsid w:val="009D224F"/>
    <w:rsid w:val="009D397C"/>
    <w:rsid w:val="009D3E9A"/>
    <w:rsid w:val="009D4297"/>
    <w:rsid w:val="009D4EAE"/>
    <w:rsid w:val="009D5B91"/>
    <w:rsid w:val="009D61AD"/>
    <w:rsid w:val="009D706C"/>
    <w:rsid w:val="009D70DA"/>
    <w:rsid w:val="009D733A"/>
    <w:rsid w:val="009D792E"/>
    <w:rsid w:val="009D7C2D"/>
    <w:rsid w:val="009E0DFE"/>
    <w:rsid w:val="009E134D"/>
    <w:rsid w:val="009E1A32"/>
    <w:rsid w:val="009E28EC"/>
    <w:rsid w:val="009E31F6"/>
    <w:rsid w:val="009E3467"/>
    <w:rsid w:val="009E4097"/>
    <w:rsid w:val="009E40AF"/>
    <w:rsid w:val="009E477C"/>
    <w:rsid w:val="009E4BB5"/>
    <w:rsid w:val="009E4C07"/>
    <w:rsid w:val="009E4E55"/>
    <w:rsid w:val="009E6A9A"/>
    <w:rsid w:val="009E75D2"/>
    <w:rsid w:val="009F020C"/>
    <w:rsid w:val="009F0582"/>
    <w:rsid w:val="009F11EA"/>
    <w:rsid w:val="009F17E3"/>
    <w:rsid w:val="009F1A2B"/>
    <w:rsid w:val="009F1AEF"/>
    <w:rsid w:val="009F2276"/>
    <w:rsid w:val="009F3D8B"/>
    <w:rsid w:val="009F40FE"/>
    <w:rsid w:val="009F447B"/>
    <w:rsid w:val="009F4A95"/>
    <w:rsid w:val="009F536E"/>
    <w:rsid w:val="009F553F"/>
    <w:rsid w:val="009F61C6"/>
    <w:rsid w:val="009F6699"/>
    <w:rsid w:val="009F7443"/>
    <w:rsid w:val="00A004FC"/>
    <w:rsid w:val="00A00708"/>
    <w:rsid w:val="00A01184"/>
    <w:rsid w:val="00A011E1"/>
    <w:rsid w:val="00A0171F"/>
    <w:rsid w:val="00A02955"/>
    <w:rsid w:val="00A0362D"/>
    <w:rsid w:val="00A037C2"/>
    <w:rsid w:val="00A03D43"/>
    <w:rsid w:val="00A04380"/>
    <w:rsid w:val="00A044E7"/>
    <w:rsid w:val="00A048C8"/>
    <w:rsid w:val="00A04D57"/>
    <w:rsid w:val="00A05124"/>
    <w:rsid w:val="00A05196"/>
    <w:rsid w:val="00A05472"/>
    <w:rsid w:val="00A05C32"/>
    <w:rsid w:val="00A05EB7"/>
    <w:rsid w:val="00A0653F"/>
    <w:rsid w:val="00A067B1"/>
    <w:rsid w:val="00A068D9"/>
    <w:rsid w:val="00A06FAC"/>
    <w:rsid w:val="00A07EAD"/>
    <w:rsid w:val="00A10162"/>
    <w:rsid w:val="00A10AD5"/>
    <w:rsid w:val="00A11CD0"/>
    <w:rsid w:val="00A11D01"/>
    <w:rsid w:val="00A127E9"/>
    <w:rsid w:val="00A12ABF"/>
    <w:rsid w:val="00A12C90"/>
    <w:rsid w:val="00A13256"/>
    <w:rsid w:val="00A1362A"/>
    <w:rsid w:val="00A13948"/>
    <w:rsid w:val="00A13D90"/>
    <w:rsid w:val="00A1403D"/>
    <w:rsid w:val="00A146A3"/>
    <w:rsid w:val="00A148A2"/>
    <w:rsid w:val="00A1555B"/>
    <w:rsid w:val="00A155C5"/>
    <w:rsid w:val="00A167FA"/>
    <w:rsid w:val="00A168BD"/>
    <w:rsid w:val="00A16AD8"/>
    <w:rsid w:val="00A16D39"/>
    <w:rsid w:val="00A16D7B"/>
    <w:rsid w:val="00A17350"/>
    <w:rsid w:val="00A17968"/>
    <w:rsid w:val="00A20123"/>
    <w:rsid w:val="00A20A12"/>
    <w:rsid w:val="00A20ACE"/>
    <w:rsid w:val="00A20B1D"/>
    <w:rsid w:val="00A2175C"/>
    <w:rsid w:val="00A21AD9"/>
    <w:rsid w:val="00A21C95"/>
    <w:rsid w:val="00A21CF3"/>
    <w:rsid w:val="00A21D74"/>
    <w:rsid w:val="00A222C7"/>
    <w:rsid w:val="00A23DAD"/>
    <w:rsid w:val="00A2428C"/>
    <w:rsid w:val="00A24813"/>
    <w:rsid w:val="00A251F2"/>
    <w:rsid w:val="00A256B1"/>
    <w:rsid w:val="00A25BEE"/>
    <w:rsid w:val="00A25FE7"/>
    <w:rsid w:val="00A26590"/>
    <w:rsid w:val="00A27AEC"/>
    <w:rsid w:val="00A27DCC"/>
    <w:rsid w:val="00A30273"/>
    <w:rsid w:val="00A30447"/>
    <w:rsid w:val="00A31462"/>
    <w:rsid w:val="00A31B13"/>
    <w:rsid w:val="00A320DB"/>
    <w:rsid w:val="00A32534"/>
    <w:rsid w:val="00A33FD6"/>
    <w:rsid w:val="00A352FE"/>
    <w:rsid w:val="00A35D16"/>
    <w:rsid w:val="00A35FA6"/>
    <w:rsid w:val="00A36130"/>
    <w:rsid w:val="00A37BCD"/>
    <w:rsid w:val="00A40131"/>
    <w:rsid w:val="00A40A58"/>
    <w:rsid w:val="00A40F69"/>
    <w:rsid w:val="00A4166A"/>
    <w:rsid w:val="00A41689"/>
    <w:rsid w:val="00A41D7E"/>
    <w:rsid w:val="00A41D84"/>
    <w:rsid w:val="00A42473"/>
    <w:rsid w:val="00A42478"/>
    <w:rsid w:val="00A42592"/>
    <w:rsid w:val="00A42768"/>
    <w:rsid w:val="00A42C8A"/>
    <w:rsid w:val="00A42E80"/>
    <w:rsid w:val="00A4301F"/>
    <w:rsid w:val="00A43110"/>
    <w:rsid w:val="00A43C59"/>
    <w:rsid w:val="00A43DF6"/>
    <w:rsid w:val="00A471D8"/>
    <w:rsid w:val="00A50023"/>
    <w:rsid w:val="00A50382"/>
    <w:rsid w:val="00A50AAF"/>
    <w:rsid w:val="00A50ECD"/>
    <w:rsid w:val="00A515D1"/>
    <w:rsid w:val="00A518F3"/>
    <w:rsid w:val="00A52729"/>
    <w:rsid w:val="00A5294B"/>
    <w:rsid w:val="00A53675"/>
    <w:rsid w:val="00A53A93"/>
    <w:rsid w:val="00A53DC9"/>
    <w:rsid w:val="00A54B58"/>
    <w:rsid w:val="00A54BAC"/>
    <w:rsid w:val="00A554B0"/>
    <w:rsid w:val="00A55B47"/>
    <w:rsid w:val="00A564D7"/>
    <w:rsid w:val="00A56B6A"/>
    <w:rsid w:val="00A56F2A"/>
    <w:rsid w:val="00A57668"/>
    <w:rsid w:val="00A578DC"/>
    <w:rsid w:val="00A579AC"/>
    <w:rsid w:val="00A57B7D"/>
    <w:rsid w:val="00A60574"/>
    <w:rsid w:val="00A60957"/>
    <w:rsid w:val="00A609B9"/>
    <w:rsid w:val="00A60A01"/>
    <w:rsid w:val="00A60C3B"/>
    <w:rsid w:val="00A60DCB"/>
    <w:rsid w:val="00A60DE4"/>
    <w:rsid w:val="00A61080"/>
    <w:rsid w:val="00A61888"/>
    <w:rsid w:val="00A61CE2"/>
    <w:rsid w:val="00A623B4"/>
    <w:rsid w:val="00A62756"/>
    <w:rsid w:val="00A63ABC"/>
    <w:rsid w:val="00A64052"/>
    <w:rsid w:val="00A640E2"/>
    <w:rsid w:val="00A64929"/>
    <w:rsid w:val="00A64C96"/>
    <w:rsid w:val="00A64D65"/>
    <w:rsid w:val="00A64D92"/>
    <w:rsid w:val="00A653D9"/>
    <w:rsid w:val="00A65694"/>
    <w:rsid w:val="00A65DA3"/>
    <w:rsid w:val="00A664B5"/>
    <w:rsid w:val="00A66B90"/>
    <w:rsid w:val="00A67076"/>
    <w:rsid w:val="00A6725B"/>
    <w:rsid w:val="00A67507"/>
    <w:rsid w:val="00A67544"/>
    <w:rsid w:val="00A701D7"/>
    <w:rsid w:val="00A70605"/>
    <w:rsid w:val="00A70D24"/>
    <w:rsid w:val="00A710B5"/>
    <w:rsid w:val="00A719E5"/>
    <w:rsid w:val="00A73134"/>
    <w:rsid w:val="00A731A2"/>
    <w:rsid w:val="00A749D1"/>
    <w:rsid w:val="00A754B8"/>
    <w:rsid w:val="00A76001"/>
    <w:rsid w:val="00A765AB"/>
    <w:rsid w:val="00A76789"/>
    <w:rsid w:val="00A7683F"/>
    <w:rsid w:val="00A77695"/>
    <w:rsid w:val="00A777B2"/>
    <w:rsid w:val="00A77E5E"/>
    <w:rsid w:val="00A8165B"/>
    <w:rsid w:val="00A81A4E"/>
    <w:rsid w:val="00A82521"/>
    <w:rsid w:val="00A825D4"/>
    <w:rsid w:val="00A825FD"/>
    <w:rsid w:val="00A82754"/>
    <w:rsid w:val="00A828F6"/>
    <w:rsid w:val="00A82B73"/>
    <w:rsid w:val="00A82CD7"/>
    <w:rsid w:val="00A82E48"/>
    <w:rsid w:val="00A83134"/>
    <w:rsid w:val="00A832D7"/>
    <w:rsid w:val="00A84107"/>
    <w:rsid w:val="00A8424B"/>
    <w:rsid w:val="00A844D4"/>
    <w:rsid w:val="00A8477E"/>
    <w:rsid w:val="00A84E6F"/>
    <w:rsid w:val="00A84F59"/>
    <w:rsid w:val="00A8543C"/>
    <w:rsid w:val="00A85AEC"/>
    <w:rsid w:val="00A8673D"/>
    <w:rsid w:val="00A86A95"/>
    <w:rsid w:val="00A86E8B"/>
    <w:rsid w:val="00A87107"/>
    <w:rsid w:val="00A87164"/>
    <w:rsid w:val="00A871D7"/>
    <w:rsid w:val="00A873BA"/>
    <w:rsid w:val="00A90516"/>
    <w:rsid w:val="00A90B37"/>
    <w:rsid w:val="00A90D62"/>
    <w:rsid w:val="00A9141C"/>
    <w:rsid w:val="00A91BB4"/>
    <w:rsid w:val="00A921F9"/>
    <w:rsid w:val="00A93072"/>
    <w:rsid w:val="00A932BD"/>
    <w:rsid w:val="00A938BD"/>
    <w:rsid w:val="00A93953"/>
    <w:rsid w:val="00A93B17"/>
    <w:rsid w:val="00A93E94"/>
    <w:rsid w:val="00A942AA"/>
    <w:rsid w:val="00A942DA"/>
    <w:rsid w:val="00A946BA"/>
    <w:rsid w:val="00A947CE"/>
    <w:rsid w:val="00A94E90"/>
    <w:rsid w:val="00A94ECF"/>
    <w:rsid w:val="00A952BE"/>
    <w:rsid w:val="00A9592E"/>
    <w:rsid w:val="00A959D8"/>
    <w:rsid w:val="00A95C6C"/>
    <w:rsid w:val="00A962B3"/>
    <w:rsid w:val="00A96750"/>
    <w:rsid w:val="00A96FD1"/>
    <w:rsid w:val="00A977A8"/>
    <w:rsid w:val="00A97B53"/>
    <w:rsid w:val="00A97D5F"/>
    <w:rsid w:val="00AA00AC"/>
    <w:rsid w:val="00AA02C9"/>
    <w:rsid w:val="00AA0F58"/>
    <w:rsid w:val="00AA113D"/>
    <w:rsid w:val="00AA21F2"/>
    <w:rsid w:val="00AA24AC"/>
    <w:rsid w:val="00AA2554"/>
    <w:rsid w:val="00AA354E"/>
    <w:rsid w:val="00AA3CF8"/>
    <w:rsid w:val="00AA3EF1"/>
    <w:rsid w:val="00AA426A"/>
    <w:rsid w:val="00AA4D85"/>
    <w:rsid w:val="00AA5308"/>
    <w:rsid w:val="00AA67B8"/>
    <w:rsid w:val="00AA6BD5"/>
    <w:rsid w:val="00AA6BD8"/>
    <w:rsid w:val="00AA6C7D"/>
    <w:rsid w:val="00AA6D3B"/>
    <w:rsid w:val="00AA71AA"/>
    <w:rsid w:val="00AA753F"/>
    <w:rsid w:val="00AA7804"/>
    <w:rsid w:val="00AA796C"/>
    <w:rsid w:val="00AA7FD6"/>
    <w:rsid w:val="00AB042A"/>
    <w:rsid w:val="00AB0746"/>
    <w:rsid w:val="00AB1368"/>
    <w:rsid w:val="00AB1827"/>
    <w:rsid w:val="00AB19EF"/>
    <w:rsid w:val="00AB2296"/>
    <w:rsid w:val="00AB292B"/>
    <w:rsid w:val="00AB2A33"/>
    <w:rsid w:val="00AB2C1A"/>
    <w:rsid w:val="00AB2D34"/>
    <w:rsid w:val="00AB2F76"/>
    <w:rsid w:val="00AB3430"/>
    <w:rsid w:val="00AB37B9"/>
    <w:rsid w:val="00AB42B7"/>
    <w:rsid w:val="00AB4AD1"/>
    <w:rsid w:val="00AB54C5"/>
    <w:rsid w:val="00AB5E07"/>
    <w:rsid w:val="00AB6190"/>
    <w:rsid w:val="00AB663A"/>
    <w:rsid w:val="00AB71BA"/>
    <w:rsid w:val="00AB7938"/>
    <w:rsid w:val="00AB7A53"/>
    <w:rsid w:val="00AB7CFA"/>
    <w:rsid w:val="00AC0CFF"/>
    <w:rsid w:val="00AC0D25"/>
    <w:rsid w:val="00AC1253"/>
    <w:rsid w:val="00AC16A1"/>
    <w:rsid w:val="00AC1851"/>
    <w:rsid w:val="00AC2EE8"/>
    <w:rsid w:val="00AC3705"/>
    <w:rsid w:val="00AC38C9"/>
    <w:rsid w:val="00AC4265"/>
    <w:rsid w:val="00AC465C"/>
    <w:rsid w:val="00AC4869"/>
    <w:rsid w:val="00AC4A4A"/>
    <w:rsid w:val="00AC5209"/>
    <w:rsid w:val="00AC5B48"/>
    <w:rsid w:val="00AC5CFC"/>
    <w:rsid w:val="00AC5E30"/>
    <w:rsid w:val="00AC6880"/>
    <w:rsid w:val="00AC68A1"/>
    <w:rsid w:val="00AC719D"/>
    <w:rsid w:val="00AC755B"/>
    <w:rsid w:val="00AC7B06"/>
    <w:rsid w:val="00AC7C29"/>
    <w:rsid w:val="00AD097D"/>
    <w:rsid w:val="00AD0C70"/>
    <w:rsid w:val="00AD13F8"/>
    <w:rsid w:val="00AD1450"/>
    <w:rsid w:val="00AD1A59"/>
    <w:rsid w:val="00AD1AA7"/>
    <w:rsid w:val="00AD2349"/>
    <w:rsid w:val="00AD2512"/>
    <w:rsid w:val="00AD2AFB"/>
    <w:rsid w:val="00AD3159"/>
    <w:rsid w:val="00AD3AF3"/>
    <w:rsid w:val="00AD3B81"/>
    <w:rsid w:val="00AD3C77"/>
    <w:rsid w:val="00AD5674"/>
    <w:rsid w:val="00AD5E4F"/>
    <w:rsid w:val="00AD6502"/>
    <w:rsid w:val="00AD65BB"/>
    <w:rsid w:val="00AD6C09"/>
    <w:rsid w:val="00AD724D"/>
    <w:rsid w:val="00AD7283"/>
    <w:rsid w:val="00AD7A22"/>
    <w:rsid w:val="00AE0695"/>
    <w:rsid w:val="00AE073D"/>
    <w:rsid w:val="00AE0BEB"/>
    <w:rsid w:val="00AE0FB8"/>
    <w:rsid w:val="00AE1E88"/>
    <w:rsid w:val="00AE2BFB"/>
    <w:rsid w:val="00AE32E4"/>
    <w:rsid w:val="00AE3E7E"/>
    <w:rsid w:val="00AE486D"/>
    <w:rsid w:val="00AE4D45"/>
    <w:rsid w:val="00AE4EF8"/>
    <w:rsid w:val="00AE51EB"/>
    <w:rsid w:val="00AE594B"/>
    <w:rsid w:val="00AE654D"/>
    <w:rsid w:val="00AE6FCA"/>
    <w:rsid w:val="00AE758D"/>
    <w:rsid w:val="00AE7C7D"/>
    <w:rsid w:val="00AF05EF"/>
    <w:rsid w:val="00AF1315"/>
    <w:rsid w:val="00AF19BF"/>
    <w:rsid w:val="00AF1A56"/>
    <w:rsid w:val="00AF1BD2"/>
    <w:rsid w:val="00AF1DA6"/>
    <w:rsid w:val="00AF2008"/>
    <w:rsid w:val="00AF22BF"/>
    <w:rsid w:val="00AF29A4"/>
    <w:rsid w:val="00AF2DC3"/>
    <w:rsid w:val="00AF355B"/>
    <w:rsid w:val="00AF4097"/>
    <w:rsid w:val="00AF4F4D"/>
    <w:rsid w:val="00AF6927"/>
    <w:rsid w:val="00AF6A8D"/>
    <w:rsid w:val="00AF6B9F"/>
    <w:rsid w:val="00AF6E1B"/>
    <w:rsid w:val="00AF7466"/>
    <w:rsid w:val="00B00212"/>
    <w:rsid w:val="00B00A88"/>
    <w:rsid w:val="00B00B53"/>
    <w:rsid w:val="00B01065"/>
    <w:rsid w:val="00B0132E"/>
    <w:rsid w:val="00B01368"/>
    <w:rsid w:val="00B0164C"/>
    <w:rsid w:val="00B01A44"/>
    <w:rsid w:val="00B01B1C"/>
    <w:rsid w:val="00B01FFD"/>
    <w:rsid w:val="00B03343"/>
    <w:rsid w:val="00B033C3"/>
    <w:rsid w:val="00B033E5"/>
    <w:rsid w:val="00B03A63"/>
    <w:rsid w:val="00B04155"/>
    <w:rsid w:val="00B041F5"/>
    <w:rsid w:val="00B053DC"/>
    <w:rsid w:val="00B056E7"/>
    <w:rsid w:val="00B05A90"/>
    <w:rsid w:val="00B064E0"/>
    <w:rsid w:val="00B0734E"/>
    <w:rsid w:val="00B07411"/>
    <w:rsid w:val="00B074BD"/>
    <w:rsid w:val="00B07755"/>
    <w:rsid w:val="00B07F60"/>
    <w:rsid w:val="00B10099"/>
    <w:rsid w:val="00B1048B"/>
    <w:rsid w:val="00B106B8"/>
    <w:rsid w:val="00B106EC"/>
    <w:rsid w:val="00B10D35"/>
    <w:rsid w:val="00B1184D"/>
    <w:rsid w:val="00B11982"/>
    <w:rsid w:val="00B11FEE"/>
    <w:rsid w:val="00B120F0"/>
    <w:rsid w:val="00B12270"/>
    <w:rsid w:val="00B129B3"/>
    <w:rsid w:val="00B12E85"/>
    <w:rsid w:val="00B13045"/>
    <w:rsid w:val="00B137E6"/>
    <w:rsid w:val="00B14114"/>
    <w:rsid w:val="00B14AA3"/>
    <w:rsid w:val="00B14BC2"/>
    <w:rsid w:val="00B14D79"/>
    <w:rsid w:val="00B15774"/>
    <w:rsid w:val="00B175CD"/>
    <w:rsid w:val="00B17A1B"/>
    <w:rsid w:val="00B17A49"/>
    <w:rsid w:val="00B17C30"/>
    <w:rsid w:val="00B17F7C"/>
    <w:rsid w:val="00B17FAF"/>
    <w:rsid w:val="00B201A4"/>
    <w:rsid w:val="00B201D1"/>
    <w:rsid w:val="00B20AEC"/>
    <w:rsid w:val="00B20B69"/>
    <w:rsid w:val="00B211FB"/>
    <w:rsid w:val="00B213A6"/>
    <w:rsid w:val="00B218B6"/>
    <w:rsid w:val="00B21EA3"/>
    <w:rsid w:val="00B223DE"/>
    <w:rsid w:val="00B22CE4"/>
    <w:rsid w:val="00B22FEE"/>
    <w:rsid w:val="00B235B0"/>
    <w:rsid w:val="00B2482A"/>
    <w:rsid w:val="00B24A82"/>
    <w:rsid w:val="00B24DF6"/>
    <w:rsid w:val="00B257AF"/>
    <w:rsid w:val="00B25D32"/>
    <w:rsid w:val="00B25FE5"/>
    <w:rsid w:val="00B268E6"/>
    <w:rsid w:val="00B26A71"/>
    <w:rsid w:val="00B26BC6"/>
    <w:rsid w:val="00B26CFB"/>
    <w:rsid w:val="00B279D4"/>
    <w:rsid w:val="00B3063D"/>
    <w:rsid w:val="00B30BBD"/>
    <w:rsid w:val="00B3141B"/>
    <w:rsid w:val="00B31BDB"/>
    <w:rsid w:val="00B325C1"/>
    <w:rsid w:val="00B32F92"/>
    <w:rsid w:val="00B339C0"/>
    <w:rsid w:val="00B34325"/>
    <w:rsid w:val="00B34665"/>
    <w:rsid w:val="00B34FE2"/>
    <w:rsid w:val="00B35166"/>
    <w:rsid w:val="00B355CA"/>
    <w:rsid w:val="00B3568F"/>
    <w:rsid w:val="00B357D8"/>
    <w:rsid w:val="00B35BD5"/>
    <w:rsid w:val="00B360F4"/>
    <w:rsid w:val="00B36357"/>
    <w:rsid w:val="00B36948"/>
    <w:rsid w:val="00B36A00"/>
    <w:rsid w:val="00B37745"/>
    <w:rsid w:val="00B37BFC"/>
    <w:rsid w:val="00B40358"/>
    <w:rsid w:val="00B40654"/>
    <w:rsid w:val="00B4068C"/>
    <w:rsid w:val="00B413A9"/>
    <w:rsid w:val="00B41614"/>
    <w:rsid w:val="00B41BA4"/>
    <w:rsid w:val="00B41DD7"/>
    <w:rsid w:val="00B42513"/>
    <w:rsid w:val="00B42851"/>
    <w:rsid w:val="00B42D9F"/>
    <w:rsid w:val="00B42F80"/>
    <w:rsid w:val="00B43238"/>
    <w:rsid w:val="00B435CB"/>
    <w:rsid w:val="00B43CD2"/>
    <w:rsid w:val="00B448A0"/>
    <w:rsid w:val="00B455EC"/>
    <w:rsid w:val="00B45888"/>
    <w:rsid w:val="00B4590C"/>
    <w:rsid w:val="00B45E33"/>
    <w:rsid w:val="00B45F5A"/>
    <w:rsid w:val="00B468B5"/>
    <w:rsid w:val="00B46919"/>
    <w:rsid w:val="00B46D38"/>
    <w:rsid w:val="00B46DEC"/>
    <w:rsid w:val="00B47A09"/>
    <w:rsid w:val="00B500D9"/>
    <w:rsid w:val="00B50409"/>
    <w:rsid w:val="00B505C8"/>
    <w:rsid w:val="00B50DB8"/>
    <w:rsid w:val="00B51D58"/>
    <w:rsid w:val="00B52572"/>
    <w:rsid w:val="00B52583"/>
    <w:rsid w:val="00B53654"/>
    <w:rsid w:val="00B53905"/>
    <w:rsid w:val="00B53B9A"/>
    <w:rsid w:val="00B5408F"/>
    <w:rsid w:val="00B54B5B"/>
    <w:rsid w:val="00B5527A"/>
    <w:rsid w:val="00B5546C"/>
    <w:rsid w:val="00B554DB"/>
    <w:rsid w:val="00B5562E"/>
    <w:rsid w:val="00B55BE5"/>
    <w:rsid w:val="00B55D65"/>
    <w:rsid w:val="00B56197"/>
    <w:rsid w:val="00B56296"/>
    <w:rsid w:val="00B56DDA"/>
    <w:rsid w:val="00B57000"/>
    <w:rsid w:val="00B5722E"/>
    <w:rsid w:val="00B578CA"/>
    <w:rsid w:val="00B57D01"/>
    <w:rsid w:val="00B57D4D"/>
    <w:rsid w:val="00B57E60"/>
    <w:rsid w:val="00B6053C"/>
    <w:rsid w:val="00B60939"/>
    <w:rsid w:val="00B60AFD"/>
    <w:rsid w:val="00B6188E"/>
    <w:rsid w:val="00B61B06"/>
    <w:rsid w:val="00B61C48"/>
    <w:rsid w:val="00B61D2F"/>
    <w:rsid w:val="00B61E21"/>
    <w:rsid w:val="00B62715"/>
    <w:rsid w:val="00B633C8"/>
    <w:rsid w:val="00B64288"/>
    <w:rsid w:val="00B65155"/>
    <w:rsid w:val="00B6529B"/>
    <w:rsid w:val="00B65611"/>
    <w:rsid w:val="00B65EE5"/>
    <w:rsid w:val="00B669E7"/>
    <w:rsid w:val="00B66C4D"/>
    <w:rsid w:val="00B66D98"/>
    <w:rsid w:val="00B66E21"/>
    <w:rsid w:val="00B6709B"/>
    <w:rsid w:val="00B676EA"/>
    <w:rsid w:val="00B700E2"/>
    <w:rsid w:val="00B7010F"/>
    <w:rsid w:val="00B70358"/>
    <w:rsid w:val="00B70A37"/>
    <w:rsid w:val="00B70C29"/>
    <w:rsid w:val="00B70DB0"/>
    <w:rsid w:val="00B70E8E"/>
    <w:rsid w:val="00B72DCC"/>
    <w:rsid w:val="00B74C64"/>
    <w:rsid w:val="00B74FAD"/>
    <w:rsid w:val="00B75E86"/>
    <w:rsid w:val="00B76C92"/>
    <w:rsid w:val="00B7733B"/>
    <w:rsid w:val="00B77443"/>
    <w:rsid w:val="00B77680"/>
    <w:rsid w:val="00B80754"/>
    <w:rsid w:val="00B8156B"/>
    <w:rsid w:val="00B817E2"/>
    <w:rsid w:val="00B818A4"/>
    <w:rsid w:val="00B82557"/>
    <w:rsid w:val="00B82CBC"/>
    <w:rsid w:val="00B82D54"/>
    <w:rsid w:val="00B82F6C"/>
    <w:rsid w:val="00B83B50"/>
    <w:rsid w:val="00B84117"/>
    <w:rsid w:val="00B8435A"/>
    <w:rsid w:val="00B849CC"/>
    <w:rsid w:val="00B84CA5"/>
    <w:rsid w:val="00B84FE3"/>
    <w:rsid w:val="00B85887"/>
    <w:rsid w:val="00B858F0"/>
    <w:rsid w:val="00B85AA2"/>
    <w:rsid w:val="00B86154"/>
    <w:rsid w:val="00B862C8"/>
    <w:rsid w:val="00B8649C"/>
    <w:rsid w:val="00B864CD"/>
    <w:rsid w:val="00B8695D"/>
    <w:rsid w:val="00B86DD9"/>
    <w:rsid w:val="00B87D55"/>
    <w:rsid w:val="00B87D5E"/>
    <w:rsid w:val="00B87F0A"/>
    <w:rsid w:val="00B90168"/>
    <w:rsid w:val="00B90B0E"/>
    <w:rsid w:val="00B90C79"/>
    <w:rsid w:val="00B91586"/>
    <w:rsid w:val="00B91E22"/>
    <w:rsid w:val="00B9212D"/>
    <w:rsid w:val="00B9214F"/>
    <w:rsid w:val="00B924C2"/>
    <w:rsid w:val="00B92D0B"/>
    <w:rsid w:val="00B9380D"/>
    <w:rsid w:val="00B94945"/>
    <w:rsid w:val="00B94CA4"/>
    <w:rsid w:val="00B94DD6"/>
    <w:rsid w:val="00B957EB"/>
    <w:rsid w:val="00B95AF9"/>
    <w:rsid w:val="00B95C7E"/>
    <w:rsid w:val="00B961E8"/>
    <w:rsid w:val="00B969DD"/>
    <w:rsid w:val="00B97466"/>
    <w:rsid w:val="00B97AE9"/>
    <w:rsid w:val="00BA00B1"/>
    <w:rsid w:val="00BA0A8C"/>
    <w:rsid w:val="00BA0CCF"/>
    <w:rsid w:val="00BA14B9"/>
    <w:rsid w:val="00BA1A0A"/>
    <w:rsid w:val="00BA2B3A"/>
    <w:rsid w:val="00BA322D"/>
    <w:rsid w:val="00BA34DA"/>
    <w:rsid w:val="00BA3F2C"/>
    <w:rsid w:val="00BA4C76"/>
    <w:rsid w:val="00BA4D94"/>
    <w:rsid w:val="00BA5E45"/>
    <w:rsid w:val="00BA63FA"/>
    <w:rsid w:val="00BA6411"/>
    <w:rsid w:val="00BA65F4"/>
    <w:rsid w:val="00BA688A"/>
    <w:rsid w:val="00BA6A67"/>
    <w:rsid w:val="00BB00B3"/>
    <w:rsid w:val="00BB0BDD"/>
    <w:rsid w:val="00BB0ED1"/>
    <w:rsid w:val="00BB1045"/>
    <w:rsid w:val="00BB145C"/>
    <w:rsid w:val="00BB176C"/>
    <w:rsid w:val="00BB1BBA"/>
    <w:rsid w:val="00BB2553"/>
    <w:rsid w:val="00BB2961"/>
    <w:rsid w:val="00BB2A73"/>
    <w:rsid w:val="00BB31E0"/>
    <w:rsid w:val="00BB364E"/>
    <w:rsid w:val="00BB3764"/>
    <w:rsid w:val="00BB3A45"/>
    <w:rsid w:val="00BB47F8"/>
    <w:rsid w:val="00BB4ACC"/>
    <w:rsid w:val="00BB4B67"/>
    <w:rsid w:val="00BB53F7"/>
    <w:rsid w:val="00BB547F"/>
    <w:rsid w:val="00BB60B0"/>
    <w:rsid w:val="00BB702C"/>
    <w:rsid w:val="00BB703E"/>
    <w:rsid w:val="00BB732D"/>
    <w:rsid w:val="00BB7338"/>
    <w:rsid w:val="00BB7405"/>
    <w:rsid w:val="00BC01FC"/>
    <w:rsid w:val="00BC0E58"/>
    <w:rsid w:val="00BC0F76"/>
    <w:rsid w:val="00BC21F0"/>
    <w:rsid w:val="00BC2A60"/>
    <w:rsid w:val="00BC3631"/>
    <w:rsid w:val="00BC3FC1"/>
    <w:rsid w:val="00BC5311"/>
    <w:rsid w:val="00BC5568"/>
    <w:rsid w:val="00BC56F1"/>
    <w:rsid w:val="00BC586F"/>
    <w:rsid w:val="00BC591F"/>
    <w:rsid w:val="00BC69B6"/>
    <w:rsid w:val="00BC7443"/>
    <w:rsid w:val="00BC77F5"/>
    <w:rsid w:val="00BC7D21"/>
    <w:rsid w:val="00BC7D6D"/>
    <w:rsid w:val="00BD143D"/>
    <w:rsid w:val="00BD1683"/>
    <w:rsid w:val="00BD178E"/>
    <w:rsid w:val="00BD206F"/>
    <w:rsid w:val="00BD2108"/>
    <w:rsid w:val="00BD2661"/>
    <w:rsid w:val="00BD270C"/>
    <w:rsid w:val="00BD3B41"/>
    <w:rsid w:val="00BD3BB8"/>
    <w:rsid w:val="00BD466F"/>
    <w:rsid w:val="00BD50AB"/>
    <w:rsid w:val="00BD57C4"/>
    <w:rsid w:val="00BD6877"/>
    <w:rsid w:val="00BD68A3"/>
    <w:rsid w:val="00BD6938"/>
    <w:rsid w:val="00BD6A82"/>
    <w:rsid w:val="00BD6BED"/>
    <w:rsid w:val="00BD6C0B"/>
    <w:rsid w:val="00BD6C20"/>
    <w:rsid w:val="00BD6CF3"/>
    <w:rsid w:val="00BD6E5A"/>
    <w:rsid w:val="00BD7195"/>
    <w:rsid w:val="00BD749E"/>
    <w:rsid w:val="00BE0A83"/>
    <w:rsid w:val="00BE0BD0"/>
    <w:rsid w:val="00BE0CD5"/>
    <w:rsid w:val="00BE0ECA"/>
    <w:rsid w:val="00BE1132"/>
    <w:rsid w:val="00BE1777"/>
    <w:rsid w:val="00BE18F7"/>
    <w:rsid w:val="00BE1A52"/>
    <w:rsid w:val="00BE20D2"/>
    <w:rsid w:val="00BE2180"/>
    <w:rsid w:val="00BE21F2"/>
    <w:rsid w:val="00BE2219"/>
    <w:rsid w:val="00BE223B"/>
    <w:rsid w:val="00BE2DBE"/>
    <w:rsid w:val="00BE2E47"/>
    <w:rsid w:val="00BE3346"/>
    <w:rsid w:val="00BE349D"/>
    <w:rsid w:val="00BE361A"/>
    <w:rsid w:val="00BE3C7E"/>
    <w:rsid w:val="00BE3DD1"/>
    <w:rsid w:val="00BE4275"/>
    <w:rsid w:val="00BE4354"/>
    <w:rsid w:val="00BE4A35"/>
    <w:rsid w:val="00BE522B"/>
    <w:rsid w:val="00BE6D97"/>
    <w:rsid w:val="00BE6E71"/>
    <w:rsid w:val="00BE7344"/>
    <w:rsid w:val="00BE754E"/>
    <w:rsid w:val="00BE7C1F"/>
    <w:rsid w:val="00BE7CCB"/>
    <w:rsid w:val="00BF01C3"/>
    <w:rsid w:val="00BF0301"/>
    <w:rsid w:val="00BF06A0"/>
    <w:rsid w:val="00BF06AE"/>
    <w:rsid w:val="00BF0C0D"/>
    <w:rsid w:val="00BF0DB3"/>
    <w:rsid w:val="00BF0F95"/>
    <w:rsid w:val="00BF1789"/>
    <w:rsid w:val="00BF21B4"/>
    <w:rsid w:val="00BF2433"/>
    <w:rsid w:val="00BF2448"/>
    <w:rsid w:val="00BF2689"/>
    <w:rsid w:val="00BF34B1"/>
    <w:rsid w:val="00BF3AAB"/>
    <w:rsid w:val="00BF461B"/>
    <w:rsid w:val="00BF5491"/>
    <w:rsid w:val="00BF5727"/>
    <w:rsid w:val="00BF58DE"/>
    <w:rsid w:val="00BF5CBC"/>
    <w:rsid w:val="00BF61C9"/>
    <w:rsid w:val="00BF628D"/>
    <w:rsid w:val="00BF6C94"/>
    <w:rsid w:val="00C00131"/>
    <w:rsid w:val="00C0025B"/>
    <w:rsid w:val="00C00424"/>
    <w:rsid w:val="00C005A8"/>
    <w:rsid w:val="00C00710"/>
    <w:rsid w:val="00C00CD9"/>
    <w:rsid w:val="00C01083"/>
    <w:rsid w:val="00C011BC"/>
    <w:rsid w:val="00C025D7"/>
    <w:rsid w:val="00C02A66"/>
    <w:rsid w:val="00C03095"/>
    <w:rsid w:val="00C031D0"/>
    <w:rsid w:val="00C035D8"/>
    <w:rsid w:val="00C03A8C"/>
    <w:rsid w:val="00C0407C"/>
    <w:rsid w:val="00C040CC"/>
    <w:rsid w:val="00C0442F"/>
    <w:rsid w:val="00C04714"/>
    <w:rsid w:val="00C04F1C"/>
    <w:rsid w:val="00C0577F"/>
    <w:rsid w:val="00C0654C"/>
    <w:rsid w:val="00C06BBA"/>
    <w:rsid w:val="00C079D3"/>
    <w:rsid w:val="00C079EC"/>
    <w:rsid w:val="00C07FF7"/>
    <w:rsid w:val="00C101FD"/>
    <w:rsid w:val="00C10AA3"/>
    <w:rsid w:val="00C1179F"/>
    <w:rsid w:val="00C1181B"/>
    <w:rsid w:val="00C120EB"/>
    <w:rsid w:val="00C12C14"/>
    <w:rsid w:val="00C13548"/>
    <w:rsid w:val="00C13578"/>
    <w:rsid w:val="00C142C3"/>
    <w:rsid w:val="00C1470B"/>
    <w:rsid w:val="00C14EAB"/>
    <w:rsid w:val="00C15F04"/>
    <w:rsid w:val="00C16487"/>
    <w:rsid w:val="00C1669D"/>
    <w:rsid w:val="00C16A2F"/>
    <w:rsid w:val="00C16E28"/>
    <w:rsid w:val="00C16FFB"/>
    <w:rsid w:val="00C17116"/>
    <w:rsid w:val="00C17358"/>
    <w:rsid w:val="00C17753"/>
    <w:rsid w:val="00C179B3"/>
    <w:rsid w:val="00C17E3F"/>
    <w:rsid w:val="00C200AA"/>
    <w:rsid w:val="00C21155"/>
    <w:rsid w:val="00C21CCB"/>
    <w:rsid w:val="00C224D5"/>
    <w:rsid w:val="00C2293D"/>
    <w:rsid w:val="00C229A1"/>
    <w:rsid w:val="00C22AEA"/>
    <w:rsid w:val="00C22B45"/>
    <w:rsid w:val="00C234AB"/>
    <w:rsid w:val="00C234C6"/>
    <w:rsid w:val="00C23784"/>
    <w:rsid w:val="00C237ED"/>
    <w:rsid w:val="00C23AD7"/>
    <w:rsid w:val="00C23BEB"/>
    <w:rsid w:val="00C24344"/>
    <w:rsid w:val="00C24632"/>
    <w:rsid w:val="00C25418"/>
    <w:rsid w:val="00C254E7"/>
    <w:rsid w:val="00C25D9C"/>
    <w:rsid w:val="00C25E84"/>
    <w:rsid w:val="00C2614D"/>
    <w:rsid w:val="00C263D7"/>
    <w:rsid w:val="00C26837"/>
    <w:rsid w:val="00C26BF9"/>
    <w:rsid w:val="00C26DE3"/>
    <w:rsid w:val="00C27022"/>
    <w:rsid w:val="00C270F3"/>
    <w:rsid w:val="00C271D1"/>
    <w:rsid w:val="00C27235"/>
    <w:rsid w:val="00C2778B"/>
    <w:rsid w:val="00C27BDA"/>
    <w:rsid w:val="00C27E48"/>
    <w:rsid w:val="00C3012D"/>
    <w:rsid w:val="00C3074E"/>
    <w:rsid w:val="00C31509"/>
    <w:rsid w:val="00C31649"/>
    <w:rsid w:val="00C32BD0"/>
    <w:rsid w:val="00C32F44"/>
    <w:rsid w:val="00C334ED"/>
    <w:rsid w:val="00C336C5"/>
    <w:rsid w:val="00C33847"/>
    <w:rsid w:val="00C33CAA"/>
    <w:rsid w:val="00C33E41"/>
    <w:rsid w:val="00C3434C"/>
    <w:rsid w:val="00C343F2"/>
    <w:rsid w:val="00C347DE"/>
    <w:rsid w:val="00C34BDB"/>
    <w:rsid w:val="00C34F8A"/>
    <w:rsid w:val="00C35ADC"/>
    <w:rsid w:val="00C35C0F"/>
    <w:rsid w:val="00C35CDE"/>
    <w:rsid w:val="00C36180"/>
    <w:rsid w:val="00C36DEB"/>
    <w:rsid w:val="00C37B79"/>
    <w:rsid w:val="00C40385"/>
    <w:rsid w:val="00C40B34"/>
    <w:rsid w:val="00C41768"/>
    <w:rsid w:val="00C41FAC"/>
    <w:rsid w:val="00C42AF0"/>
    <w:rsid w:val="00C42CC9"/>
    <w:rsid w:val="00C43873"/>
    <w:rsid w:val="00C455A3"/>
    <w:rsid w:val="00C45C71"/>
    <w:rsid w:val="00C475AA"/>
    <w:rsid w:val="00C47CF5"/>
    <w:rsid w:val="00C506D0"/>
    <w:rsid w:val="00C50AE6"/>
    <w:rsid w:val="00C50FC5"/>
    <w:rsid w:val="00C50FED"/>
    <w:rsid w:val="00C517BA"/>
    <w:rsid w:val="00C52307"/>
    <w:rsid w:val="00C5262A"/>
    <w:rsid w:val="00C52845"/>
    <w:rsid w:val="00C52874"/>
    <w:rsid w:val="00C536E4"/>
    <w:rsid w:val="00C53C98"/>
    <w:rsid w:val="00C53F30"/>
    <w:rsid w:val="00C54621"/>
    <w:rsid w:val="00C546F5"/>
    <w:rsid w:val="00C54D9A"/>
    <w:rsid w:val="00C55B91"/>
    <w:rsid w:val="00C55BFC"/>
    <w:rsid w:val="00C55CCC"/>
    <w:rsid w:val="00C55D33"/>
    <w:rsid w:val="00C5697F"/>
    <w:rsid w:val="00C56FCF"/>
    <w:rsid w:val="00C570D8"/>
    <w:rsid w:val="00C574F7"/>
    <w:rsid w:val="00C578B3"/>
    <w:rsid w:val="00C57924"/>
    <w:rsid w:val="00C57B6C"/>
    <w:rsid w:val="00C6065C"/>
    <w:rsid w:val="00C61163"/>
    <w:rsid w:val="00C61304"/>
    <w:rsid w:val="00C61A4C"/>
    <w:rsid w:val="00C61DA3"/>
    <w:rsid w:val="00C61F38"/>
    <w:rsid w:val="00C628A6"/>
    <w:rsid w:val="00C62F62"/>
    <w:rsid w:val="00C64344"/>
    <w:rsid w:val="00C65108"/>
    <w:rsid w:val="00C6521F"/>
    <w:rsid w:val="00C65515"/>
    <w:rsid w:val="00C65576"/>
    <w:rsid w:val="00C655B2"/>
    <w:rsid w:val="00C65B7C"/>
    <w:rsid w:val="00C66165"/>
    <w:rsid w:val="00C668BC"/>
    <w:rsid w:val="00C6692C"/>
    <w:rsid w:val="00C66E79"/>
    <w:rsid w:val="00C7060A"/>
    <w:rsid w:val="00C70D54"/>
    <w:rsid w:val="00C71162"/>
    <w:rsid w:val="00C7151A"/>
    <w:rsid w:val="00C717E3"/>
    <w:rsid w:val="00C71CD7"/>
    <w:rsid w:val="00C71F3A"/>
    <w:rsid w:val="00C71F60"/>
    <w:rsid w:val="00C72241"/>
    <w:rsid w:val="00C72290"/>
    <w:rsid w:val="00C7288E"/>
    <w:rsid w:val="00C72BF0"/>
    <w:rsid w:val="00C7337B"/>
    <w:rsid w:val="00C73C0D"/>
    <w:rsid w:val="00C73EB9"/>
    <w:rsid w:val="00C745A9"/>
    <w:rsid w:val="00C74612"/>
    <w:rsid w:val="00C74A7D"/>
    <w:rsid w:val="00C750C8"/>
    <w:rsid w:val="00C755C1"/>
    <w:rsid w:val="00C7560F"/>
    <w:rsid w:val="00C75925"/>
    <w:rsid w:val="00C75E9E"/>
    <w:rsid w:val="00C762F2"/>
    <w:rsid w:val="00C77302"/>
    <w:rsid w:val="00C7736E"/>
    <w:rsid w:val="00C77A53"/>
    <w:rsid w:val="00C809B5"/>
    <w:rsid w:val="00C80A0E"/>
    <w:rsid w:val="00C8160C"/>
    <w:rsid w:val="00C81CEE"/>
    <w:rsid w:val="00C8213F"/>
    <w:rsid w:val="00C83BDB"/>
    <w:rsid w:val="00C845EF"/>
    <w:rsid w:val="00C84CB5"/>
    <w:rsid w:val="00C85154"/>
    <w:rsid w:val="00C856BF"/>
    <w:rsid w:val="00C85A6A"/>
    <w:rsid w:val="00C86303"/>
    <w:rsid w:val="00C8647F"/>
    <w:rsid w:val="00C86AAE"/>
    <w:rsid w:val="00C86BFF"/>
    <w:rsid w:val="00C87429"/>
    <w:rsid w:val="00C87855"/>
    <w:rsid w:val="00C8797A"/>
    <w:rsid w:val="00C900B8"/>
    <w:rsid w:val="00C90926"/>
    <w:rsid w:val="00C90A59"/>
    <w:rsid w:val="00C90C71"/>
    <w:rsid w:val="00C915B4"/>
    <w:rsid w:val="00C91CC3"/>
    <w:rsid w:val="00C91FD1"/>
    <w:rsid w:val="00C922DE"/>
    <w:rsid w:val="00C92827"/>
    <w:rsid w:val="00C92B1D"/>
    <w:rsid w:val="00C92D46"/>
    <w:rsid w:val="00C931CF"/>
    <w:rsid w:val="00C9344F"/>
    <w:rsid w:val="00C938CF"/>
    <w:rsid w:val="00C93A12"/>
    <w:rsid w:val="00C93A7C"/>
    <w:rsid w:val="00C94053"/>
    <w:rsid w:val="00C9450F"/>
    <w:rsid w:val="00C9624D"/>
    <w:rsid w:val="00C965DD"/>
    <w:rsid w:val="00C969DA"/>
    <w:rsid w:val="00C97A64"/>
    <w:rsid w:val="00C97F9B"/>
    <w:rsid w:val="00CA0BB6"/>
    <w:rsid w:val="00CA131A"/>
    <w:rsid w:val="00CA1658"/>
    <w:rsid w:val="00CA17F1"/>
    <w:rsid w:val="00CA18DB"/>
    <w:rsid w:val="00CA1F43"/>
    <w:rsid w:val="00CA2164"/>
    <w:rsid w:val="00CA2C77"/>
    <w:rsid w:val="00CA2F66"/>
    <w:rsid w:val="00CA3FFE"/>
    <w:rsid w:val="00CA444F"/>
    <w:rsid w:val="00CA5245"/>
    <w:rsid w:val="00CA58C3"/>
    <w:rsid w:val="00CA59DF"/>
    <w:rsid w:val="00CA6299"/>
    <w:rsid w:val="00CA71F4"/>
    <w:rsid w:val="00CA7B09"/>
    <w:rsid w:val="00CA7BF4"/>
    <w:rsid w:val="00CA7D64"/>
    <w:rsid w:val="00CB12A5"/>
    <w:rsid w:val="00CB1BB6"/>
    <w:rsid w:val="00CB1CAC"/>
    <w:rsid w:val="00CB1CC1"/>
    <w:rsid w:val="00CB1EB3"/>
    <w:rsid w:val="00CB2702"/>
    <w:rsid w:val="00CB2F2A"/>
    <w:rsid w:val="00CB3AD5"/>
    <w:rsid w:val="00CB3C6E"/>
    <w:rsid w:val="00CB3E59"/>
    <w:rsid w:val="00CB4C25"/>
    <w:rsid w:val="00CB4CFD"/>
    <w:rsid w:val="00CB5047"/>
    <w:rsid w:val="00CB558F"/>
    <w:rsid w:val="00CB5B1A"/>
    <w:rsid w:val="00CB6B22"/>
    <w:rsid w:val="00CB7063"/>
    <w:rsid w:val="00CB7518"/>
    <w:rsid w:val="00CB75AB"/>
    <w:rsid w:val="00CB77C1"/>
    <w:rsid w:val="00CB7813"/>
    <w:rsid w:val="00CB7D33"/>
    <w:rsid w:val="00CB7F5F"/>
    <w:rsid w:val="00CC0375"/>
    <w:rsid w:val="00CC048A"/>
    <w:rsid w:val="00CC0FCB"/>
    <w:rsid w:val="00CC1216"/>
    <w:rsid w:val="00CC1250"/>
    <w:rsid w:val="00CC1852"/>
    <w:rsid w:val="00CC185C"/>
    <w:rsid w:val="00CC1B39"/>
    <w:rsid w:val="00CC1C74"/>
    <w:rsid w:val="00CC271A"/>
    <w:rsid w:val="00CC307F"/>
    <w:rsid w:val="00CC312A"/>
    <w:rsid w:val="00CC3265"/>
    <w:rsid w:val="00CC3535"/>
    <w:rsid w:val="00CC35EA"/>
    <w:rsid w:val="00CC3848"/>
    <w:rsid w:val="00CC3A26"/>
    <w:rsid w:val="00CC3D5A"/>
    <w:rsid w:val="00CC48F9"/>
    <w:rsid w:val="00CC49E2"/>
    <w:rsid w:val="00CC5084"/>
    <w:rsid w:val="00CC5544"/>
    <w:rsid w:val="00CC5A0E"/>
    <w:rsid w:val="00CC6138"/>
    <w:rsid w:val="00CC6523"/>
    <w:rsid w:val="00CC65B2"/>
    <w:rsid w:val="00CC6F9A"/>
    <w:rsid w:val="00CC7D6B"/>
    <w:rsid w:val="00CD0961"/>
    <w:rsid w:val="00CD1129"/>
    <w:rsid w:val="00CD12EA"/>
    <w:rsid w:val="00CD146A"/>
    <w:rsid w:val="00CD191B"/>
    <w:rsid w:val="00CD1EC0"/>
    <w:rsid w:val="00CD277D"/>
    <w:rsid w:val="00CD2EE5"/>
    <w:rsid w:val="00CD34FF"/>
    <w:rsid w:val="00CD356F"/>
    <w:rsid w:val="00CD3654"/>
    <w:rsid w:val="00CD3F77"/>
    <w:rsid w:val="00CD41D4"/>
    <w:rsid w:val="00CD4437"/>
    <w:rsid w:val="00CD4F6A"/>
    <w:rsid w:val="00CD6650"/>
    <w:rsid w:val="00CD6874"/>
    <w:rsid w:val="00CD6ADC"/>
    <w:rsid w:val="00CD7193"/>
    <w:rsid w:val="00CD7C29"/>
    <w:rsid w:val="00CE0D0E"/>
    <w:rsid w:val="00CE204C"/>
    <w:rsid w:val="00CE24A5"/>
    <w:rsid w:val="00CE2EE7"/>
    <w:rsid w:val="00CE38C8"/>
    <w:rsid w:val="00CE4581"/>
    <w:rsid w:val="00CE51D5"/>
    <w:rsid w:val="00CE524C"/>
    <w:rsid w:val="00CE592C"/>
    <w:rsid w:val="00CE6274"/>
    <w:rsid w:val="00CE75DD"/>
    <w:rsid w:val="00CE77B6"/>
    <w:rsid w:val="00CF0B3E"/>
    <w:rsid w:val="00CF124A"/>
    <w:rsid w:val="00CF1404"/>
    <w:rsid w:val="00CF1B96"/>
    <w:rsid w:val="00CF2162"/>
    <w:rsid w:val="00CF2308"/>
    <w:rsid w:val="00CF2B8D"/>
    <w:rsid w:val="00CF456B"/>
    <w:rsid w:val="00CF4619"/>
    <w:rsid w:val="00CF4C64"/>
    <w:rsid w:val="00CF4F67"/>
    <w:rsid w:val="00CF5795"/>
    <w:rsid w:val="00CF5A22"/>
    <w:rsid w:val="00CF5EC7"/>
    <w:rsid w:val="00CF6B18"/>
    <w:rsid w:val="00CF6CDB"/>
    <w:rsid w:val="00CF736F"/>
    <w:rsid w:val="00CF7F86"/>
    <w:rsid w:val="00D00123"/>
    <w:rsid w:val="00D002EA"/>
    <w:rsid w:val="00D00529"/>
    <w:rsid w:val="00D00909"/>
    <w:rsid w:val="00D01A83"/>
    <w:rsid w:val="00D0262E"/>
    <w:rsid w:val="00D0282D"/>
    <w:rsid w:val="00D02DDA"/>
    <w:rsid w:val="00D0369C"/>
    <w:rsid w:val="00D05AD6"/>
    <w:rsid w:val="00D05E3D"/>
    <w:rsid w:val="00D05F5F"/>
    <w:rsid w:val="00D05FE0"/>
    <w:rsid w:val="00D06139"/>
    <w:rsid w:val="00D062C3"/>
    <w:rsid w:val="00D06688"/>
    <w:rsid w:val="00D066BD"/>
    <w:rsid w:val="00D06797"/>
    <w:rsid w:val="00D0687D"/>
    <w:rsid w:val="00D079BF"/>
    <w:rsid w:val="00D101F8"/>
    <w:rsid w:val="00D1046F"/>
    <w:rsid w:val="00D10964"/>
    <w:rsid w:val="00D10FFF"/>
    <w:rsid w:val="00D110BD"/>
    <w:rsid w:val="00D11957"/>
    <w:rsid w:val="00D11CD0"/>
    <w:rsid w:val="00D11EF3"/>
    <w:rsid w:val="00D11FB8"/>
    <w:rsid w:val="00D12199"/>
    <w:rsid w:val="00D12653"/>
    <w:rsid w:val="00D12A3A"/>
    <w:rsid w:val="00D13675"/>
    <w:rsid w:val="00D14050"/>
    <w:rsid w:val="00D141E1"/>
    <w:rsid w:val="00D15314"/>
    <w:rsid w:val="00D1565E"/>
    <w:rsid w:val="00D1698E"/>
    <w:rsid w:val="00D16E42"/>
    <w:rsid w:val="00D17408"/>
    <w:rsid w:val="00D17981"/>
    <w:rsid w:val="00D17B20"/>
    <w:rsid w:val="00D17D6C"/>
    <w:rsid w:val="00D2052E"/>
    <w:rsid w:val="00D2155B"/>
    <w:rsid w:val="00D21BB9"/>
    <w:rsid w:val="00D21C26"/>
    <w:rsid w:val="00D22E6A"/>
    <w:rsid w:val="00D2346E"/>
    <w:rsid w:val="00D23D11"/>
    <w:rsid w:val="00D23EEF"/>
    <w:rsid w:val="00D240B6"/>
    <w:rsid w:val="00D241EA"/>
    <w:rsid w:val="00D243E8"/>
    <w:rsid w:val="00D244B6"/>
    <w:rsid w:val="00D2564A"/>
    <w:rsid w:val="00D27043"/>
    <w:rsid w:val="00D2754D"/>
    <w:rsid w:val="00D279B4"/>
    <w:rsid w:val="00D27B27"/>
    <w:rsid w:val="00D27F01"/>
    <w:rsid w:val="00D307BF"/>
    <w:rsid w:val="00D308F6"/>
    <w:rsid w:val="00D30BFD"/>
    <w:rsid w:val="00D30CAA"/>
    <w:rsid w:val="00D3100E"/>
    <w:rsid w:val="00D3110A"/>
    <w:rsid w:val="00D31199"/>
    <w:rsid w:val="00D313B5"/>
    <w:rsid w:val="00D31630"/>
    <w:rsid w:val="00D31E09"/>
    <w:rsid w:val="00D31F74"/>
    <w:rsid w:val="00D32051"/>
    <w:rsid w:val="00D323D1"/>
    <w:rsid w:val="00D327FA"/>
    <w:rsid w:val="00D33073"/>
    <w:rsid w:val="00D3332F"/>
    <w:rsid w:val="00D33835"/>
    <w:rsid w:val="00D33BE9"/>
    <w:rsid w:val="00D33CA6"/>
    <w:rsid w:val="00D33F93"/>
    <w:rsid w:val="00D34180"/>
    <w:rsid w:val="00D34604"/>
    <w:rsid w:val="00D35545"/>
    <w:rsid w:val="00D357FF"/>
    <w:rsid w:val="00D35AA4"/>
    <w:rsid w:val="00D36134"/>
    <w:rsid w:val="00D36BB9"/>
    <w:rsid w:val="00D36C4C"/>
    <w:rsid w:val="00D372A5"/>
    <w:rsid w:val="00D376D6"/>
    <w:rsid w:val="00D37D9D"/>
    <w:rsid w:val="00D403DC"/>
    <w:rsid w:val="00D403DF"/>
    <w:rsid w:val="00D41293"/>
    <w:rsid w:val="00D420C0"/>
    <w:rsid w:val="00D424C7"/>
    <w:rsid w:val="00D43B2A"/>
    <w:rsid w:val="00D43D25"/>
    <w:rsid w:val="00D43D83"/>
    <w:rsid w:val="00D43E57"/>
    <w:rsid w:val="00D44086"/>
    <w:rsid w:val="00D45462"/>
    <w:rsid w:val="00D45C5B"/>
    <w:rsid w:val="00D468F6"/>
    <w:rsid w:val="00D46CE2"/>
    <w:rsid w:val="00D47531"/>
    <w:rsid w:val="00D47575"/>
    <w:rsid w:val="00D478C0"/>
    <w:rsid w:val="00D47E29"/>
    <w:rsid w:val="00D50F87"/>
    <w:rsid w:val="00D51400"/>
    <w:rsid w:val="00D5207F"/>
    <w:rsid w:val="00D5243B"/>
    <w:rsid w:val="00D533EC"/>
    <w:rsid w:val="00D53BE9"/>
    <w:rsid w:val="00D54C01"/>
    <w:rsid w:val="00D54C1A"/>
    <w:rsid w:val="00D54D8F"/>
    <w:rsid w:val="00D550C0"/>
    <w:rsid w:val="00D55166"/>
    <w:rsid w:val="00D552D0"/>
    <w:rsid w:val="00D5550C"/>
    <w:rsid w:val="00D55738"/>
    <w:rsid w:val="00D55AC4"/>
    <w:rsid w:val="00D562B4"/>
    <w:rsid w:val="00D56A95"/>
    <w:rsid w:val="00D56D2C"/>
    <w:rsid w:val="00D56FC0"/>
    <w:rsid w:val="00D57F16"/>
    <w:rsid w:val="00D6160E"/>
    <w:rsid w:val="00D61D24"/>
    <w:rsid w:val="00D61E18"/>
    <w:rsid w:val="00D621EC"/>
    <w:rsid w:val="00D630AA"/>
    <w:rsid w:val="00D6332F"/>
    <w:rsid w:val="00D63CE2"/>
    <w:rsid w:val="00D63E13"/>
    <w:rsid w:val="00D64037"/>
    <w:rsid w:val="00D64C59"/>
    <w:rsid w:val="00D651DE"/>
    <w:rsid w:val="00D6572E"/>
    <w:rsid w:val="00D659B7"/>
    <w:rsid w:val="00D70113"/>
    <w:rsid w:val="00D704BA"/>
    <w:rsid w:val="00D709BF"/>
    <w:rsid w:val="00D70C68"/>
    <w:rsid w:val="00D70E8D"/>
    <w:rsid w:val="00D70F16"/>
    <w:rsid w:val="00D717F5"/>
    <w:rsid w:val="00D71BCB"/>
    <w:rsid w:val="00D71C77"/>
    <w:rsid w:val="00D71FC7"/>
    <w:rsid w:val="00D72390"/>
    <w:rsid w:val="00D725C9"/>
    <w:rsid w:val="00D72641"/>
    <w:rsid w:val="00D72B88"/>
    <w:rsid w:val="00D72F57"/>
    <w:rsid w:val="00D73185"/>
    <w:rsid w:val="00D74730"/>
    <w:rsid w:val="00D7503C"/>
    <w:rsid w:val="00D756A0"/>
    <w:rsid w:val="00D756ED"/>
    <w:rsid w:val="00D759F5"/>
    <w:rsid w:val="00D75C7F"/>
    <w:rsid w:val="00D76181"/>
    <w:rsid w:val="00D766C8"/>
    <w:rsid w:val="00D76A44"/>
    <w:rsid w:val="00D77528"/>
    <w:rsid w:val="00D77592"/>
    <w:rsid w:val="00D77E98"/>
    <w:rsid w:val="00D806B0"/>
    <w:rsid w:val="00D8122D"/>
    <w:rsid w:val="00D815EF"/>
    <w:rsid w:val="00D81AE9"/>
    <w:rsid w:val="00D81F26"/>
    <w:rsid w:val="00D829F5"/>
    <w:rsid w:val="00D82D31"/>
    <w:rsid w:val="00D833AB"/>
    <w:rsid w:val="00D837A7"/>
    <w:rsid w:val="00D83994"/>
    <w:rsid w:val="00D83A17"/>
    <w:rsid w:val="00D841E6"/>
    <w:rsid w:val="00D85E7C"/>
    <w:rsid w:val="00D8608D"/>
    <w:rsid w:val="00D8620A"/>
    <w:rsid w:val="00D86231"/>
    <w:rsid w:val="00D86FD1"/>
    <w:rsid w:val="00D870AF"/>
    <w:rsid w:val="00D879FA"/>
    <w:rsid w:val="00D9003F"/>
    <w:rsid w:val="00D9051C"/>
    <w:rsid w:val="00D90528"/>
    <w:rsid w:val="00D90CC5"/>
    <w:rsid w:val="00D90D88"/>
    <w:rsid w:val="00D914BF"/>
    <w:rsid w:val="00D918F8"/>
    <w:rsid w:val="00D91923"/>
    <w:rsid w:val="00D92145"/>
    <w:rsid w:val="00D9272C"/>
    <w:rsid w:val="00D929EA"/>
    <w:rsid w:val="00D92A99"/>
    <w:rsid w:val="00D92B3C"/>
    <w:rsid w:val="00D9303E"/>
    <w:rsid w:val="00D93753"/>
    <w:rsid w:val="00D9379E"/>
    <w:rsid w:val="00D93D09"/>
    <w:rsid w:val="00D9472C"/>
    <w:rsid w:val="00D948BA"/>
    <w:rsid w:val="00D94A46"/>
    <w:rsid w:val="00D95898"/>
    <w:rsid w:val="00D95911"/>
    <w:rsid w:val="00D95ABD"/>
    <w:rsid w:val="00D95D0F"/>
    <w:rsid w:val="00D962CD"/>
    <w:rsid w:val="00D9733A"/>
    <w:rsid w:val="00D97803"/>
    <w:rsid w:val="00D97D1E"/>
    <w:rsid w:val="00DA0322"/>
    <w:rsid w:val="00DA0890"/>
    <w:rsid w:val="00DA0A7F"/>
    <w:rsid w:val="00DA158E"/>
    <w:rsid w:val="00DA21D1"/>
    <w:rsid w:val="00DA2A58"/>
    <w:rsid w:val="00DA2B41"/>
    <w:rsid w:val="00DA2BDF"/>
    <w:rsid w:val="00DA2C83"/>
    <w:rsid w:val="00DA3043"/>
    <w:rsid w:val="00DA3167"/>
    <w:rsid w:val="00DA39DB"/>
    <w:rsid w:val="00DA3AE8"/>
    <w:rsid w:val="00DA3D6D"/>
    <w:rsid w:val="00DA41AA"/>
    <w:rsid w:val="00DA4DC3"/>
    <w:rsid w:val="00DA5104"/>
    <w:rsid w:val="00DA579C"/>
    <w:rsid w:val="00DA584E"/>
    <w:rsid w:val="00DA64FF"/>
    <w:rsid w:val="00DA77A5"/>
    <w:rsid w:val="00DA77F7"/>
    <w:rsid w:val="00DB0190"/>
    <w:rsid w:val="00DB05C0"/>
    <w:rsid w:val="00DB06EF"/>
    <w:rsid w:val="00DB0F66"/>
    <w:rsid w:val="00DB131A"/>
    <w:rsid w:val="00DB1696"/>
    <w:rsid w:val="00DB257D"/>
    <w:rsid w:val="00DB2804"/>
    <w:rsid w:val="00DB3DBF"/>
    <w:rsid w:val="00DB4584"/>
    <w:rsid w:val="00DB484F"/>
    <w:rsid w:val="00DB4EF6"/>
    <w:rsid w:val="00DB57AB"/>
    <w:rsid w:val="00DB60D7"/>
    <w:rsid w:val="00DB691F"/>
    <w:rsid w:val="00DB7728"/>
    <w:rsid w:val="00DC0428"/>
    <w:rsid w:val="00DC04F6"/>
    <w:rsid w:val="00DC0690"/>
    <w:rsid w:val="00DC0E0C"/>
    <w:rsid w:val="00DC1472"/>
    <w:rsid w:val="00DC198E"/>
    <w:rsid w:val="00DC1D65"/>
    <w:rsid w:val="00DC2584"/>
    <w:rsid w:val="00DC25F5"/>
    <w:rsid w:val="00DC2FA2"/>
    <w:rsid w:val="00DC31DC"/>
    <w:rsid w:val="00DC3C57"/>
    <w:rsid w:val="00DC3E6F"/>
    <w:rsid w:val="00DC3FE2"/>
    <w:rsid w:val="00DC3FEB"/>
    <w:rsid w:val="00DC45C0"/>
    <w:rsid w:val="00DC4C65"/>
    <w:rsid w:val="00DC4D23"/>
    <w:rsid w:val="00DC5501"/>
    <w:rsid w:val="00DC64D3"/>
    <w:rsid w:val="00DC6595"/>
    <w:rsid w:val="00DC705E"/>
    <w:rsid w:val="00DC7154"/>
    <w:rsid w:val="00DC7C32"/>
    <w:rsid w:val="00DC7E8A"/>
    <w:rsid w:val="00DD0632"/>
    <w:rsid w:val="00DD0D8B"/>
    <w:rsid w:val="00DD0F78"/>
    <w:rsid w:val="00DD12B2"/>
    <w:rsid w:val="00DD15AF"/>
    <w:rsid w:val="00DD1973"/>
    <w:rsid w:val="00DD273C"/>
    <w:rsid w:val="00DD27F6"/>
    <w:rsid w:val="00DD312B"/>
    <w:rsid w:val="00DD3843"/>
    <w:rsid w:val="00DD3F28"/>
    <w:rsid w:val="00DD4537"/>
    <w:rsid w:val="00DD47AF"/>
    <w:rsid w:val="00DD4D6D"/>
    <w:rsid w:val="00DD4E15"/>
    <w:rsid w:val="00DD65AC"/>
    <w:rsid w:val="00DD65EB"/>
    <w:rsid w:val="00DD69C7"/>
    <w:rsid w:val="00DD6A8A"/>
    <w:rsid w:val="00DE0A80"/>
    <w:rsid w:val="00DE18D1"/>
    <w:rsid w:val="00DE2304"/>
    <w:rsid w:val="00DE231B"/>
    <w:rsid w:val="00DE238E"/>
    <w:rsid w:val="00DE30C6"/>
    <w:rsid w:val="00DE3138"/>
    <w:rsid w:val="00DE37F8"/>
    <w:rsid w:val="00DE413C"/>
    <w:rsid w:val="00DE46BD"/>
    <w:rsid w:val="00DE4FCB"/>
    <w:rsid w:val="00DE5700"/>
    <w:rsid w:val="00DE5D07"/>
    <w:rsid w:val="00DE5DF7"/>
    <w:rsid w:val="00DE6015"/>
    <w:rsid w:val="00DE6485"/>
    <w:rsid w:val="00DE6F15"/>
    <w:rsid w:val="00DE6FDC"/>
    <w:rsid w:val="00DE72A7"/>
    <w:rsid w:val="00DE77B0"/>
    <w:rsid w:val="00DE7832"/>
    <w:rsid w:val="00DF0D3E"/>
    <w:rsid w:val="00DF144B"/>
    <w:rsid w:val="00DF1584"/>
    <w:rsid w:val="00DF18FC"/>
    <w:rsid w:val="00DF1A60"/>
    <w:rsid w:val="00DF2CC3"/>
    <w:rsid w:val="00DF2D50"/>
    <w:rsid w:val="00DF3312"/>
    <w:rsid w:val="00DF34A8"/>
    <w:rsid w:val="00DF379E"/>
    <w:rsid w:val="00DF3F30"/>
    <w:rsid w:val="00DF41D9"/>
    <w:rsid w:val="00DF45A8"/>
    <w:rsid w:val="00DF54A9"/>
    <w:rsid w:val="00DF54D2"/>
    <w:rsid w:val="00DF5654"/>
    <w:rsid w:val="00DF5BE9"/>
    <w:rsid w:val="00DF5D2B"/>
    <w:rsid w:val="00DF64D1"/>
    <w:rsid w:val="00DF67E7"/>
    <w:rsid w:val="00DF6C1B"/>
    <w:rsid w:val="00DF6EE2"/>
    <w:rsid w:val="00E00883"/>
    <w:rsid w:val="00E00D49"/>
    <w:rsid w:val="00E00E8E"/>
    <w:rsid w:val="00E02226"/>
    <w:rsid w:val="00E022FC"/>
    <w:rsid w:val="00E03CB2"/>
    <w:rsid w:val="00E04939"/>
    <w:rsid w:val="00E05630"/>
    <w:rsid w:val="00E05ACF"/>
    <w:rsid w:val="00E063F5"/>
    <w:rsid w:val="00E069CB"/>
    <w:rsid w:val="00E06B42"/>
    <w:rsid w:val="00E06DBB"/>
    <w:rsid w:val="00E06F7F"/>
    <w:rsid w:val="00E073D4"/>
    <w:rsid w:val="00E078AF"/>
    <w:rsid w:val="00E10149"/>
    <w:rsid w:val="00E11340"/>
    <w:rsid w:val="00E11F2E"/>
    <w:rsid w:val="00E121F9"/>
    <w:rsid w:val="00E122A1"/>
    <w:rsid w:val="00E12665"/>
    <w:rsid w:val="00E13438"/>
    <w:rsid w:val="00E138AF"/>
    <w:rsid w:val="00E13986"/>
    <w:rsid w:val="00E13DE3"/>
    <w:rsid w:val="00E13E2A"/>
    <w:rsid w:val="00E1436C"/>
    <w:rsid w:val="00E1497D"/>
    <w:rsid w:val="00E15348"/>
    <w:rsid w:val="00E15792"/>
    <w:rsid w:val="00E15E85"/>
    <w:rsid w:val="00E15F9E"/>
    <w:rsid w:val="00E16372"/>
    <w:rsid w:val="00E16487"/>
    <w:rsid w:val="00E17951"/>
    <w:rsid w:val="00E17EF6"/>
    <w:rsid w:val="00E20E4D"/>
    <w:rsid w:val="00E20ED6"/>
    <w:rsid w:val="00E211A6"/>
    <w:rsid w:val="00E21358"/>
    <w:rsid w:val="00E21763"/>
    <w:rsid w:val="00E220C9"/>
    <w:rsid w:val="00E2249B"/>
    <w:rsid w:val="00E22A0D"/>
    <w:rsid w:val="00E22F59"/>
    <w:rsid w:val="00E22F76"/>
    <w:rsid w:val="00E24262"/>
    <w:rsid w:val="00E24464"/>
    <w:rsid w:val="00E244F6"/>
    <w:rsid w:val="00E24EC9"/>
    <w:rsid w:val="00E25466"/>
    <w:rsid w:val="00E25BAE"/>
    <w:rsid w:val="00E25E58"/>
    <w:rsid w:val="00E2637B"/>
    <w:rsid w:val="00E2646A"/>
    <w:rsid w:val="00E268C9"/>
    <w:rsid w:val="00E2746F"/>
    <w:rsid w:val="00E2771E"/>
    <w:rsid w:val="00E30365"/>
    <w:rsid w:val="00E311EF"/>
    <w:rsid w:val="00E31448"/>
    <w:rsid w:val="00E31F2B"/>
    <w:rsid w:val="00E32180"/>
    <w:rsid w:val="00E325A8"/>
    <w:rsid w:val="00E3278F"/>
    <w:rsid w:val="00E3315C"/>
    <w:rsid w:val="00E33AE2"/>
    <w:rsid w:val="00E33C93"/>
    <w:rsid w:val="00E33FF8"/>
    <w:rsid w:val="00E3416D"/>
    <w:rsid w:val="00E34948"/>
    <w:rsid w:val="00E34D3E"/>
    <w:rsid w:val="00E3514C"/>
    <w:rsid w:val="00E3574F"/>
    <w:rsid w:val="00E35EFC"/>
    <w:rsid w:val="00E36086"/>
    <w:rsid w:val="00E365CE"/>
    <w:rsid w:val="00E36A18"/>
    <w:rsid w:val="00E36F26"/>
    <w:rsid w:val="00E37569"/>
    <w:rsid w:val="00E37AB9"/>
    <w:rsid w:val="00E37D07"/>
    <w:rsid w:val="00E4004C"/>
    <w:rsid w:val="00E401B2"/>
    <w:rsid w:val="00E40AF9"/>
    <w:rsid w:val="00E40D02"/>
    <w:rsid w:val="00E40D0B"/>
    <w:rsid w:val="00E40FCB"/>
    <w:rsid w:val="00E413A8"/>
    <w:rsid w:val="00E41548"/>
    <w:rsid w:val="00E41B5E"/>
    <w:rsid w:val="00E41E30"/>
    <w:rsid w:val="00E429A5"/>
    <w:rsid w:val="00E42BBF"/>
    <w:rsid w:val="00E42BF8"/>
    <w:rsid w:val="00E42DBA"/>
    <w:rsid w:val="00E42EE7"/>
    <w:rsid w:val="00E42F73"/>
    <w:rsid w:val="00E42F8C"/>
    <w:rsid w:val="00E431AC"/>
    <w:rsid w:val="00E432F3"/>
    <w:rsid w:val="00E434A0"/>
    <w:rsid w:val="00E436AF"/>
    <w:rsid w:val="00E436BA"/>
    <w:rsid w:val="00E43D70"/>
    <w:rsid w:val="00E44E40"/>
    <w:rsid w:val="00E44E4D"/>
    <w:rsid w:val="00E453D0"/>
    <w:rsid w:val="00E4588D"/>
    <w:rsid w:val="00E4603A"/>
    <w:rsid w:val="00E466F3"/>
    <w:rsid w:val="00E46937"/>
    <w:rsid w:val="00E47610"/>
    <w:rsid w:val="00E479FC"/>
    <w:rsid w:val="00E47B2C"/>
    <w:rsid w:val="00E5071C"/>
    <w:rsid w:val="00E5089F"/>
    <w:rsid w:val="00E50E73"/>
    <w:rsid w:val="00E51560"/>
    <w:rsid w:val="00E51A4B"/>
    <w:rsid w:val="00E52822"/>
    <w:rsid w:val="00E53FC8"/>
    <w:rsid w:val="00E5418F"/>
    <w:rsid w:val="00E541C4"/>
    <w:rsid w:val="00E54347"/>
    <w:rsid w:val="00E54516"/>
    <w:rsid w:val="00E545C0"/>
    <w:rsid w:val="00E55218"/>
    <w:rsid w:val="00E55424"/>
    <w:rsid w:val="00E55441"/>
    <w:rsid w:val="00E55915"/>
    <w:rsid w:val="00E55B13"/>
    <w:rsid w:val="00E55BB5"/>
    <w:rsid w:val="00E55F3B"/>
    <w:rsid w:val="00E565A6"/>
    <w:rsid w:val="00E56F93"/>
    <w:rsid w:val="00E573F7"/>
    <w:rsid w:val="00E6144F"/>
    <w:rsid w:val="00E628B8"/>
    <w:rsid w:val="00E62F4A"/>
    <w:rsid w:val="00E63A11"/>
    <w:rsid w:val="00E654C0"/>
    <w:rsid w:val="00E65E18"/>
    <w:rsid w:val="00E65E79"/>
    <w:rsid w:val="00E6653C"/>
    <w:rsid w:val="00E6673E"/>
    <w:rsid w:val="00E66BA2"/>
    <w:rsid w:val="00E66E2B"/>
    <w:rsid w:val="00E66EFA"/>
    <w:rsid w:val="00E67090"/>
    <w:rsid w:val="00E67416"/>
    <w:rsid w:val="00E674BC"/>
    <w:rsid w:val="00E67638"/>
    <w:rsid w:val="00E67D6F"/>
    <w:rsid w:val="00E7035D"/>
    <w:rsid w:val="00E70A37"/>
    <w:rsid w:val="00E70EFE"/>
    <w:rsid w:val="00E718B6"/>
    <w:rsid w:val="00E723BA"/>
    <w:rsid w:val="00E72E04"/>
    <w:rsid w:val="00E73581"/>
    <w:rsid w:val="00E736F6"/>
    <w:rsid w:val="00E73D63"/>
    <w:rsid w:val="00E73E49"/>
    <w:rsid w:val="00E73F3D"/>
    <w:rsid w:val="00E73FF0"/>
    <w:rsid w:val="00E7454C"/>
    <w:rsid w:val="00E745D4"/>
    <w:rsid w:val="00E749BB"/>
    <w:rsid w:val="00E749F8"/>
    <w:rsid w:val="00E74A6B"/>
    <w:rsid w:val="00E74D14"/>
    <w:rsid w:val="00E7570C"/>
    <w:rsid w:val="00E75E99"/>
    <w:rsid w:val="00E75EB2"/>
    <w:rsid w:val="00E77223"/>
    <w:rsid w:val="00E772B9"/>
    <w:rsid w:val="00E77B8B"/>
    <w:rsid w:val="00E8102D"/>
    <w:rsid w:val="00E810B6"/>
    <w:rsid w:val="00E8190D"/>
    <w:rsid w:val="00E824CD"/>
    <w:rsid w:val="00E824D4"/>
    <w:rsid w:val="00E8253E"/>
    <w:rsid w:val="00E833F7"/>
    <w:rsid w:val="00E835AA"/>
    <w:rsid w:val="00E835B5"/>
    <w:rsid w:val="00E8388B"/>
    <w:rsid w:val="00E83932"/>
    <w:rsid w:val="00E839AE"/>
    <w:rsid w:val="00E83BDF"/>
    <w:rsid w:val="00E84FB2"/>
    <w:rsid w:val="00E8546A"/>
    <w:rsid w:val="00E85A8D"/>
    <w:rsid w:val="00E85C60"/>
    <w:rsid w:val="00E86091"/>
    <w:rsid w:val="00E8614B"/>
    <w:rsid w:val="00E863E3"/>
    <w:rsid w:val="00E868F1"/>
    <w:rsid w:val="00E87181"/>
    <w:rsid w:val="00E8758C"/>
    <w:rsid w:val="00E87A1D"/>
    <w:rsid w:val="00E87F2B"/>
    <w:rsid w:val="00E90177"/>
    <w:rsid w:val="00E90357"/>
    <w:rsid w:val="00E9094A"/>
    <w:rsid w:val="00E90BC1"/>
    <w:rsid w:val="00E9122A"/>
    <w:rsid w:val="00E91C71"/>
    <w:rsid w:val="00E91D0B"/>
    <w:rsid w:val="00E91D35"/>
    <w:rsid w:val="00E926A5"/>
    <w:rsid w:val="00E9312A"/>
    <w:rsid w:val="00E934D2"/>
    <w:rsid w:val="00E94005"/>
    <w:rsid w:val="00E94BE1"/>
    <w:rsid w:val="00E95F39"/>
    <w:rsid w:val="00E96422"/>
    <w:rsid w:val="00E968BB"/>
    <w:rsid w:val="00E9743F"/>
    <w:rsid w:val="00E97ADA"/>
    <w:rsid w:val="00E97CEF"/>
    <w:rsid w:val="00EA0741"/>
    <w:rsid w:val="00EA0773"/>
    <w:rsid w:val="00EA0EBC"/>
    <w:rsid w:val="00EA1222"/>
    <w:rsid w:val="00EA134D"/>
    <w:rsid w:val="00EA17C3"/>
    <w:rsid w:val="00EA17F5"/>
    <w:rsid w:val="00EA2A74"/>
    <w:rsid w:val="00EA2CAA"/>
    <w:rsid w:val="00EA2E66"/>
    <w:rsid w:val="00EA310C"/>
    <w:rsid w:val="00EA329F"/>
    <w:rsid w:val="00EA32A0"/>
    <w:rsid w:val="00EA363A"/>
    <w:rsid w:val="00EA3864"/>
    <w:rsid w:val="00EA4209"/>
    <w:rsid w:val="00EA5991"/>
    <w:rsid w:val="00EA645E"/>
    <w:rsid w:val="00EA76AB"/>
    <w:rsid w:val="00EA7B1E"/>
    <w:rsid w:val="00EA7E9D"/>
    <w:rsid w:val="00EA7F1C"/>
    <w:rsid w:val="00EB0115"/>
    <w:rsid w:val="00EB0416"/>
    <w:rsid w:val="00EB0674"/>
    <w:rsid w:val="00EB0A22"/>
    <w:rsid w:val="00EB0BD3"/>
    <w:rsid w:val="00EB15B6"/>
    <w:rsid w:val="00EB1AC0"/>
    <w:rsid w:val="00EB1EB9"/>
    <w:rsid w:val="00EB2CEC"/>
    <w:rsid w:val="00EB2FD2"/>
    <w:rsid w:val="00EB30A5"/>
    <w:rsid w:val="00EB3C37"/>
    <w:rsid w:val="00EB3D06"/>
    <w:rsid w:val="00EB3D16"/>
    <w:rsid w:val="00EB4916"/>
    <w:rsid w:val="00EB4E9F"/>
    <w:rsid w:val="00EB5335"/>
    <w:rsid w:val="00EB771D"/>
    <w:rsid w:val="00EB774D"/>
    <w:rsid w:val="00EB7825"/>
    <w:rsid w:val="00EB7D3A"/>
    <w:rsid w:val="00EB7EA1"/>
    <w:rsid w:val="00EB7F7C"/>
    <w:rsid w:val="00EC00C9"/>
    <w:rsid w:val="00EC07DB"/>
    <w:rsid w:val="00EC0DD9"/>
    <w:rsid w:val="00EC1111"/>
    <w:rsid w:val="00EC133B"/>
    <w:rsid w:val="00EC2035"/>
    <w:rsid w:val="00EC24FA"/>
    <w:rsid w:val="00EC2649"/>
    <w:rsid w:val="00EC2A52"/>
    <w:rsid w:val="00EC31ED"/>
    <w:rsid w:val="00EC39C5"/>
    <w:rsid w:val="00EC3B4E"/>
    <w:rsid w:val="00EC4506"/>
    <w:rsid w:val="00EC4D09"/>
    <w:rsid w:val="00EC4DB5"/>
    <w:rsid w:val="00EC4E63"/>
    <w:rsid w:val="00EC54CF"/>
    <w:rsid w:val="00EC54DA"/>
    <w:rsid w:val="00EC5836"/>
    <w:rsid w:val="00EC6153"/>
    <w:rsid w:val="00EC6595"/>
    <w:rsid w:val="00EC670D"/>
    <w:rsid w:val="00EC688C"/>
    <w:rsid w:val="00ED0F8F"/>
    <w:rsid w:val="00ED178C"/>
    <w:rsid w:val="00ED2537"/>
    <w:rsid w:val="00ED2B20"/>
    <w:rsid w:val="00ED3553"/>
    <w:rsid w:val="00ED3E6F"/>
    <w:rsid w:val="00ED425D"/>
    <w:rsid w:val="00ED4AD4"/>
    <w:rsid w:val="00ED538D"/>
    <w:rsid w:val="00ED5765"/>
    <w:rsid w:val="00ED57EA"/>
    <w:rsid w:val="00ED5BD4"/>
    <w:rsid w:val="00ED5C3E"/>
    <w:rsid w:val="00ED6194"/>
    <w:rsid w:val="00ED626F"/>
    <w:rsid w:val="00ED71EC"/>
    <w:rsid w:val="00ED7B59"/>
    <w:rsid w:val="00ED7CDA"/>
    <w:rsid w:val="00EE07D3"/>
    <w:rsid w:val="00EE0882"/>
    <w:rsid w:val="00EE0B1C"/>
    <w:rsid w:val="00EE1996"/>
    <w:rsid w:val="00EE1C01"/>
    <w:rsid w:val="00EE1E6C"/>
    <w:rsid w:val="00EE20D0"/>
    <w:rsid w:val="00EE22AF"/>
    <w:rsid w:val="00EE25C7"/>
    <w:rsid w:val="00EE35B4"/>
    <w:rsid w:val="00EE3DC1"/>
    <w:rsid w:val="00EE416C"/>
    <w:rsid w:val="00EE62EA"/>
    <w:rsid w:val="00EE6D34"/>
    <w:rsid w:val="00EE6E7C"/>
    <w:rsid w:val="00EF0171"/>
    <w:rsid w:val="00EF0395"/>
    <w:rsid w:val="00EF047E"/>
    <w:rsid w:val="00EF0851"/>
    <w:rsid w:val="00EF132E"/>
    <w:rsid w:val="00EF13FC"/>
    <w:rsid w:val="00EF1B25"/>
    <w:rsid w:val="00EF1DA0"/>
    <w:rsid w:val="00EF1F20"/>
    <w:rsid w:val="00EF3727"/>
    <w:rsid w:val="00EF4747"/>
    <w:rsid w:val="00EF4A1E"/>
    <w:rsid w:val="00EF4BF8"/>
    <w:rsid w:val="00EF4D2E"/>
    <w:rsid w:val="00EF4F34"/>
    <w:rsid w:val="00EF510D"/>
    <w:rsid w:val="00EF5780"/>
    <w:rsid w:val="00EF5796"/>
    <w:rsid w:val="00EF5A9A"/>
    <w:rsid w:val="00EF61CC"/>
    <w:rsid w:val="00EF62E5"/>
    <w:rsid w:val="00EF69D5"/>
    <w:rsid w:val="00EF7560"/>
    <w:rsid w:val="00EF7BAF"/>
    <w:rsid w:val="00F01035"/>
    <w:rsid w:val="00F01B4D"/>
    <w:rsid w:val="00F01D74"/>
    <w:rsid w:val="00F02171"/>
    <w:rsid w:val="00F02242"/>
    <w:rsid w:val="00F02253"/>
    <w:rsid w:val="00F02326"/>
    <w:rsid w:val="00F027F0"/>
    <w:rsid w:val="00F028BB"/>
    <w:rsid w:val="00F029A9"/>
    <w:rsid w:val="00F0300B"/>
    <w:rsid w:val="00F0381D"/>
    <w:rsid w:val="00F03A4F"/>
    <w:rsid w:val="00F03C2E"/>
    <w:rsid w:val="00F03CE0"/>
    <w:rsid w:val="00F03F76"/>
    <w:rsid w:val="00F0409A"/>
    <w:rsid w:val="00F04A66"/>
    <w:rsid w:val="00F04B4B"/>
    <w:rsid w:val="00F0516C"/>
    <w:rsid w:val="00F0676F"/>
    <w:rsid w:val="00F067A2"/>
    <w:rsid w:val="00F06B80"/>
    <w:rsid w:val="00F06FB3"/>
    <w:rsid w:val="00F07066"/>
    <w:rsid w:val="00F07B9E"/>
    <w:rsid w:val="00F1049A"/>
    <w:rsid w:val="00F1116F"/>
    <w:rsid w:val="00F119BD"/>
    <w:rsid w:val="00F11A62"/>
    <w:rsid w:val="00F11E35"/>
    <w:rsid w:val="00F1263A"/>
    <w:rsid w:val="00F1350E"/>
    <w:rsid w:val="00F14060"/>
    <w:rsid w:val="00F152B1"/>
    <w:rsid w:val="00F157AD"/>
    <w:rsid w:val="00F15B77"/>
    <w:rsid w:val="00F16603"/>
    <w:rsid w:val="00F167C7"/>
    <w:rsid w:val="00F17732"/>
    <w:rsid w:val="00F17A7F"/>
    <w:rsid w:val="00F17BD8"/>
    <w:rsid w:val="00F20207"/>
    <w:rsid w:val="00F2061C"/>
    <w:rsid w:val="00F2102F"/>
    <w:rsid w:val="00F2123E"/>
    <w:rsid w:val="00F21C76"/>
    <w:rsid w:val="00F21D26"/>
    <w:rsid w:val="00F22106"/>
    <w:rsid w:val="00F2213C"/>
    <w:rsid w:val="00F222D5"/>
    <w:rsid w:val="00F224AC"/>
    <w:rsid w:val="00F23049"/>
    <w:rsid w:val="00F23347"/>
    <w:rsid w:val="00F243F2"/>
    <w:rsid w:val="00F24837"/>
    <w:rsid w:val="00F2575F"/>
    <w:rsid w:val="00F2674E"/>
    <w:rsid w:val="00F269C7"/>
    <w:rsid w:val="00F271BE"/>
    <w:rsid w:val="00F27565"/>
    <w:rsid w:val="00F2799D"/>
    <w:rsid w:val="00F3100E"/>
    <w:rsid w:val="00F310D4"/>
    <w:rsid w:val="00F311EB"/>
    <w:rsid w:val="00F312E2"/>
    <w:rsid w:val="00F31503"/>
    <w:rsid w:val="00F31612"/>
    <w:rsid w:val="00F31B42"/>
    <w:rsid w:val="00F31D5A"/>
    <w:rsid w:val="00F31ECB"/>
    <w:rsid w:val="00F32143"/>
    <w:rsid w:val="00F3287A"/>
    <w:rsid w:val="00F32A40"/>
    <w:rsid w:val="00F33879"/>
    <w:rsid w:val="00F33975"/>
    <w:rsid w:val="00F33DE9"/>
    <w:rsid w:val="00F34C94"/>
    <w:rsid w:val="00F356D7"/>
    <w:rsid w:val="00F35BF1"/>
    <w:rsid w:val="00F35D2C"/>
    <w:rsid w:val="00F35E6D"/>
    <w:rsid w:val="00F3619A"/>
    <w:rsid w:val="00F36E35"/>
    <w:rsid w:val="00F370E8"/>
    <w:rsid w:val="00F374DA"/>
    <w:rsid w:val="00F40195"/>
    <w:rsid w:val="00F4064B"/>
    <w:rsid w:val="00F40AAA"/>
    <w:rsid w:val="00F40BA7"/>
    <w:rsid w:val="00F40EB2"/>
    <w:rsid w:val="00F40F9D"/>
    <w:rsid w:val="00F414B5"/>
    <w:rsid w:val="00F41557"/>
    <w:rsid w:val="00F419C6"/>
    <w:rsid w:val="00F41ACD"/>
    <w:rsid w:val="00F41CCC"/>
    <w:rsid w:val="00F42262"/>
    <w:rsid w:val="00F422F4"/>
    <w:rsid w:val="00F42427"/>
    <w:rsid w:val="00F424AC"/>
    <w:rsid w:val="00F427AF"/>
    <w:rsid w:val="00F431BA"/>
    <w:rsid w:val="00F43DB6"/>
    <w:rsid w:val="00F43FC9"/>
    <w:rsid w:val="00F45246"/>
    <w:rsid w:val="00F463CF"/>
    <w:rsid w:val="00F46479"/>
    <w:rsid w:val="00F46664"/>
    <w:rsid w:val="00F4694B"/>
    <w:rsid w:val="00F46CB6"/>
    <w:rsid w:val="00F46E46"/>
    <w:rsid w:val="00F47545"/>
    <w:rsid w:val="00F4756D"/>
    <w:rsid w:val="00F47A6A"/>
    <w:rsid w:val="00F47BAA"/>
    <w:rsid w:val="00F47D71"/>
    <w:rsid w:val="00F47DE8"/>
    <w:rsid w:val="00F50D43"/>
    <w:rsid w:val="00F511FE"/>
    <w:rsid w:val="00F5163D"/>
    <w:rsid w:val="00F52596"/>
    <w:rsid w:val="00F5266B"/>
    <w:rsid w:val="00F533E2"/>
    <w:rsid w:val="00F53B70"/>
    <w:rsid w:val="00F53FC1"/>
    <w:rsid w:val="00F5420F"/>
    <w:rsid w:val="00F542C1"/>
    <w:rsid w:val="00F54F2F"/>
    <w:rsid w:val="00F54F6C"/>
    <w:rsid w:val="00F55BFE"/>
    <w:rsid w:val="00F55E73"/>
    <w:rsid w:val="00F55EDA"/>
    <w:rsid w:val="00F56000"/>
    <w:rsid w:val="00F56634"/>
    <w:rsid w:val="00F56841"/>
    <w:rsid w:val="00F56C80"/>
    <w:rsid w:val="00F57939"/>
    <w:rsid w:val="00F57944"/>
    <w:rsid w:val="00F60092"/>
    <w:rsid w:val="00F601EA"/>
    <w:rsid w:val="00F601F8"/>
    <w:rsid w:val="00F60CC5"/>
    <w:rsid w:val="00F614CC"/>
    <w:rsid w:val="00F615FB"/>
    <w:rsid w:val="00F61670"/>
    <w:rsid w:val="00F61AF6"/>
    <w:rsid w:val="00F61B4D"/>
    <w:rsid w:val="00F61B63"/>
    <w:rsid w:val="00F61C18"/>
    <w:rsid w:val="00F61E83"/>
    <w:rsid w:val="00F622D9"/>
    <w:rsid w:val="00F6249A"/>
    <w:rsid w:val="00F62FD8"/>
    <w:rsid w:val="00F630AB"/>
    <w:rsid w:val="00F63185"/>
    <w:rsid w:val="00F63AF0"/>
    <w:rsid w:val="00F63B09"/>
    <w:rsid w:val="00F64BCF"/>
    <w:rsid w:val="00F6526A"/>
    <w:rsid w:val="00F65F4B"/>
    <w:rsid w:val="00F660A5"/>
    <w:rsid w:val="00F66172"/>
    <w:rsid w:val="00F661A6"/>
    <w:rsid w:val="00F66214"/>
    <w:rsid w:val="00F664AB"/>
    <w:rsid w:val="00F666AE"/>
    <w:rsid w:val="00F66A91"/>
    <w:rsid w:val="00F67059"/>
    <w:rsid w:val="00F6773D"/>
    <w:rsid w:val="00F677ED"/>
    <w:rsid w:val="00F67A69"/>
    <w:rsid w:val="00F67CFA"/>
    <w:rsid w:val="00F70BFF"/>
    <w:rsid w:val="00F70C9D"/>
    <w:rsid w:val="00F721B1"/>
    <w:rsid w:val="00F7258A"/>
    <w:rsid w:val="00F73530"/>
    <w:rsid w:val="00F736DB"/>
    <w:rsid w:val="00F73A25"/>
    <w:rsid w:val="00F74CD9"/>
    <w:rsid w:val="00F74DFF"/>
    <w:rsid w:val="00F751E5"/>
    <w:rsid w:val="00F75733"/>
    <w:rsid w:val="00F7585D"/>
    <w:rsid w:val="00F76633"/>
    <w:rsid w:val="00F7710F"/>
    <w:rsid w:val="00F77F40"/>
    <w:rsid w:val="00F80A7B"/>
    <w:rsid w:val="00F80E5D"/>
    <w:rsid w:val="00F81E78"/>
    <w:rsid w:val="00F82004"/>
    <w:rsid w:val="00F82095"/>
    <w:rsid w:val="00F821BE"/>
    <w:rsid w:val="00F823D1"/>
    <w:rsid w:val="00F82BB0"/>
    <w:rsid w:val="00F8300E"/>
    <w:rsid w:val="00F83217"/>
    <w:rsid w:val="00F8326F"/>
    <w:rsid w:val="00F836E5"/>
    <w:rsid w:val="00F84500"/>
    <w:rsid w:val="00F848CB"/>
    <w:rsid w:val="00F84A63"/>
    <w:rsid w:val="00F851CE"/>
    <w:rsid w:val="00F85321"/>
    <w:rsid w:val="00F8547B"/>
    <w:rsid w:val="00F85499"/>
    <w:rsid w:val="00F85FA1"/>
    <w:rsid w:val="00F86744"/>
    <w:rsid w:val="00F869FE"/>
    <w:rsid w:val="00F86B37"/>
    <w:rsid w:val="00F86E76"/>
    <w:rsid w:val="00F87A56"/>
    <w:rsid w:val="00F90052"/>
    <w:rsid w:val="00F90633"/>
    <w:rsid w:val="00F9067C"/>
    <w:rsid w:val="00F907BB"/>
    <w:rsid w:val="00F90A67"/>
    <w:rsid w:val="00F90E0F"/>
    <w:rsid w:val="00F91219"/>
    <w:rsid w:val="00F914B0"/>
    <w:rsid w:val="00F923BC"/>
    <w:rsid w:val="00F92444"/>
    <w:rsid w:val="00F926A8"/>
    <w:rsid w:val="00F9361B"/>
    <w:rsid w:val="00F9364C"/>
    <w:rsid w:val="00F9393E"/>
    <w:rsid w:val="00F93B2B"/>
    <w:rsid w:val="00F94483"/>
    <w:rsid w:val="00F94530"/>
    <w:rsid w:val="00F94660"/>
    <w:rsid w:val="00F94DD9"/>
    <w:rsid w:val="00F95137"/>
    <w:rsid w:val="00F9623E"/>
    <w:rsid w:val="00F96544"/>
    <w:rsid w:val="00F96FD0"/>
    <w:rsid w:val="00F97230"/>
    <w:rsid w:val="00F972FA"/>
    <w:rsid w:val="00F973DE"/>
    <w:rsid w:val="00F97886"/>
    <w:rsid w:val="00F97A78"/>
    <w:rsid w:val="00F97FE9"/>
    <w:rsid w:val="00FA09C0"/>
    <w:rsid w:val="00FA0B20"/>
    <w:rsid w:val="00FA24E7"/>
    <w:rsid w:val="00FA278B"/>
    <w:rsid w:val="00FA2C70"/>
    <w:rsid w:val="00FA35E3"/>
    <w:rsid w:val="00FA3DAC"/>
    <w:rsid w:val="00FA403B"/>
    <w:rsid w:val="00FA418E"/>
    <w:rsid w:val="00FA476B"/>
    <w:rsid w:val="00FA4E00"/>
    <w:rsid w:val="00FA4FB5"/>
    <w:rsid w:val="00FA5BCF"/>
    <w:rsid w:val="00FA5EE6"/>
    <w:rsid w:val="00FA60EE"/>
    <w:rsid w:val="00FA66E0"/>
    <w:rsid w:val="00FA7209"/>
    <w:rsid w:val="00FA77B8"/>
    <w:rsid w:val="00FA7956"/>
    <w:rsid w:val="00FA79AC"/>
    <w:rsid w:val="00FA79B3"/>
    <w:rsid w:val="00FA7C5D"/>
    <w:rsid w:val="00FA7D62"/>
    <w:rsid w:val="00FA7EAC"/>
    <w:rsid w:val="00FB1094"/>
    <w:rsid w:val="00FB1291"/>
    <w:rsid w:val="00FB1B1F"/>
    <w:rsid w:val="00FB1CC6"/>
    <w:rsid w:val="00FB275E"/>
    <w:rsid w:val="00FB2772"/>
    <w:rsid w:val="00FB2E46"/>
    <w:rsid w:val="00FB2FCB"/>
    <w:rsid w:val="00FB37CE"/>
    <w:rsid w:val="00FB3BD8"/>
    <w:rsid w:val="00FB48EC"/>
    <w:rsid w:val="00FB6104"/>
    <w:rsid w:val="00FB6D7C"/>
    <w:rsid w:val="00FB7808"/>
    <w:rsid w:val="00FB7C55"/>
    <w:rsid w:val="00FC04C9"/>
    <w:rsid w:val="00FC050C"/>
    <w:rsid w:val="00FC1074"/>
    <w:rsid w:val="00FC1884"/>
    <w:rsid w:val="00FC1B5D"/>
    <w:rsid w:val="00FC2394"/>
    <w:rsid w:val="00FC2E92"/>
    <w:rsid w:val="00FC2F94"/>
    <w:rsid w:val="00FC3579"/>
    <w:rsid w:val="00FC371D"/>
    <w:rsid w:val="00FC373F"/>
    <w:rsid w:val="00FC3CCE"/>
    <w:rsid w:val="00FC53A5"/>
    <w:rsid w:val="00FC56EC"/>
    <w:rsid w:val="00FC5F0B"/>
    <w:rsid w:val="00FC7A89"/>
    <w:rsid w:val="00FD0685"/>
    <w:rsid w:val="00FD133A"/>
    <w:rsid w:val="00FD2100"/>
    <w:rsid w:val="00FD27FD"/>
    <w:rsid w:val="00FD281B"/>
    <w:rsid w:val="00FD346D"/>
    <w:rsid w:val="00FD3BD9"/>
    <w:rsid w:val="00FD3C4F"/>
    <w:rsid w:val="00FD3F5C"/>
    <w:rsid w:val="00FD436C"/>
    <w:rsid w:val="00FD446D"/>
    <w:rsid w:val="00FD4F2C"/>
    <w:rsid w:val="00FD5684"/>
    <w:rsid w:val="00FD56D6"/>
    <w:rsid w:val="00FD5A97"/>
    <w:rsid w:val="00FD626B"/>
    <w:rsid w:val="00FD6394"/>
    <w:rsid w:val="00FD6777"/>
    <w:rsid w:val="00FD69D5"/>
    <w:rsid w:val="00FD76A0"/>
    <w:rsid w:val="00FD7D02"/>
    <w:rsid w:val="00FE0E6C"/>
    <w:rsid w:val="00FE1119"/>
    <w:rsid w:val="00FE1230"/>
    <w:rsid w:val="00FE1CDC"/>
    <w:rsid w:val="00FE28B0"/>
    <w:rsid w:val="00FE32BB"/>
    <w:rsid w:val="00FE4562"/>
    <w:rsid w:val="00FE4A25"/>
    <w:rsid w:val="00FE4E6A"/>
    <w:rsid w:val="00FE53BE"/>
    <w:rsid w:val="00FE5708"/>
    <w:rsid w:val="00FE5E99"/>
    <w:rsid w:val="00FE6084"/>
    <w:rsid w:val="00FE70C3"/>
    <w:rsid w:val="00FE7186"/>
    <w:rsid w:val="00FF05BD"/>
    <w:rsid w:val="00FF0A77"/>
    <w:rsid w:val="00FF189D"/>
    <w:rsid w:val="00FF1CA2"/>
    <w:rsid w:val="00FF21A8"/>
    <w:rsid w:val="00FF2AD9"/>
    <w:rsid w:val="00FF317E"/>
    <w:rsid w:val="00FF359F"/>
    <w:rsid w:val="00FF3823"/>
    <w:rsid w:val="00FF3BB5"/>
    <w:rsid w:val="00FF3C86"/>
    <w:rsid w:val="00FF3DCF"/>
    <w:rsid w:val="00FF4735"/>
    <w:rsid w:val="00FF492C"/>
    <w:rsid w:val="00FF4997"/>
    <w:rsid w:val="00FF4A21"/>
    <w:rsid w:val="00FF4A41"/>
    <w:rsid w:val="00FF5149"/>
    <w:rsid w:val="00FF5A85"/>
    <w:rsid w:val="00FF5AA3"/>
    <w:rsid w:val="00FF5AD8"/>
    <w:rsid w:val="00FF5B67"/>
    <w:rsid w:val="00FF643A"/>
    <w:rsid w:val="00FF6484"/>
    <w:rsid w:val="00FF64B1"/>
    <w:rsid w:val="00FF71CF"/>
    <w:rsid w:val="00FF7C9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62D"/>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table" w:styleId="TableGrid">
    <w:name w:val="Table Grid"/>
    <w:aliases w:val="Summary box,Table Gridbeth,CMA Table Template,ASD Table,MSD 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SubSubSubHead">
    <w:name w:val="5-Sub Sub Sub Head"/>
    <w:basedOn w:val="Heading4"/>
    <w:qFormat/>
    <w:rsid w:val="008621F4"/>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qFormat/>
    <w:rsid w:val="00200EF8"/>
    <w:pPr>
      <w:numPr>
        <w:numId w:val="2"/>
      </w:numPr>
      <w:spacing w:after="120"/>
      <w:contextualSpacing/>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
    <w:name w:val="Table Text"/>
    <w:link w:val="TableTextChar"/>
    <w:qFormat/>
    <w:rsid w:val="00EE1996"/>
    <w:pPr>
      <w:keepNext/>
    </w:pPr>
    <w:rPr>
      <w:rFonts w:ascii="Arial Narrow" w:eastAsiaTheme="majorEastAsia" w:hAnsi="Arial Narrow" w:cstheme="majorBidi"/>
      <w:bCs/>
      <w:szCs w:val="24"/>
    </w:rPr>
  </w:style>
  <w:style w:type="paragraph" w:customStyle="1" w:styleId="Tableheadingrow">
    <w:name w:val="Table heading row"/>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 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 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Caption">
    <w:name w:val="Table/Figure Caption"/>
    <w:next w:val="Tableheadingrow"/>
    <w:link w:val="TableFigureCaptionChar"/>
    <w:qFormat/>
    <w:rsid w:val="005478BD"/>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5478BD"/>
    <w:rPr>
      <w:rFonts w:ascii="Arial Narrow" w:eastAsiaTheme="majorEastAsia" w:hAnsi="Arial Narrow" w:cstheme="majorBidi"/>
      <w:b/>
      <w:bCs/>
      <w:szCs w:val="24"/>
    </w:rPr>
  </w:style>
  <w:style w:type="paragraph" w:customStyle="1" w:styleId="ExecSumBodyText">
    <w:name w:val="Exec Sum Body Text"/>
    <w:basedOn w:val="Normal"/>
    <w:link w:val="ExecSumBodyTextChar"/>
    <w:qFormat/>
    <w:rsid w:val="00200EF8"/>
    <w:pPr>
      <w:numPr>
        <w:ilvl w:val="1"/>
        <w:numId w:val="4"/>
      </w:numPr>
      <w:spacing w:after="120"/>
    </w:pPr>
    <w:rPr>
      <w:rFonts w:asciiTheme="minorHAnsi" w:hAnsiTheme="minorHAnsi"/>
      <w:snapToGrid w:val="0"/>
    </w:rPr>
  </w:style>
  <w:style w:type="character" w:customStyle="1" w:styleId="ExecSumBodyTextChar">
    <w:name w:val="Exec Sum Body Text Char"/>
    <w:basedOn w:val="DefaultParagraphFont"/>
    <w:link w:val="ExecSumBodyText"/>
    <w:rsid w:val="00200EF8"/>
    <w:rPr>
      <w:rFonts w:asciiTheme="minorHAnsi" w:hAnsiTheme="minorHAnsi" w:cs="Arial"/>
      <w:snapToGrid w:val="0"/>
      <w:sz w:val="24"/>
      <w:szCs w:val="24"/>
    </w:rPr>
  </w:style>
  <w:style w:type="paragraph" w:customStyle="1" w:styleId="TableFigureFooter">
    <w:name w:val="Table/Figure Footer"/>
    <w:basedOn w:val="Normal"/>
    <w:link w:val="TableFigureFooterChar"/>
    <w:qFormat/>
    <w:rsid w:val="00293F12"/>
    <w:pPr>
      <w:spacing w:after="60"/>
      <w:contextualSpacing/>
    </w:pPr>
    <w:rPr>
      <w:rFonts w:ascii="Arial Narrow" w:hAnsi="Arial Narrow"/>
      <w:snapToGrid w:val="0"/>
      <w:sz w:val="18"/>
      <w:szCs w:val="22"/>
    </w:rPr>
  </w:style>
  <w:style w:type="character" w:customStyle="1" w:styleId="TableFigureFooterChar">
    <w:name w:val="Table/Figure Footer Char"/>
    <w:link w:val="TableFigureFooter"/>
    <w:rsid w:val="00293F12"/>
    <w:rPr>
      <w:rFonts w:ascii="Arial Narrow" w:hAnsi="Arial Narrow" w:cs="Arial"/>
      <w:snapToGrid w:val="0"/>
      <w:sz w:val="18"/>
      <w:szCs w:val="22"/>
    </w:rPr>
  </w:style>
  <w:style w:type="paragraph" w:customStyle="1" w:styleId="3-SubsectionHeading">
    <w:name w:val="3-Subsection Heading"/>
    <w:basedOn w:val="Heading2"/>
    <w:next w:val="ExecSumBodyText"/>
    <w:link w:val="3-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3-SubsectionHeadingChar">
    <w:name w:val="3-Subsection Heading Char"/>
    <w:basedOn w:val="Heading2Char"/>
    <w:link w:val="3-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4-SubsectSubhead">
    <w:name w:val="4-Subsect Subhead"/>
    <w:basedOn w:val="Heading3"/>
    <w:next w:val="ExecSumBodyText"/>
    <w:link w:val="4-SubsectSubheadChar"/>
    <w:qFormat/>
    <w:rsid w:val="008621F4"/>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8621F4"/>
    <w:rPr>
      <w:rFonts w:asciiTheme="minorHAnsi" w:eastAsiaTheme="majorEastAsia" w:hAnsiTheme="minorHAnsi" w:cstheme="majorBidi"/>
      <w:b/>
      <w:color w:val="000000" w:themeColor="text1"/>
      <w:sz w:val="28"/>
      <w:szCs w:val="28"/>
    </w:rPr>
  </w:style>
  <w:style w:type="paragraph" w:styleId="ListBullet">
    <w:name w:val="List Bullet"/>
    <w:basedOn w:val="Normal"/>
    <w:semiHidden/>
    <w:unhideWhenUsed/>
    <w:rsid w:val="00EE1996"/>
    <w:pPr>
      <w:numPr>
        <w:numId w:val="3"/>
      </w:numPr>
      <w:contextualSpacing/>
    </w:pPr>
  </w:style>
  <w:style w:type="character" w:customStyle="1" w:styleId="TableTextChar">
    <w:name w:val="Table Text Char"/>
    <w:basedOn w:val="DefaultParagraphFont"/>
    <w:link w:val="TableText"/>
    <w:rsid w:val="00EE1996"/>
    <w:rPr>
      <w:rFonts w:ascii="Arial Narrow" w:eastAsiaTheme="majorEastAsia" w:hAnsi="Arial Narrow" w:cstheme="majorBidi"/>
      <w:bCs/>
      <w:szCs w:val="24"/>
    </w:rPr>
  </w:style>
  <w:style w:type="paragraph" w:styleId="ListParagraph">
    <w:name w:val="List Paragraph"/>
    <w:aliases w:val="Numbered para,BulletPoints,L1 Bulleted List,Summary Bullets,Footer Setting,Bullet List,FooterText,List Paragraph1,numbered,Paragraphe de liste1,Bulletr List Paragraph,列出段落,列出段落1,List Paragraph2,List Paragraph21,Párrafo de lista1,L,Bullet1"/>
    <w:basedOn w:val="Normal"/>
    <w:link w:val="ListParagraphChar"/>
    <w:uiPriority w:val="34"/>
    <w:qFormat/>
    <w:rsid w:val="006A4660"/>
    <w:pPr>
      <w:widowControl w:val="0"/>
      <w:spacing w:after="160"/>
      <w:ind w:left="720"/>
    </w:pPr>
    <w:rPr>
      <w:snapToGrid w:val="0"/>
      <w:szCs w:val="22"/>
      <w:lang w:eastAsia="en-US"/>
    </w:rPr>
  </w:style>
  <w:style w:type="character" w:customStyle="1" w:styleId="ListParagraphChar">
    <w:name w:val="List Paragraph Char"/>
    <w:aliases w:val="Numbered para Char,BulletPoints Char,L1 Bulleted List Char,Summary Bullets Char,Footer Setting Char,Bullet List Char,FooterText Char,List Paragraph1 Char,numbered Char,Paragraphe de liste1 Char,Bulletr List Paragraph Char,列出段落 Char"/>
    <w:basedOn w:val="DefaultParagraphFont"/>
    <w:link w:val="ListParagraph"/>
    <w:uiPriority w:val="72"/>
    <w:qFormat/>
    <w:locked/>
    <w:rsid w:val="006A4660"/>
    <w:rPr>
      <w:rFonts w:ascii="Calibri" w:hAnsi="Calibri" w:cs="Arial"/>
      <w:snapToGrid w:val="0"/>
      <w:sz w:val="24"/>
      <w:szCs w:val="22"/>
      <w:lang w:eastAsia="en-US"/>
    </w:rPr>
  </w:style>
  <w:style w:type="paragraph" w:customStyle="1" w:styleId="PBACHeading1">
    <w:name w:val="PBAC Heading 1"/>
    <w:qFormat/>
    <w:rsid w:val="006A4660"/>
    <w:pPr>
      <w:ind w:left="720" w:hanging="720"/>
    </w:pPr>
    <w:rPr>
      <w:rFonts w:ascii="Calibri" w:hAnsi="Calibri" w:cs="Arial"/>
      <w:b/>
      <w:snapToGrid w:val="0"/>
      <w:sz w:val="32"/>
      <w:szCs w:val="22"/>
      <w:lang w:eastAsia="en-US"/>
    </w:rPr>
  </w:style>
  <w:style w:type="paragraph" w:customStyle="1" w:styleId="Tabletext0">
    <w:name w:val="Table text"/>
    <w:basedOn w:val="Normal"/>
    <w:link w:val="TabletextChar0"/>
    <w:uiPriority w:val="2"/>
    <w:qFormat/>
    <w:rsid w:val="002A2BA3"/>
    <w:pPr>
      <w:jc w:val="left"/>
    </w:pPr>
    <w:rPr>
      <w:rFonts w:ascii="Arial Narrow" w:hAnsi="Arial Narrow" w:cs="Times New Roman"/>
      <w:sz w:val="20"/>
      <w:szCs w:val="22"/>
      <w:lang w:eastAsia="en-US"/>
    </w:rPr>
  </w:style>
  <w:style w:type="character" w:customStyle="1" w:styleId="TabletextChar0">
    <w:name w:val="Table text Char"/>
    <w:link w:val="Tabletext0"/>
    <w:uiPriority w:val="2"/>
    <w:rsid w:val="002A2BA3"/>
    <w:rPr>
      <w:rFonts w:ascii="Arial Narrow" w:hAnsi="Arial Narrow"/>
      <w:szCs w:val="22"/>
      <w:lang w:eastAsia="en-US"/>
    </w:rPr>
  </w:style>
  <w:style w:type="paragraph" w:styleId="Header">
    <w:name w:val="header"/>
    <w:aliases w:val="Page Header,Header title,he=header,cntr/bld"/>
    <w:basedOn w:val="Normal"/>
    <w:link w:val="HeaderChar"/>
    <w:unhideWhenUsed/>
    <w:qFormat/>
    <w:rsid w:val="00411E47"/>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sid w:val="00411E47"/>
    <w:rPr>
      <w:rFonts w:ascii="Calibri" w:hAnsi="Calibri" w:cs="Arial"/>
      <w:sz w:val="24"/>
      <w:szCs w:val="24"/>
    </w:rPr>
  </w:style>
  <w:style w:type="paragraph" w:styleId="Footer">
    <w:name w:val="footer"/>
    <w:basedOn w:val="Normal"/>
    <w:link w:val="FooterChar"/>
    <w:uiPriority w:val="99"/>
    <w:unhideWhenUsed/>
    <w:rsid w:val="00411E47"/>
    <w:pPr>
      <w:tabs>
        <w:tab w:val="center" w:pos="4513"/>
        <w:tab w:val="right" w:pos="9026"/>
      </w:tabs>
    </w:pPr>
  </w:style>
  <w:style w:type="character" w:customStyle="1" w:styleId="FooterChar">
    <w:name w:val="Footer Char"/>
    <w:basedOn w:val="DefaultParagraphFont"/>
    <w:link w:val="Footer"/>
    <w:uiPriority w:val="99"/>
    <w:rsid w:val="00411E47"/>
    <w:rPr>
      <w:rFonts w:ascii="Calibri" w:hAnsi="Calibri" w:cs="Arial"/>
      <w:sz w:val="24"/>
      <w:szCs w:val="24"/>
    </w:rPr>
  </w:style>
  <w:style w:type="paragraph" w:customStyle="1" w:styleId="TableHeading">
    <w:name w:val="Table Heading"/>
    <w:basedOn w:val="Normal"/>
    <w:link w:val="TableHeadingChar"/>
    <w:qFormat/>
    <w:rsid w:val="00272CFC"/>
    <w:pPr>
      <w:keepNext/>
      <w:spacing w:after="60"/>
      <w:jc w:val="left"/>
    </w:pPr>
    <w:rPr>
      <w:rFonts w:ascii="Arial Narrow" w:eastAsiaTheme="minorHAnsi" w:hAnsi="Arial Narrow" w:cstheme="minorBidi"/>
      <w:b/>
      <w:sz w:val="20"/>
      <w:szCs w:val="22"/>
      <w:lang w:eastAsia="en-US"/>
    </w:rPr>
  </w:style>
  <w:style w:type="character" w:customStyle="1" w:styleId="TableHeadingChar">
    <w:name w:val="Table Heading Char"/>
    <w:link w:val="TableHeading"/>
    <w:rsid w:val="00272CFC"/>
    <w:rPr>
      <w:rFonts w:ascii="Arial Narrow" w:eastAsiaTheme="minorHAnsi" w:hAnsi="Arial Narrow" w:cstheme="minorBidi"/>
      <w:b/>
      <w:szCs w:val="22"/>
      <w:lang w:eastAsia="en-US"/>
    </w:rPr>
  </w:style>
  <w:style w:type="paragraph" w:customStyle="1" w:styleId="TableFooter">
    <w:name w:val="Table Footer"/>
    <w:basedOn w:val="Normal"/>
    <w:link w:val="TableFooterChar"/>
    <w:qFormat/>
    <w:rsid w:val="00FB37CE"/>
    <w:pPr>
      <w:widowControl w:val="0"/>
    </w:pPr>
    <w:rPr>
      <w:rFonts w:ascii="Arial Narrow" w:hAnsi="Arial Narrow"/>
      <w:snapToGrid w:val="0"/>
      <w:sz w:val="18"/>
      <w:szCs w:val="22"/>
      <w:lang w:eastAsia="en-US"/>
    </w:rPr>
  </w:style>
  <w:style w:type="character" w:customStyle="1" w:styleId="TableFooterChar">
    <w:name w:val="Table Footer Char"/>
    <w:link w:val="TableFooter"/>
    <w:rsid w:val="00FB37CE"/>
    <w:rPr>
      <w:rFonts w:ascii="Arial Narrow" w:hAnsi="Arial Narrow" w:cs="Arial"/>
      <w:snapToGrid w:val="0"/>
      <w:sz w:val="18"/>
      <w:szCs w:val="22"/>
      <w:lang w:eastAsia="en-US"/>
    </w:rPr>
  </w:style>
  <w:style w:type="paragraph" w:customStyle="1" w:styleId="TableHeader">
    <w:name w:val="Table Header"/>
    <w:basedOn w:val="Normal"/>
    <w:uiPriority w:val="3"/>
    <w:qFormat/>
    <w:rsid w:val="00AE073D"/>
    <w:pPr>
      <w:widowControl w:val="0"/>
    </w:pPr>
    <w:rPr>
      <w:b/>
      <w:snapToGrid w:val="0"/>
      <w:sz w:val="20"/>
      <w:szCs w:val="22"/>
      <w:lang w:eastAsia="en-US"/>
    </w:rPr>
  </w:style>
  <w:style w:type="paragraph" w:customStyle="1" w:styleId="V50Instructions">
    <w:name w:val="V5.0 Instructions"/>
    <w:basedOn w:val="Normal"/>
    <w:link w:val="V50InstructionsChar"/>
    <w:qFormat/>
    <w:rsid w:val="005F725E"/>
    <w:pPr>
      <w:spacing w:before="120" w:after="160"/>
      <w:jc w:val="left"/>
    </w:pPr>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5F725E"/>
    <w:rPr>
      <w:rFonts w:asciiTheme="minorHAnsi" w:eastAsiaTheme="minorHAnsi" w:hAnsiTheme="minorHAnsi" w:cstheme="minorBidi"/>
      <w:color w:val="4BACC6" w:themeColor="accent5"/>
      <w:sz w:val="24"/>
      <w:szCs w:val="22"/>
      <w:lang w:eastAsia="en-US"/>
    </w:rPr>
  </w:style>
  <w:style w:type="paragraph" w:customStyle="1" w:styleId="ListBulletlvl3">
    <w:name w:val="List Bullet lvl 3"/>
    <w:basedOn w:val="ListBullet"/>
    <w:qFormat/>
    <w:rsid w:val="00C47CF5"/>
    <w:pPr>
      <w:numPr>
        <w:ilvl w:val="2"/>
        <w:numId w:val="6"/>
      </w:numPr>
      <w:spacing w:after="120" w:line="276" w:lineRule="auto"/>
      <w:contextualSpacing w:val="0"/>
    </w:pPr>
    <w:rPr>
      <w:rFonts w:eastAsiaTheme="minorHAnsi" w:cstheme="minorBidi"/>
      <w:sz w:val="22"/>
      <w:szCs w:val="22"/>
      <w:lang w:eastAsia="en-US"/>
    </w:rPr>
  </w:style>
  <w:style w:type="paragraph" w:customStyle="1" w:styleId="ListBulletlvl4">
    <w:name w:val="List Bullet lvl 4"/>
    <w:basedOn w:val="ListBullet"/>
    <w:qFormat/>
    <w:rsid w:val="00C47CF5"/>
    <w:pPr>
      <w:numPr>
        <w:ilvl w:val="3"/>
        <w:numId w:val="6"/>
      </w:numPr>
      <w:spacing w:after="120" w:line="276" w:lineRule="auto"/>
      <w:contextualSpacing w:val="0"/>
    </w:pPr>
    <w:rPr>
      <w:rFonts w:eastAsiaTheme="minorHAnsi" w:cstheme="minorBidi"/>
      <w:sz w:val="22"/>
      <w:szCs w:val="22"/>
      <w:lang w:eastAsia="en-US"/>
    </w:rPr>
  </w:style>
  <w:style w:type="paragraph" w:customStyle="1" w:styleId="ListBulletlvl5">
    <w:name w:val="List Bullet lvl 5"/>
    <w:basedOn w:val="ListBullet"/>
    <w:qFormat/>
    <w:rsid w:val="00C47CF5"/>
    <w:pPr>
      <w:numPr>
        <w:ilvl w:val="4"/>
        <w:numId w:val="6"/>
      </w:numPr>
      <w:spacing w:after="120" w:line="276" w:lineRule="auto"/>
      <w:contextualSpacing w:val="0"/>
    </w:pPr>
    <w:rPr>
      <w:rFonts w:eastAsiaTheme="minorHAnsi" w:cstheme="minorBidi"/>
      <w:sz w:val="22"/>
      <w:szCs w:val="22"/>
      <w:lang w:eastAsia="en-US"/>
    </w:rPr>
  </w:style>
  <w:style w:type="paragraph" w:customStyle="1" w:styleId="ListBulletlvl6">
    <w:name w:val="List Bullet lvl 6"/>
    <w:basedOn w:val="ListBullet"/>
    <w:qFormat/>
    <w:rsid w:val="00C47CF5"/>
    <w:pPr>
      <w:numPr>
        <w:ilvl w:val="5"/>
        <w:numId w:val="6"/>
      </w:numPr>
      <w:spacing w:after="120" w:line="276" w:lineRule="auto"/>
      <w:contextualSpacing w:val="0"/>
    </w:pPr>
    <w:rPr>
      <w:rFonts w:eastAsiaTheme="minorHAnsi" w:cstheme="minorBidi"/>
      <w:sz w:val="22"/>
      <w:szCs w:val="22"/>
      <w:lang w:eastAsia="en-US"/>
    </w:rPr>
  </w:style>
  <w:style w:type="paragraph" w:customStyle="1" w:styleId="ListBulletlvl7">
    <w:name w:val="List Bullet lvl 7"/>
    <w:basedOn w:val="ListBullet"/>
    <w:qFormat/>
    <w:rsid w:val="00C47CF5"/>
    <w:pPr>
      <w:numPr>
        <w:ilvl w:val="6"/>
        <w:numId w:val="6"/>
      </w:numPr>
      <w:spacing w:after="120" w:line="276" w:lineRule="auto"/>
      <w:contextualSpacing w:val="0"/>
    </w:pPr>
    <w:rPr>
      <w:rFonts w:eastAsiaTheme="minorHAnsi" w:cstheme="minorBidi"/>
      <w:sz w:val="22"/>
      <w:szCs w:val="22"/>
      <w:lang w:eastAsia="en-US"/>
    </w:rPr>
  </w:style>
  <w:style w:type="paragraph" w:customStyle="1" w:styleId="ListBulletlvl8">
    <w:name w:val="List Bullet lvl 8"/>
    <w:basedOn w:val="ListBullet"/>
    <w:qFormat/>
    <w:rsid w:val="00C47CF5"/>
    <w:pPr>
      <w:numPr>
        <w:ilvl w:val="7"/>
        <w:numId w:val="6"/>
      </w:numPr>
      <w:spacing w:after="120" w:line="276" w:lineRule="auto"/>
      <w:contextualSpacing w:val="0"/>
    </w:pPr>
    <w:rPr>
      <w:rFonts w:eastAsiaTheme="minorHAnsi" w:cstheme="minorBidi"/>
      <w:sz w:val="22"/>
      <w:szCs w:val="22"/>
      <w:lang w:eastAsia="en-US"/>
    </w:rPr>
  </w:style>
  <w:style w:type="paragraph" w:customStyle="1" w:styleId="ListBulletlvl9">
    <w:name w:val="List Bullet lvl 9"/>
    <w:basedOn w:val="ListBullet"/>
    <w:qFormat/>
    <w:rsid w:val="00C47CF5"/>
    <w:pPr>
      <w:numPr>
        <w:ilvl w:val="8"/>
        <w:numId w:val="6"/>
      </w:numPr>
      <w:spacing w:after="120" w:line="276" w:lineRule="auto"/>
      <w:contextualSpacing w:val="0"/>
    </w:pPr>
    <w:rPr>
      <w:rFonts w:eastAsiaTheme="minorHAnsi" w:cstheme="minorBidi"/>
      <w:sz w:val="22"/>
      <w:szCs w:val="22"/>
      <w:lang w:eastAsia="en-US"/>
    </w:rPr>
  </w:style>
  <w:style w:type="paragraph" w:customStyle="1" w:styleId="Default">
    <w:name w:val="Default"/>
    <w:rsid w:val="00C47CF5"/>
    <w:pPr>
      <w:autoSpaceDE w:val="0"/>
      <w:autoSpaceDN w:val="0"/>
      <w:adjustRightInd w:val="0"/>
    </w:pPr>
    <w:rPr>
      <w:rFonts w:ascii="Arial" w:eastAsiaTheme="minorHAnsi" w:hAnsi="Arial" w:cs="Arial"/>
      <w:color w:val="000000"/>
      <w:sz w:val="24"/>
      <w:szCs w:val="24"/>
      <w:lang w:eastAsia="en-US"/>
    </w:rPr>
  </w:style>
  <w:style w:type="paragraph" w:customStyle="1" w:styleId="PItextbullet">
    <w:name w:val="PI text bullet"/>
    <w:basedOn w:val="Normal"/>
    <w:qFormat/>
    <w:rsid w:val="00180D3F"/>
    <w:pPr>
      <w:numPr>
        <w:numId w:val="9"/>
      </w:numPr>
      <w:suppressAutoHyphens/>
      <w:spacing w:before="60" w:after="60" w:line="360" w:lineRule="auto"/>
      <w:ind w:left="714" w:hanging="357"/>
    </w:pPr>
    <w:rPr>
      <w:rFonts w:ascii="Arial" w:hAnsi="Arial"/>
      <w:sz w:val="22"/>
      <w:szCs w:val="22"/>
      <w:lang w:val="en-GB" w:eastAsia="en-US"/>
    </w:rPr>
  </w:style>
  <w:style w:type="paragraph" w:styleId="Caption">
    <w:name w:val="caption"/>
    <w:aliases w:val="Figure caption,Figure caption1 Char Char,IB Caption,Medical Caption,Medical Caption Char,Caption Char1 Char Char,Caption Char Char Char Char,Caption Char1 Char,Caption Char Char Char Char Char,Caption Char Char,Caption Char Char Char Char1,...,c"/>
    <w:basedOn w:val="Normal"/>
    <w:next w:val="Normal"/>
    <w:link w:val="CaptionChar"/>
    <w:uiPriority w:val="99"/>
    <w:unhideWhenUsed/>
    <w:qFormat/>
    <w:rsid w:val="0065513F"/>
    <w:pPr>
      <w:spacing w:before="240"/>
    </w:pPr>
    <w:rPr>
      <w:rFonts w:eastAsiaTheme="minorEastAsia" w:cstheme="minorBidi"/>
      <w:b/>
      <w:bCs/>
      <w:color w:val="000000" w:themeColor="text1"/>
      <w:spacing w:val="6"/>
      <w:sz w:val="22"/>
      <w:szCs w:val="18"/>
      <w:lang w:eastAsia="en-US" w:bidi="hi-IN"/>
    </w:rPr>
  </w:style>
  <w:style w:type="character" w:customStyle="1" w:styleId="CaptionChar">
    <w:name w:val="Caption Char"/>
    <w:aliases w:val="Figure caption Char,Figure caption1 Char Char Char,IB Caption Char,Medical Caption Char1,Medical Caption Char Char,Caption Char1 Char Char Char,Caption Char Char Char Char Char1,Caption Char1 Char Char1,Caption Char Char Char Char Char Char"/>
    <w:basedOn w:val="DefaultParagraphFont"/>
    <w:link w:val="Caption"/>
    <w:locked/>
    <w:rsid w:val="0065513F"/>
    <w:rPr>
      <w:rFonts w:ascii="Calibri" w:eastAsiaTheme="minorEastAsia" w:hAnsi="Calibri" w:cstheme="minorBidi"/>
      <w:b/>
      <w:bCs/>
      <w:color w:val="000000" w:themeColor="text1"/>
      <w:spacing w:val="6"/>
      <w:sz w:val="22"/>
      <w:szCs w:val="18"/>
      <w:lang w:eastAsia="en-US" w:bidi="hi-IN"/>
    </w:rPr>
  </w:style>
  <w:style w:type="paragraph" w:customStyle="1" w:styleId="TableNumbered">
    <w:name w:val="Table Numbered"/>
    <w:basedOn w:val="Normal"/>
    <w:qFormat/>
    <w:rsid w:val="0065513F"/>
    <w:pPr>
      <w:numPr>
        <w:numId w:val="14"/>
      </w:numPr>
      <w:spacing w:before="40" w:after="40" w:line="276" w:lineRule="auto"/>
      <w:ind w:left="357" w:hanging="357"/>
      <w:jc w:val="left"/>
    </w:pPr>
    <w:rPr>
      <w:rFonts w:asciiTheme="minorHAnsi" w:eastAsiaTheme="minorHAnsi" w:hAnsiTheme="minorHAnsi" w:cstheme="minorBidi"/>
      <w:sz w:val="18"/>
      <w:szCs w:val="22"/>
      <w:lang w:eastAsia="en-US"/>
    </w:rPr>
  </w:style>
  <w:style w:type="paragraph" w:customStyle="1" w:styleId="TextDash">
    <w:name w:val="TextDash"/>
    <w:basedOn w:val="Normal"/>
    <w:rsid w:val="00D420C0"/>
    <w:pPr>
      <w:widowControl w:val="0"/>
      <w:numPr>
        <w:numId w:val="15"/>
      </w:numPr>
      <w:spacing w:before="120" w:after="120"/>
    </w:pPr>
    <w:rPr>
      <w:rFonts w:ascii="Arial" w:hAnsi="Arial" w:cs="Times New Roman"/>
      <w:color w:val="000000"/>
      <w:sz w:val="22"/>
      <w:szCs w:val="20"/>
      <w:lang w:val="en-US" w:eastAsia="en-US"/>
    </w:rPr>
  </w:style>
  <w:style w:type="character" w:styleId="CommentReference">
    <w:name w:val="annotation reference"/>
    <w:aliases w:val="Table Title"/>
    <w:basedOn w:val="DefaultParagraphFont"/>
    <w:uiPriority w:val="99"/>
    <w:unhideWhenUsed/>
    <w:qFormat/>
    <w:rsid w:val="004C5F4E"/>
    <w:rPr>
      <w:sz w:val="16"/>
      <w:szCs w:val="16"/>
    </w:rPr>
  </w:style>
  <w:style w:type="paragraph" w:styleId="CommentText">
    <w:name w:val="annotation text"/>
    <w:aliases w:val="Comment Text Char Char Char,Comment Text Char Char,- H19,Comment Text Char1 Char"/>
    <w:basedOn w:val="Normal"/>
    <w:link w:val="CommentTextChar"/>
    <w:uiPriority w:val="99"/>
    <w:unhideWhenUsed/>
    <w:qFormat/>
    <w:rsid w:val="004C5F4E"/>
    <w:rPr>
      <w:sz w:val="20"/>
      <w:szCs w:val="20"/>
    </w:rPr>
  </w:style>
  <w:style w:type="character" w:customStyle="1" w:styleId="CommentTextChar">
    <w:name w:val="Comment Text Char"/>
    <w:aliases w:val="Comment Text Char Char Char Char,Comment Text Char Char Char1,- H19 Char,Comment Text Char1 Char Char"/>
    <w:basedOn w:val="DefaultParagraphFont"/>
    <w:link w:val="CommentText"/>
    <w:uiPriority w:val="99"/>
    <w:rsid w:val="004C5F4E"/>
    <w:rPr>
      <w:rFonts w:ascii="Calibri" w:hAnsi="Calibri" w:cs="Arial"/>
    </w:rPr>
  </w:style>
  <w:style w:type="paragraph" w:styleId="CommentSubject">
    <w:name w:val="annotation subject"/>
    <w:basedOn w:val="CommentText"/>
    <w:next w:val="CommentText"/>
    <w:link w:val="CommentSubjectChar"/>
    <w:semiHidden/>
    <w:unhideWhenUsed/>
    <w:rsid w:val="004C5F4E"/>
    <w:rPr>
      <w:b/>
      <w:bCs/>
    </w:rPr>
  </w:style>
  <w:style w:type="character" w:customStyle="1" w:styleId="CommentSubjectChar">
    <w:name w:val="Comment Subject Char"/>
    <w:basedOn w:val="CommentTextChar"/>
    <w:link w:val="CommentSubject"/>
    <w:semiHidden/>
    <w:rsid w:val="004C5F4E"/>
    <w:rPr>
      <w:rFonts w:ascii="Calibri" w:hAnsi="Calibri" w:cs="Arial"/>
      <w:b/>
      <w:bCs/>
    </w:rPr>
  </w:style>
  <w:style w:type="character" w:customStyle="1" w:styleId="COMBodyChar">
    <w:name w:val="COMBody Char"/>
    <w:basedOn w:val="DefaultParagraphFont"/>
    <w:link w:val="COMBody"/>
    <w:locked/>
    <w:rsid w:val="000A36B4"/>
    <w:rPr>
      <w:rFonts w:ascii="Calibri" w:hAnsi="Calibri" w:cs="Arial"/>
      <w:sz w:val="24"/>
    </w:rPr>
  </w:style>
  <w:style w:type="paragraph" w:customStyle="1" w:styleId="COMBody">
    <w:name w:val="COMBody"/>
    <w:basedOn w:val="Normal"/>
    <w:link w:val="COMBodyChar"/>
    <w:qFormat/>
    <w:rsid w:val="000A36B4"/>
    <w:pPr>
      <w:widowControl w:val="0"/>
      <w:snapToGrid w:val="0"/>
    </w:pPr>
    <w:rPr>
      <w:szCs w:val="20"/>
    </w:rPr>
  </w:style>
  <w:style w:type="paragraph" w:customStyle="1" w:styleId="2Sections">
    <w:name w:val="2. Sections"/>
    <w:qFormat/>
    <w:rsid w:val="00CD4F6A"/>
    <w:pPr>
      <w:spacing w:before="240" w:after="120"/>
      <w:ind w:left="720" w:hanging="720"/>
      <w:outlineLvl w:val="0"/>
    </w:pPr>
    <w:rPr>
      <w:rFonts w:asciiTheme="minorHAnsi" w:hAnsiTheme="minorHAnsi" w:cs="Arial"/>
      <w:b/>
      <w:snapToGrid w:val="0"/>
      <w:sz w:val="32"/>
      <w:szCs w:val="32"/>
      <w:lang w:eastAsia="en-US"/>
    </w:rPr>
  </w:style>
  <w:style w:type="paragraph" w:customStyle="1" w:styleId="3Bodytext">
    <w:name w:val="3. Body text"/>
    <w:basedOn w:val="Normal"/>
    <w:qFormat/>
    <w:rsid w:val="00CD4F6A"/>
    <w:pPr>
      <w:widowControl w:val="0"/>
      <w:spacing w:after="120"/>
      <w:ind w:left="720" w:hanging="720"/>
    </w:pPr>
    <w:rPr>
      <w:rFonts w:asciiTheme="minorHAnsi" w:hAnsiTheme="minorHAnsi" w:cstheme="minorHAnsi"/>
      <w:bCs/>
      <w:snapToGrid w:val="0"/>
      <w:lang w:val="en-GB"/>
    </w:rPr>
  </w:style>
  <w:style w:type="paragraph" w:customStyle="1" w:styleId="Bodytextitalics">
    <w:name w:val="Body text italics"/>
    <w:basedOn w:val="BodyText"/>
    <w:qFormat/>
    <w:rsid w:val="002925FD"/>
    <w:pPr>
      <w:tabs>
        <w:tab w:val="num" w:pos="360"/>
      </w:tabs>
      <w:ind w:left="360" w:hanging="360"/>
      <w:jc w:val="left"/>
    </w:pPr>
    <w:rPr>
      <w:rFonts w:asciiTheme="minorHAnsi" w:eastAsiaTheme="minorHAnsi" w:hAnsiTheme="minorHAnsi" w:cstheme="minorBidi"/>
      <w:i/>
      <w:szCs w:val="22"/>
    </w:rPr>
  </w:style>
  <w:style w:type="paragraph" w:customStyle="1" w:styleId="ProcedureStep">
    <w:name w:val="ProcedureStep"/>
    <w:basedOn w:val="Normal"/>
    <w:rsid w:val="002925FD"/>
    <w:pPr>
      <w:numPr>
        <w:numId w:val="16"/>
      </w:numPr>
      <w:spacing w:before="60" w:after="60" w:line="300" w:lineRule="atLeast"/>
      <w:ind w:right="567"/>
      <w:jc w:val="left"/>
    </w:pPr>
    <w:rPr>
      <w:rFonts w:ascii="Tahoma" w:hAnsi="Tahoma" w:cs="Times New Roman"/>
      <w:sz w:val="22"/>
      <w:szCs w:val="20"/>
    </w:rPr>
  </w:style>
  <w:style w:type="paragraph" w:styleId="FootnoteText">
    <w:name w:val="footnote text"/>
    <w:basedOn w:val="Normal"/>
    <w:link w:val="FootnoteTextChar"/>
    <w:semiHidden/>
    <w:unhideWhenUsed/>
    <w:rsid w:val="002925FD"/>
    <w:pPr>
      <w:jc w:val="left"/>
    </w:pPr>
    <w:rPr>
      <w:rFonts w:ascii="Times New Roman" w:hAnsi="Times New Roman" w:cs="Times New Roman"/>
      <w:sz w:val="20"/>
      <w:szCs w:val="20"/>
    </w:rPr>
  </w:style>
  <w:style w:type="character" w:customStyle="1" w:styleId="FootnoteTextChar">
    <w:name w:val="Footnote Text Char"/>
    <w:basedOn w:val="DefaultParagraphFont"/>
    <w:link w:val="FootnoteText"/>
    <w:semiHidden/>
    <w:rsid w:val="002925FD"/>
  </w:style>
  <w:style w:type="character" w:styleId="FootnoteReference">
    <w:name w:val="footnote reference"/>
    <w:basedOn w:val="DefaultParagraphFont"/>
    <w:semiHidden/>
    <w:unhideWhenUsed/>
    <w:rsid w:val="002925FD"/>
    <w:rPr>
      <w:vertAlign w:val="superscript"/>
    </w:rPr>
  </w:style>
  <w:style w:type="paragraph" w:styleId="BodyText">
    <w:name w:val="Body Text"/>
    <w:basedOn w:val="Normal"/>
    <w:link w:val="BodyTextChar"/>
    <w:semiHidden/>
    <w:unhideWhenUsed/>
    <w:rsid w:val="002925FD"/>
    <w:pPr>
      <w:spacing w:after="120"/>
    </w:pPr>
  </w:style>
  <w:style w:type="character" w:customStyle="1" w:styleId="BodyTextChar">
    <w:name w:val="Body Text Char"/>
    <w:basedOn w:val="DefaultParagraphFont"/>
    <w:link w:val="BodyText"/>
    <w:semiHidden/>
    <w:rsid w:val="002925FD"/>
    <w:rPr>
      <w:rFonts w:ascii="Calibri" w:hAnsi="Calibri" w:cs="Arial"/>
      <w:sz w:val="24"/>
      <w:szCs w:val="24"/>
    </w:rPr>
  </w:style>
  <w:style w:type="character" w:customStyle="1" w:styleId="UnresolvedMention1">
    <w:name w:val="Unresolved Mention1"/>
    <w:basedOn w:val="DefaultParagraphFont"/>
    <w:uiPriority w:val="99"/>
    <w:semiHidden/>
    <w:unhideWhenUsed/>
    <w:rsid w:val="00656893"/>
    <w:rPr>
      <w:color w:val="605E5C"/>
      <w:shd w:val="clear" w:color="auto" w:fill="E1DFDD"/>
    </w:rPr>
  </w:style>
  <w:style w:type="paragraph" w:styleId="TOC4">
    <w:name w:val="toc 4"/>
    <w:basedOn w:val="Normal"/>
    <w:next w:val="Normal"/>
    <w:autoRedefine/>
    <w:uiPriority w:val="39"/>
    <w:unhideWhenUsed/>
    <w:rsid w:val="007064C0"/>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7064C0"/>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064C0"/>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064C0"/>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064C0"/>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064C0"/>
    <w:pPr>
      <w:spacing w:after="100" w:line="259" w:lineRule="auto"/>
      <w:ind w:left="1760"/>
      <w:jc w:val="left"/>
    </w:pPr>
    <w:rPr>
      <w:rFonts w:asciiTheme="minorHAnsi" w:eastAsiaTheme="minorEastAsia" w:hAnsiTheme="minorHAnsi" w:cstheme="minorBidi"/>
      <w:sz w:val="22"/>
      <w:szCs w:val="22"/>
    </w:rPr>
  </w:style>
  <w:style w:type="paragraph" w:styleId="NormalWeb">
    <w:name w:val="Normal (Web)"/>
    <w:basedOn w:val="Normal"/>
    <w:uiPriority w:val="99"/>
    <w:semiHidden/>
    <w:unhideWhenUsed/>
    <w:rsid w:val="00740E7F"/>
    <w:pPr>
      <w:spacing w:before="100" w:beforeAutospacing="1" w:after="100" w:afterAutospacing="1"/>
      <w:jc w:val="left"/>
    </w:pPr>
    <w:rPr>
      <w:rFonts w:ascii="Times New Roman" w:hAnsi="Times New Roman" w:cs="Times New Roman"/>
    </w:rPr>
  </w:style>
  <w:style w:type="paragraph" w:customStyle="1" w:styleId="5-SubsectionSubheading">
    <w:name w:val="5-Subsection Subheading"/>
    <w:basedOn w:val="Heading3"/>
    <w:next w:val="Normal"/>
    <w:link w:val="5-SubsectionSubheadingChar"/>
    <w:qFormat/>
    <w:rsid w:val="00A31B13"/>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A31B13"/>
    <w:rPr>
      <w:rFonts w:asciiTheme="minorHAnsi" w:eastAsiaTheme="majorEastAsia" w:hAnsiTheme="minorHAnsi" w:cstheme="majorBidi"/>
      <w:b/>
      <w:color w:val="000000" w:themeColor="text1"/>
      <w:sz w:val="24"/>
      <w:szCs w:val="24"/>
    </w:rPr>
  </w:style>
  <w:style w:type="character" w:styleId="UnresolvedMention">
    <w:name w:val="Unresolved Mention"/>
    <w:basedOn w:val="DefaultParagraphFont"/>
    <w:uiPriority w:val="99"/>
    <w:semiHidden/>
    <w:unhideWhenUsed/>
    <w:rsid w:val="000F4B43"/>
    <w:rPr>
      <w:color w:val="605E5C"/>
      <w:shd w:val="clear" w:color="auto" w:fill="E1DFDD"/>
    </w:rPr>
  </w:style>
  <w:style w:type="paragraph" w:customStyle="1" w:styleId="3-BodyText">
    <w:name w:val="3-Body Text"/>
    <w:basedOn w:val="ListParagraph"/>
    <w:qFormat/>
    <w:rsid w:val="001777A4"/>
    <w:pPr>
      <w:widowControl/>
      <w:spacing w:after="120"/>
      <w:ind w:hanging="720"/>
    </w:pPr>
    <w:rPr>
      <w:rFonts w:asciiTheme="minorHAnsi" w:hAnsiTheme="minorHAnsi"/>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85291522">
      <w:bodyDiv w:val="1"/>
      <w:marLeft w:val="0"/>
      <w:marRight w:val="0"/>
      <w:marTop w:val="0"/>
      <w:marBottom w:val="0"/>
      <w:divBdr>
        <w:top w:val="none" w:sz="0" w:space="0" w:color="auto"/>
        <w:left w:val="none" w:sz="0" w:space="0" w:color="auto"/>
        <w:bottom w:val="none" w:sz="0" w:space="0" w:color="auto"/>
        <w:right w:val="none" w:sz="0" w:space="0" w:color="auto"/>
      </w:divBdr>
    </w:div>
    <w:div w:id="203717445">
      <w:bodyDiv w:val="1"/>
      <w:marLeft w:val="0"/>
      <w:marRight w:val="0"/>
      <w:marTop w:val="0"/>
      <w:marBottom w:val="0"/>
      <w:divBdr>
        <w:top w:val="none" w:sz="0" w:space="0" w:color="auto"/>
        <w:left w:val="none" w:sz="0" w:space="0" w:color="auto"/>
        <w:bottom w:val="none" w:sz="0" w:space="0" w:color="auto"/>
        <w:right w:val="none" w:sz="0" w:space="0" w:color="auto"/>
      </w:divBdr>
    </w:div>
    <w:div w:id="220100917">
      <w:bodyDiv w:val="1"/>
      <w:marLeft w:val="0"/>
      <w:marRight w:val="0"/>
      <w:marTop w:val="0"/>
      <w:marBottom w:val="0"/>
      <w:divBdr>
        <w:top w:val="none" w:sz="0" w:space="0" w:color="auto"/>
        <w:left w:val="none" w:sz="0" w:space="0" w:color="auto"/>
        <w:bottom w:val="none" w:sz="0" w:space="0" w:color="auto"/>
        <w:right w:val="none" w:sz="0" w:space="0" w:color="auto"/>
      </w:divBdr>
    </w:div>
    <w:div w:id="264925415">
      <w:bodyDiv w:val="1"/>
      <w:marLeft w:val="0"/>
      <w:marRight w:val="0"/>
      <w:marTop w:val="0"/>
      <w:marBottom w:val="0"/>
      <w:divBdr>
        <w:top w:val="none" w:sz="0" w:space="0" w:color="auto"/>
        <w:left w:val="none" w:sz="0" w:space="0" w:color="auto"/>
        <w:bottom w:val="none" w:sz="0" w:space="0" w:color="auto"/>
        <w:right w:val="none" w:sz="0" w:space="0" w:color="auto"/>
      </w:divBdr>
    </w:div>
    <w:div w:id="304506765">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19526154">
      <w:bodyDiv w:val="1"/>
      <w:marLeft w:val="0"/>
      <w:marRight w:val="0"/>
      <w:marTop w:val="0"/>
      <w:marBottom w:val="0"/>
      <w:divBdr>
        <w:top w:val="none" w:sz="0" w:space="0" w:color="auto"/>
        <w:left w:val="none" w:sz="0" w:space="0" w:color="auto"/>
        <w:bottom w:val="none" w:sz="0" w:space="0" w:color="auto"/>
        <w:right w:val="none" w:sz="0" w:space="0" w:color="auto"/>
      </w:divBdr>
    </w:div>
    <w:div w:id="520708459">
      <w:bodyDiv w:val="1"/>
      <w:marLeft w:val="0"/>
      <w:marRight w:val="0"/>
      <w:marTop w:val="0"/>
      <w:marBottom w:val="0"/>
      <w:divBdr>
        <w:top w:val="none" w:sz="0" w:space="0" w:color="auto"/>
        <w:left w:val="none" w:sz="0" w:space="0" w:color="auto"/>
        <w:bottom w:val="none" w:sz="0" w:space="0" w:color="auto"/>
        <w:right w:val="none" w:sz="0" w:space="0" w:color="auto"/>
      </w:divBdr>
    </w:div>
    <w:div w:id="544562036">
      <w:bodyDiv w:val="1"/>
      <w:marLeft w:val="0"/>
      <w:marRight w:val="0"/>
      <w:marTop w:val="0"/>
      <w:marBottom w:val="0"/>
      <w:divBdr>
        <w:top w:val="none" w:sz="0" w:space="0" w:color="auto"/>
        <w:left w:val="none" w:sz="0" w:space="0" w:color="auto"/>
        <w:bottom w:val="none" w:sz="0" w:space="0" w:color="auto"/>
        <w:right w:val="none" w:sz="0" w:space="0" w:color="auto"/>
      </w:divBdr>
    </w:div>
    <w:div w:id="628706282">
      <w:bodyDiv w:val="1"/>
      <w:marLeft w:val="0"/>
      <w:marRight w:val="0"/>
      <w:marTop w:val="0"/>
      <w:marBottom w:val="0"/>
      <w:divBdr>
        <w:top w:val="none" w:sz="0" w:space="0" w:color="auto"/>
        <w:left w:val="none" w:sz="0" w:space="0" w:color="auto"/>
        <w:bottom w:val="none" w:sz="0" w:space="0" w:color="auto"/>
        <w:right w:val="none" w:sz="0" w:space="0" w:color="auto"/>
      </w:divBdr>
    </w:div>
    <w:div w:id="756902478">
      <w:bodyDiv w:val="1"/>
      <w:marLeft w:val="0"/>
      <w:marRight w:val="0"/>
      <w:marTop w:val="0"/>
      <w:marBottom w:val="0"/>
      <w:divBdr>
        <w:top w:val="none" w:sz="0" w:space="0" w:color="auto"/>
        <w:left w:val="none" w:sz="0" w:space="0" w:color="auto"/>
        <w:bottom w:val="none" w:sz="0" w:space="0" w:color="auto"/>
        <w:right w:val="none" w:sz="0" w:space="0" w:color="auto"/>
      </w:divBdr>
    </w:div>
    <w:div w:id="765422428">
      <w:bodyDiv w:val="1"/>
      <w:marLeft w:val="0"/>
      <w:marRight w:val="0"/>
      <w:marTop w:val="0"/>
      <w:marBottom w:val="0"/>
      <w:divBdr>
        <w:top w:val="none" w:sz="0" w:space="0" w:color="auto"/>
        <w:left w:val="none" w:sz="0" w:space="0" w:color="auto"/>
        <w:bottom w:val="none" w:sz="0" w:space="0" w:color="auto"/>
        <w:right w:val="none" w:sz="0" w:space="0" w:color="auto"/>
      </w:divBdr>
    </w:div>
    <w:div w:id="898132151">
      <w:bodyDiv w:val="1"/>
      <w:marLeft w:val="0"/>
      <w:marRight w:val="0"/>
      <w:marTop w:val="0"/>
      <w:marBottom w:val="0"/>
      <w:divBdr>
        <w:top w:val="none" w:sz="0" w:space="0" w:color="auto"/>
        <w:left w:val="none" w:sz="0" w:space="0" w:color="auto"/>
        <w:bottom w:val="none" w:sz="0" w:space="0" w:color="auto"/>
        <w:right w:val="none" w:sz="0" w:space="0" w:color="auto"/>
      </w:divBdr>
    </w:div>
    <w:div w:id="1045830933">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76380">
      <w:bodyDiv w:val="1"/>
      <w:marLeft w:val="0"/>
      <w:marRight w:val="0"/>
      <w:marTop w:val="0"/>
      <w:marBottom w:val="0"/>
      <w:divBdr>
        <w:top w:val="none" w:sz="0" w:space="0" w:color="auto"/>
        <w:left w:val="none" w:sz="0" w:space="0" w:color="auto"/>
        <w:bottom w:val="none" w:sz="0" w:space="0" w:color="auto"/>
        <w:right w:val="none" w:sz="0" w:space="0" w:color="auto"/>
      </w:divBdr>
    </w:div>
    <w:div w:id="1222136316">
      <w:bodyDiv w:val="1"/>
      <w:marLeft w:val="0"/>
      <w:marRight w:val="0"/>
      <w:marTop w:val="0"/>
      <w:marBottom w:val="0"/>
      <w:divBdr>
        <w:top w:val="none" w:sz="0" w:space="0" w:color="auto"/>
        <w:left w:val="none" w:sz="0" w:space="0" w:color="auto"/>
        <w:bottom w:val="none" w:sz="0" w:space="0" w:color="auto"/>
        <w:right w:val="none" w:sz="0" w:space="0" w:color="auto"/>
      </w:divBdr>
    </w:div>
    <w:div w:id="1394616432">
      <w:bodyDiv w:val="1"/>
      <w:marLeft w:val="0"/>
      <w:marRight w:val="0"/>
      <w:marTop w:val="0"/>
      <w:marBottom w:val="0"/>
      <w:divBdr>
        <w:top w:val="none" w:sz="0" w:space="0" w:color="auto"/>
        <w:left w:val="none" w:sz="0" w:space="0" w:color="auto"/>
        <w:bottom w:val="none" w:sz="0" w:space="0" w:color="auto"/>
        <w:right w:val="none" w:sz="0" w:space="0" w:color="auto"/>
      </w:divBdr>
    </w:div>
    <w:div w:id="1497452756">
      <w:bodyDiv w:val="1"/>
      <w:marLeft w:val="0"/>
      <w:marRight w:val="0"/>
      <w:marTop w:val="0"/>
      <w:marBottom w:val="0"/>
      <w:divBdr>
        <w:top w:val="none" w:sz="0" w:space="0" w:color="auto"/>
        <w:left w:val="none" w:sz="0" w:space="0" w:color="auto"/>
        <w:bottom w:val="none" w:sz="0" w:space="0" w:color="auto"/>
        <w:right w:val="none" w:sz="0" w:space="0" w:color="auto"/>
      </w:divBdr>
    </w:div>
    <w:div w:id="1710759994">
      <w:bodyDiv w:val="1"/>
      <w:marLeft w:val="0"/>
      <w:marRight w:val="0"/>
      <w:marTop w:val="0"/>
      <w:marBottom w:val="0"/>
      <w:divBdr>
        <w:top w:val="none" w:sz="0" w:space="0" w:color="auto"/>
        <w:left w:val="none" w:sz="0" w:space="0" w:color="auto"/>
        <w:bottom w:val="none" w:sz="0" w:space="0" w:color="auto"/>
        <w:right w:val="none" w:sz="0" w:space="0" w:color="auto"/>
      </w:divBdr>
    </w:div>
    <w:div w:id="1712344590">
      <w:bodyDiv w:val="1"/>
      <w:marLeft w:val="0"/>
      <w:marRight w:val="0"/>
      <w:marTop w:val="0"/>
      <w:marBottom w:val="0"/>
      <w:divBdr>
        <w:top w:val="none" w:sz="0" w:space="0" w:color="auto"/>
        <w:left w:val="none" w:sz="0" w:space="0" w:color="auto"/>
        <w:bottom w:val="none" w:sz="0" w:space="0" w:color="auto"/>
        <w:right w:val="none" w:sz="0" w:space="0" w:color="auto"/>
      </w:divBdr>
    </w:div>
    <w:div w:id="1944528936">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bs.gov.au/medicine/item/11193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bs.gov.au/medicine/item/10958r" TargetMode="External"/><Relationship Id="rId5" Type="http://schemas.openxmlformats.org/officeDocument/2006/relationships/webSettings" Target="webSettings.xml"/><Relationship Id="rId10" Type="http://schemas.openxmlformats.org/officeDocument/2006/relationships/hyperlink" Target="https://www.pbs.gov.au/medicine/item/11484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B07EF-0EFE-4E1E-81C7-FAD15B3DB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17155</Words>
  <Characters>98067</Characters>
  <Application>Microsoft Office Word</Application>
  <DocSecurity>0</DocSecurity>
  <Lines>817</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2022-10-20T05:02:00Z</dcterms:created>
  <dcterms:modified xsi:type="dcterms:W3CDTF">2022-10-20T05:02:00Z</dcterms:modified>
</cp:coreProperties>
</file>