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37DC4150" w:rsidR="00B60939" w:rsidRPr="00CF7D68" w:rsidRDefault="00C22867" w:rsidP="00E435CB">
      <w:pPr>
        <w:pStyle w:val="1-MainHeading"/>
      </w:pPr>
      <w:r w:rsidRPr="00CF7D68">
        <w:t>5</w:t>
      </w:r>
      <w:r w:rsidR="00433044" w:rsidRPr="00CF7D68">
        <w:t>.</w:t>
      </w:r>
      <w:r w:rsidRPr="00CF7D68">
        <w:t>07</w:t>
      </w:r>
      <w:r w:rsidR="00163F66" w:rsidRPr="00CF7D68">
        <w:tab/>
      </w:r>
      <w:r w:rsidR="0011674E" w:rsidRPr="00CF7D68">
        <w:t>FINERENONE</w:t>
      </w:r>
      <w:r w:rsidR="00163F66" w:rsidRPr="00CF7D68">
        <w:t>,</w:t>
      </w:r>
      <w:r w:rsidR="00163F66" w:rsidRPr="00CF7D68">
        <w:br/>
      </w:r>
      <w:r w:rsidR="00AC737A" w:rsidRPr="00CF7D68">
        <w:t xml:space="preserve">Tablet </w:t>
      </w:r>
      <w:r w:rsidR="0011674E" w:rsidRPr="00CF7D68">
        <w:t>10 mg</w:t>
      </w:r>
      <w:r w:rsidR="00AC737A" w:rsidRPr="00CF7D68">
        <w:t xml:space="preserve">, </w:t>
      </w:r>
      <w:r w:rsidR="00AC737A" w:rsidRPr="00CF7D68">
        <w:br/>
        <w:t xml:space="preserve">Tablet </w:t>
      </w:r>
      <w:r w:rsidR="0011674E" w:rsidRPr="00CF7D68">
        <w:t>20 mg</w:t>
      </w:r>
      <w:r w:rsidR="00163F66" w:rsidRPr="00CF7D68">
        <w:t>,</w:t>
      </w:r>
      <w:r w:rsidR="00163F66" w:rsidRPr="00CF7D68">
        <w:br/>
      </w:r>
      <w:proofErr w:type="spellStart"/>
      <w:r w:rsidR="0011674E" w:rsidRPr="00CF7D68">
        <w:t>Kerendia</w:t>
      </w:r>
      <w:proofErr w:type="spellEnd"/>
      <w:r w:rsidR="00B60939" w:rsidRPr="00CF7D68">
        <w:t>®</w:t>
      </w:r>
      <w:r w:rsidR="004A6040" w:rsidRPr="00CF7D68">
        <w:t>,</w:t>
      </w:r>
      <w:r w:rsidR="004A6040" w:rsidRPr="00CF7D68">
        <w:br/>
      </w:r>
      <w:r w:rsidR="0011674E" w:rsidRPr="00CF7D68">
        <w:t xml:space="preserve">Bayer </w:t>
      </w:r>
      <w:r w:rsidR="00AC737A" w:rsidRPr="00CF7D68">
        <w:t xml:space="preserve">Australia </w:t>
      </w:r>
      <w:r w:rsidR="0011674E" w:rsidRPr="00CF7D68">
        <w:t>L</w:t>
      </w:r>
      <w:r w:rsidR="00AC737A" w:rsidRPr="00CF7D68">
        <w:t>t</w:t>
      </w:r>
      <w:r w:rsidR="0011674E" w:rsidRPr="00CF7D68">
        <w:t>d</w:t>
      </w:r>
      <w:r w:rsidR="00B60939" w:rsidRPr="00CF7D68">
        <w:t>.</w:t>
      </w:r>
    </w:p>
    <w:p w14:paraId="414BB1A2" w14:textId="43E58207" w:rsidR="005C693C" w:rsidRPr="00CF7D68" w:rsidRDefault="00B50DB8" w:rsidP="009003F6">
      <w:pPr>
        <w:pStyle w:val="2-SectionHeading"/>
      </w:pPr>
      <w:bookmarkStart w:id="0" w:name="_Toc103772407"/>
      <w:r w:rsidRPr="00CF7D68">
        <w:t xml:space="preserve">Purpose of </w:t>
      </w:r>
      <w:r w:rsidR="00CD7193" w:rsidRPr="00CF7D68">
        <w:t>s</w:t>
      </w:r>
      <w:r w:rsidR="00BB3A45" w:rsidRPr="00CF7D68">
        <w:t>ubmission</w:t>
      </w:r>
      <w:bookmarkEnd w:id="0"/>
    </w:p>
    <w:p w14:paraId="416B1185" w14:textId="7740C93E" w:rsidR="004C6BC7" w:rsidRPr="00CF7D68" w:rsidRDefault="005C693C" w:rsidP="009A0C95">
      <w:pPr>
        <w:pStyle w:val="ExecSumBodyText"/>
        <w:ind w:left="720" w:hanging="720"/>
      </w:pPr>
      <w:r w:rsidRPr="00CF7D68">
        <w:t xml:space="preserve">The </w:t>
      </w:r>
      <w:r w:rsidR="007715D3" w:rsidRPr="00CF7D68">
        <w:t xml:space="preserve">Category 2 </w:t>
      </w:r>
      <w:r w:rsidRPr="00CF7D68">
        <w:t xml:space="preserve">submission requested a Section 85 (General </w:t>
      </w:r>
      <w:r w:rsidR="00C83E1E" w:rsidRPr="00CF7D68">
        <w:t>Schedule</w:t>
      </w:r>
      <w:r w:rsidRPr="00CF7D68">
        <w:t xml:space="preserve">) PBS listing for </w:t>
      </w:r>
      <w:proofErr w:type="spellStart"/>
      <w:r w:rsidRPr="00CF7D68">
        <w:t>finerenone</w:t>
      </w:r>
      <w:proofErr w:type="spellEnd"/>
      <w:r w:rsidRPr="00CF7D68">
        <w:t xml:space="preserve"> for the treatment of diabetic kidney disease. The PBAC has not previously considered </w:t>
      </w:r>
      <w:proofErr w:type="spellStart"/>
      <w:r w:rsidRPr="00CF7D68">
        <w:t>finerenone</w:t>
      </w:r>
      <w:proofErr w:type="spellEnd"/>
      <w:r w:rsidRPr="00CF7D68">
        <w:t xml:space="preserve"> for any indication.</w:t>
      </w:r>
    </w:p>
    <w:p w14:paraId="52DD7BF1" w14:textId="034917D6" w:rsidR="009003F6" w:rsidRPr="00CF7D68" w:rsidRDefault="009003F6" w:rsidP="00982037">
      <w:pPr>
        <w:pStyle w:val="ExecSumBodyText"/>
        <w:ind w:left="709" w:hanging="709"/>
      </w:pPr>
      <w:r w:rsidRPr="00CF7D68">
        <w:t>Listing was requested on the basis of a cost-effectiveness analysis versus placebo</w:t>
      </w:r>
      <w:r w:rsidR="00982037" w:rsidRPr="00CF7D68">
        <w:t xml:space="preserve"> (standard of care)</w:t>
      </w:r>
      <w:r w:rsidRPr="00CF7D68">
        <w:t xml:space="preserve">. </w:t>
      </w:r>
    </w:p>
    <w:p w14:paraId="2412070D" w14:textId="343BDE51" w:rsidR="006F0189" w:rsidRPr="00CF7D68" w:rsidRDefault="006F0189" w:rsidP="00A11ED5">
      <w:pPr>
        <w:pStyle w:val="TableHeading"/>
      </w:pPr>
      <w:r w:rsidRPr="00CF7D68">
        <w:t xml:space="preserve">Table </w:t>
      </w:r>
      <w:r w:rsidR="00F9376A">
        <w:fldChar w:fldCharType="begin"/>
      </w:r>
      <w:r w:rsidR="00F9376A">
        <w:instrText xml:space="preserve"> SEQ Table \* ARABIC </w:instrText>
      </w:r>
      <w:r w:rsidR="00F9376A">
        <w:fldChar w:fldCharType="separate"/>
      </w:r>
      <w:r w:rsidR="00AE5D6E">
        <w:rPr>
          <w:noProof/>
        </w:rPr>
        <w:t>1</w:t>
      </w:r>
      <w:r w:rsidR="00F9376A">
        <w:rPr>
          <w:noProof/>
        </w:rPr>
        <w:fldChar w:fldCharType="end"/>
      </w:r>
      <w:r w:rsidRPr="00CF7D68">
        <w:t>: Key components of the clinical issue addressed in the submission</w:t>
      </w:r>
      <w:r w:rsidR="00982037" w:rsidRPr="00CF7D68">
        <w:t xml:space="preserve"> (as stated in the submission)</w:t>
      </w:r>
      <w:r w:rsidR="00173BD9" w:rsidRPr="00CF7D68">
        <w:t xml:space="preserve"> </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117"/>
      </w:tblGrid>
      <w:tr w:rsidR="009003F6" w:rsidRPr="00CF7D68" w14:paraId="073800AB" w14:textId="77777777" w:rsidTr="00BD693B">
        <w:tc>
          <w:tcPr>
            <w:tcW w:w="2039" w:type="dxa"/>
            <w:vAlign w:val="center"/>
          </w:tcPr>
          <w:p w14:paraId="70E0783A" w14:textId="77777777" w:rsidR="009003F6" w:rsidRPr="00CF7D68" w:rsidRDefault="009003F6" w:rsidP="00BD693B">
            <w:pPr>
              <w:pStyle w:val="Tableheadingrow"/>
              <w:rPr>
                <w:lang w:val="en-AU"/>
              </w:rPr>
            </w:pPr>
            <w:r w:rsidRPr="00CF7D68">
              <w:rPr>
                <w:lang w:val="en-AU"/>
              </w:rPr>
              <w:t>Component</w:t>
            </w:r>
          </w:p>
        </w:tc>
        <w:tc>
          <w:tcPr>
            <w:tcW w:w="7117" w:type="dxa"/>
            <w:vAlign w:val="center"/>
          </w:tcPr>
          <w:p w14:paraId="6E712F7F" w14:textId="77777777" w:rsidR="009003F6" w:rsidRPr="00CF7D68" w:rsidRDefault="009003F6" w:rsidP="00BD693B">
            <w:pPr>
              <w:pStyle w:val="Tableheadingrow"/>
              <w:rPr>
                <w:lang w:val="en-AU"/>
              </w:rPr>
            </w:pPr>
            <w:r w:rsidRPr="00CF7D68">
              <w:rPr>
                <w:lang w:val="en-AU"/>
              </w:rPr>
              <w:t>Description</w:t>
            </w:r>
          </w:p>
        </w:tc>
      </w:tr>
      <w:tr w:rsidR="009003F6" w:rsidRPr="00CF7D68" w14:paraId="447D9E01" w14:textId="77777777" w:rsidTr="00BD693B">
        <w:tc>
          <w:tcPr>
            <w:tcW w:w="2039" w:type="dxa"/>
            <w:vAlign w:val="center"/>
          </w:tcPr>
          <w:p w14:paraId="0A7E5865" w14:textId="77777777" w:rsidR="009003F6" w:rsidRPr="00CF7D68" w:rsidRDefault="009003F6" w:rsidP="00BD693B">
            <w:pPr>
              <w:pStyle w:val="TableText"/>
            </w:pPr>
            <w:r w:rsidRPr="00CF7D68">
              <w:t>Population</w:t>
            </w:r>
          </w:p>
        </w:tc>
        <w:tc>
          <w:tcPr>
            <w:tcW w:w="7117" w:type="dxa"/>
            <w:vAlign w:val="center"/>
          </w:tcPr>
          <w:p w14:paraId="2C11DDFB" w14:textId="77777777" w:rsidR="009003F6" w:rsidRPr="00CF7D68" w:rsidRDefault="009003F6" w:rsidP="00BD693B">
            <w:pPr>
              <w:pStyle w:val="TableText"/>
            </w:pPr>
            <w:r w:rsidRPr="00CF7D68">
              <w:t>Patients with type 2 diabetes mellitus and chronic kidney disease with albuminuria</w:t>
            </w:r>
          </w:p>
        </w:tc>
      </w:tr>
      <w:tr w:rsidR="009003F6" w:rsidRPr="00CF7D68" w14:paraId="1E426FAA" w14:textId="77777777" w:rsidTr="00BD693B">
        <w:tc>
          <w:tcPr>
            <w:tcW w:w="2039" w:type="dxa"/>
            <w:vAlign w:val="center"/>
          </w:tcPr>
          <w:p w14:paraId="22237291" w14:textId="77777777" w:rsidR="009003F6" w:rsidRPr="00CF7D68" w:rsidRDefault="009003F6" w:rsidP="00BD693B">
            <w:pPr>
              <w:pStyle w:val="TableText"/>
            </w:pPr>
            <w:r w:rsidRPr="00CF7D68">
              <w:t>Intervention</w:t>
            </w:r>
          </w:p>
        </w:tc>
        <w:tc>
          <w:tcPr>
            <w:tcW w:w="7117" w:type="dxa"/>
            <w:vAlign w:val="center"/>
          </w:tcPr>
          <w:p w14:paraId="44EEF539" w14:textId="758B657B" w:rsidR="009003F6" w:rsidRPr="00CF7D68" w:rsidRDefault="009003F6" w:rsidP="00BD693B">
            <w:pPr>
              <w:pStyle w:val="TableText"/>
            </w:pPr>
            <w:proofErr w:type="spellStart"/>
            <w:r w:rsidRPr="00CF7D68">
              <w:t>Finerenone</w:t>
            </w:r>
            <w:proofErr w:type="spellEnd"/>
            <w:r w:rsidRPr="00CF7D68">
              <w:t xml:space="preserve"> 10 mg or 20 mg oral tablets once daily with dose titration based on renal function and serum potassium levels. To be used in conjunction with standard of care including an </w:t>
            </w:r>
            <w:proofErr w:type="spellStart"/>
            <w:r w:rsidRPr="00CF7D68">
              <w:t>ACEi</w:t>
            </w:r>
            <w:proofErr w:type="spellEnd"/>
            <w:r w:rsidRPr="00CF7D68">
              <w:t xml:space="preserve"> or ARB (unless contraindicated)</w:t>
            </w:r>
            <w:r w:rsidR="00173BD9" w:rsidRPr="00CF7D68">
              <w:t>.</w:t>
            </w:r>
          </w:p>
        </w:tc>
      </w:tr>
      <w:tr w:rsidR="009003F6" w:rsidRPr="00CF7D68" w14:paraId="4C70E2B5" w14:textId="77777777" w:rsidTr="00BD693B">
        <w:tc>
          <w:tcPr>
            <w:tcW w:w="2039" w:type="dxa"/>
            <w:vAlign w:val="center"/>
          </w:tcPr>
          <w:p w14:paraId="75C28C12" w14:textId="77777777" w:rsidR="009003F6" w:rsidRPr="00CF7D68" w:rsidRDefault="009003F6" w:rsidP="00BD693B">
            <w:pPr>
              <w:pStyle w:val="TableText"/>
            </w:pPr>
            <w:r w:rsidRPr="00CF7D68">
              <w:t>Comparator</w:t>
            </w:r>
          </w:p>
        </w:tc>
        <w:tc>
          <w:tcPr>
            <w:tcW w:w="7117" w:type="dxa"/>
            <w:vAlign w:val="center"/>
          </w:tcPr>
          <w:p w14:paraId="43847B09" w14:textId="165E46D8" w:rsidR="009003F6" w:rsidRPr="00CF7D68" w:rsidRDefault="009003F6" w:rsidP="00BD693B">
            <w:pPr>
              <w:pStyle w:val="TableText"/>
              <w:rPr>
                <w:i/>
                <w:iCs/>
              </w:rPr>
            </w:pPr>
            <w:r w:rsidRPr="00CF7D68">
              <w:t>Placebo</w:t>
            </w:r>
            <w:r w:rsidR="00A53F53" w:rsidRPr="00CF7D68">
              <w:t>,</w:t>
            </w:r>
            <w:r w:rsidRPr="00CF7D68">
              <w:t xml:space="preserve"> </w:t>
            </w:r>
            <w:r w:rsidR="00A53F53" w:rsidRPr="00CF7D68">
              <w:t>t</w:t>
            </w:r>
            <w:r w:rsidRPr="00CF7D68">
              <w:t xml:space="preserve">o be used in conjunction with standard of care including an </w:t>
            </w:r>
            <w:proofErr w:type="spellStart"/>
            <w:r w:rsidRPr="00CF7D68">
              <w:t>ACEi</w:t>
            </w:r>
            <w:proofErr w:type="spellEnd"/>
            <w:r w:rsidRPr="00CF7D68">
              <w:t xml:space="preserve"> or ARB (unless contraindicated)</w:t>
            </w:r>
            <w:r w:rsidR="00173BD9" w:rsidRPr="00CF7D68">
              <w:t>.</w:t>
            </w:r>
            <w:r w:rsidR="00982037" w:rsidRPr="00CF7D68">
              <w:t xml:space="preserve"> </w:t>
            </w:r>
            <w:r w:rsidR="00982037" w:rsidRPr="00CF7D68">
              <w:rPr>
                <w:iCs/>
              </w:rPr>
              <w:t>Standard of care also comprises SGLT2i</w:t>
            </w:r>
            <w:r w:rsidR="00700E60" w:rsidRPr="00CF7D68">
              <w:rPr>
                <w:iCs/>
              </w:rPr>
              <w:t xml:space="preserve"> </w:t>
            </w:r>
            <w:r w:rsidR="00982037" w:rsidRPr="00CF7D68">
              <w:rPr>
                <w:iCs/>
              </w:rPr>
              <w:t xml:space="preserve">indicated for </w:t>
            </w:r>
            <w:r w:rsidR="004A766E">
              <w:rPr>
                <w:iCs/>
              </w:rPr>
              <w:t>chronic kidney disease</w:t>
            </w:r>
            <w:r w:rsidR="00982037" w:rsidRPr="00CF7D68">
              <w:rPr>
                <w:iCs/>
              </w:rPr>
              <w:t>.</w:t>
            </w:r>
          </w:p>
        </w:tc>
      </w:tr>
      <w:tr w:rsidR="009003F6" w:rsidRPr="00CF7D68" w14:paraId="4C7E07C5" w14:textId="77777777" w:rsidTr="00BD693B">
        <w:tc>
          <w:tcPr>
            <w:tcW w:w="2039" w:type="dxa"/>
            <w:vAlign w:val="center"/>
          </w:tcPr>
          <w:p w14:paraId="21B61CD0" w14:textId="77777777" w:rsidR="009003F6" w:rsidRPr="00CF7D68" w:rsidRDefault="009003F6" w:rsidP="00BD693B">
            <w:pPr>
              <w:pStyle w:val="TableText"/>
            </w:pPr>
            <w:r w:rsidRPr="00CF7D68">
              <w:t>Outcomes</w:t>
            </w:r>
          </w:p>
        </w:tc>
        <w:tc>
          <w:tcPr>
            <w:tcW w:w="7117" w:type="dxa"/>
            <w:vAlign w:val="center"/>
          </w:tcPr>
          <w:p w14:paraId="627C0FFB" w14:textId="30E590FB" w:rsidR="009003F6" w:rsidRPr="00CF7D68" w:rsidRDefault="009003F6" w:rsidP="00BD693B">
            <w:pPr>
              <w:pStyle w:val="TableText"/>
            </w:pPr>
            <w:r w:rsidRPr="00CF7D68">
              <w:t>Delay kidney disease progression</w:t>
            </w:r>
            <w:r w:rsidR="001030B3" w:rsidRPr="00CF7D68">
              <w:t xml:space="preserve"> </w:t>
            </w:r>
            <w:r w:rsidR="00E61F7C" w:rsidRPr="00CF7D68">
              <w:t xml:space="preserve">(including progression </w:t>
            </w:r>
            <w:r w:rsidR="001030B3" w:rsidRPr="00CF7D68">
              <w:t xml:space="preserve">to </w:t>
            </w:r>
            <w:r w:rsidR="00E61F7C" w:rsidRPr="00CF7D68">
              <w:t xml:space="preserve">kidney </w:t>
            </w:r>
            <w:r w:rsidR="001030B3" w:rsidRPr="00CF7D68">
              <w:t>failure</w:t>
            </w:r>
            <w:r w:rsidR="00E61F7C" w:rsidRPr="00CF7D68">
              <w:t>)</w:t>
            </w:r>
            <w:r w:rsidRPr="00CF7D68">
              <w:t>, reduce cardiovascular events and increase survival</w:t>
            </w:r>
            <w:r w:rsidR="00173BD9" w:rsidRPr="00CF7D68">
              <w:t>.</w:t>
            </w:r>
          </w:p>
        </w:tc>
      </w:tr>
      <w:tr w:rsidR="009003F6" w:rsidRPr="00CF7D68" w14:paraId="7BC1DE36" w14:textId="77777777" w:rsidTr="00BD693B">
        <w:tc>
          <w:tcPr>
            <w:tcW w:w="2039" w:type="dxa"/>
            <w:vAlign w:val="center"/>
          </w:tcPr>
          <w:p w14:paraId="19FCE683" w14:textId="77777777" w:rsidR="009003F6" w:rsidRPr="00CF7D68" w:rsidRDefault="009003F6" w:rsidP="00BD693B">
            <w:pPr>
              <w:pStyle w:val="TableText"/>
            </w:pPr>
            <w:r w:rsidRPr="00CF7D68">
              <w:t>Clinical claim</w:t>
            </w:r>
          </w:p>
        </w:tc>
        <w:tc>
          <w:tcPr>
            <w:tcW w:w="7117" w:type="dxa"/>
            <w:vAlign w:val="center"/>
          </w:tcPr>
          <w:p w14:paraId="1623F02E" w14:textId="0FAF2E3E" w:rsidR="009003F6" w:rsidRPr="00CF7D68" w:rsidRDefault="00CB7088" w:rsidP="00BD693B">
            <w:pPr>
              <w:pStyle w:val="TableText"/>
            </w:pPr>
            <w:r w:rsidRPr="00CF7D68">
              <w:t xml:space="preserve">The submission claimed that </w:t>
            </w:r>
            <w:proofErr w:type="spellStart"/>
            <w:r w:rsidRPr="00CF7D68">
              <w:t>f</w:t>
            </w:r>
            <w:r w:rsidR="009003F6" w:rsidRPr="00CF7D68">
              <w:t>inerenone</w:t>
            </w:r>
            <w:proofErr w:type="spellEnd"/>
            <w:r w:rsidR="005809DC" w:rsidRPr="00CF7D68">
              <w:t xml:space="preserve"> plus standard care</w:t>
            </w:r>
            <w:r w:rsidR="009003F6" w:rsidRPr="00CF7D68">
              <w:t xml:space="preserve"> is superior in terms of efficacy </w:t>
            </w:r>
            <w:proofErr w:type="gramStart"/>
            <w:r w:rsidR="009003F6" w:rsidRPr="00CF7D68">
              <w:t xml:space="preserve">and </w:t>
            </w:r>
            <w:r w:rsidR="00DF4EFB" w:rsidRPr="00CF7D68">
              <w:t xml:space="preserve"> </w:t>
            </w:r>
            <w:r w:rsidR="00F66A92">
              <w:t>‘</w:t>
            </w:r>
            <w:proofErr w:type="gramEnd"/>
            <w:r w:rsidR="00F66A92">
              <w:t xml:space="preserve">comparable’ </w:t>
            </w:r>
            <w:r w:rsidR="009003F6" w:rsidRPr="00CF7D68">
              <w:t>in terms of safety compared to placebo</w:t>
            </w:r>
            <w:r w:rsidR="005809DC" w:rsidRPr="00CF7D68">
              <w:t xml:space="preserve"> plus standard care</w:t>
            </w:r>
            <w:r w:rsidR="00173BD9" w:rsidRPr="00CF7D68">
              <w:t>.</w:t>
            </w:r>
          </w:p>
        </w:tc>
      </w:tr>
    </w:tbl>
    <w:p w14:paraId="76987DFC" w14:textId="0080B117" w:rsidR="009003F6" w:rsidRPr="00CF7D68" w:rsidRDefault="009003F6" w:rsidP="00250B01">
      <w:pPr>
        <w:pStyle w:val="TableFooter"/>
        <w:rPr>
          <w:iCs/>
        </w:rPr>
      </w:pPr>
      <w:r w:rsidRPr="00CF7D68">
        <w:t>Source: Table 10 (p3)</w:t>
      </w:r>
      <w:r w:rsidR="00982037" w:rsidRPr="00CF7D68">
        <w:t xml:space="preserve">, </w:t>
      </w:r>
      <w:r w:rsidR="00982037" w:rsidRPr="00CF7D68">
        <w:rPr>
          <w:iCs/>
        </w:rPr>
        <w:t>and pp iv-v</w:t>
      </w:r>
      <w:r w:rsidRPr="00CF7D68">
        <w:t xml:space="preserve"> of the submission</w:t>
      </w:r>
      <w:r w:rsidR="00982037" w:rsidRPr="00CF7D68">
        <w:rPr>
          <w:iCs/>
        </w:rPr>
        <w:t>.</w:t>
      </w:r>
    </w:p>
    <w:p w14:paraId="380FDAE1" w14:textId="12CBF073" w:rsidR="007715D3" w:rsidRPr="00CF7D68" w:rsidRDefault="007715D3" w:rsidP="00250B01">
      <w:pPr>
        <w:pStyle w:val="TableFooter"/>
      </w:pPr>
      <w:r w:rsidRPr="00CF7D68">
        <w:t xml:space="preserve">Abbreviations: </w:t>
      </w:r>
      <w:proofErr w:type="spellStart"/>
      <w:r w:rsidRPr="00CF7D68">
        <w:t>ACEi</w:t>
      </w:r>
      <w:proofErr w:type="spellEnd"/>
      <w:r w:rsidRPr="00CF7D68">
        <w:t>, angiotensin-converting enzyme inhibitors; ARB, angiotensin II receptor blockers</w:t>
      </w:r>
      <w:r w:rsidR="00982037" w:rsidRPr="00CF7D68">
        <w:t>; SGLT2i, sodium-glucose cotransporter</w:t>
      </w:r>
      <w:r w:rsidR="00ED077C" w:rsidRPr="00CF7D68">
        <w:t xml:space="preserve"> inhibitor</w:t>
      </w:r>
      <w:r w:rsidR="00700E60" w:rsidRPr="00CF7D68">
        <w:t>.</w:t>
      </w:r>
    </w:p>
    <w:p w14:paraId="6B4AB6C2" w14:textId="6A869B3F" w:rsidR="005C25FF" w:rsidRPr="00CF7D68" w:rsidRDefault="005C25FF" w:rsidP="004A6040">
      <w:pPr>
        <w:pStyle w:val="2-SectionHeading"/>
      </w:pPr>
      <w:bookmarkStart w:id="1" w:name="_Toc103772408"/>
      <w:r w:rsidRPr="00CF7D68">
        <w:t>Background</w:t>
      </w:r>
      <w:bookmarkEnd w:id="1"/>
    </w:p>
    <w:p w14:paraId="2C521D6D" w14:textId="4CF2C762" w:rsidR="005C25FF" w:rsidRPr="00CF7D68" w:rsidRDefault="005C25FF" w:rsidP="004A6040">
      <w:pPr>
        <w:pStyle w:val="3-SubsectionHeading"/>
      </w:pPr>
      <w:bookmarkStart w:id="2" w:name="_Toc22897638"/>
      <w:bookmarkStart w:id="3" w:name="_Toc103772409"/>
      <w:r w:rsidRPr="00CF7D68">
        <w:t>Registration status</w:t>
      </w:r>
      <w:bookmarkEnd w:id="2"/>
      <w:bookmarkEnd w:id="3"/>
    </w:p>
    <w:p w14:paraId="16909673" w14:textId="01FF5868" w:rsidR="00763611" w:rsidRPr="00CF7D68" w:rsidRDefault="009003F6" w:rsidP="00763611">
      <w:pPr>
        <w:pStyle w:val="ExecSumBodyText"/>
        <w:ind w:left="709" w:hanging="709"/>
        <w:rPr>
          <w:iCs/>
        </w:rPr>
      </w:pPr>
      <w:proofErr w:type="spellStart"/>
      <w:r w:rsidRPr="00CF7D68">
        <w:t>Finerenone</w:t>
      </w:r>
      <w:proofErr w:type="spellEnd"/>
      <w:r w:rsidRPr="00CF7D68">
        <w:t xml:space="preserve"> was approved by the TGA on 25 November 2021 to </w:t>
      </w:r>
      <w:r w:rsidR="00173BD9" w:rsidRPr="00CF7D68">
        <w:t>‘</w:t>
      </w:r>
      <w:r w:rsidRPr="00CF7D68">
        <w:t>delay progressive decline of kidney function in adults with chronic kidney disease associated with Type</w:t>
      </w:r>
      <w:r w:rsidR="00F66A92">
        <w:t> </w:t>
      </w:r>
      <w:r w:rsidRPr="00CF7D68">
        <w:t>2 diabetes (with albuminuria), in addition to standard of care</w:t>
      </w:r>
      <w:r w:rsidR="00173BD9" w:rsidRPr="00CF7D68">
        <w:t>’</w:t>
      </w:r>
      <w:r w:rsidR="00EB3449" w:rsidRPr="00CF7D68">
        <w:t>.</w:t>
      </w:r>
      <w:r w:rsidR="004B31DC" w:rsidRPr="00CF7D68">
        <w:t xml:space="preserve"> </w:t>
      </w:r>
      <w:r w:rsidR="004A766E">
        <w:t>At the time of PBAC consideration, t</w:t>
      </w:r>
      <w:r w:rsidR="00967C32" w:rsidRPr="00CF7D68">
        <w:t xml:space="preserve">he </w:t>
      </w:r>
      <w:r w:rsidR="00700E60" w:rsidRPr="004A766E">
        <w:rPr>
          <w:iCs/>
        </w:rPr>
        <w:t xml:space="preserve">TGA </w:t>
      </w:r>
      <w:r w:rsidR="00967C32" w:rsidRPr="004A766E">
        <w:rPr>
          <w:iCs/>
        </w:rPr>
        <w:t>was</w:t>
      </w:r>
      <w:r w:rsidR="00700E60" w:rsidRPr="004A766E">
        <w:rPr>
          <w:iCs/>
        </w:rPr>
        <w:t xml:space="preserve"> evaluating an application to amend the </w:t>
      </w:r>
      <w:proofErr w:type="spellStart"/>
      <w:r w:rsidR="00700E60" w:rsidRPr="004A766E">
        <w:rPr>
          <w:iCs/>
        </w:rPr>
        <w:t>finerenone</w:t>
      </w:r>
      <w:proofErr w:type="spellEnd"/>
      <w:r w:rsidR="00700E60" w:rsidRPr="004A766E">
        <w:rPr>
          <w:iCs/>
        </w:rPr>
        <w:t xml:space="preserve"> indication: ‘to delay progressive decline of kidney function </w:t>
      </w:r>
      <w:r w:rsidR="00700E60" w:rsidRPr="004A766E">
        <w:rPr>
          <w:iCs/>
          <w:u w:val="single"/>
        </w:rPr>
        <w:t>and to reduce the risk of cardiovascular mortality and morbidity</w:t>
      </w:r>
      <w:r w:rsidR="00700E60" w:rsidRPr="004A766E">
        <w:rPr>
          <w:iCs/>
        </w:rPr>
        <w:t xml:space="preserve"> in adults with chronic kidney disease associated with Type 2 diabetes (with albuminuria), in addition to standard of care’.  </w:t>
      </w:r>
      <w:r w:rsidR="004144B3" w:rsidRPr="004144B3">
        <w:rPr>
          <w:iCs/>
        </w:rPr>
        <w:t>The TGA outcome</w:t>
      </w:r>
      <w:r w:rsidR="000012FD">
        <w:rPr>
          <w:iCs/>
        </w:rPr>
        <w:t xml:space="preserve"> for this additional wording</w:t>
      </w:r>
      <w:r w:rsidR="004144B3" w:rsidRPr="004144B3">
        <w:rPr>
          <w:iCs/>
        </w:rPr>
        <w:t xml:space="preserve"> </w:t>
      </w:r>
      <w:r w:rsidR="00967C32" w:rsidRPr="004A766E">
        <w:rPr>
          <w:iCs/>
        </w:rPr>
        <w:t xml:space="preserve">was </w:t>
      </w:r>
      <w:r w:rsidR="00700E60" w:rsidRPr="004A766E">
        <w:rPr>
          <w:iCs/>
        </w:rPr>
        <w:t xml:space="preserve">not available </w:t>
      </w:r>
      <w:r w:rsidR="00C866C5" w:rsidRPr="004A766E">
        <w:rPr>
          <w:iCs/>
        </w:rPr>
        <w:t>at the time of PBAC consideration.</w:t>
      </w:r>
    </w:p>
    <w:p w14:paraId="2AACC1D3" w14:textId="1D2D323E" w:rsidR="00763611" w:rsidRPr="00CF7D68" w:rsidRDefault="00763611" w:rsidP="00763611">
      <w:pPr>
        <w:pStyle w:val="ExecSumBodyText"/>
        <w:numPr>
          <w:ilvl w:val="0"/>
          <w:numId w:val="0"/>
        </w:numPr>
        <w:rPr>
          <w:i/>
          <w:iCs/>
        </w:rPr>
      </w:pPr>
      <w:bookmarkStart w:id="4" w:name="_Hlk76375324"/>
      <w:r w:rsidRPr="00CF7D68">
        <w:rPr>
          <w:i/>
          <w:iCs/>
        </w:rPr>
        <w:t>For more detail on PBAC’s view, see section 7 PBAC outcome.</w:t>
      </w:r>
      <w:bookmarkEnd w:id="4"/>
    </w:p>
    <w:p w14:paraId="76E4EF3C" w14:textId="3C10F736" w:rsidR="00B60939" w:rsidRPr="00CF7D68" w:rsidRDefault="00B50DB8" w:rsidP="004E18E9">
      <w:pPr>
        <w:pStyle w:val="2-SectionHeading"/>
      </w:pPr>
      <w:bookmarkStart w:id="5" w:name="_Toc103772410"/>
      <w:r w:rsidRPr="00CF7D68">
        <w:lastRenderedPageBreak/>
        <w:t>Requested listing</w:t>
      </w:r>
      <w:bookmarkEnd w:id="5"/>
    </w:p>
    <w:p w14:paraId="75A9D67E" w14:textId="56BD666D" w:rsidR="003B4A74" w:rsidRPr="00CF7D68" w:rsidRDefault="003B4A74" w:rsidP="003B4A74">
      <w:pPr>
        <w:pStyle w:val="ExecSumBodyText"/>
        <w:ind w:left="709" w:hanging="709"/>
        <w:rPr>
          <w:iCs/>
        </w:rPr>
      </w:pPr>
      <w:r w:rsidRPr="00CF7D68">
        <w:rPr>
          <w:iCs/>
        </w:rPr>
        <w:t xml:space="preserve">Suggestions and additions proposed by the </w:t>
      </w:r>
      <w:r w:rsidR="004A766E">
        <w:rPr>
          <w:iCs/>
        </w:rPr>
        <w:t>s</w:t>
      </w:r>
      <w:r w:rsidRPr="00CF7D68">
        <w:rPr>
          <w:iCs/>
        </w:rPr>
        <w:t xml:space="preserve">ecretariat are added in italics and suggested deletions are crossed out with strikethrough. </w:t>
      </w:r>
      <w:r w:rsidRPr="00CF7D68">
        <w:t xml:space="preserve">The pre-PBAC response agreed with the secretariat’s </w:t>
      </w:r>
      <w:r w:rsidR="004A766E">
        <w:t xml:space="preserve">proposed </w:t>
      </w:r>
      <w:r w:rsidRPr="00CF7D68">
        <w:t>revisions to the restriction</w:t>
      </w:r>
      <w:r w:rsidR="00EF16AE">
        <w:t xml:space="preserve"> shown in the table below, which is based on the ESC’s advice discussed in </w:t>
      </w:r>
      <w:r w:rsidR="00EF16AE" w:rsidRPr="006D0D8D">
        <w:t>paragraphs</w:t>
      </w:r>
      <w:r w:rsidR="00B23ADF" w:rsidRPr="006D0D8D">
        <w:t xml:space="preserve"> </w:t>
      </w:r>
      <w:r w:rsidR="00B23ADF" w:rsidRPr="006D0D8D">
        <w:fldChar w:fldCharType="begin"/>
      </w:r>
      <w:r w:rsidR="00B23ADF" w:rsidRPr="006D0D8D">
        <w:instrText xml:space="preserve"> REF _Ref110433264 \r \h  \* MERGEFORMAT </w:instrText>
      </w:r>
      <w:r w:rsidR="00B23ADF" w:rsidRPr="006D0D8D">
        <w:fldChar w:fldCharType="separate"/>
      </w:r>
      <w:r w:rsidR="00AE5D6E" w:rsidRPr="006D0D8D">
        <w:t>3.3</w:t>
      </w:r>
      <w:r w:rsidR="00B23ADF" w:rsidRPr="006D0D8D">
        <w:fldChar w:fldCharType="end"/>
      </w:r>
      <w:r w:rsidR="00B23ADF" w:rsidRPr="006D0D8D">
        <w:t xml:space="preserve"> to </w:t>
      </w:r>
      <w:r w:rsidR="00B23ADF" w:rsidRPr="006D0D8D">
        <w:fldChar w:fldCharType="begin"/>
      </w:r>
      <w:r w:rsidR="00B23ADF" w:rsidRPr="006D0D8D">
        <w:instrText xml:space="preserve"> REF _Ref110433274 \r \h  \* MERGEFORMAT </w:instrText>
      </w:r>
      <w:r w:rsidR="00B23ADF" w:rsidRPr="006D0D8D">
        <w:fldChar w:fldCharType="separate"/>
      </w:r>
      <w:r w:rsidR="00AE5D6E" w:rsidRPr="006D0D8D">
        <w:t>3.7</w:t>
      </w:r>
      <w:r w:rsidR="00B23ADF" w:rsidRPr="006D0D8D">
        <w:fldChar w:fldCharType="end"/>
      </w:r>
      <w:r w:rsidRPr="006D0D8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709"/>
        <w:gridCol w:w="1275"/>
        <w:gridCol w:w="992"/>
        <w:gridCol w:w="992"/>
        <w:gridCol w:w="992"/>
        <w:gridCol w:w="851"/>
        <w:gridCol w:w="1250"/>
        <w:gridCol w:w="1251"/>
      </w:tblGrid>
      <w:tr w:rsidR="004A766E" w:rsidRPr="004A766E" w14:paraId="2A59CCA9" w14:textId="77777777" w:rsidTr="00607DEC">
        <w:trPr>
          <w:cantSplit/>
          <w:trHeight w:val="20"/>
        </w:trPr>
        <w:tc>
          <w:tcPr>
            <w:tcW w:w="2689" w:type="dxa"/>
            <w:gridSpan w:val="3"/>
            <w:vAlign w:val="center"/>
          </w:tcPr>
          <w:p w14:paraId="7BAF11B7" w14:textId="77777777" w:rsidR="004A766E" w:rsidRPr="004A766E" w:rsidRDefault="004A766E" w:rsidP="00465717">
            <w:pPr>
              <w:keepLines/>
              <w:rPr>
                <w:rFonts w:ascii="Arial Narrow" w:hAnsi="Arial Narrow"/>
                <w:b/>
                <w:bCs/>
                <w:sz w:val="20"/>
                <w:szCs w:val="20"/>
              </w:rPr>
            </w:pPr>
            <w:r w:rsidRPr="004A766E">
              <w:rPr>
                <w:rFonts w:ascii="Arial Narrow" w:hAnsi="Arial Narrow"/>
                <w:b/>
                <w:bCs/>
                <w:sz w:val="20"/>
                <w:szCs w:val="20"/>
              </w:rPr>
              <w:t>MEDICINAL PRODUCT</w:t>
            </w:r>
          </w:p>
          <w:p w14:paraId="064784EF" w14:textId="77777777" w:rsidR="004A766E" w:rsidRPr="004A766E" w:rsidRDefault="004A766E" w:rsidP="00465717">
            <w:pPr>
              <w:keepLines/>
              <w:rPr>
                <w:rFonts w:ascii="Arial Narrow" w:hAnsi="Arial Narrow"/>
                <w:b/>
                <w:sz w:val="20"/>
                <w:szCs w:val="20"/>
              </w:rPr>
            </w:pPr>
            <w:r w:rsidRPr="004A766E">
              <w:rPr>
                <w:rFonts w:ascii="Arial Narrow" w:hAnsi="Arial Narrow"/>
                <w:b/>
                <w:bCs/>
                <w:sz w:val="20"/>
                <w:szCs w:val="20"/>
              </w:rPr>
              <w:t>medicinal product pack</w:t>
            </w:r>
          </w:p>
        </w:tc>
        <w:tc>
          <w:tcPr>
            <w:tcW w:w="992" w:type="dxa"/>
            <w:vAlign w:val="center"/>
          </w:tcPr>
          <w:p w14:paraId="00C37B27" w14:textId="77777777" w:rsidR="004A766E" w:rsidRPr="004A766E" w:rsidRDefault="004A766E" w:rsidP="00465717">
            <w:pPr>
              <w:keepLines/>
              <w:jc w:val="center"/>
              <w:rPr>
                <w:rFonts w:ascii="Arial Narrow" w:hAnsi="Arial Narrow"/>
                <w:b/>
                <w:sz w:val="20"/>
                <w:szCs w:val="20"/>
              </w:rPr>
            </w:pPr>
            <w:r w:rsidRPr="004A766E">
              <w:rPr>
                <w:rFonts w:ascii="Arial Narrow" w:hAnsi="Arial Narrow"/>
                <w:b/>
                <w:sz w:val="20"/>
                <w:szCs w:val="20"/>
              </w:rPr>
              <w:t>PBS item code</w:t>
            </w:r>
          </w:p>
        </w:tc>
        <w:tc>
          <w:tcPr>
            <w:tcW w:w="992" w:type="dxa"/>
            <w:vAlign w:val="center"/>
          </w:tcPr>
          <w:p w14:paraId="66582EBA" w14:textId="77777777" w:rsidR="004A766E" w:rsidRPr="004A766E" w:rsidRDefault="004A766E" w:rsidP="00465717">
            <w:pPr>
              <w:keepLines/>
              <w:jc w:val="center"/>
              <w:rPr>
                <w:rFonts w:ascii="Arial Narrow" w:hAnsi="Arial Narrow"/>
                <w:b/>
                <w:sz w:val="20"/>
                <w:szCs w:val="20"/>
              </w:rPr>
            </w:pPr>
            <w:r w:rsidRPr="004A766E">
              <w:rPr>
                <w:rFonts w:ascii="Arial Narrow" w:hAnsi="Arial Narrow"/>
                <w:b/>
                <w:sz w:val="20"/>
                <w:szCs w:val="20"/>
              </w:rPr>
              <w:t>Max. qty packs</w:t>
            </w:r>
          </w:p>
        </w:tc>
        <w:tc>
          <w:tcPr>
            <w:tcW w:w="992" w:type="dxa"/>
            <w:vAlign w:val="center"/>
          </w:tcPr>
          <w:p w14:paraId="6005922D" w14:textId="77777777" w:rsidR="004A766E" w:rsidRPr="004A766E" w:rsidRDefault="004A766E" w:rsidP="00465717">
            <w:pPr>
              <w:keepLines/>
              <w:jc w:val="center"/>
              <w:rPr>
                <w:rFonts w:ascii="Arial Narrow" w:hAnsi="Arial Narrow"/>
                <w:b/>
                <w:sz w:val="20"/>
                <w:szCs w:val="20"/>
              </w:rPr>
            </w:pPr>
            <w:r w:rsidRPr="004A766E">
              <w:rPr>
                <w:rFonts w:ascii="Arial Narrow" w:hAnsi="Arial Narrow"/>
                <w:b/>
                <w:sz w:val="20"/>
                <w:szCs w:val="20"/>
              </w:rPr>
              <w:t>Max. qty units</w:t>
            </w:r>
          </w:p>
        </w:tc>
        <w:tc>
          <w:tcPr>
            <w:tcW w:w="851" w:type="dxa"/>
            <w:vAlign w:val="center"/>
          </w:tcPr>
          <w:p w14:paraId="50C5B046" w14:textId="77777777" w:rsidR="004A766E" w:rsidRPr="004A766E" w:rsidRDefault="004A766E" w:rsidP="00465717">
            <w:pPr>
              <w:keepLines/>
              <w:jc w:val="center"/>
              <w:rPr>
                <w:rFonts w:ascii="Arial Narrow" w:hAnsi="Arial Narrow"/>
                <w:b/>
                <w:sz w:val="20"/>
                <w:szCs w:val="20"/>
              </w:rPr>
            </w:pPr>
            <w:proofErr w:type="gramStart"/>
            <w:r w:rsidRPr="004A766E">
              <w:rPr>
                <w:rFonts w:ascii="Arial Narrow" w:hAnsi="Arial Narrow"/>
                <w:b/>
                <w:sz w:val="20"/>
                <w:szCs w:val="20"/>
              </w:rPr>
              <w:t>№.of</w:t>
            </w:r>
            <w:proofErr w:type="gramEnd"/>
          </w:p>
          <w:p w14:paraId="4B0844CC" w14:textId="77777777" w:rsidR="004A766E" w:rsidRPr="004A766E" w:rsidRDefault="004A766E" w:rsidP="00465717">
            <w:pPr>
              <w:keepLines/>
              <w:jc w:val="center"/>
              <w:rPr>
                <w:rFonts w:ascii="Arial Narrow" w:hAnsi="Arial Narrow"/>
                <w:b/>
                <w:sz w:val="20"/>
                <w:szCs w:val="20"/>
              </w:rPr>
            </w:pPr>
            <w:proofErr w:type="spellStart"/>
            <w:r w:rsidRPr="004A766E">
              <w:rPr>
                <w:rFonts w:ascii="Arial Narrow" w:hAnsi="Arial Narrow"/>
                <w:b/>
                <w:sz w:val="20"/>
                <w:szCs w:val="20"/>
              </w:rPr>
              <w:t>Rpts</w:t>
            </w:r>
            <w:proofErr w:type="spellEnd"/>
          </w:p>
        </w:tc>
        <w:tc>
          <w:tcPr>
            <w:tcW w:w="1250" w:type="dxa"/>
            <w:vAlign w:val="center"/>
          </w:tcPr>
          <w:p w14:paraId="4943834E" w14:textId="6C125B44" w:rsidR="004A766E" w:rsidRPr="004A766E" w:rsidRDefault="004A766E" w:rsidP="004A766E">
            <w:pPr>
              <w:keepLines/>
              <w:jc w:val="center"/>
              <w:rPr>
                <w:rFonts w:ascii="Arial Narrow" w:hAnsi="Arial Narrow"/>
                <w:b/>
                <w:sz w:val="20"/>
                <w:szCs w:val="20"/>
              </w:rPr>
            </w:pPr>
            <w:r w:rsidRPr="004A766E">
              <w:rPr>
                <w:rFonts w:ascii="Arial Narrow" w:hAnsi="Arial Narrow"/>
                <w:b/>
                <w:sz w:val="20"/>
                <w:szCs w:val="20"/>
              </w:rPr>
              <w:t>Dispensed price for maximum quantity</w:t>
            </w:r>
          </w:p>
        </w:tc>
        <w:tc>
          <w:tcPr>
            <w:tcW w:w="1251" w:type="dxa"/>
            <w:vAlign w:val="center"/>
          </w:tcPr>
          <w:p w14:paraId="17441802" w14:textId="4CFA88B1" w:rsidR="004A766E" w:rsidRPr="004A766E" w:rsidRDefault="004A766E" w:rsidP="00465717">
            <w:pPr>
              <w:keepLines/>
              <w:rPr>
                <w:rFonts w:ascii="Arial Narrow" w:hAnsi="Arial Narrow"/>
                <w:b/>
                <w:sz w:val="20"/>
                <w:szCs w:val="20"/>
              </w:rPr>
            </w:pPr>
            <w:r w:rsidRPr="004A766E">
              <w:rPr>
                <w:rFonts w:ascii="Arial Narrow" w:hAnsi="Arial Narrow"/>
                <w:b/>
                <w:sz w:val="20"/>
                <w:szCs w:val="20"/>
              </w:rPr>
              <w:t>Available brands</w:t>
            </w:r>
          </w:p>
        </w:tc>
      </w:tr>
      <w:tr w:rsidR="003B4A74" w:rsidRPr="004A766E" w14:paraId="5F277DDA" w14:textId="77777777" w:rsidTr="00465717">
        <w:trPr>
          <w:cantSplit/>
          <w:trHeight w:val="20"/>
        </w:trPr>
        <w:tc>
          <w:tcPr>
            <w:tcW w:w="9017" w:type="dxa"/>
            <w:gridSpan w:val="9"/>
            <w:vAlign w:val="center"/>
          </w:tcPr>
          <w:p w14:paraId="520D3141" w14:textId="77777777" w:rsidR="003B4A74" w:rsidRPr="004A766E" w:rsidRDefault="003B4A74" w:rsidP="00465717">
            <w:pPr>
              <w:keepLines/>
              <w:rPr>
                <w:rFonts w:ascii="Arial Narrow" w:hAnsi="Arial Narrow"/>
                <w:sz w:val="20"/>
                <w:szCs w:val="20"/>
              </w:rPr>
            </w:pPr>
            <w:r w:rsidRPr="004A766E">
              <w:rPr>
                <w:rFonts w:ascii="Arial Narrow" w:hAnsi="Arial Narrow"/>
                <w:sz w:val="20"/>
                <w:szCs w:val="20"/>
              </w:rPr>
              <w:t>FINERENONE</w:t>
            </w:r>
          </w:p>
        </w:tc>
      </w:tr>
      <w:tr w:rsidR="004A766E" w:rsidRPr="004A766E" w14:paraId="03ED33DC" w14:textId="77777777" w:rsidTr="00607DEC">
        <w:trPr>
          <w:cantSplit/>
          <w:trHeight w:val="20"/>
        </w:trPr>
        <w:tc>
          <w:tcPr>
            <w:tcW w:w="2689" w:type="dxa"/>
            <w:gridSpan w:val="3"/>
            <w:vAlign w:val="center"/>
          </w:tcPr>
          <w:p w14:paraId="0913FBFA" w14:textId="77777777" w:rsidR="004A766E" w:rsidRPr="004A766E" w:rsidRDefault="004A766E" w:rsidP="004A766E">
            <w:pPr>
              <w:keepLines/>
              <w:rPr>
                <w:rFonts w:ascii="Arial Narrow" w:hAnsi="Arial Narrow"/>
                <w:sz w:val="20"/>
                <w:szCs w:val="20"/>
              </w:rPr>
            </w:pPr>
            <w:proofErr w:type="spellStart"/>
            <w:r w:rsidRPr="004A766E">
              <w:rPr>
                <w:rFonts w:ascii="Arial Narrow" w:hAnsi="Arial Narrow"/>
                <w:sz w:val="20"/>
                <w:szCs w:val="20"/>
              </w:rPr>
              <w:t>finerenone</w:t>
            </w:r>
            <w:proofErr w:type="spellEnd"/>
            <w:r w:rsidRPr="004A766E">
              <w:rPr>
                <w:rFonts w:ascii="Arial Narrow" w:hAnsi="Arial Narrow"/>
                <w:sz w:val="20"/>
                <w:szCs w:val="20"/>
              </w:rPr>
              <w:t xml:space="preserve"> 10 mg tablet, 28</w:t>
            </w:r>
          </w:p>
        </w:tc>
        <w:tc>
          <w:tcPr>
            <w:tcW w:w="992" w:type="dxa"/>
            <w:vAlign w:val="center"/>
          </w:tcPr>
          <w:p w14:paraId="5EB648E3" w14:textId="77777777" w:rsidR="004A766E" w:rsidRPr="004A766E" w:rsidRDefault="004A766E" w:rsidP="004A766E">
            <w:pPr>
              <w:keepLines/>
              <w:jc w:val="center"/>
              <w:rPr>
                <w:rFonts w:ascii="Arial Narrow" w:hAnsi="Arial Narrow"/>
                <w:sz w:val="20"/>
                <w:szCs w:val="20"/>
              </w:rPr>
            </w:pPr>
            <w:r w:rsidRPr="004A766E">
              <w:rPr>
                <w:rFonts w:ascii="Arial Narrow" w:hAnsi="Arial Narrow"/>
                <w:sz w:val="20"/>
                <w:szCs w:val="20"/>
              </w:rPr>
              <w:t>NEW</w:t>
            </w:r>
          </w:p>
        </w:tc>
        <w:tc>
          <w:tcPr>
            <w:tcW w:w="992" w:type="dxa"/>
            <w:vAlign w:val="center"/>
          </w:tcPr>
          <w:p w14:paraId="1217069B" w14:textId="77777777" w:rsidR="004A766E" w:rsidRPr="004A766E" w:rsidRDefault="004A766E" w:rsidP="004A766E">
            <w:pPr>
              <w:keepLines/>
              <w:jc w:val="center"/>
              <w:rPr>
                <w:rFonts w:ascii="Arial Narrow" w:hAnsi="Arial Narrow"/>
                <w:sz w:val="20"/>
                <w:szCs w:val="20"/>
              </w:rPr>
            </w:pPr>
            <w:r w:rsidRPr="004A766E">
              <w:rPr>
                <w:rFonts w:ascii="Arial Narrow" w:hAnsi="Arial Narrow"/>
                <w:sz w:val="20"/>
                <w:szCs w:val="20"/>
              </w:rPr>
              <w:t>1</w:t>
            </w:r>
          </w:p>
        </w:tc>
        <w:tc>
          <w:tcPr>
            <w:tcW w:w="992" w:type="dxa"/>
            <w:vAlign w:val="center"/>
          </w:tcPr>
          <w:p w14:paraId="18652F7E" w14:textId="77777777" w:rsidR="004A766E" w:rsidRPr="004A766E" w:rsidRDefault="004A766E" w:rsidP="004A766E">
            <w:pPr>
              <w:keepLines/>
              <w:jc w:val="center"/>
              <w:rPr>
                <w:rFonts w:ascii="Arial Narrow" w:hAnsi="Arial Narrow"/>
                <w:sz w:val="20"/>
                <w:szCs w:val="20"/>
              </w:rPr>
            </w:pPr>
            <w:r w:rsidRPr="004A766E">
              <w:rPr>
                <w:rFonts w:ascii="Arial Narrow" w:hAnsi="Arial Narrow"/>
                <w:sz w:val="20"/>
                <w:szCs w:val="20"/>
              </w:rPr>
              <w:t>28</w:t>
            </w:r>
          </w:p>
        </w:tc>
        <w:tc>
          <w:tcPr>
            <w:tcW w:w="851" w:type="dxa"/>
            <w:vAlign w:val="center"/>
          </w:tcPr>
          <w:p w14:paraId="7CDBBDAD" w14:textId="77777777" w:rsidR="004A766E" w:rsidRPr="004A766E" w:rsidRDefault="004A766E" w:rsidP="004A766E">
            <w:pPr>
              <w:keepLines/>
              <w:jc w:val="center"/>
              <w:rPr>
                <w:rFonts w:ascii="Arial Narrow" w:hAnsi="Arial Narrow"/>
                <w:sz w:val="20"/>
                <w:szCs w:val="20"/>
              </w:rPr>
            </w:pPr>
            <w:r w:rsidRPr="004A766E">
              <w:rPr>
                <w:rFonts w:ascii="Arial Narrow" w:hAnsi="Arial Narrow"/>
                <w:sz w:val="20"/>
                <w:szCs w:val="20"/>
              </w:rPr>
              <w:t>5</w:t>
            </w:r>
          </w:p>
        </w:tc>
        <w:tc>
          <w:tcPr>
            <w:tcW w:w="1250" w:type="dxa"/>
            <w:vAlign w:val="center"/>
          </w:tcPr>
          <w:p w14:paraId="6A36AE2F" w14:textId="6991FFD8" w:rsidR="004A766E" w:rsidRPr="004A766E" w:rsidRDefault="004A766E" w:rsidP="004A766E">
            <w:pPr>
              <w:keepLines/>
              <w:jc w:val="center"/>
              <w:rPr>
                <w:rFonts w:ascii="Arial Narrow" w:hAnsi="Arial Narrow"/>
                <w:sz w:val="20"/>
                <w:szCs w:val="20"/>
              </w:rPr>
            </w:pPr>
            <w:r w:rsidRPr="004A766E">
              <w:rPr>
                <w:rFonts w:ascii="Arial Narrow" w:hAnsi="Arial Narrow"/>
                <w:sz w:val="20"/>
                <w:szCs w:val="20"/>
              </w:rPr>
              <w:t>$</w:t>
            </w:r>
            <w:r w:rsidR="00A973A1" w:rsidRPr="00A973A1">
              <w:rPr>
                <w:rFonts w:ascii="Arial Narrow" w:hAnsi="Arial Narrow" w:hint="eastAsia"/>
                <w:color w:val="000000"/>
                <w:w w:val="16"/>
                <w:sz w:val="20"/>
                <w:szCs w:val="20"/>
                <w:shd w:val="solid" w:color="000000" w:fill="000000"/>
                <w:fitText w:val="75" w:id="-1435844608"/>
                <w14:textFill>
                  <w14:solidFill>
                    <w14:srgbClr w14:val="000000">
                      <w14:alpha w14:val="100000"/>
                    </w14:srgbClr>
                  </w14:solidFill>
                </w14:textFill>
              </w:rPr>
              <w:t xml:space="preserve">　</w:t>
            </w:r>
            <w:r w:rsidR="00A973A1" w:rsidRPr="00A973A1">
              <w:rPr>
                <w:rFonts w:ascii="Arial Narrow" w:hAnsi="Arial Narrow"/>
                <w:color w:val="000000"/>
                <w:w w:val="16"/>
                <w:sz w:val="20"/>
                <w:szCs w:val="20"/>
                <w:shd w:val="solid" w:color="000000" w:fill="000000"/>
                <w:fitText w:val="75" w:id="-1435844608"/>
                <w14:textFill>
                  <w14:solidFill>
                    <w14:srgbClr w14:val="000000">
                      <w14:alpha w14:val="100000"/>
                    </w14:srgbClr>
                  </w14:solidFill>
                </w14:textFill>
              </w:rPr>
              <w:t>|</w:t>
            </w:r>
            <w:r w:rsidR="00A973A1" w:rsidRPr="00A973A1">
              <w:rPr>
                <w:rFonts w:ascii="Arial Narrow" w:hAnsi="Arial Narrow" w:hint="eastAsia"/>
                <w:color w:val="000000"/>
                <w:w w:val="16"/>
                <w:sz w:val="20"/>
                <w:szCs w:val="20"/>
                <w:shd w:val="solid" w:color="000000" w:fill="000000"/>
                <w:fitText w:val="75" w:id="-1435844608"/>
                <w14:textFill>
                  <w14:solidFill>
                    <w14:srgbClr w14:val="000000">
                      <w14:alpha w14:val="100000"/>
                    </w14:srgbClr>
                  </w14:solidFill>
                </w14:textFill>
              </w:rPr>
              <w:t xml:space="preserve">　</w:t>
            </w:r>
          </w:p>
        </w:tc>
        <w:tc>
          <w:tcPr>
            <w:tcW w:w="1251" w:type="dxa"/>
            <w:vAlign w:val="center"/>
          </w:tcPr>
          <w:p w14:paraId="15088BF0" w14:textId="07256592" w:rsidR="004A766E" w:rsidRPr="004A766E" w:rsidRDefault="004A766E" w:rsidP="004A766E">
            <w:pPr>
              <w:keepLines/>
              <w:rPr>
                <w:rFonts w:ascii="Arial Narrow" w:hAnsi="Arial Narrow"/>
                <w:sz w:val="20"/>
                <w:szCs w:val="20"/>
              </w:rPr>
            </w:pPr>
            <w:proofErr w:type="spellStart"/>
            <w:r w:rsidRPr="004A766E">
              <w:rPr>
                <w:rFonts w:ascii="Arial Narrow" w:hAnsi="Arial Narrow"/>
                <w:sz w:val="20"/>
                <w:szCs w:val="20"/>
              </w:rPr>
              <w:t>Kerendia</w:t>
            </w:r>
            <w:proofErr w:type="spellEnd"/>
          </w:p>
        </w:tc>
      </w:tr>
      <w:tr w:rsidR="004A766E" w:rsidRPr="004A766E" w14:paraId="31A333FF" w14:textId="77777777" w:rsidTr="00607DEC">
        <w:trPr>
          <w:cantSplit/>
          <w:trHeight w:val="20"/>
        </w:trPr>
        <w:tc>
          <w:tcPr>
            <w:tcW w:w="2689" w:type="dxa"/>
            <w:gridSpan w:val="3"/>
            <w:vAlign w:val="center"/>
          </w:tcPr>
          <w:p w14:paraId="3DEB1ED7" w14:textId="77777777" w:rsidR="004A766E" w:rsidRPr="004A766E" w:rsidRDefault="004A766E" w:rsidP="004A766E">
            <w:pPr>
              <w:keepLines/>
              <w:rPr>
                <w:rFonts w:ascii="Arial Narrow" w:hAnsi="Arial Narrow"/>
                <w:sz w:val="20"/>
                <w:szCs w:val="20"/>
              </w:rPr>
            </w:pPr>
            <w:proofErr w:type="spellStart"/>
            <w:r w:rsidRPr="004A766E">
              <w:rPr>
                <w:rFonts w:ascii="Arial Narrow" w:hAnsi="Arial Narrow"/>
                <w:sz w:val="20"/>
                <w:szCs w:val="20"/>
              </w:rPr>
              <w:t>finerenone</w:t>
            </w:r>
            <w:proofErr w:type="spellEnd"/>
            <w:r w:rsidRPr="004A766E">
              <w:rPr>
                <w:rFonts w:ascii="Arial Narrow" w:hAnsi="Arial Narrow"/>
                <w:sz w:val="20"/>
                <w:szCs w:val="20"/>
              </w:rPr>
              <w:t xml:space="preserve"> 20 mg tablet, 28</w:t>
            </w:r>
          </w:p>
        </w:tc>
        <w:tc>
          <w:tcPr>
            <w:tcW w:w="992" w:type="dxa"/>
            <w:vAlign w:val="center"/>
          </w:tcPr>
          <w:p w14:paraId="000B067C" w14:textId="77777777" w:rsidR="004A766E" w:rsidRPr="004A766E" w:rsidRDefault="004A766E" w:rsidP="004A766E">
            <w:pPr>
              <w:keepLines/>
              <w:jc w:val="center"/>
              <w:rPr>
                <w:rFonts w:ascii="Arial Narrow" w:hAnsi="Arial Narrow"/>
                <w:sz w:val="20"/>
                <w:szCs w:val="20"/>
              </w:rPr>
            </w:pPr>
            <w:r w:rsidRPr="004A766E">
              <w:rPr>
                <w:rFonts w:ascii="Arial Narrow" w:hAnsi="Arial Narrow"/>
                <w:sz w:val="20"/>
                <w:szCs w:val="20"/>
              </w:rPr>
              <w:t>NEW</w:t>
            </w:r>
          </w:p>
        </w:tc>
        <w:tc>
          <w:tcPr>
            <w:tcW w:w="992" w:type="dxa"/>
            <w:vAlign w:val="center"/>
          </w:tcPr>
          <w:p w14:paraId="4204777F" w14:textId="77777777" w:rsidR="004A766E" w:rsidRPr="004A766E" w:rsidRDefault="004A766E" w:rsidP="004A766E">
            <w:pPr>
              <w:keepLines/>
              <w:jc w:val="center"/>
              <w:rPr>
                <w:rFonts w:ascii="Arial Narrow" w:hAnsi="Arial Narrow"/>
                <w:sz w:val="20"/>
                <w:szCs w:val="20"/>
              </w:rPr>
            </w:pPr>
            <w:r w:rsidRPr="004A766E">
              <w:rPr>
                <w:rFonts w:ascii="Arial Narrow" w:hAnsi="Arial Narrow"/>
                <w:sz w:val="20"/>
                <w:szCs w:val="20"/>
              </w:rPr>
              <w:t>1</w:t>
            </w:r>
          </w:p>
        </w:tc>
        <w:tc>
          <w:tcPr>
            <w:tcW w:w="992" w:type="dxa"/>
            <w:vAlign w:val="center"/>
          </w:tcPr>
          <w:p w14:paraId="406922AC" w14:textId="77777777" w:rsidR="004A766E" w:rsidRPr="004A766E" w:rsidRDefault="004A766E" w:rsidP="004A766E">
            <w:pPr>
              <w:keepLines/>
              <w:jc w:val="center"/>
              <w:rPr>
                <w:rFonts w:ascii="Arial Narrow" w:hAnsi="Arial Narrow"/>
                <w:sz w:val="20"/>
                <w:szCs w:val="20"/>
              </w:rPr>
            </w:pPr>
            <w:r w:rsidRPr="004A766E">
              <w:rPr>
                <w:rFonts w:ascii="Arial Narrow" w:hAnsi="Arial Narrow"/>
                <w:sz w:val="20"/>
                <w:szCs w:val="20"/>
              </w:rPr>
              <w:t>28</w:t>
            </w:r>
          </w:p>
        </w:tc>
        <w:tc>
          <w:tcPr>
            <w:tcW w:w="851" w:type="dxa"/>
            <w:vAlign w:val="center"/>
          </w:tcPr>
          <w:p w14:paraId="1C63F84E" w14:textId="77777777" w:rsidR="004A766E" w:rsidRPr="004A766E" w:rsidRDefault="004A766E" w:rsidP="004A766E">
            <w:pPr>
              <w:keepLines/>
              <w:jc w:val="center"/>
              <w:rPr>
                <w:rFonts w:ascii="Arial Narrow" w:hAnsi="Arial Narrow"/>
                <w:sz w:val="20"/>
                <w:szCs w:val="20"/>
              </w:rPr>
            </w:pPr>
            <w:r w:rsidRPr="004A766E">
              <w:rPr>
                <w:rFonts w:ascii="Arial Narrow" w:hAnsi="Arial Narrow"/>
                <w:sz w:val="20"/>
                <w:szCs w:val="20"/>
              </w:rPr>
              <w:t>5</w:t>
            </w:r>
          </w:p>
        </w:tc>
        <w:tc>
          <w:tcPr>
            <w:tcW w:w="1250" w:type="dxa"/>
            <w:vAlign w:val="center"/>
          </w:tcPr>
          <w:p w14:paraId="1DAFD9C3" w14:textId="35D725AB" w:rsidR="004A766E" w:rsidRPr="004A766E" w:rsidRDefault="004A766E" w:rsidP="004A766E">
            <w:pPr>
              <w:keepLines/>
              <w:jc w:val="center"/>
              <w:rPr>
                <w:rFonts w:ascii="Arial Narrow" w:hAnsi="Arial Narrow"/>
                <w:sz w:val="20"/>
                <w:szCs w:val="20"/>
              </w:rPr>
            </w:pPr>
            <w:r w:rsidRPr="004A766E">
              <w:rPr>
                <w:rFonts w:ascii="Arial Narrow" w:hAnsi="Arial Narrow"/>
                <w:sz w:val="20"/>
                <w:szCs w:val="20"/>
              </w:rPr>
              <w:t>$</w:t>
            </w:r>
            <w:r w:rsidR="00A973A1" w:rsidRPr="00A973A1">
              <w:rPr>
                <w:rFonts w:ascii="Arial Narrow" w:hAnsi="Arial Narrow" w:hint="eastAsia"/>
                <w:color w:val="000000"/>
                <w:w w:val="16"/>
                <w:sz w:val="20"/>
                <w:szCs w:val="20"/>
                <w:shd w:val="solid" w:color="000000" w:fill="000000"/>
                <w:fitText w:val="75" w:id="-1435844607"/>
                <w14:textFill>
                  <w14:solidFill>
                    <w14:srgbClr w14:val="000000">
                      <w14:alpha w14:val="100000"/>
                    </w14:srgbClr>
                  </w14:solidFill>
                </w14:textFill>
              </w:rPr>
              <w:t xml:space="preserve">　</w:t>
            </w:r>
            <w:r w:rsidR="00A973A1" w:rsidRPr="00A973A1">
              <w:rPr>
                <w:rFonts w:ascii="Arial Narrow" w:hAnsi="Arial Narrow"/>
                <w:color w:val="000000"/>
                <w:w w:val="16"/>
                <w:sz w:val="20"/>
                <w:szCs w:val="20"/>
                <w:shd w:val="solid" w:color="000000" w:fill="000000"/>
                <w:fitText w:val="75" w:id="-1435844607"/>
                <w14:textFill>
                  <w14:solidFill>
                    <w14:srgbClr w14:val="000000">
                      <w14:alpha w14:val="100000"/>
                    </w14:srgbClr>
                  </w14:solidFill>
                </w14:textFill>
              </w:rPr>
              <w:t>|</w:t>
            </w:r>
            <w:r w:rsidR="00A973A1" w:rsidRPr="00A973A1">
              <w:rPr>
                <w:rFonts w:ascii="Arial Narrow" w:hAnsi="Arial Narrow" w:hint="eastAsia"/>
                <w:color w:val="000000"/>
                <w:w w:val="16"/>
                <w:sz w:val="20"/>
                <w:szCs w:val="20"/>
                <w:shd w:val="solid" w:color="000000" w:fill="000000"/>
                <w:fitText w:val="75" w:id="-1435844607"/>
                <w14:textFill>
                  <w14:solidFill>
                    <w14:srgbClr w14:val="000000">
                      <w14:alpha w14:val="100000"/>
                    </w14:srgbClr>
                  </w14:solidFill>
                </w14:textFill>
              </w:rPr>
              <w:t xml:space="preserve">　</w:t>
            </w:r>
          </w:p>
        </w:tc>
        <w:tc>
          <w:tcPr>
            <w:tcW w:w="1251" w:type="dxa"/>
            <w:vAlign w:val="center"/>
          </w:tcPr>
          <w:p w14:paraId="42397751" w14:textId="40B64CEF" w:rsidR="004A766E" w:rsidRPr="004A766E" w:rsidRDefault="004A766E" w:rsidP="004A766E">
            <w:pPr>
              <w:keepLines/>
              <w:rPr>
                <w:rFonts w:ascii="Arial Narrow" w:hAnsi="Arial Narrow"/>
                <w:sz w:val="20"/>
                <w:szCs w:val="20"/>
              </w:rPr>
            </w:pPr>
            <w:proofErr w:type="spellStart"/>
            <w:r w:rsidRPr="004A766E">
              <w:rPr>
                <w:rFonts w:ascii="Arial Narrow" w:hAnsi="Arial Narrow"/>
                <w:sz w:val="20"/>
                <w:szCs w:val="20"/>
              </w:rPr>
              <w:t>Kerendia</w:t>
            </w:r>
            <w:proofErr w:type="spellEnd"/>
          </w:p>
        </w:tc>
      </w:tr>
      <w:tr w:rsidR="004A766E" w:rsidRPr="004A766E" w14:paraId="10945A80" w14:textId="77777777" w:rsidTr="00465717">
        <w:tblPrEx>
          <w:tblCellMar>
            <w:top w:w="15" w:type="dxa"/>
            <w:bottom w:w="15" w:type="dxa"/>
          </w:tblCellMar>
          <w:tblLook w:val="04A0" w:firstRow="1" w:lastRow="0" w:firstColumn="1" w:lastColumn="0" w:noHBand="0" w:noVBand="1"/>
        </w:tblPrEx>
        <w:trPr>
          <w:trHeight w:val="20"/>
        </w:trPr>
        <w:tc>
          <w:tcPr>
            <w:tcW w:w="9017" w:type="dxa"/>
            <w:gridSpan w:val="9"/>
            <w:tcBorders>
              <w:top w:val="single" w:sz="4" w:space="0" w:color="auto"/>
              <w:left w:val="single" w:sz="4" w:space="0" w:color="auto"/>
              <w:right w:val="single" w:sz="4" w:space="0" w:color="auto"/>
            </w:tcBorders>
            <w:vAlign w:val="center"/>
          </w:tcPr>
          <w:p w14:paraId="5D0E81BF" w14:textId="77777777" w:rsidR="004A766E" w:rsidRPr="004A766E" w:rsidRDefault="004A766E" w:rsidP="004A766E">
            <w:pPr>
              <w:rPr>
                <w:rFonts w:ascii="Arial Narrow" w:hAnsi="Arial Narrow"/>
                <w:sz w:val="20"/>
                <w:szCs w:val="20"/>
              </w:rPr>
            </w:pPr>
          </w:p>
        </w:tc>
      </w:tr>
      <w:tr w:rsidR="004A766E" w:rsidRPr="004A766E" w14:paraId="62E8A62E" w14:textId="77777777" w:rsidTr="00465717">
        <w:tblPrEx>
          <w:tblCellMar>
            <w:top w:w="15" w:type="dxa"/>
            <w:bottom w:w="15" w:type="dxa"/>
          </w:tblCellMar>
          <w:tblLook w:val="04A0" w:firstRow="1" w:lastRow="0" w:firstColumn="1" w:lastColumn="0" w:noHBand="0" w:noVBand="1"/>
        </w:tblPrEx>
        <w:trPr>
          <w:trHeight w:val="20"/>
        </w:trPr>
        <w:tc>
          <w:tcPr>
            <w:tcW w:w="9017" w:type="dxa"/>
            <w:gridSpan w:val="9"/>
            <w:tcBorders>
              <w:top w:val="single" w:sz="4" w:space="0" w:color="auto"/>
              <w:left w:val="single" w:sz="4" w:space="0" w:color="auto"/>
              <w:right w:val="single" w:sz="4" w:space="0" w:color="auto"/>
            </w:tcBorders>
            <w:vAlign w:val="center"/>
          </w:tcPr>
          <w:p w14:paraId="2660995F" w14:textId="77777777" w:rsidR="004A766E" w:rsidRPr="004A766E" w:rsidRDefault="004A766E" w:rsidP="004A766E">
            <w:pPr>
              <w:keepLines/>
              <w:rPr>
                <w:rFonts w:ascii="Arial Narrow" w:hAnsi="Arial Narrow"/>
                <w:b/>
                <w:sz w:val="20"/>
                <w:szCs w:val="20"/>
              </w:rPr>
            </w:pPr>
            <w:r w:rsidRPr="004A766E">
              <w:rPr>
                <w:rFonts w:ascii="Arial Narrow" w:hAnsi="Arial Narrow"/>
                <w:b/>
                <w:sz w:val="20"/>
                <w:szCs w:val="20"/>
              </w:rPr>
              <w:t xml:space="preserve">Restriction Summary [new] / Treatment of Concept: [new] </w:t>
            </w:r>
          </w:p>
        </w:tc>
      </w:tr>
      <w:tr w:rsidR="004A766E" w:rsidRPr="004A766E" w14:paraId="1A33465F" w14:textId="77777777" w:rsidTr="00465717">
        <w:tblPrEx>
          <w:tblCellMar>
            <w:top w:w="15" w:type="dxa"/>
            <w:bottom w:w="15" w:type="dxa"/>
          </w:tblCellMar>
          <w:tblLook w:val="04A0" w:firstRow="1" w:lastRow="0" w:firstColumn="1" w:lastColumn="0" w:noHBand="0" w:noVBand="1"/>
        </w:tblPrEx>
        <w:trPr>
          <w:trHeight w:val="20"/>
        </w:trPr>
        <w:tc>
          <w:tcPr>
            <w:tcW w:w="1414" w:type="dxa"/>
            <w:gridSpan w:val="2"/>
            <w:vMerge w:val="restart"/>
            <w:tcBorders>
              <w:top w:val="single" w:sz="4" w:space="0" w:color="auto"/>
              <w:left w:val="single" w:sz="4" w:space="0" w:color="auto"/>
              <w:right w:val="single" w:sz="4" w:space="0" w:color="auto"/>
            </w:tcBorders>
          </w:tcPr>
          <w:p w14:paraId="123C164B" w14:textId="77777777" w:rsidR="004A766E" w:rsidRPr="004A766E" w:rsidRDefault="004A766E" w:rsidP="004A766E">
            <w:pPr>
              <w:jc w:val="center"/>
              <w:rPr>
                <w:rFonts w:ascii="Arial Narrow" w:hAnsi="Arial Narrow"/>
                <w:b/>
                <w:sz w:val="20"/>
                <w:szCs w:val="20"/>
              </w:rPr>
            </w:pPr>
            <w:r w:rsidRPr="004A766E">
              <w:rPr>
                <w:rFonts w:ascii="Arial Narrow" w:hAnsi="Arial Narrow"/>
                <w:b/>
                <w:sz w:val="20"/>
                <w:szCs w:val="20"/>
              </w:rPr>
              <w:t xml:space="preserve">Concept ID </w:t>
            </w:r>
            <w:r w:rsidRPr="004A766E">
              <w:rPr>
                <w:rFonts w:ascii="Arial Narrow" w:hAnsi="Arial Narrow"/>
                <w:sz w:val="20"/>
                <w:szCs w:val="20"/>
              </w:rPr>
              <w:t>(for internal Dept. use)</w:t>
            </w:r>
          </w:p>
        </w:tc>
        <w:tc>
          <w:tcPr>
            <w:tcW w:w="7603" w:type="dxa"/>
            <w:gridSpan w:val="7"/>
            <w:tcBorders>
              <w:top w:val="single" w:sz="4" w:space="0" w:color="auto"/>
              <w:left w:val="single" w:sz="4" w:space="0" w:color="auto"/>
              <w:bottom w:val="single" w:sz="4" w:space="0" w:color="auto"/>
              <w:right w:val="single" w:sz="4" w:space="0" w:color="auto"/>
            </w:tcBorders>
            <w:vAlign w:val="center"/>
          </w:tcPr>
          <w:p w14:paraId="262FFE16" w14:textId="77777777" w:rsidR="004A766E" w:rsidRPr="004A766E" w:rsidRDefault="004A766E" w:rsidP="004A766E">
            <w:pPr>
              <w:keepLines/>
              <w:rPr>
                <w:rFonts w:ascii="Arial Narrow" w:hAnsi="Arial Narrow"/>
                <w:sz w:val="20"/>
                <w:szCs w:val="20"/>
              </w:rPr>
            </w:pPr>
            <w:r w:rsidRPr="004A766E">
              <w:rPr>
                <w:rFonts w:ascii="Arial Narrow" w:hAnsi="Arial Narrow"/>
                <w:b/>
                <w:sz w:val="20"/>
                <w:szCs w:val="20"/>
              </w:rPr>
              <w:t xml:space="preserve">Category / Program: </w:t>
            </w:r>
            <w:r w:rsidRPr="004A766E">
              <w:rPr>
                <w:rFonts w:ascii="Arial Narrow" w:hAnsi="Arial Narrow"/>
                <w:sz w:val="20"/>
                <w:szCs w:val="20"/>
              </w:rPr>
              <w:t xml:space="preserve">GENERAL – General Schedule (Code GE) </w:t>
            </w:r>
          </w:p>
        </w:tc>
      </w:tr>
      <w:tr w:rsidR="004A766E" w:rsidRPr="004A766E" w14:paraId="70EF1960" w14:textId="77777777" w:rsidTr="00465717">
        <w:tblPrEx>
          <w:tblCellMar>
            <w:top w:w="15" w:type="dxa"/>
            <w:bottom w:w="15" w:type="dxa"/>
          </w:tblCellMar>
          <w:tblLook w:val="04A0" w:firstRow="1" w:lastRow="0" w:firstColumn="1" w:lastColumn="0" w:noHBand="0" w:noVBand="1"/>
        </w:tblPrEx>
        <w:trPr>
          <w:trHeight w:val="20"/>
        </w:trPr>
        <w:tc>
          <w:tcPr>
            <w:tcW w:w="1414" w:type="dxa"/>
            <w:gridSpan w:val="2"/>
            <w:vMerge/>
            <w:tcBorders>
              <w:left w:val="single" w:sz="4" w:space="0" w:color="auto"/>
              <w:right w:val="single" w:sz="4" w:space="0" w:color="auto"/>
            </w:tcBorders>
          </w:tcPr>
          <w:p w14:paraId="3C1F5CB7" w14:textId="77777777" w:rsidR="004A766E" w:rsidRPr="004A766E" w:rsidRDefault="004A766E" w:rsidP="004A766E">
            <w:pPr>
              <w:rPr>
                <w:rFonts w:ascii="Arial Narrow" w:hAnsi="Arial Narrow"/>
                <w:sz w:val="20"/>
                <w:szCs w:val="20"/>
              </w:rPr>
            </w:pPr>
          </w:p>
        </w:tc>
        <w:tc>
          <w:tcPr>
            <w:tcW w:w="7603" w:type="dxa"/>
            <w:gridSpan w:val="7"/>
            <w:tcBorders>
              <w:top w:val="single" w:sz="4" w:space="0" w:color="auto"/>
              <w:left w:val="single" w:sz="4" w:space="0" w:color="auto"/>
              <w:bottom w:val="single" w:sz="4" w:space="0" w:color="auto"/>
              <w:right w:val="single" w:sz="4" w:space="0" w:color="auto"/>
            </w:tcBorders>
            <w:vAlign w:val="center"/>
          </w:tcPr>
          <w:p w14:paraId="1A34A6C8" w14:textId="77777777" w:rsidR="004A766E" w:rsidRPr="004A766E" w:rsidRDefault="004A766E" w:rsidP="004A766E">
            <w:pPr>
              <w:keepLines/>
              <w:rPr>
                <w:rFonts w:ascii="Arial Narrow" w:hAnsi="Arial Narrow"/>
                <w:b/>
                <w:sz w:val="20"/>
                <w:szCs w:val="20"/>
              </w:rPr>
            </w:pPr>
            <w:r w:rsidRPr="004A766E">
              <w:rPr>
                <w:rFonts w:ascii="Arial Narrow" w:hAnsi="Arial Narrow"/>
                <w:b/>
                <w:sz w:val="20"/>
                <w:szCs w:val="20"/>
              </w:rPr>
              <w:t xml:space="preserve">Prescriber type: </w:t>
            </w:r>
            <w:r w:rsidRPr="004A766E">
              <w:rPr>
                <w:rFonts w:ascii="Arial Narrow" w:hAnsi="Arial Narrow"/>
                <w:sz w:val="20"/>
                <w:szCs w:val="20"/>
              </w:rPr>
              <w:fldChar w:fldCharType="begin">
                <w:ffData>
                  <w:name w:val=""/>
                  <w:enabled/>
                  <w:calcOnExit w:val="0"/>
                  <w:checkBox>
                    <w:sizeAuto/>
                    <w:default w:val="1"/>
                  </w:checkBox>
                </w:ffData>
              </w:fldChar>
            </w:r>
            <w:r w:rsidRPr="004A766E">
              <w:rPr>
                <w:rFonts w:ascii="Arial Narrow" w:hAnsi="Arial Narrow"/>
                <w:sz w:val="20"/>
                <w:szCs w:val="20"/>
              </w:rPr>
              <w:instrText xml:space="preserve"> FORMCHECKBOX </w:instrText>
            </w:r>
            <w:r w:rsidR="00F9376A">
              <w:rPr>
                <w:rFonts w:ascii="Arial Narrow" w:hAnsi="Arial Narrow"/>
                <w:sz w:val="20"/>
                <w:szCs w:val="20"/>
              </w:rPr>
            </w:r>
            <w:r w:rsidR="00F9376A">
              <w:rPr>
                <w:rFonts w:ascii="Arial Narrow" w:hAnsi="Arial Narrow"/>
                <w:sz w:val="20"/>
                <w:szCs w:val="20"/>
              </w:rPr>
              <w:fldChar w:fldCharType="separate"/>
            </w:r>
            <w:r w:rsidRPr="004A766E">
              <w:rPr>
                <w:rFonts w:ascii="Arial Narrow" w:hAnsi="Arial Narrow"/>
                <w:sz w:val="20"/>
                <w:szCs w:val="20"/>
              </w:rPr>
              <w:fldChar w:fldCharType="end"/>
            </w:r>
            <w:r w:rsidRPr="004A766E">
              <w:rPr>
                <w:rFonts w:ascii="Arial Narrow" w:hAnsi="Arial Narrow"/>
                <w:sz w:val="20"/>
                <w:szCs w:val="20"/>
              </w:rPr>
              <w:t xml:space="preserve">Medical Practitioners </w:t>
            </w:r>
            <w:r w:rsidRPr="004A766E">
              <w:rPr>
                <w:rFonts w:ascii="Arial Narrow" w:hAnsi="Arial Narrow"/>
                <w:sz w:val="20"/>
                <w:szCs w:val="20"/>
              </w:rPr>
              <w:fldChar w:fldCharType="begin">
                <w:ffData>
                  <w:name w:val="Check3"/>
                  <w:enabled/>
                  <w:calcOnExit w:val="0"/>
                  <w:checkBox>
                    <w:sizeAuto/>
                    <w:default w:val="1"/>
                  </w:checkBox>
                </w:ffData>
              </w:fldChar>
            </w:r>
            <w:r w:rsidRPr="004A766E">
              <w:rPr>
                <w:rFonts w:ascii="Arial Narrow" w:hAnsi="Arial Narrow"/>
                <w:sz w:val="20"/>
                <w:szCs w:val="20"/>
              </w:rPr>
              <w:instrText xml:space="preserve"> FORMCHECKBOX </w:instrText>
            </w:r>
            <w:r w:rsidR="00F9376A">
              <w:rPr>
                <w:rFonts w:ascii="Arial Narrow" w:hAnsi="Arial Narrow"/>
                <w:sz w:val="20"/>
                <w:szCs w:val="20"/>
              </w:rPr>
            </w:r>
            <w:r w:rsidR="00F9376A">
              <w:rPr>
                <w:rFonts w:ascii="Arial Narrow" w:hAnsi="Arial Narrow"/>
                <w:sz w:val="20"/>
                <w:szCs w:val="20"/>
              </w:rPr>
              <w:fldChar w:fldCharType="separate"/>
            </w:r>
            <w:r w:rsidRPr="004A766E">
              <w:rPr>
                <w:rFonts w:ascii="Arial Narrow" w:hAnsi="Arial Narrow"/>
                <w:sz w:val="20"/>
                <w:szCs w:val="20"/>
              </w:rPr>
              <w:fldChar w:fldCharType="end"/>
            </w:r>
            <w:r w:rsidRPr="004A766E">
              <w:rPr>
                <w:rFonts w:ascii="Arial Narrow" w:hAnsi="Arial Narrow"/>
                <w:sz w:val="20"/>
                <w:szCs w:val="20"/>
              </w:rPr>
              <w:t xml:space="preserve">Nurse practitioners </w:t>
            </w:r>
          </w:p>
        </w:tc>
      </w:tr>
      <w:tr w:rsidR="004A766E" w:rsidRPr="004A766E" w14:paraId="5F9A32B0" w14:textId="77777777" w:rsidTr="00465717">
        <w:tblPrEx>
          <w:tblCellMar>
            <w:top w:w="15" w:type="dxa"/>
            <w:bottom w:w="15" w:type="dxa"/>
          </w:tblCellMar>
          <w:tblLook w:val="04A0" w:firstRow="1" w:lastRow="0" w:firstColumn="1" w:lastColumn="0" w:noHBand="0" w:noVBand="1"/>
        </w:tblPrEx>
        <w:trPr>
          <w:trHeight w:val="20"/>
        </w:trPr>
        <w:tc>
          <w:tcPr>
            <w:tcW w:w="1414" w:type="dxa"/>
            <w:gridSpan w:val="2"/>
            <w:vMerge/>
            <w:tcBorders>
              <w:left w:val="single" w:sz="4" w:space="0" w:color="auto"/>
              <w:bottom w:val="single" w:sz="4" w:space="0" w:color="auto"/>
              <w:right w:val="single" w:sz="4" w:space="0" w:color="auto"/>
            </w:tcBorders>
          </w:tcPr>
          <w:p w14:paraId="1FAD6619" w14:textId="77777777" w:rsidR="004A766E" w:rsidRPr="004A766E" w:rsidRDefault="004A766E" w:rsidP="004A766E">
            <w:pPr>
              <w:rPr>
                <w:rFonts w:ascii="Arial Narrow" w:hAnsi="Arial Narrow"/>
                <w:sz w:val="20"/>
                <w:szCs w:val="20"/>
              </w:rPr>
            </w:pPr>
          </w:p>
        </w:tc>
        <w:tc>
          <w:tcPr>
            <w:tcW w:w="7603" w:type="dxa"/>
            <w:gridSpan w:val="7"/>
            <w:tcBorders>
              <w:top w:val="single" w:sz="4" w:space="0" w:color="auto"/>
              <w:left w:val="single" w:sz="4" w:space="0" w:color="auto"/>
              <w:bottom w:val="single" w:sz="4" w:space="0" w:color="auto"/>
              <w:right w:val="single" w:sz="4" w:space="0" w:color="auto"/>
            </w:tcBorders>
            <w:vAlign w:val="center"/>
          </w:tcPr>
          <w:p w14:paraId="5A32880D" w14:textId="77777777" w:rsidR="004A766E" w:rsidRPr="004A766E" w:rsidRDefault="004A766E" w:rsidP="004A766E">
            <w:pPr>
              <w:keepLines/>
              <w:rPr>
                <w:rFonts w:ascii="Arial Narrow" w:eastAsia="Calibri" w:hAnsi="Arial Narrow"/>
                <w:sz w:val="20"/>
                <w:szCs w:val="20"/>
              </w:rPr>
            </w:pPr>
            <w:r w:rsidRPr="004A766E">
              <w:rPr>
                <w:rFonts w:ascii="Arial Narrow" w:hAnsi="Arial Narrow"/>
                <w:b/>
                <w:sz w:val="20"/>
                <w:szCs w:val="20"/>
              </w:rPr>
              <w:t xml:space="preserve">Restriction type: </w:t>
            </w:r>
            <w:r w:rsidRPr="004A766E">
              <w:rPr>
                <w:rFonts w:ascii="Arial Narrow" w:hAnsi="Arial Narrow"/>
                <w:sz w:val="20"/>
                <w:szCs w:val="20"/>
              </w:rPr>
              <w:fldChar w:fldCharType="begin">
                <w:ffData>
                  <w:name w:val="Check3"/>
                  <w:enabled/>
                  <w:calcOnExit w:val="0"/>
                  <w:checkBox>
                    <w:sizeAuto/>
                    <w:default w:val="1"/>
                  </w:checkBox>
                </w:ffData>
              </w:fldChar>
            </w:r>
            <w:r w:rsidRPr="004A766E">
              <w:rPr>
                <w:rFonts w:ascii="Arial Narrow" w:hAnsi="Arial Narrow"/>
                <w:sz w:val="20"/>
                <w:szCs w:val="20"/>
              </w:rPr>
              <w:instrText xml:space="preserve"> FORMCHECKBOX </w:instrText>
            </w:r>
            <w:r w:rsidR="00F9376A">
              <w:rPr>
                <w:rFonts w:ascii="Arial Narrow" w:hAnsi="Arial Narrow"/>
                <w:sz w:val="20"/>
                <w:szCs w:val="20"/>
              </w:rPr>
            </w:r>
            <w:r w:rsidR="00F9376A">
              <w:rPr>
                <w:rFonts w:ascii="Arial Narrow" w:hAnsi="Arial Narrow"/>
                <w:sz w:val="20"/>
                <w:szCs w:val="20"/>
              </w:rPr>
              <w:fldChar w:fldCharType="separate"/>
            </w:r>
            <w:r w:rsidRPr="004A766E">
              <w:rPr>
                <w:rFonts w:ascii="Arial Narrow" w:hAnsi="Arial Narrow"/>
                <w:sz w:val="20"/>
                <w:szCs w:val="20"/>
              </w:rPr>
              <w:fldChar w:fldCharType="end"/>
            </w:r>
            <w:r w:rsidRPr="004A766E">
              <w:rPr>
                <w:rFonts w:ascii="Arial Narrow" w:eastAsia="Calibri" w:hAnsi="Arial Narrow"/>
                <w:sz w:val="20"/>
                <w:szCs w:val="20"/>
              </w:rPr>
              <w:t xml:space="preserve">Authority Required (Streamlined) [new/existing code] </w:t>
            </w:r>
          </w:p>
        </w:tc>
      </w:tr>
      <w:tr w:rsidR="004A766E" w:rsidRPr="004A766E" w14:paraId="559BE132" w14:textId="77777777" w:rsidTr="00465717">
        <w:tblPrEx>
          <w:tblCellMar>
            <w:top w:w="15" w:type="dxa"/>
            <w:bottom w:w="15" w:type="dxa"/>
          </w:tblCellMar>
        </w:tblPrEx>
        <w:trPr>
          <w:trHeight w:val="20"/>
        </w:trPr>
        <w:tc>
          <w:tcPr>
            <w:tcW w:w="705" w:type="dxa"/>
            <w:tcBorders>
              <w:left w:val="single" w:sz="4" w:space="0" w:color="auto"/>
              <w:right w:val="single" w:sz="4" w:space="0" w:color="auto"/>
            </w:tcBorders>
            <w:textDirection w:val="btLr"/>
            <w:vAlign w:val="center"/>
          </w:tcPr>
          <w:p w14:paraId="39976D38" w14:textId="6487C1F9" w:rsidR="004A766E" w:rsidRPr="004A766E" w:rsidRDefault="004A766E" w:rsidP="004A766E">
            <w:pPr>
              <w:jc w:val="center"/>
              <w:rPr>
                <w:rFonts w:ascii="Arial Narrow" w:hAnsi="Arial Narrow"/>
                <w:sz w:val="20"/>
                <w:szCs w:val="20"/>
              </w:rPr>
            </w:pPr>
          </w:p>
        </w:tc>
        <w:tc>
          <w:tcPr>
            <w:tcW w:w="709" w:type="dxa"/>
            <w:vAlign w:val="center"/>
          </w:tcPr>
          <w:p w14:paraId="0145CAAD" w14:textId="47295888" w:rsidR="004A766E" w:rsidRPr="004A766E" w:rsidRDefault="004A766E" w:rsidP="004A766E">
            <w:pPr>
              <w:jc w:val="center"/>
              <w:rPr>
                <w:rFonts w:ascii="Arial Narrow" w:hAnsi="Arial Narrow"/>
                <w:sz w:val="20"/>
                <w:szCs w:val="20"/>
              </w:rPr>
            </w:pPr>
          </w:p>
        </w:tc>
        <w:tc>
          <w:tcPr>
            <w:tcW w:w="7603" w:type="dxa"/>
            <w:gridSpan w:val="7"/>
            <w:vAlign w:val="center"/>
          </w:tcPr>
          <w:p w14:paraId="6D7CED57" w14:textId="77777777" w:rsidR="004A766E" w:rsidRPr="004A766E" w:rsidRDefault="004A766E" w:rsidP="004A766E">
            <w:pPr>
              <w:rPr>
                <w:rFonts w:ascii="Arial Narrow" w:hAnsi="Arial Narrow"/>
                <w:b/>
                <w:bCs/>
                <w:sz w:val="20"/>
                <w:szCs w:val="20"/>
              </w:rPr>
            </w:pPr>
            <w:r w:rsidRPr="004A766E">
              <w:rPr>
                <w:rFonts w:ascii="Arial Narrow" w:hAnsi="Arial Narrow"/>
                <w:b/>
                <w:bCs/>
                <w:sz w:val="20"/>
                <w:szCs w:val="20"/>
              </w:rPr>
              <w:t>Administrative Advice:</w:t>
            </w:r>
          </w:p>
          <w:p w14:paraId="6CAA2009" w14:textId="77777777" w:rsidR="004A766E" w:rsidRPr="004A766E" w:rsidRDefault="004A766E" w:rsidP="004A766E">
            <w:pPr>
              <w:pStyle w:val="PBACTabletext"/>
              <w:rPr>
                <w:szCs w:val="20"/>
              </w:rPr>
            </w:pPr>
            <w:r w:rsidRPr="004A766E">
              <w:rPr>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4A766E" w:rsidRPr="004A766E" w14:paraId="698B8B28"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581B129B" w14:textId="77777777" w:rsidR="004A766E" w:rsidRPr="004A766E" w:rsidRDefault="004A766E" w:rsidP="004A766E">
            <w:pPr>
              <w:keepLines/>
              <w:jc w:val="center"/>
              <w:rPr>
                <w:rFonts w:ascii="Arial Narrow" w:hAnsi="Arial Narrow"/>
                <w:sz w:val="20"/>
                <w:szCs w:val="20"/>
              </w:rPr>
            </w:pPr>
          </w:p>
        </w:tc>
        <w:tc>
          <w:tcPr>
            <w:tcW w:w="7603" w:type="dxa"/>
            <w:gridSpan w:val="7"/>
            <w:vAlign w:val="center"/>
          </w:tcPr>
          <w:p w14:paraId="21A59D2D" w14:textId="77777777" w:rsidR="004A766E" w:rsidRPr="004A766E" w:rsidRDefault="004A766E" w:rsidP="004A766E">
            <w:pPr>
              <w:keepLines/>
              <w:rPr>
                <w:rFonts w:ascii="Arial Narrow" w:hAnsi="Arial Narrow"/>
                <w:b/>
                <w:bCs/>
                <w:sz w:val="20"/>
                <w:szCs w:val="20"/>
              </w:rPr>
            </w:pPr>
            <w:r w:rsidRPr="004A766E">
              <w:rPr>
                <w:rFonts w:ascii="Arial Narrow" w:hAnsi="Arial Narrow"/>
                <w:b/>
                <w:bCs/>
                <w:sz w:val="20"/>
                <w:szCs w:val="20"/>
              </w:rPr>
              <w:t xml:space="preserve">Condition: </w:t>
            </w:r>
            <w:r w:rsidRPr="004A766E">
              <w:rPr>
                <w:rFonts w:ascii="Arial Narrow" w:eastAsia="Calibri" w:hAnsi="Arial Narrow"/>
                <w:sz w:val="20"/>
                <w:szCs w:val="20"/>
              </w:rPr>
              <w:t>Chronic kidney disease with Type 2 diabetes</w:t>
            </w:r>
          </w:p>
        </w:tc>
      </w:tr>
      <w:tr w:rsidR="004A766E" w:rsidRPr="004A766E" w14:paraId="4CC0C5ED" w14:textId="77777777" w:rsidTr="00751046">
        <w:tblPrEx>
          <w:tblCellMar>
            <w:top w:w="15" w:type="dxa"/>
            <w:bottom w:w="15" w:type="dxa"/>
          </w:tblCellMar>
        </w:tblPrEx>
        <w:trPr>
          <w:cantSplit/>
          <w:trHeight w:val="20"/>
        </w:trPr>
        <w:tc>
          <w:tcPr>
            <w:tcW w:w="1414" w:type="dxa"/>
            <w:gridSpan w:val="2"/>
            <w:vAlign w:val="center"/>
          </w:tcPr>
          <w:p w14:paraId="29666622" w14:textId="1836228A" w:rsidR="004A766E" w:rsidRPr="004A766E" w:rsidRDefault="004A766E" w:rsidP="004A766E">
            <w:pPr>
              <w:keepLines/>
              <w:jc w:val="center"/>
              <w:rPr>
                <w:rFonts w:ascii="Arial Narrow" w:hAnsi="Arial Narrow"/>
                <w:sz w:val="20"/>
                <w:szCs w:val="20"/>
              </w:rPr>
            </w:pPr>
          </w:p>
        </w:tc>
        <w:tc>
          <w:tcPr>
            <w:tcW w:w="7603" w:type="dxa"/>
            <w:gridSpan w:val="7"/>
            <w:vAlign w:val="center"/>
            <w:hideMark/>
          </w:tcPr>
          <w:p w14:paraId="5868EFB5" w14:textId="77777777" w:rsidR="004A766E" w:rsidRPr="004A766E" w:rsidRDefault="004A766E" w:rsidP="004A766E">
            <w:pPr>
              <w:keepLines/>
              <w:rPr>
                <w:rFonts w:ascii="Arial Narrow" w:hAnsi="Arial Narrow"/>
                <w:sz w:val="20"/>
                <w:szCs w:val="20"/>
              </w:rPr>
            </w:pPr>
            <w:r w:rsidRPr="004A766E">
              <w:rPr>
                <w:rFonts w:ascii="Arial Narrow" w:hAnsi="Arial Narrow"/>
                <w:b/>
                <w:bCs/>
                <w:sz w:val="20"/>
                <w:szCs w:val="20"/>
              </w:rPr>
              <w:t>Indication:</w:t>
            </w:r>
            <w:r w:rsidRPr="004A766E">
              <w:rPr>
                <w:rFonts w:ascii="Arial Narrow" w:hAnsi="Arial Narrow"/>
                <w:sz w:val="20"/>
                <w:szCs w:val="20"/>
              </w:rPr>
              <w:t xml:space="preserve"> </w:t>
            </w:r>
            <w:r w:rsidRPr="004A766E">
              <w:rPr>
                <w:rFonts w:ascii="Arial Narrow" w:eastAsia="Calibri" w:hAnsi="Arial Narrow"/>
                <w:sz w:val="20"/>
                <w:szCs w:val="20"/>
              </w:rPr>
              <w:t>Chronic kidney disease with Type 2 diabetes</w:t>
            </w:r>
          </w:p>
        </w:tc>
      </w:tr>
      <w:tr w:rsidR="004A766E" w:rsidRPr="004A766E" w14:paraId="11881887"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1A75E067" w14:textId="77777777" w:rsidR="004A766E" w:rsidRPr="004A766E" w:rsidRDefault="004A766E" w:rsidP="004A766E">
            <w:pPr>
              <w:keepLines/>
              <w:jc w:val="center"/>
              <w:rPr>
                <w:rFonts w:ascii="Arial Narrow" w:hAnsi="Arial Narrow"/>
                <w:sz w:val="20"/>
                <w:szCs w:val="20"/>
              </w:rPr>
            </w:pPr>
          </w:p>
        </w:tc>
        <w:tc>
          <w:tcPr>
            <w:tcW w:w="7603" w:type="dxa"/>
            <w:gridSpan w:val="7"/>
            <w:vAlign w:val="center"/>
          </w:tcPr>
          <w:p w14:paraId="372E97F3" w14:textId="77777777" w:rsidR="004A766E" w:rsidRPr="004A766E" w:rsidRDefault="004A766E" w:rsidP="004A766E">
            <w:pPr>
              <w:keepLines/>
              <w:rPr>
                <w:rFonts w:ascii="Arial Narrow" w:hAnsi="Arial Narrow"/>
                <w:b/>
                <w:bCs/>
                <w:i/>
                <w:iCs/>
                <w:sz w:val="20"/>
                <w:szCs w:val="20"/>
              </w:rPr>
            </w:pPr>
            <w:r w:rsidRPr="004A766E">
              <w:rPr>
                <w:rFonts w:ascii="Arial Narrow" w:hAnsi="Arial Narrow"/>
                <w:b/>
                <w:bCs/>
                <w:i/>
                <w:iCs/>
                <w:sz w:val="20"/>
                <w:szCs w:val="20"/>
              </w:rPr>
              <w:t>Clinical criteria:</w:t>
            </w:r>
          </w:p>
        </w:tc>
      </w:tr>
      <w:tr w:rsidR="004A766E" w:rsidRPr="004A766E" w14:paraId="71A3B557"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2D219EF4" w14:textId="6FD7C665" w:rsidR="004A766E" w:rsidRPr="004A766E" w:rsidRDefault="004A766E" w:rsidP="004A766E">
            <w:pPr>
              <w:keepLines/>
              <w:jc w:val="center"/>
              <w:rPr>
                <w:rFonts w:ascii="Arial Narrow" w:hAnsi="Arial Narrow"/>
                <w:sz w:val="20"/>
                <w:szCs w:val="20"/>
              </w:rPr>
            </w:pPr>
          </w:p>
        </w:tc>
        <w:tc>
          <w:tcPr>
            <w:tcW w:w="7603" w:type="dxa"/>
            <w:gridSpan w:val="7"/>
            <w:vAlign w:val="center"/>
          </w:tcPr>
          <w:p w14:paraId="7DDBBB0C" w14:textId="77777777" w:rsidR="004A766E" w:rsidRPr="004A766E" w:rsidRDefault="004A766E" w:rsidP="004A766E">
            <w:pPr>
              <w:keepLines/>
              <w:rPr>
                <w:rFonts w:ascii="Arial Narrow" w:hAnsi="Arial Narrow"/>
                <w:b/>
                <w:bCs/>
                <w:i/>
                <w:sz w:val="20"/>
                <w:szCs w:val="20"/>
              </w:rPr>
            </w:pPr>
            <w:r w:rsidRPr="004A766E">
              <w:rPr>
                <w:rFonts w:ascii="Arial Narrow" w:hAnsi="Arial Narrow"/>
                <w:i/>
                <w:sz w:val="20"/>
                <w:szCs w:val="20"/>
              </w:rPr>
              <w:t>Patient must have a diagnosis of chronic diabetic kidney disease, defined as abnormalities of kidney structure or function present for 3 months or more, prior to initiating treatment with this drug,</w:t>
            </w:r>
          </w:p>
        </w:tc>
      </w:tr>
      <w:tr w:rsidR="004A766E" w:rsidRPr="004A766E" w14:paraId="3EDD4474"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3070BFB8" w14:textId="77777777" w:rsidR="004A766E" w:rsidRPr="004A766E" w:rsidRDefault="004A766E" w:rsidP="004A766E">
            <w:pPr>
              <w:keepLines/>
              <w:jc w:val="center"/>
              <w:rPr>
                <w:rFonts w:ascii="Arial Narrow" w:hAnsi="Arial Narrow"/>
                <w:sz w:val="20"/>
                <w:szCs w:val="20"/>
              </w:rPr>
            </w:pPr>
          </w:p>
        </w:tc>
        <w:tc>
          <w:tcPr>
            <w:tcW w:w="7603" w:type="dxa"/>
            <w:gridSpan w:val="7"/>
            <w:vAlign w:val="center"/>
          </w:tcPr>
          <w:p w14:paraId="7077CC15" w14:textId="77777777" w:rsidR="004A766E" w:rsidRPr="004A766E" w:rsidRDefault="004A766E" w:rsidP="004A766E">
            <w:pPr>
              <w:keepLines/>
              <w:rPr>
                <w:rFonts w:ascii="Arial Narrow" w:hAnsi="Arial Narrow"/>
                <w:i/>
                <w:iCs/>
                <w:sz w:val="20"/>
                <w:szCs w:val="20"/>
              </w:rPr>
            </w:pPr>
            <w:r w:rsidRPr="004A766E">
              <w:rPr>
                <w:rFonts w:ascii="Arial Narrow" w:hAnsi="Arial Narrow"/>
                <w:b/>
                <w:bCs/>
                <w:i/>
                <w:iCs/>
                <w:sz w:val="20"/>
                <w:szCs w:val="20"/>
              </w:rPr>
              <w:t>AND</w:t>
            </w:r>
          </w:p>
        </w:tc>
      </w:tr>
      <w:tr w:rsidR="004A766E" w:rsidRPr="004A766E" w14:paraId="7A78B7A3"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4997F5AD" w14:textId="43E30EB9" w:rsidR="004A766E" w:rsidRPr="004A766E" w:rsidRDefault="004A766E" w:rsidP="004A766E">
            <w:pPr>
              <w:keepLines/>
              <w:jc w:val="center"/>
              <w:rPr>
                <w:rFonts w:ascii="Arial Narrow" w:hAnsi="Arial Narrow"/>
                <w:sz w:val="20"/>
                <w:szCs w:val="20"/>
              </w:rPr>
            </w:pPr>
          </w:p>
        </w:tc>
        <w:tc>
          <w:tcPr>
            <w:tcW w:w="7603" w:type="dxa"/>
            <w:gridSpan w:val="7"/>
            <w:vAlign w:val="center"/>
          </w:tcPr>
          <w:p w14:paraId="65B8B806" w14:textId="77777777" w:rsidR="004A766E" w:rsidRPr="004A766E" w:rsidRDefault="004A766E" w:rsidP="004A766E">
            <w:pPr>
              <w:keepLines/>
              <w:rPr>
                <w:rFonts w:ascii="Arial Narrow" w:hAnsi="Arial Narrow"/>
                <w:i/>
                <w:iCs/>
                <w:sz w:val="20"/>
                <w:szCs w:val="20"/>
              </w:rPr>
            </w:pPr>
            <w:r w:rsidRPr="004A766E">
              <w:rPr>
                <w:rFonts w:ascii="Arial Narrow" w:hAnsi="Arial Narrow"/>
                <w:b/>
                <w:bCs/>
                <w:i/>
                <w:iCs/>
                <w:sz w:val="20"/>
                <w:szCs w:val="20"/>
              </w:rPr>
              <w:t>Clinical criteria:</w:t>
            </w:r>
          </w:p>
        </w:tc>
      </w:tr>
      <w:tr w:rsidR="004A766E" w:rsidRPr="004A766E" w14:paraId="69375143"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0429D2EB" w14:textId="77777777" w:rsidR="004A766E" w:rsidRPr="004A766E" w:rsidRDefault="004A766E" w:rsidP="004A766E">
            <w:pPr>
              <w:keepLines/>
              <w:jc w:val="center"/>
              <w:rPr>
                <w:rFonts w:ascii="Arial Narrow" w:hAnsi="Arial Narrow"/>
                <w:sz w:val="20"/>
                <w:szCs w:val="20"/>
              </w:rPr>
            </w:pPr>
          </w:p>
        </w:tc>
        <w:tc>
          <w:tcPr>
            <w:tcW w:w="7603" w:type="dxa"/>
            <w:gridSpan w:val="7"/>
            <w:vAlign w:val="center"/>
          </w:tcPr>
          <w:p w14:paraId="538D27A9" w14:textId="77777777" w:rsidR="004A766E" w:rsidRPr="004A766E" w:rsidRDefault="004A766E" w:rsidP="004A766E">
            <w:pPr>
              <w:keepLines/>
              <w:rPr>
                <w:rFonts w:ascii="Arial Narrow" w:hAnsi="Arial Narrow"/>
                <w:i/>
                <w:sz w:val="20"/>
                <w:szCs w:val="20"/>
              </w:rPr>
            </w:pPr>
            <w:r w:rsidRPr="004A766E">
              <w:rPr>
                <w:rFonts w:ascii="Arial Narrow" w:hAnsi="Arial Narrow"/>
                <w:i/>
                <w:iCs/>
                <w:sz w:val="20"/>
                <w:szCs w:val="20"/>
              </w:rPr>
              <w:t>Patient must not have known significant non-diabetic renal disease, prior to initiating treatment with this drug.</w:t>
            </w:r>
          </w:p>
        </w:tc>
      </w:tr>
      <w:tr w:rsidR="004A766E" w:rsidRPr="004A766E" w14:paraId="77EBB1E9"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0A357380" w14:textId="77777777" w:rsidR="004A766E" w:rsidRPr="004A766E" w:rsidRDefault="004A766E" w:rsidP="004A766E">
            <w:pPr>
              <w:keepLines/>
              <w:jc w:val="center"/>
              <w:rPr>
                <w:rFonts w:ascii="Arial Narrow" w:hAnsi="Arial Narrow"/>
                <w:sz w:val="20"/>
                <w:szCs w:val="20"/>
              </w:rPr>
            </w:pPr>
          </w:p>
        </w:tc>
        <w:tc>
          <w:tcPr>
            <w:tcW w:w="7603" w:type="dxa"/>
            <w:gridSpan w:val="7"/>
            <w:vAlign w:val="center"/>
          </w:tcPr>
          <w:p w14:paraId="3F9CA827" w14:textId="77777777" w:rsidR="004A766E" w:rsidRPr="004A766E" w:rsidRDefault="004A766E" w:rsidP="004A766E">
            <w:pPr>
              <w:keepLines/>
              <w:rPr>
                <w:rFonts w:ascii="Arial Narrow" w:hAnsi="Arial Narrow"/>
                <w:b/>
                <w:bCs/>
                <w:i/>
                <w:iCs/>
                <w:sz w:val="20"/>
                <w:szCs w:val="20"/>
              </w:rPr>
            </w:pPr>
            <w:r w:rsidRPr="004A766E">
              <w:rPr>
                <w:rFonts w:ascii="Arial Narrow" w:hAnsi="Arial Narrow"/>
                <w:b/>
                <w:bCs/>
                <w:i/>
                <w:iCs/>
                <w:sz w:val="20"/>
                <w:szCs w:val="20"/>
              </w:rPr>
              <w:t>AND</w:t>
            </w:r>
          </w:p>
        </w:tc>
      </w:tr>
      <w:tr w:rsidR="004A766E" w:rsidRPr="004A766E" w14:paraId="55E6FDD3"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28153E5E" w14:textId="78B896C3" w:rsidR="004A766E" w:rsidRPr="004A766E" w:rsidRDefault="004A766E" w:rsidP="004A766E">
            <w:pPr>
              <w:jc w:val="center"/>
              <w:rPr>
                <w:rFonts w:ascii="Arial Narrow" w:hAnsi="Arial Narrow"/>
                <w:sz w:val="20"/>
                <w:szCs w:val="20"/>
              </w:rPr>
            </w:pPr>
          </w:p>
        </w:tc>
        <w:tc>
          <w:tcPr>
            <w:tcW w:w="7603" w:type="dxa"/>
            <w:gridSpan w:val="7"/>
            <w:vAlign w:val="center"/>
          </w:tcPr>
          <w:p w14:paraId="52066667" w14:textId="77777777" w:rsidR="004A766E" w:rsidRPr="004A766E" w:rsidRDefault="004A766E" w:rsidP="004A766E">
            <w:pPr>
              <w:pStyle w:val="PBACTabletext"/>
              <w:rPr>
                <w:strike/>
              </w:rPr>
            </w:pPr>
            <w:r w:rsidRPr="004A766E">
              <w:rPr>
                <w:strike/>
              </w:rPr>
              <w:t>Patient must meet the following urinary albumin-to-creatinine ratio and estimated GFR eligibility criteria to substantiate the diagnosis of kidney disease, prior to initiating treatment with this drug:</w:t>
            </w:r>
          </w:p>
          <w:p w14:paraId="5A93577B" w14:textId="77777777" w:rsidR="004A766E" w:rsidRPr="004A766E" w:rsidRDefault="004A766E" w:rsidP="004A766E">
            <w:pPr>
              <w:pStyle w:val="PBACTabletext"/>
              <w:numPr>
                <w:ilvl w:val="0"/>
                <w:numId w:val="10"/>
              </w:numPr>
              <w:rPr>
                <w:strike/>
              </w:rPr>
            </w:pPr>
            <w:r w:rsidRPr="004A766E">
              <w:rPr>
                <w:strike/>
              </w:rPr>
              <w:t>UACR of 30-299 mg/g (3.39-33.9 mg/mmol) and eGFR of 25-90 mL/min/1.71 m</w:t>
            </w:r>
            <w:r w:rsidRPr="004A766E">
              <w:rPr>
                <w:strike/>
                <w:vertAlign w:val="superscript"/>
              </w:rPr>
              <w:t>2</w:t>
            </w:r>
            <w:r w:rsidRPr="004A766E">
              <w:rPr>
                <w:strike/>
              </w:rPr>
              <w:t xml:space="preserve"> or</w:t>
            </w:r>
          </w:p>
          <w:p w14:paraId="618FF042" w14:textId="77777777" w:rsidR="004A766E" w:rsidRPr="004A766E" w:rsidRDefault="004A766E" w:rsidP="004A766E">
            <w:pPr>
              <w:pStyle w:val="PBACTabletext"/>
              <w:numPr>
                <w:ilvl w:val="0"/>
                <w:numId w:val="10"/>
              </w:numPr>
              <w:rPr>
                <w:strike/>
              </w:rPr>
            </w:pPr>
            <w:r w:rsidRPr="004A766E">
              <w:rPr>
                <w:strike/>
              </w:rPr>
              <w:t>UACR of ≥300 mg/g (33.9 mg/mmol) and eGFR of ≥25 mL/min/1.71 m</w:t>
            </w:r>
            <w:r w:rsidRPr="004A766E">
              <w:rPr>
                <w:strike/>
                <w:vertAlign w:val="superscript"/>
              </w:rPr>
              <w:t>2</w:t>
            </w:r>
          </w:p>
          <w:p w14:paraId="6A01075D" w14:textId="77777777" w:rsidR="004A766E" w:rsidRPr="004A766E" w:rsidRDefault="004A766E" w:rsidP="004A766E">
            <w:pPr>
              <w:pStyle w:val="PBACTabletext"/>
              <w:rPr>
                <w:i/>
                <w:iCs/>
              </w:rPr>
            </w:pPr>
            <w:r w:rsidRPr="004A766E">
              <w:rPr>
                <w:i/>
                <w:iCs/>
              </w:rPr>
              <w:t>Patient must have (</w:t>
            </w:r>
            <w:proofErr w:type="spellStart"/>
            <w:r w:rsidRPr="004A766E">
              <w:rPr>
                <w:i/>
                <w:iCs/>
              </w:rPr>
              <w:t>i</w:t>
            </w:r>
            <w:proofErr w:type="spellEnd"/>
            <w:r w:rsidRPr="004A766E">
              <w:rPr>
                <w:i/>
                <w:iCs/>
              </w:rPr>
              <w:t>) an estimated glomerular filtration rate of between 25 and 90 mL/min/1.73 m</w:t>
            </w:r>
            <w:r w:rsidRPr="004A766E">
              <w:rPr>
                <w:i/>
                <w:iCs/>
                <w:vertAlign w:val="superscript"/>
              </w:rPr>
              <w:t xml:space="preserve">2 </w:t>
            </w:r>
            <w:r w:rsidRPr="004A766E">
              <w:rPr>
                <w:i/>
                <w:iCs/>
              </w:rPr>
              <w:t>inclusive, and (ii) a urinary albumin-to-creatinine ratio</w:t>
            </w:r>
            <w:r w:rsidRPr="004A766E">
              <w:rPr>
                <w:i/>
                <w:iCs/>
                <w:vertAlign w:val="superscript"/>
              </w:rPr>
              <w:t xml:space="preserve"> </w:t>
            </w:r>
            <w:r w:rsidRPr="004A766E">
              <w:rPr>
                <w:i/>
                <w:iCs/>
              </w:rPr>
              <w:t>of 30 mg/g (3.39 mg/mmol) or greater, prior to initiating treatment with this drug,</w:t>
            </w:r>
          </w:p>
          <w:p w14:paraId="4484707F" w14:textId="77777777" w:rsidR="004A766E" w:rsidRPr="004A766E" w:rsidRDefault="004A766E" w:rsidP="004A766E">
            <w:pPr>
              <w:pStyle w:val="PBACTabletext"/>
              <w:rPr>
                <w:i/>
                <w:iCs/>
              </w:rPr>
            </w:pPr>
            <w:r w:rsidRPr="004A766E">
              <w:rPr>
                <w:i/>
                <w:iCs/>
              </w:rPr>
              <w:t>OR</w:t>
            </w:r>
          </w:p>
          <w:p w14:paraId="27DC9FB0" w14:textId="77777777" w:rsidR="004A766E" w:rsidRPr="004A766E" w:rsidRDefault="004A766E" w:rsidP="004A766E">
            <w:pPr>
              <w:pStyle w:val="PBACTabletext"/>
              <w:rPr>
                <w:i/>
                <w:iCs/>
              </w:rPr>
            </w:pPr>
            <w:r w:rsidRPr="004A766E">
              <w:rPr>
                <w:i/>
                <w:iCs/>
              </w:rPr>
              <w:t>Patient must have (</w:t>
            </w:r>
            <w:proofErr w:type="spellStart"/>
            <w:r w:rsidRPr="004A766E">
              <w:rPr>
                <w:i/>
                <w:iCs/>
              </w:rPr>
              <w:t>i</w:t>
            </w:r>
            <w:proofErr w:type="spellEnd"/>
            <w:r w:rsidRPr="004A766E">
              <w:rPr>
                <w:i/>
                <w:iCs/>
              </w:rPr>
              <w:t>) an estimated glomerular filtration rate of 90 mL/min/1.73 m</w:t>
            </w:r>
            <w:r w:rsidRPr="004A766E">
              <w:rPr>
                <w:i/>
                <w:iCs/>
                <w:vertAlign w:val="superscript"/>
              </w:rPr>
              <w:t xml:space="preserve">2 </w:t>
            </w:r>
            <w:r w:rsidRPr="004A766E">
              <w:rPr>
                <w:i/>
                <w:iCs/>
              </w:rPr>
              <w:t>or greater, and (ii) a urinary albumin-to-creatinine ratio</w:t>
            </w:r>
            <w:r w:rsidRPr="004A766E">
              <w:rPr>
                <w:i/>
                <w:iCs/>
                <w:vertAlign w:val="superscript"/>
              </w:rPr>
              <w:t xml:space="preserve"> </w:t>
            </w:r>
            <w:r w:rsidRPr="004A766E">
              <w:rPr>
                <w:i/>
                <w:iCs/>
              </w:rPr>
              <w:t>of 300 mg/g (33.9 mg/mmol) or greater, prior to initiating treatment with this drug,</w:t>
            </w:r>
          </w:p>
        </w:tc>
      </w:tr>
      <w:tr w:rsidR="004A766E" w:rsidRPr="004A766E" w14:paraId="535D0653" w14:textId="77777777" w:rsidTr="00751046">
        <w:tblPrEx>
          <w:tblCellMar>
            <w:top w:w="15" w:type="dxa"/>
            <w:bottom w:w="15" w:type="dxa"/>
          </w:tblCellMar>
        </w:tblPrEx>
        <w:trPr>
          <w:cantSplit/>
          <w:trHeight w:val="20"/>
        </w:trPr>
        <w:tc>
          <w:tcPr>
            <w:tcW w:w="1414" w:type="dxa"/>
            <w:gridSpan w:val="2"/>
            <w:vAlign w:val="center"/>
          </w:tcPr>
          <w:p w14:paraId="19A46E28" w14:textId="77777777" w:rsidR="004A766E" w:rsidRPr="004A766E" w:rsidRDefault="004A766E" w:rsidP="004A766E">
            <w:pPr>
              <w:jc w:val="center"/>
              <w:rPr>
                <w:rFonts w:ascii="Arial Narrow" w:hAnsi="Arial Narrow"/>
                <w:strike/>
                <w:sz w:val="20"/>
                <w:szCs w:val="20"/>
              </w:rPr>
            </w:pPr>
          </w:p>
        </w:tc>
        <w:tc>
          <w:tcPr>
            <w:tcW w:w="7603" w:type="dxa"/>
            <w:gridSpan w:val="7"/>
            <w:vAlign w:val="center"/>
            <w:hideMark/>
          </w:tcPr>
          <w:p w14:paraId="5422BA97" w14:textId="77777777" w:rsidR="004A766E" w:rsidRPr="004A766E" w:rsidRDefault="004A766E" w:rsidP="004A766E">
            <w:pPr>
              <w:rPr>
                <w:rFonts w:ascii="Arial Narrow" w:hAnsi="Arial Narrow"/>
                <w:strike/>
                <w:sz w:val="20"/>
                <w:szCs w:val="20"/>
              </w:rPr>
            </w:pPr>
            <w:r w:rsidRPr="004A766E">
              <w:rPr>
                <w:rFonts w:ascii="Arial Narrow" w:hAnsi="Arial Narrow"/>
                <w:b/>
                <w:bCs/>
                <w:strike/>
                <w:sz w:val="20"/>
                <w:szCs w:val="20"/>
              </w:rPr>
              <w:t>AND</w:t>
            </w:r>
          </w:p>
        </w:tc>
      </w:tr>
      <w:tr w:rsidR="004A766E" w:rsidRPr="004A766E" w14:paraId="5F48E9D7"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32C88554" w14:textId="77777777" w:rsidR="004A766E" w:rsidRPr="004A766E" w:rsidRDefault="004A766E" w:rsidP="004A766E">
            <w:pPr>
              <w:jc w:val="center"/>
              <w:rPr>
                <w:rFonts w:ascii="Arial Narrow" w:hAnsi="Arial Narrow"/>
                <w:strike/>
                <w:sz w:val="20"/>
                <w:szCs w:val="20"/>
              </w:rPr>
            </w:pPr>
          </w:p>
        </w:tc>
        <w:tc>
          <w:tcPr>
            <w:tcW w:w="7603" w:type="dxa"/>
            <w:gridSpan w:val="7"/>
            <w:vAlign w:val="center"/>
            <w:hideMark/>
          </w:tcPr>
          <w:p w14:paraId="51AFC5ED" w14:textId="77777777" w:rsidR="004A766E" w:rsidRPr="004A766E" w:rsidRDefault="004A766E" w:rsidP="004A766E">
            <w:pPr>
              <w:rPr>
                <w:rFonts w:ascii="Arial Narrow" w:hAnsi="Arial Narrow"/>
                <w:strike/>
                <w:sz w:val="20"/>
                <w:szCs w:val="20"/>
              </w:rPr>
            </w:pPr>
            <w:r w:rsidRPr="004A766E">
              <w:rPr>
                <w:rFonts w:ascii="Arial Narrow" w:hAnsi="Arial Narrow"/>
                <w:b/>
                <w:bCs/>
                <w:strike/>
                <w:sz w:val="20"/>
                <w:szCs w:val="20"/>
              </w:rPr>
              <w:t>Clinical criteria:</w:t>
            </w:r>
          </w:p>
        </w:tc>
      </w:tr>
      <w:tr w:rsidR="004A766E" w:rsidRPr="004A766E" w14:paraId="7CD0187F"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0B3FC7A8" w14:textId="77777777" w:rsidR="004A766E" w:rsidRPr="004A766E" w:rsidRDefault="004A766E" w:rsidP="004A766E">
            <w:pPr>
              <w:jc w:val="center"/>
              <w:rPr>
                <w:rFonts w:ascii="Arial Narrow" w:hAnsi="Arial Narrow"/>
                <w:strike/>
                <w:sz w:val="20"/>
                <w:szCs w:val="20"/>
              </w:rPr>
            </w:pPr>
          </w:p>
        </w:tc>
        <w:tc>
          <w:tcPr>
            <w:tcW w:w="7603" w:type="dxa"/>
            <w:gridSpan w:val="7"/>
            <w:vAlign w:val="center"/>
            <w:hideMark/>
          </w:tcPr>
          <w:p w14:paraId="28DB36BF" w14:textId="77777777" w:rsidR="004A766E" w:rsidRPr="004A766E" w:rsidRDefault="004A766E" w:rsidP="004A766E">
            <w:pPr>
              <w:pStyle w:val="PBACTabletext"/>
              <w:rPr>
                <w:strike/>
                <w:szCs w:val="20"/>
                <w:lang w:eastAsia="en-AU"/>
              </w:rPr>
            </w:pPr>
            <w:r w:rsidRPr="004A766E">
              <w:rPr>
                <w:strike/>
                <w:szCs w:val="20"/>
              </w:rPr>
              <w:t>Diagnosed Type 2 diabetes mellitus</w:t>
            </w:r>
          </w:p>
        </w:tc>
      </w:tr>
      <w:tr w:rsidR="004A766E" w:rsidRPr="004A766E" w14:paraId="6D45330C"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5648BB8B" w14:textId="77777777" w:rsidR="004A766E" w:rsidRPr="004A766E" w:rsidRDefault="004A766E" w:rsidP="004A766E">
            <w:pPr>
              <w:jc w:val="center"/>
              <w:rPr>
                <w:rFonts w:ascii="Arial Narrow" w:hAnsi="Arial Narrow"/>
                <w:sz w:val="20"/>
                <w:szCs w:val="20"/>
              </w:rPr>
            </w:pPr>
          </w:p>
        </w:tc>
        <w:tc>
          <w:tcPr>
            <w:tcW w:w="7603" w:type="dxa"/>
            <w:gridSpan w:val="7"/>
            <w:vAlign w:val="center"/>
            <w:hideMark/>
          </w:tcPr>
          <w:p w14:paraId="3F4FA3A1" w14:textId="77777777" w:rsidR="004A766E" w:rsidRPr="004A766E" w:rsidRDefault="004A766E" w:rsidP="004A766E">
            <w:pPr>
              <w:rPr>
                <w:rFonts w:ascii="Arial Narrow" w:hAnsi="Arial Narrow"/>
                <w:sz w:val="20"/>
                <w:szCs w:val="20"/>
              </w:rPr>
            </w:pPr>
            <w:r w:rsidRPr="004A766E">
              <w:rPr>
                <w:rFonts w:ascii="Arial Narrow" w:hAnsi="Arial Narrow"/>
                <w:b/>
                <w:bCs/>
                <w:sz w:val="20"/>
                <w:szCs w:val="20"/>
              </w:rPr>
              <w:t>AND</w:t>
            </w:r>
          </w:p>
        </w:tc>
      </w:tr>
      <w:tr w:rsidR="004A766E" w:rsidRPr="004A766E" w14:paraId="6B2AE6C6"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12C45237" w14:textId="77777777" w:rsidR="004A766E" w:rsidRPr="004A766E" w:rsidRDefault="004A766E" w:rsidP="004A766E">
            <w:pPr>
              <w:jc w:val="center"/>
              <w:rPr>
                <w:rFonts w:ascii="Arial Narrow" w:hAnsi="Arial Narrow"/>
                <w:sz w:val="20"/>
                <w:szCs w:val="20"/>
              </w:rPr>
            </w:pPr>
          </w:p>
        </w:tc>
        <w:tc>
          <w:tcPr>
            <w:tcW w:w="7603" w:type="dxa"/>
            <w:gridSpan w:val="7"/>
            <w:vAlign w:val="center"/>
            <w:hideMark/>
          </w:tcPr>
          <w:p w14:paraId="1092CF64" w14:textId="77777777" w:rsidR="004A766E" w:rsidRPr="004A766E" w:rsidRDefault="004A766E" w:rsidP="004A766E">
            <w:pPr>
              <w:rPr>
                <w:rFonts w:ascii="Arial Narrow" w:hAnsi="Arial Narrow"/>
                <w:sz w:val="20"/>
                <w:szCs w:val="20"/>
              </w:rPr>
            </w:pPr>
            <w:r w:rsidRPr="004A766E">
              <w:rPr>
                <w:rFonts w:ascii="Arial Narrow" w:hAnsi="Arial Narrow"/>
                <w:b/>
                <w:bCs/>
                <w:sz w:val="20"/>
                <w:szCs w:val="20"/>
              </w:rPr>
              <w:t>Clinical criteria:</w:t>
            </w:r>
          </w:p>
        </w:tc>
      </w:tr>
      <w:tr w:rsidR="004A766E" w:rsidRPr="004A766E" w14:paraId="3DEB5B53"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67E423A7" w14:textId="5C7CA296" w:rsidR="004A766E" w:rsidRPr="004A766E" w:rsidRDefault="004A766E" w:rsidP="004A766E">
            <w:pPr>
              <w:jc w:val="center"/>
              <w:rPr>
                <w:rFonts w:ascii="Arial Narrow" w:hAnsi="Arial Narrow"/>
                <w:sz w:val="20"/>
                <w:szCs w:val="20"/>
              </w:rPr>
            </w:pPr>
          </w:p>
        </w:tc>
        <w:tc>
          <w:tcPr>
            <w:tcW w:w="7603" w:type="dxa"/>
            <w:gridSpan w:val="7"/>
            <w:vAlign w:val="center"/>
            <w:hideMark/>
          </w:tcPr>
          <w:p w14:paraId="3638A2E6" w14:textId="77777777" w:rsidR="004A766E" w:rsidRPr="004A766E" w:rsidRDefault="004A766E" w:rsidP="004A766E">
            <w:pPr>
              <w:pStyle w:val="PBACTabletext"/>
              <w:rPr>
                <w:strike/>
                <w:szCs w:val="20"/>
              </w:rPr>
            </w:pPr>
            <w:r w:rsidRPr="004A766E">
              <w:rPr>
                <w:strike/>
                <w:szCs w:val="20"/>
              </w:rPr>
              <w:t>Patient must not progress to renal replacement therapy, defined as dialysis or transplant while on this drug.</w:t>
            </w:r>
          </w:p>
          <w:p w14:paraId="35CE143E" w14:textId="77777777" w:rsidR="004A766E" w:rsidRPr="004A766E" w:rsidRDefault="004A766E" w:rsidP="004A766E">
            <w:pPr>
              <w:pStyle w:val="PBACTabletext"/>
              <w:rPr>
                <w:szCs w:val="20"/>
                <w:lang w:eastAsia="en-AU"/>
              </w:rPr>
            </w:pPr>
            <w:r w:rsidRPr="004A766E">
              <w:rPr>
                <w:i/>
                <w:iCs/>
                <w:szCs w:val="20"/>
                <w:lang w:eastAsia="en-AU"/>
              </w:rPr>
              <w:t>Patient must discontinue treatment with this drug prior to initiating renal replacement therapy, defined as dialysis or kidney transplant,</w:t>
            </w:r>
          </w:p>
        </w:tc>
      </w:tr>
      <w:tr w:rsidR="004A766E" w:rsidRPr="004A766E" w14:paraId="18176A23"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091B5FF7" w14:textId="77777777" w:rsidR="004A766E" w:rsidRPr="004A766E" w:rsidRDefault="004A766E" w:rsidP="004A766E">
            <w:pPr>
              <w:jc w:val="center"/>
              <w:rPr>
                <w:rFonts w:ascii="Arial Narrow" w:hAnsi="Arial Narrow"/>
                <w:sz w:val="20"/>
                <w:szCs w:val="20"/>
              </w:rPr>
            </w:pPr>
          </w:p>
        </w:tc>
        <w:tc>
          <w:tcPr>
            <w:tcW w:w="7603" w:type="dxa"/>
            <w:gridSpan w:val="7"/>
            <w:vAlign w:val="center"/>
          </w:tcPr>
          <w:p w14:paraId="7A3D2DEA" w14:textId="77777777" w:rsidR="004A766E" w:rsidRPr="004A766E" w:rsidRDefault="004A766E" w:rsidP="004A766E">
            <w:pPr>
              <w:pStyle w:val="PBACTabletext"/>
              <w:rPr>
                <w:szCs w:val="20"/>
              </w:rPr>
            </w:pPr>
            <w:r w:rsidRPr="004A766E">
              <w:rPr>
                <w:b/>
                <w:bCs/>
                <w:szCs w:val="20"/>
                <w:lang w:eastAsia="en-AU"/>
              </w:rPr>
              <w:t>AND</w:t>
            </w:r>
          </w:p>
        </w:tc>
      </w:tr>
      <w:tr w:rsidR="004A766E" w:rsidRPr="004A766E" w14:paraId="055F023D"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554F8B91" w14:textId="77777777" w:rsidR="004A766E" w:rsidRPr="004A766E" w:rsidRDefault="004A766E" w:rsidP="004A766E">
            <w:pPr>
              <w:jc w:val="center"/>
              <w:rPr>
                <w:rFonts w:ascii="Arial Narrow" w:hAnsi="Arial Narrow"/>
                <w:sz w:val="20"/>
                <w:szCs w:val="20"/>
              </w:rPr>
            </w:pPr>
          </w:p>
        </w:tc>
        <w:tc>
          <w:tcPr>
            <w:tcW w:w="7603" w:type="dxa"/>
            <w:gridSpan w:val="7"/>
            <w:vAlign w:val="center"/>
          </w:tcPr>
          <w:p w14:paraId="67AA251F" w14:textId="77777777" w:rsidR="004A766E" w:rsidRPr="004A766E" w:rsidRDefault="004A766E" w:rsidP="004A766E">
            <w:pPr>
              <w:pStyle w:val="PBACTabletext"/>
              <w:rPr>
                <w:szCs w:val="20"/>
              </w:rPr>
            </w:pPr>
            <w:r w:rsidRPr="004A766E">
              <w:rPr>
                <w:b/>
                <w:bCs/>
                <w:szCs w:val="20"/>
                <w:lang w:eastAsia="en-AU"/>
              </w:rPr>
              <w:t>Clinical criteria:</w:t>
            </w:r>
          </w:p>
        </w:tc>
      </w:tr>
      <w:tr w:rsidR="004A766E" w:rsidRPr="004A766E" w14:paraId="4AEA946F"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28E587D2" w14:textId="34763620" w:rsidR="004A766E" w:rsidRPr="004A766E" w:rsidRDefault="004A766E" w:rsidP="004A766E">
            <w:pPr>
              <w:jc w:val="center"/>
              <w:rPr>
                <w:rFonts w:ascii="Arial Narrow" w:hAnsi="Arial Narrow"/>
                <w:sz w:val="20"/>
                <w:szCs w:val="20"/>
              </w:rPr>
            </w:pPr>
          </w:p>
        </w:tc>
        <w:tc>
          <w:tcPr>
            <w:tcW w:w="7603" w:type="dxa"/>
            <w:gridSpan w:val="7"/>
            <w:vAlign w:val="center"/>
          </w:tcPr>
          <w:p w14:paraId="08985CD5" w14:textId="77777777" w:rsidR="004A766E" w:rsidRPr="004A766E" w:rsidRDefault="004A766E" w:rsidP="004A766E">
            <w:pPr>
              <w:pStyle w:val="PBACTabletext"/>
              <w:rPr>
                <w:strike/>
                <w:szCs w:val="20"/>
              </w:rPr>
            </w:pPr>
            <w:r w:rsidRPr="004A766E">
              <w:rPr>
                <w:strike/>
                <w:szCs w:val="20"/>
              </w:rPr>
              <w:t xml:space="preserve">Patient must receive treatment in combination with the maximum tolerated dose of an ACE </w:t>
            </w:r>
            <w:proofErr w:type="gramStart"/>
            <w:r w:rsidRPr="004A766E">
              <w:rPr>
                <w:strike/>
                <w:szCs w:val="20"/>
              </w:rPr>
              <w:t>inhibitor;</w:t>
            </w:r>
            <w:proofErr w:type="gramEnd"/>
            <w:r w:rsidRPr="004A766E">
              <w:rPr>
                <w:strike/>
                <w:szCs w:val="20"/>
              </w:rPr>
              <w:t xml:space="preserve"> OR</w:t>
            </w:r>
          </w:p>
          <w:p w14:paraId="582E0D2D" w14:textId="77777777" w:rsidR="004A766E" w:rsidRPr="004A766E" w:rsidRDefault="004A766E" w:rsidP="004A766E">
            <w:pPr>
              <w:pStyle w:val="PBACTabletext"/>
              <w:rPr>
                <w:strike/>
                <w:szCs w:val="20"/>
              </w:rPr>
            </w:pPr>
            <w:r w:rsidRPr="004A766E">
              <w:rPr>
                <w:strike/>
                <w:szCs w:val="20"/>
              </w:rPr>
              <w:t>Patient must receive treatment in combination with the maximum tolerated dose of an angiotensin II antagonist, unless medically contraindicated</w:t>
            </w:r>
          </w:p>
          <w:p w14:paraId="79BC6138" w14:textId="77777777" w:rsidR="004A766E" w:rsidRPr="004A766E" w:rsidRDefault="004A766E" w:rsidP="004A766E">
            <w:pPr>
              <w:pStyle w:val="PBACTabletext"/>
              <w:rPr>
                <w:i/>
                <w:iCs/>
                <w:szCs w:val="20"/>
              </w:rPr>
            </w:pPr>
            <w:r w:rsidRPr="004A766E">
              <w:rPr>
                <w:i/>
                <w:iCs/>
                <w:szCs w:val="20"/>
              </w:rPr>
              <w:t>The treatment must be in combination with the maximum tolerated dose of one of the following, unless medically contraindicated: (</w:t>
            </w:r>
            <w:proofErr w:type="spellStart"/>
            <w:r w:rsidRPr="004A766E">
              <w:rPr>
                <w:i/>
                <w:iCs/>
                <w:szCs w:val="20"/>
              </w:rPr>
              <w:t>i</w:t>
            </w:r>
            <w:proofErr w:type="spellEnd"/>
            <w:r w:rsidRPr="004A766E">
              <w:rPr>
                <w:i/>
                <w:iCs/>
                <w:szCs w:val="20"/>
              </w:rPr>
              <w:t>) an ACE inhibitor or (ii) an angiotensin II antagonist.</w:t>
            </w:r>
          </w:p>
        </w:tc>
      </w:tr>
      <w:tr w:rsidR="004A766E" w:rsidRPr="004A766E" w14:paraId="1030EFDB"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244D402A" w14:textId="77777777" w:rsidR="004A766E" w:rsidRPr="004A766E" w:rsidRDefault="004A766E" w:rsidP="004A766E">
            <w:pPr>
              <w:jc w:val="center"/>
              <w:rPr>
                <w:rFonts w:ascii="Arial Narrow" w:hAnsi="Arial Narrow"/>
                <w:sz w:val="20"/>
                <w:szCs w:val="20"/>
              </w:rPr>
            </w:pPr>
          </w:p>
        </w:tc>
        <w:tc>
          <w:tcPr>
            <w:tcW w:w="7603" w:type="dxa"/>
            <w:gridSpan w:val="7"/>
            <w:vAlign w:val="center"/>
          </w:tcPr>
          <w:p w14:paraId="42A35CEE" w14:textId="77777777" w:rsidR="004A766E" w:rsidRPr="004A766E" w:rsidRDefault="004A766E" w:rsidP="004A766E">
            <w:pPr>
              <w:pStyle w:val="PBACTabletext"/>
              <w:rPr>
                <w:i/>
                <w:iCs/>
                <w:strike/>
                <w:szCs w:val="20"/>
              </w:rPr>
            </w:pPr>
            <w:r w:rsidRPr="004A766E">
              <w:rPr>
                <w:b/>
                <w:bCs/>
                <w:i/>
                <w:iCs/>
                <w:szCs w:val="20"/>
                <w:lang w:eastAsia="en-AU"/>
              </w:rPr>
              <w:t>AND</w:t>
            </w:r>
          </w:p>
        </w:tc>
      </w:tr>
      <w:tr w:rsidR="004A766E" w:rsidRPr="004A766E" w14:paraId="7A8B33E2"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406E4C6C" w14:textId="77777777" w:rsidR="004A766E" w:rsidRPr="004A766E" w:rsidRDefault="004A766E" w:rsidP="004A766E">
            <w:pPr>
              <w:jc w:val="center"/>
              <w:rPr>
                <w:rFonts w:ascii="Arial Narrow" w:hAnsi="Arial Narrow"/>
                <w:sz w:val="20"/>
                <w:szCs w:val="20"/>
              </w:rPr>
            </w:pPr>
          </w:p>
        </w:tc>
        <w:tc>
          <w:tcPr>
            <w:tcW w:w="7603" w:type="dxa"/>
            <w:gridSpan w:val="7"/>
            <w:vAlign w:val="center"/>
          </w:tcPr>
          <w:p w14:paraId="627696FC" w14:textId="77777777" w:rsidR="004A766E" w:rsidRPr="004A766E" w:rsidRDefault="004A766E" w:rsidP="004A766E">
            <w:pPr>
              <w:pStyle w:val="PBACTabletext"/>
              <w:rPr>
                <w:i/>
                <w:iCs/>
                <w:strike/>
                <w:szCs w:val="20"/>
              </w:rPr>
            </w:pPr>
            <w:r w:rsidRPr="004A766E">
              <w:rPr>
                <w:b/>
                <w:bCs/>
                <w:i/>
                <w:iCs/>
                <w:szCs w:val="20"/>
                <w:lang w:eastAsia="en-AU"/>
              </w:rPr>
              <w:t>Clinical criteria:</w:t>
            </w:r>
          </w:p>
        </w:tc>
      </w:tr>
      <w:tr w:rsidR="004A766E" w:rsidRPr="004A766E" w14:paraId="55606EB5"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49526C59" w14:textId="77777777" w:rsidR="004A766E" w:rsidRPr="004A766E" w:rsidRDefault="004A766E" w:rsidP="004A766E">
            <w:pPr>
              <w:jc w:val="center"/>
              <w:rPr>
                <w:rFonts w:ascii="Arial Narrow" w:hAnsi="Arial Narrow"/>
                <w:sz w:val="20"/>
                <w:szCs w:val="20"/>
              </w:rPr>
            </w:pPr>
          </w:p>
        </w:tc>
        <w:tc>
          <w:tcPr>
            <w:tcW w:w="7603" w:type="dxa"/>
            <w:gridSpan w:val="7"/>
            <w:vAlign w:val="center"/>
          </w:tcPr>
          <w:p w14:paraId="7A1366EC" w14:textId="77777777" w:rsidR="004A766E" w:rsidRPr="004A766E" w:rsidRDefault="004A766E" w:rsidP="004A766E">
            <w:pPr>
              <w:pStyle w:val="PBACTabletext"/>
              <w:rPr>
                <w:i/>
                <w:iCs/>
                <w:strike/>
                <w:szCs w:val="20"/>
              </w:rPr>
            </w:pPr>
            <w:r w:rsidRPr="004A766E">
              <w:rPr>
                <w:i/>
                <w:iCs/>
              </w:rPr>
              <w:t xml:space="preserve">Patient must not be receiving treatment with another selective nonsteroidal mineralocorticoid receptor antagonist, </w:t>
            </w:r>
            <w:r w:rsidRPr="004A766E">
              <w:rPr>
                <w:i/>
              </w:rPr>
              <w:t xml:space="preserve">a renin </w:t>
            </w:r>
            <w:proofErr w:type="gramStart"/>
            <w:r w:rsidRPr="004A766E">
              <w:rPr>
                <w:i/>
              </w:rPr>
              <w:t>inhibitor</w:t>
            </w:r>
            <w:proofErr w:type="gramEnd"/>
            <w:r w:rsidRPr="004A766E">
              <w:rPr>
                <w:i/>
              </w:rPr>
              <w:t xml:space="preserve"> or a potassium-sparing diuretic.</w:t>
            </w:r>
          </w:p>
        </w:tc>
      </w:tr>
      <w:tr w:rsidR="004A766E" w:rsidRPr="004A766E" w14:paraId="063A6EF2"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6F840312" w14:textId="77777777" w:rsidR="004A766E" w:rsidRPr="004A766E" w:rsidRDefault="004A766E" w:rsidP="004A766E">
            <w:pPr>
              <w:jc w:val="center"/>
              <w:rPr>
                <w:rFonts w:ascii="Arial Narrow" w:hAnsi="Arial Narrow"/>
                <w:sz w:val="20"/>
                <w:szCs w:val="20"/>
              </w:rPr>
            </w:pPr>
          </w:p>
        </w:tc>
        <w:tc>
          <w:tcPr>
            <w:tcW w:w="7603" w:type="dxa"/>
            <w:gridSpan w:val="7"/>
            <w:vAlign w:val="center"/>
          </w:tcPr>
          <w:p w14:paraId="3676CA44" w14:textId="77777777" w:rsidR="004A766E" w:rsidRPr="004A766E" w:rsidRDefault="004A766E" w:rsidP="004A766E">
            <w:pPr>
              <w:pStyle w:val="PBACTabletext"/>
              <w:rPr>
                <w:i/>
                <w:iCs/>
                <w:strike/>
                <w:szCs w:val="20"/>
              </w:rPr>
            </w:pPr>
            <w:r w:rsidRPr="004A766E">
              <w:rPr>
                <w:b/>
                <w:bCs/>
                <w:i/>
                <w:iCs/>
                <w:szCs w:val="20"/>
                <w:lang w:eastAsia="en-AU"/>
              </w:rPr>
              <w:t>AND</w:t>
            </w:r>
          </w:p>
        </w:tc>
      </w:tr>
      <w:tr w:rsidR="004A766E" w:rsidRPr="004A766E" w14:paraId="7E38F8CD"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0ABEDE08" w14:textId="77777777" w:rsidR="004A766E" w:rsidRPr="004A766E" w:rsidRDefault="004A766E" w:rsidP="004A766E">
            <w:pPr>
              <w:jc w:val="center"/>
              <w:rPr>
                <w:rFonts w:ascii="Arial Narrow" w:hAnsi="Arial Narrow"/>
                <w:sz w:val="20"/>
                <w:szCs w:val="20"/>
              </w:rPr>
            </w:pPr>
          </w:p>
        </w:tc>
        <w:tc>
          <w:tcPr>
            <w:tcW w:w="7603" w:type="dxa"/>
            <w:gridSpan w:val="7"/>
            <w:vAlign w:val="center"/>
          </w:tcPr>
          <w:p w14:paraId="5758A183" w14:textId="77777777" w:rsidR="004A766E" w:rsidRPr="004A766E" w:rsidRDefault="004A766E" w:rsidP="004A766E">
            <w:pPr>
              <w:pStyle w:val="PBACTabletext"/>
              <w:rPr>
                <w:i/>
                <w:iCs/>
                <w:strike/>
                <w:szCs w:val="20"/>
              </w:rPr>
            </w:pPr>
            <w:r w:rsidRPr="004A766E">
              <w:rPr>
                <w:b/>
                <w:bCs/>
                <w:i/>
                <w:iCs/>
                <w:szCs w:val="20"/>
                <w:lang w:eastAsia="en-AU"/>
              </w:rPr>
              <w:t>Clinical criteria:</w:t>
            </w:r>
          </w:p>
        </w:tc>
      </w:tr>
      <w:tr w:rsidR="004A766E" w:rsidRPr="004A766E" w14:paraId="4A8A76A2"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6AADC4FC" w14:textId="77777777" w:rsidR="004A766E" w:rsidRPr="004A766E" w:rsidRDefault="004A766E" w:rsidP="004A766E">
            <w:pPr>
              <w:jc w:val="center"/>
              <w:rPr>
                <w:rFonts w:ascii="Arial Narrow" w:hAnsi="Arial Narrow"/>
                <w:sz w:val="20"/>
                <w:szCs w:val="20"/>
              </w:rPr>
            </w:pPr>
          </w:p>
        </w:tc>
        <w:tc>
          <w:tcPr>
            <w:tcW w:w="7603" w:type="dxa"/>
            <w:gridSpan w:val="7"/>
            <w:vAlign w:val="center"/>
          </w:tcPr>
          <w:p w14:paraId="276AE2C5" w14:textId="77777777" w:rsidR="004A766E" w:rsidRPr="004A766E" w:rsidRDefault="004A766E" w:rsidP="004A766E">
            <w:pPr>
              <w:pStyle w:val="PBACTabletext"/>
              <w:rPr>
                <w:i/>
                <w:iCs/>
                <w:strike/>
                <w:szCs w:val="20"/>
              </w:rPr>
            </w:pPr>
            <w:r w:rsidRPr="004A766E">
              <w:rPr>
                <w:i/>
                <w:iCs/>
              </w:rPr>
              <w:t>Patient must not have established heart failure with reduced ejection fraction with an indication for treatment with a mineralocorticoid receptor antagonist.</w:t>
            </w:r>
          </w:p>
        </w:tc>
      </w:tr>
      <w:tr w:rsidR="004A766E" w:rsidRPr="004A766E" w14:paraId="5DFB23F3" w14:textId="77777777" w:rsidTr="00751046">
        <w:tblPrEx>
          <w:tblCellMar>
            <w:top w:w="15" w:type="dxa"/>
            <w:bottom w:w="15" w:type="dxa"/>
          </w:tblCellMar>
        </w:tblPrEx>
        <w:trPr>
          <w:cantSplit/>
          <w:trHeight w:val="20"/>
        </w:trPr>
        <w:tc>
          <w:tcPr>
            <w:tcW w:w="1414" w:type="dxa"/>
            <w:gridSpan w:val="2"/>
            <w:vAlign w:val="center"/>
          </w:tcPr>
          <w:p w14:paraId="3CF6013D" w14:textId="3607371A" w:rsidR="004A766E" w:rsidRPr="004A766E" w:rsidRDefault="004A766E" w:rsidP="004A766E">
            <w:pPr>
              <w:jc w:val="center"/>
              <w:rPr>
                <w:rFonts w:ascii="Arial Narrow" w:hAnsi="Arial Narrow"/>
                <w:sz w:val="20"/>
                <w:szCs w:val="20"/>
              </w:rPr>
            </w:pPr>
          </w:p>
        </w:tc>
        <w:tc>
          <w:tcPr>
            <w:tcW w:w="7603" w:type="dxa"/>
            <w:gridSpan w:val="7"/>
            <w:vAlign w:val="center"/>
            <w:hideMark/>
          </w:tcPr>
          <w:p w14:paraId="449A5993" w14:textId="77777777" w:rsidR="004A766E" w:rsidRPr="004A766E" w:rsidRDefault="004A766E" w:rsidP="004A766E">
            <w:pPr>
              <w:rPr>
                <w:rFonts w:ascii="Arial Narrow" w:hAnsi="Arial Narrow"/>
                <w:bCs/>
                <w:sz w:val="20"/>
                <w:szCs w:val="20"/>
              </w:rPr>
            </w:pPr>
            <w:r w:rsidRPr="004A766E">
              <w:rPr>
                <w:rFonts w:ascii="Arial Narrow" w:hAnsi="Arial Narrow"/>
                <w:b/>
                <w:bCs/>
                <w:sz w:val="20"/>
                <w:szCs w:val="20"/>
              </w:rPr>
              <w:t xml:space="preserve">Prescribing Instructions: </w:t>
            </w:r>
          </w:p>
          <w:p w14:paraId="706B4320" w14:textId="77777777" w:rsidR="004A766E" w:rsidRPr="004A766E" w:rsidRDefault="004A766E" w:rsidP="004A766E">
            <w:pPr>
              <w:pStyle w:val="PBACTabletext"/>
              <w:rPr>
                <w:szCs w:val="20"/>
                <w:lang w:eastAsia="en-AU"/>
              </w:rPr>
            </w:pPr>
            <w:r w:rsidRPr="004A766E">
              <w:rPr>
                <w:szCs w:val="20"/>
              </w:rPr>
              <w:t>Patient must be stabilised on either (</w:t>
            </w:r>
            <w:proofErr w:type="spellStart"/>
            <w:r w:rsidRPr="004A766E">
              <w:rPr>
                <w:szCs w:val="20"/>
              </w:rPr>
              <w:t>i</w:t>
            </w:r>
            <w:proofErr w:type="spellEnd"/>
            <w:r w:rsidRPr="004A766E">
              <w:rPr>
                <w:szCs w:val="20"/>
              </w:rPr>
              <w:t>) an ACE inhibitor or (ii) an angiotensin II antagonist for a period of 4 weeks prior to initiation of combination therapy with this drug, unless medically contraindicated.</w:t>
            </w:r>
          </w:p>
        </w:tc>
      </w:tr>
      <w:tr w:rsidR="004A766E" w:rsidRPr="004A766E" w14:paraId="73E448B7" w14:textId="77777777" w:rsidTr="00465717">
        <w:tblPrEx>
          <w:tblCellMar>
            <w:top w:w="15" w:type="dxa"/>
            <w:bottom w:w="15" w:type="dxa"/>
          </w:tblCellMar>
          <w:tblLook w:val="04A0" w:firstRow="1" w:lastRow="0" w:firstColumn="1" w:lastColumn="0" w:noHBand="0" w:noVBand="1"/>
        </w:tblPrEx>
        <w:trPr>
          <w:cantSplit/>
          <w:trHeight w:val="20"/>
        </w:trPr>
        <w:tc>
          <w:tcPr>
            <w:tcW w:w="1414" w:type="dxa"/>
            <w:gridSpan w:val="2"/>
            <w:vAlign w:val="center"/>
          </w:tcPr>
          <w:p w14:paraId="069F0EE7" w14:textId="4DD9B33E" w:rsidR="004A766E" w:rsidRPr="004A766E" w:rsidRDefault="004A766E" w:rsidP="004A766E">
            <w:pPr>
              <w:jc w:val="center"/>
              <w:rPr>
                <w:rFonts w:ascii="Arial Narrow" w:hAnsi="Arial Narrow"/>
                <w:sz w:val="20"/>
                <w:szCs w:val="20"/>
              </w:rPr>
            </w:pPr>
          </w:p>
        </w:tc>
        <w:tc>
          <w:tcPr>
            <w:tcW w:w="7603" w:type="dxa"/>
            <w:gridSpan w:val="7"/>
            <w:vAlign w:val="center"/>
          </w:tcPr>
          <w:p w14:paraId="1F0B5D6E" w14:textId="77777777" w:rsidR="004A766E" w:rsidRPr="004A766E" w:rsidRDefault="004A766E" w:rsidP="004A766E">
            <w:pPr>
              <w:rPr>
                <w:rFonts w:ascii="Arial Narrow" w:hAnsi="Arial Narrow"/>
                <w:b/>
                <w:bCs/>
                <w:sz w:val="20"/>
                <w:szCs w:val="20"/>
              </w:rPr>
            </w:pPr>
            <w:r w:rsidRPr="004A766E">
              <w:rPr>
                <w:rFonts w:ascii="Arial Narrow" w:hAnsi="Arial Narrow"/>
                <w:b/>
                <w:bCs/>
                <w:sz w:val="20"/>
                <w:szCs w:val="20"/>
              </w:rPr>
              <w:t>Caution:</w:t>
            </w:r>
          </w:p>
          <w:p w14:paraId="120C1091" w14:textId="77777777" w:rsidR="004A766E" w:rsidRPr="004A766E" w:rsidRDefault="004A766E" w:rsidP="004A766E">
            <w:pPr>
              <w:rPr>
                <w:rFonts w:ascii="Arial Narrow" w:hAnsi="Arial Narrow"/>
                <w:b/>
                <w:bCs/>
                <w:sz w:val="20"/>
                <w:szCs w:val="20"/>
              </w:rPr>
            </w:pPr>
            <w:r w:rsidRPr="004A766E">
              <w:rPr>
                <w:rFonts w:ascii="Arial Narrow" w:hAnsi="Arial Narrow"/>
                <w:i/>
                <w:iCs/>
                <w:sz w:val="20"/>
                <w:szCs w:val="20"/>
              </w:rPr>
              <w:t>Serum electrolytes should be checked regularly</w:t>
            </w:r>
          </w:p>
        </w:tc>
      </w:tr>
    </w:tbl>
    <w:p w14:paraId="12CDB992" w14:textId="06304ED8" w:rsidR="00AC0553" w:rsidRPr="00CF7D68" w:rsidRDefault="00D914B0" w:rsidP="00465717">
      <w:pPr>
        <w:pStyle w:val="ExecSumBodyText"/>
        <w:spacing w:before="120"/>
        <w:ind w:left="709" w:hanging="709"/>
        <w:rPr>
          <w:iCs/>
        </w:rPr>
      </w:pPr>
      <w:r w:rsidRPr="00CF7D68">
        <w:rPr>
          <w:iCs/>
        </w:rPr>
        <w:t xml:space="preserve">The proposed PBS restriction for </w:t>
      </w:r>
      <w:proofErr w:type="spellStart"/>
      <w:r w:rsidRPr="00CF7D68">
        <w:rPr>
          <w:iCs/>
        </w:rPr>
        <w:t>finerenone</w:t>
      </w:r>
      <w:proofErr w:type="spellEnd"/>
      <w:r w:rsidRPr="00CF7D68">
        <w:rPr>
          <w:iCs/>
        </w:rPr>
        <w:t xml:space="preserve"> </w:t>
      </w:r>
      <w:r w:rsidR="004A766E">
        <w:rPr>
          <w:iCs/>
        </w:rPr>
        <w:t>was</w:t>
      </w:r>
      <w:r w:rsidR="004A766E" w:rsidRPr="00CF7D68">
        <w:rPr>
          <w:iCs/>
        </w:rPr>
        <w:t xml:space="preserve"> </w:t>
      </w:r>
      <w:r w:rsidRPr="00CF7D68">
        <w:rPr>
          <w:iCs/>
        </w:rPr>
        <w:t>narrower than the TGA indication as it limit</w:t>
      </w:r>
      <w:r w:rsidR="004A766E">
        <w:rPr>
          <w:iCs/>
        </w:rPr>
        <w:t>ed</w:t>
      </w:r>
      <w:r w:rsidRPr="00CF7D68">
        <w:rPr>
          <w:iCs/>
        </w:rPr>
        <w:t xml:space="preserve"> eligibility to patients who have had prior therapy with an</w:t>
      </w:r>
      <w:r w:rsidR="003D05DC" w:rsidRPr="00CF7D68">
        <w:rPr>
          <w:iCs/>
        </w:rPr>
        <w:t xml:space="preserve"> angiotensin-converting enzyme inhibitor (</w:t>
      </w:r>
      <w:proofErr w:type="spellStart"/>
      <w:r w:rsidR="003D05DC" w:rsidRPr="00CF7D68">
        <w:rPr>
          <w:iCs/>
        </w:rPr>
        <w:t>ACEi</w:t>
      </w:r>
      <w:proofErr w:type="spellEnd"/>
      <w:r w:rsidR="003D05DC" w:rsidRPr="00CF7D68">
        <w:rPr>
          <w:iCs/>
        </w:rPr>
        <w:t>) or angiotensin II receptor blockers (ARB),</w:t>
      </w:r>
      <w:r w:rsidRPr="00CF7D68">
        <w:rPr>
          <w:iCs/>
        </w:rPr>
        <w:t xml:space="preserve"> unless contraindicated</w:t>
      </w:r>
      <w:r w:rsidR="003D05DC" w:rsidRPr="00CF7D68">
        <w:rPr>
          <w:iCs/>
        </w:rPr>
        <w:t>,</w:t>
      </w:r>
      <w:r w:rsidRPr="00CF7D68">
        <w:rPr>
          <w:iCs/>
        </w:rPr>
        <w:t xml:space="preserve"> and include</w:t>
      </w:r>
      <w:r w:rsidR="004A766E">
        <w:rPr>
          <w:iCs/>
        </w:rPr>
        <w:t>d</w:t>
      </w:r>
      <w:r w:rsidRPr="00CF7D68">
        <w:rPr>
          <w:iCs/>
        </w:rPr>
        <w:t xml:space="preserve"> specific requirements in terms of renal function and albuminuria.</w:t>
      </w:r>
    </w:p>
    <w:p w14:paraId="1C86D547" w14:textId="552A4709" w:rsidR="00914026" w:rsidRPr="00CF7D68" w:rsidRDefault="00AC0553" w:rsidP="00D914B0">
      <w:pPr>
        <w:pStyle w:val="ExecSumBodyText"/>
        <w:ind w:left="709" w:hanging="709"/>
        <w:rPr>
          <w:iCs/>
        </w:rPr>
      </w:pPr>
      <w:bookmarkStart w:id="6" w:name="_Ref110433264"/>
      <w:r w:rsidRPr="00CF7D68">
        <w:rPr>
          <w:iCs/>
        </w:rPr>
        <w:t>The ESC noted that the</w:t>
      </w:r>
      <w:r w:rsidR="00892119" w:rsidRPr="00CF7D68">
        <w:rPr>
          <w:iCs/>
        </w:rPr>
        <w:t xml:space="preserve"> requested</w:t>
      </w:r>
      <w:r w:rsidRPr="00CF7D68">
        <w:rPr>
          <w:iCs/>
        </w:rPr>
        <w:t xml:space="preserve"> </w:t>
      </w:r>
      <w:r w:rsidRPr="00CF7D68">
        <w:t xml:space="preserve">renal function and albuminuria </w:t>
      </w:r>
      <w:r w:rsidR="00213573" w:rsidRPr="00CF7D68">
        <w:t>criteria</w:t>
      </w:r>
      <w:r w:rsidRPr="00CF7D68">
        <w:t xml:space="preserve"> </w:t>
      </w:r>
      <w:r w:rsidR="00914026" w:rsidRPr="00CF7D68">
        <w:rPr>
          <w:iCs/>
        </w:rPr>
        <w:t>did</w:t>
      </w:r>
      <w:r w:rsidRPr="00CF7D68">
        <w:rPr>
          <w:iCs/>
        </w:rPr>
        <w:t xml:space="preserve"> not align </w:t>
      </w:r>
      <w:r w:rsidR="00914026" w:rsidRPr="00CF7D68">
        <w:rPr>
          <w:iCs/>
        </w:rPr>
        <w:t xml:space="preserve">precisely </w:t>
      </w:r>
      <w:r w:rsidRPr="00CF7D68">
        <w:rPr>
          <w:iCs/>
        </w:rPr>
        <w:t>with the</w:t>
      </w:r>
      <w:r w:rsidR="00892119" w:rsidRPr="00CF7D68">
        <w:rPr>
          <w:iCs/>
        </w:rPr>
        <w:t xml:space="preserve"> inclusion</w:t>
      </w:r>
      <w:r w:rsidR="00914026" w:rsidRPr="00CF7D68">
        <w:rPr>
          <w:iCs/>
        </w:rPr>
        <w:t xml:space="preserve"> criteria </w:t>
      </w:r>
      <w:r w:rsidR="00892119" w:rsidRPr="00CF7D68">
        <w:rPr>
          <w:iCs/>
        </w:rPr>
        <w:t>in the</w:t>
      </w:r>
      <w:r w:rsidRPr="00CF7D68">
        <w:rPr>
          <w:iCs/>
        </w:rPr>
        <w:t xml:space="preserve"> pivotal trial</w:t>
      </w:r>
      <w:r w:rsidR="00914026" w:rsidRPr="00CF7D68">
        <w:rPr>
          <w:iCs/>
        </w:rPr>
        <w:t>s</w:t>
      </w:r>
      <w:r w:rsidR="00C3368F" w:rsidRPr="00CF7D68">
        <w:rPr>
          <w:iCs/>
        </w:rPr>
        <w:t xml:space="preserve">, </w:t>
      </w:r>
      <w:r w:rsidR="00445A39" w:rsidRPr="00CF7D68">
        <w:rPr>
          <w:iCs/>
        </w:rPr>
        <w:t xml:space="preserve">due to FIDELIO-DKD targeting slightly more severe </w:t>
      </w:r>
      <w:r w:rsidR="00DE3E7D" w:rsidRPr="00CF7D68">
        <w:rPr>
          <w:iCs/>
        </w:rPr>
        <w:t>chronic kidney disease (</w:t>
      </w:r>
      <w:r w:rsidR="00445A39" w:rsidRPr="00CF7D68">
        <w:rPr>
          <w:iCs/>
        </w:rPr>
        <w:t>CKD</w:t>
      </w:r>
      <w:r w:rsidR="00DE3E7D" w:rsidRPr="00CF7D68">
        <w:rPr>
          <w:iCs/>
        </w:rPr>
        <w:t>)</w:t>
      </w:r>
      <w:r w:rsidR="00445A39" w:rsidRPr="00CF7D68">
        <w:rPr>
          <w:iCs/>
        </w:rPr>
        <w:t xml:space="preserve"> than FIGARO-DKD and FIDELIO-DKD requiring retinopathy in the milder </w:t>
      </w:r>
      <w:proofErr w:type="spellStart"/>
      <w:r w:rsidR="00445A39" w:rsidRPr="00CF7D68">
        <w:rPr>
          <w:iCs/>
        </w:rPr>
        <w:t>proteinuric</w:t>
      </w:r>
      <w:proofErr w:type="spellEnd"/>
      <w:r w:rsidR="00445A39" w:rsidRPr="00CF7D68">
        <w:rPr>
          <w:iCs/>
        </w:rPr>
        <w:t xml:space="preserve"> group, </w:t>
      </w:r>
      <w:r w:rsidR="00C3368F" w:rsidRPr="00CF7D68">
        <w:rPr>
          <w:iCs/>
        </w:rPr>
        <w:t xml:space="preserve">as shown </w:t>
      </w:r>
      <w:r w:rsidR="00C3368F" w:rsidRPr="00CF7D68">
        <w:rPr>
          <w:rFonts w:cstheme="minorHAnsi"/>
          <w:iCs/>
        </w:rPr>
        <w:t xml:space="preserve">in </w:t>
      </w:r>
      <w:r w:rsidR="00C3368F" w:rsidRPr="00CF7D68">
        <w:rPr>
          <w:rFonts w:cstheme="minorHAnsi"/>
          <w:iCs/>
        </w:rPr>
        <w:fldChar w:fldCharType="begin"/>
      </w:r>
      <w:r w:rsidR="00C3368F" w:rsidRPr="00CF7D68">
        <w:rPr>
          <w:rFonts w:cstheme="minorHAnsi"/>
          <w:iCs/>
        </w:rPr>
        <w:instrText xml:space="preserve"> REF _Ref105678077 \h </w:instrText>
      </w:r>
      <w:r w:rsidR="009A0C95" w:rsidRPr="00CF7D68">
        <w:rPr>
          <w:rFonts w:cstheme="minorHAnsi"/>
          <w:iCs/>
        </w:rPr>
        <w:instrText xml:space="preserve"> \* MERGEFORMAT </w:instrText>
      </w:r>
      <w:r w:rsidR="00C3368F" w:rsidRPr="00CF7D68">
        <w:rPr>
          <w:rFonts w:cstheme="minorHAnsi"/>
          <w:iCs/>
        </w:rPr>
      </w:r>
      <w:r w:rsidR="00C3368F" w:rsidRPr="00CF7D68">
        <w:rPr>
          <w:rFonts w:cstheme="minorHAnsi"/>
          <w:iCs/>
        </w:rPr>
        <w:fldChar w:fldCharType="separate"/>
      </w:r>
      <w:r w:rsidR="00AE5D6E" w:rsidRPr="00CF0E2C">
        <w:rPr>
          <w:rFonts w:eastAsiaTheme="majorEastAsia" w:cstheme="minorHAnsi"/>
          <w:iCs/>
          <w:snapToGrid/>
        </w:rPr>
        <w:t xml:space="preserve">Table </w:t>
      </w:r>
      <w:r w:rsidR="00AE5D6E" w:rsidRPr="00AE5D6E">
        <w:rPr>
          <w:rFonts w:cstheme="minorHAnsi"/>
          <w:iCs/>
          <w:noProof/>
        </w:rPr>
        <w:t>2</w:t>
      </w:r>
      <w:r w:rsidR="00C3368F" w:rsidRPr="00CF7D68">
        <w:rPr>
          <w:rFonts w:cstheme="minorHAnsi"/>
          <w:iCs/>
        </w:rPr>
        <w:fldChar w:fldCharType="end"/>
      </w:r>
      <w:r w:rsidR="00C3368F" w:rsidRPr="00CF7D68">
        <w:rPr>
          <w:rFonts w:cstheme="minorHAnsi"/>
          <w:iCs/>
        </w:rPr>
        <w:t>.</w:t>
      </w:r>
      <w:bookmarkEnd w:id="6"/>
      <w:r w:rsidR="00445A39" w:rsidRPr="00CF7D68">
        <w:rPr>
          <w:iCs/>
        </w:rPr>
        <w:t xml:space="preserve"> </w:t>
      </w:r>
    </w:p>
    <w:p w14:paraId="637C263D" w14:textId="3E8FFDCB" w:rsidR="00C3368F" w:rsidRPr="00CF7D68" w:rsidRDefault="00C3368F" w:rsidP="009A0C95">
      <w:pPr>
        <w:pStyle w:val="TableFigureCaption"/>
        <w:ind w:firstLine="709"/>
        <w:rPr>
          <w:iCs/>
        </w:rPr>
      </w:pPr>
      <w:bookmarkStart w:id="7" w:name="_Ref105678077"/>
      <w:r w:rsidRPr="00CF7D68">
        <w:rPr>
          <w:iCs/>
        </w:rPr>
        <w:t xml:space="preserve">Table </w:t>
      </w:r>
      <w:r w:rsidRPr="00CF7D68">
        <w:rPr>
          <w:iCs/>
        </w:rPr>
        <w:fldChar w:fldCharType="begin"/>
      </w:r>
      <w:r w:rsidRPr="00CF7D68">
        <w:rPr>
          <w:iCs/>
        </w:rPr>
        <w:instrText xml:space="preserve"> SEQ Table \* ARABIC </w:instrText>
      </w:r>
      <w:r w:rsidRPr="00CF7D68">
        <w:rPr>
          <w:iCs/>
        </w:rPr>
        <w:fldChar w:fldCharType="separate"/>
      </w:r>
      <w:r w:rsidR="00AE5D6E">
        <w:rPr>
          <w:iCs/>
          <w:noProof/>
        </w:rPr>
        <w:t>2</w:t>
      </w:r>
      <w:r w:rsidRPr="00CF7D68">
        <w:rPr>
          <w:iCs/>
        </w:rPr>
        <w:fldChar w:fldCharType="end"/>
      </w:r>
      <w:bookmarkEnd w:id="7"/>
      <w:r w:rsidRPr="00CF7D68">
        <w:rPr>
          <w:iCs/>
        </w:rPr>
        <w:t xml:space="preserve">: Comparison of renal function and albuminuria criteria in </w:t>
      </w:r>
      <w:r w:rsidR="00445A39" w:rsidRPr="00CF7D68">
        <w:rPr>
          <w:iCs/>
        </w:rPr>
        <w:t>requested</w:t>
      </w:r>
      <w:r w:rsidRPr="00CF7D68">
        <w:rPr>
          <w:iCs/>
        </w:rPr>
        <w:t xml:space="preserve"> PBS listing and key trials</w:t>
      </w:r>
    </w:p>
    <w:tbl>
      <w:tblPr>
        <w:tblStyle w:val="TableGrid"/>
        <w:tblW w:w="0" w:type="auto"/>
        <w:tblInd w:w="709" w:type="dxa"/>
        <w:tblLook w:val="04A0" w:firstRow="1" w:lastRow="0" w:firstColumn="1" w:lastColumn="0" w:noHBand="0" w:noVBand="1"/>
      </w:tblPr>
      <w:tblGrid>
        <w:gridCol w:w="1129"/>
        <w:gridCol w:w="7179"/>
      </w:tblGrid>
      <w:tr w:rsidR="00C3368F" w:rsidRPr="00CF7D68" w14:paraId="39E79246" w14:textId="77777777" w:rsidTr="00EF3EA9">
        <w:trPr>
          <w:trHeight w:val="510"/>
        </w:trPr>
        <w:tc>
          <w:tcPr>
            <w:tcW w:w="1129" w:type="dxa"/>
          </w:tcPr>
          <w:p w14:paraId="3E2915E2" w14:textId="0A1BA63E" w:rsidR="00C3368F" w:rsidRPr="00CF7D68" w:rsidRDefault="00445A39" w:rsidP="009A0C95">
            <w:pPr>
              <w:pStyle w:val="TableText"/>
              <w:keepLines/>
              <w:rPr>
                <w:iCs/>
                <w:szCs w:val="20"/>
              </w:rPr>
            </w:pPr>
            <w:r w:rsidRPr="00CF7D68">
              <w:rPr>
                <w:iCs/>
                <w:szCs w:val="20"/>
              </w:rPr>
              <w:t>Requested</w:t>
            </w:r>
            <w:r w:rsidR="00C3368F" w:rsidRPr="00CF7D68">
              <w:rPr>
                <w:iCs/>
                <w:szCs w:val="20"/>
              </w:rPr>
              <w:t xml:space="preserve"> PBS listing</w:t>
            </w:r>
          </w:p>
        </w:tc>
        <w:tc>
          <w:tcPr>
            <w:tcW w:w="7179" w:type="dxa"/>
          </w:tcPr>
          <w:p w14:paraId="49396514" w14:textId="2F88F807" w:rsidR="00C3368F" w:rsidRPr="00CF7D68" w:rsidRDefault="00C3368F" w:rsidP="00EF3EA9">
            <w:pPr>
              <w:pStyle w:val="TableText"/>
              <w:keepLines/>
              <w:rPr>
                <w:iCs/>
                <w:szCs w:val="20"/>
              </w:rPr>
            </w:pPr>
            <w:r w:rsidRPr="00CF7D68">
              <w:rPr>
                <w:rFonts w:cs="Arial"/>
                <w:iCs/>
                <w:szCs w:val="20"/>
              </w:rPr>
              <w:t>UACR of 30-299 mg/g (3.39-33.9 mg/mmol) and eGFR of 25-90 mL/min/1.73 m</w:t>
            </w:r>
            <w:r w:rsidRPr="00CF7D68">
              <w:rPr>
                <w:rFonts w:cs="Arial"/>
                <w:iCs/>
                <w:szCs w:val="20"/>
                <w:vertAlign w:val="superscript"/>
              </w:rPr>
              <w:t>2</w:t>
            </w:r>
            <w:r w:rsidRPr="00CF7D68">
              <w:rPr>
                <w:rFonts w:cs="Arial"/>
                <w:iCs/>
                <w:szCs w:val="20"/>
              </w:rPr>
              <w:t xml:space="preserve"> or</w:t>
            </w:r>
            <w:r w:rsidR="00EF3EA9" w:rsidRPr="00CF7D68">
              <w:rPr>
                <w:rFonts w:cs="Arial"/>
                <w:iCs/>
                <w:szCs w:val="20"/>
              </w:rPr>
              <w:t xml:space="preserve"> </w:t>
            </w:r>
            <w:r w:rsidRPr="00CF7D68">
              <w:rPr>
                <w:rFonts w:cs="Arial"/>
                <w:iCs/>
                <w:szCs w:val="20"/>
              </w:rPr>
              <w:t>UACR of ≥</w:t>
            </w:r>
            <w:r w:rsidR="00EF3EA9" w:rsidRPr="00CF7D68">
              <w:rPr>
                <w:rFonts w:cs="Arial"/>
                <w:iCs/>
                <w:szCs w:val="20"/>
              </w:rPr>
              <w:t> </w:t>
            </w:r>
            <w:r w:rsidRPr="00CF7D68">
              <w:rPr>
                <w:rFonts w:cs="Arial"/>
                <w:iCs/>
                <w:szCs w:val="20"/>
              </w:rPr>
              <w:t>300 mg/g (33.9 mg/mmol) and eGFR of ≥ 25 mL/min/1.73 m</w:t>
            </w:r>
            <w:r w:rsidRPr="00CF7D68">
              <w:rPr>
                <w:rFonts w:cs="Arial"/>
                <w:iCs/>
                <w:szCs w:val="20"/>
                <w:vertAlign w:val="superscript"/>
              </w:rPr>
              <w:t>2</w:t>
            </w:r>
          </w:p>
        </w:tc>
      </w:tr>
      <w:tr w:rsidR="00C3368F" w:rsidRPr="00CF7D68" w14:paraId="5B572C3A" w14:textId="77777777" w:rsidTr="00EF3EA9">
        <w:trPr>
          <w:trHeight w:val="510"/>
        </w:trPr>
        <w:tc>
          <w:tcPr>
            <w:tcW w:w="1129" w:type="dxa"/>
          </w:tcPr>
          <w:p w14:paraId="03E35163" w14:textId="1C060974" w:rsidR="00C3368F" w:rsidRPr="00CF7D68" w:rsidRDefault="00C3368F" w:rsidP="009A0C95">
            <w:pPr>
              <w:pStyle w:val="ExecSumBodyText"/>
              <w:keepNext/>
              <w:keepLines/>
              <w:numPr>
                <w:ilvl w:val="0"/>
                <w:numId w:val="0"/>
              </w:numPr>
              <w:spacing w:after="0"/>
              <w:rPr>
                <w:rFonts w:ascii="Arial Narrow" w:hAnsi="Arial Narrow"/>
                <w:iCs/>
                <w:sz w:val="20"/>
                <w:szCs w:val="20"/>
              </w:rPr>
            </w:pPr>
            <w:r w:rsidRPr="00CF7D68">
              <w:rPr>
                <w:rFonts w:ascii="Arial Narrow" w:hAnsi="Arial Narrow"/>
                <w:iCs/>
                <w:sz w:val="20"/>
                <w:szCs w:val="20"/>
              </w:rPr>
              <w:t>FIDELIO-DKD</w:t>
            </w:r>
          </w:p>
        </w:tc>
        <w:tc>
          <w:tcPr>
            <w:tcW w:w="7179" w:type="dxa"/>
          </w:tcPr>
          <w:p w14:paraId="42B60128" w14:textId="786A9B9B" w:rsidR="00C3368F" w:rsidRPr="00CF7D68" w:rsidRDefault="00C3368F" w:rsidP="00EF3EA9">
            <w:pPr>
              <w:pStyle w:val="ExecSumBodyText"/>
              <w:keepNext/>
              <w:keepLines/>
              <w:numPr>
                <w:ilvl w:val="0"/>
                <w:numId w:val="0"/>
              </w:numPr>
              <w:spacing w:after="0"/>
              <w:rPr>
                <w:rFonts w:ascii="Arial Narrow" w:hAnsi="Arial Narrow"/>
                <w:iCs/>
                <w:sz w:val="20"/>
                <w:szCs w:val="20"/>
              </w:rPr>
            </w:pPr>
            <w:r w:rsidRPr="00CF7D68">
              <w:rPr>
                <w:rFonts w:ascii="Arial Narrow" w:hAnsi="Arial Narrow"/>
                <w:bCs/>
                <w:iCs/>
                <w:sz w:val="20"/>
                <w:szCs w:val="20"/>
              </w:rPr>
              <w:t>UACR of ≥ 30 mg/g (≥ 3.4 mg/mmol) but &lt; 300 mg/g (&lt; 33.9 mg/mmol) and eGFR ≥ 25 but &lt; 60 mL/min/1.73 m</w:t>
            </w:r>
            <w:r w:rsidRPr="00CF7D68">
              <w:rPr>
                <w:rFonts w:ascii="Arial Narrow" w:hAnsi="Arial Narrow"/>
                <w:bCs/>
                <w:iCs/>
                <w:sz w:val="20"/>
                <w:szCs w:val="20"/>
                <w:vertAlign w:val="superscript"/>
              </w:rPr>
              <w:t>2</w:t>
            </w:r>
            <w:r w:rsidRPr="00CF7D68">
              <w:rPr>
                <w:rFonts w:ascii="Arial Narrow" w:hAnsi="Arial Narrow"/>
                <w:bCs/>
                <w:iCs/>
                <w:sz w:val="20"/>
                <w:szCs w:val="20"/>
              </w:rPr>
              <w:t xml:space="preserve"> and presence of diabetic retinopathy in the medical history or</w:t>
            </w:r>
            <w:r w:rsidR="00EF3EA9" w:rsidRPr="00CF7D68">
              <w:rPr>
                <w:rFonts w:ascii="Arial Narrow" w:hAnsi="Arial Narrow"/>
                <w:bCs/>
                <w:iCs/>
                <w:sz w:val="20"/>
                <w:szCs w:val="20"/>
              </w:rPr>
              <w:t xml:space="preserve"> </w:t>
            </w:r>
            <w:r w:rsidRPr="00CF7D68">
              <w:rPr>
                <w:rFonts w:ascii="Arial Narrow" w:hAnsi="Arial Narrow"/>
                <w:bCs/>
                <w:iCs/>
                <w:sz w:val="20"/>
                <w:szCs w:val="20"/>
              </w:rPr>
              <w:t>UACR of ≥</w:t>
            </w:r>
            <w:r w:rsidR="00EF3EA9" w:rsidRPr="00CF7D68">
              <w:rPr>
                <w:rFonts w:ascii="Arial Narrow" w:hAnsi="Arial Narrow"/>
                <w:bCs/>
                <w:iCs/>
                <w:sz w:val="20"/>
                <w:szCs w:val="20"/>
              </w:rPr>
              <w:t> </w:t>
            </w:r>
            <w:r w:rsidRPr="00CF7D68">
              <w:rPr>
                <w:rFonts w:ascii="Arial Narrow" w:hAnsi="Arial Narrow"/>
                <w:bCs/>
                <w:iCs/>
                <w:sz w:val="20"/>
                <w:szCs w:val="20"/>
              </w:rPr>
              <w:t>300 mg/g (≥ 33.9 mg/mmol) and eGFR ≥ 25 but &lt; 75 mL/min/1.73 m</w:t>
            </w:r>
            <w:r w:rsidRPr="00CF7D68">
              <w:rPr>
                <w:rFonts w:ascii="Arial Narrow" w:hAnsi="Arial Narrow"/>
                <w:bCs/>
                <w:iCs/>
                <w:sz w:val="20"/>
                <w:szCs w:val="20"/>
                <w:vertAlign w:val="superscript"/>
              </w:rPr>
              <w:t>2</w:t>
            </w:r>
          </w:p>
        </w:tc>
      </w:tr>
      <w:tr w:rsidR="00C3368F" w:rsidRPr="00CF7D68" w14:paraId="1F8245B8" w14:textId="77777777" w:rsidTr="00EF3EA9">
        <w:trPr>
          <w:trHeight w:val="510"/>
        </w:trPr>
        <w:tc>
          <w:tcPr>
            <w:tcW w:w="1129" w:type="dxa"/>
          </w:tcPr>
          <w:p w14:paraId="3A489EF6" w14:textId="59EE2A7C" w:rsidR="00C3368F" w:rsidRPr="00CF7D68" w:rsidRDefault="00C3368F" w:rsidP="009A0C95">
            <w:pPr>
              <w:pStyle w:val="ExecSumBodyText"/>
              <w:keepNext/>
              <w:keepLines/>
              <w:numPr>
                <w:ilvl w:val="0"/>
                <w:numId w:val="0"/>
              </w:numPr>
              <w:spacing w:after="0"/>
              <w:rPr>
                <w:rFonts w:ascii="Arial Narrow" w:hAnsi="Arial Narrow"/>
                <w:iCs/>
                <w:sz w:val="20"/>
                <w:szCs w:val="20"/>
              </w:rPr>
            </w:pPr>
            <w:r w:rsidRPr="00CF7D68">
              <w:rPr>
                <w:rFonts w:ascii="Arial Narrow" w:hAnsi="Arial Narrow"/>
                <w:iCs/>
                <w:sz w:val="20"/>
                <w:szCs w:val="20"/>
              </w:rPr>
              <w:t>FIGARO-DKD</w:t>
            </w:r>
          </w:p>
        </w:tc>
        <w:tc>
          <w:tcPr>
            <w:tcW w:w="7179" w:type="dxa"/>
          </w:tcPr>
          <w:p w14:paraId="0F0720CE" w14:textId="32BB501A" w:rsidR="00C3368F" w:rsidRPr="00CF7D68" w:rsidRDefault="00C3368F" w:rsidP="00EF3EA9">
            <w:pPr>
              <w:pStyle w:val="ExecSumBodyText"/>
              <w:keepNext/>
              <w:keepLines/>
              <w:numPr>
                <w:ilvl w:val="0"/>
                <w:numId w:val="0"/>
              </w:numPr>
              <w:spacing w:after="0"/>
              <w:rPr>
                <w:rFonts w:ascii="Arial Narrow" w:hAnsi="Arial Narrow"/>
                <w:bCs/>
                <w:iCs/>
                <w:sz w:val="20"/>
                <w:szCs w:val="20"/>
              </w:rPr>
            </w:pPr>
            <w:r w:rsidRPr="00CF7D68">
              <w:rPr>
                <w:rFonts w:ascii="Arial Narrow" w:hAnsi="Arial Narrow"/>
                <w:bCs/>
                <w:iCs/>
                <w:sz w:val="20"/>
                <w:szCs w:val="20"/>
              </w:rPr>
              <w:t>UACR of ≥ 30 mg/g (≥ 3.4 mg/mmol) but &lt;300 mg/g (&lt; 33.9 mg/mmol) and eGFR ≥ 25 but ≤</w:t>
            </w:r>
            <w:r w:rsidR="00EF3EA9" w:rsidRPr="00CF7D68">
              <w:rPr>
                <w:rFonts w:ascii="Arial Narrow" w:hAnsi="Arial Narrow"/>
                <w:bCs/>
                <w:iCs/>
                <w:sz w:val="20"/>
                <w:szCs w:val="20"/>
              </w:rPr>
              <w:t> </w:t>
            </w:r>
            <w:r w:rsidRPr="00CF7D68">
              <w:rPr>
                <w:rFonts w:ascii="Arial Narrow" w:hAnsi="Arial Narrow"/>
                <w:bCs/>
                <w:iCs/>
                <w:sz w:val="20"/>
                <w:szCs w:val="20"/>
              </w:rPr>
              <w:t>90</w:t>
            </w:r>
            <w:r w:rsidR="00EF3EA9" w:rsidRPr="00CF7D68">
              <w:rPr>
                <w:rFonts w:ascii="Arial Narrow" w:hAnsi="Arial Narrow"/>
                <w:bCs/>
                <w:iCs/>
                <w:sz w:val="20"/>
                <w:szCs w:val="20"/>
              </w:rPr>
              <w:t> </w:t>
            </w:r>
            <w:r w:rsidRPr="00CF7D68">
              <w:rPr>
                <w:rFonts w:ascii="Arial Narrow" w:hAnsi="Arial Narrow"/>
                <w:bCs/>
                <w:iCs/>
                <w:sz w:val="20"/>
                <w:szCs w:val="20"/>
              </w:rPr>
              <w:t>mL/min/1.73 m</w:t>
            </w:r>
            <w:r w:rsidRPr="00CF7D68">
              <w:rPr>
                <w:rFonts w:ascii="Arial Narrow" w:hAnsi="Arial Narrow"/>
                <w:bCs/>
                <w:iCs/>
                <w:sz w:val="20"/>
                <w:szCs w:val="20"/>
                <w:vertAlign w:val="superscript"/>
              </w:rPr>
              <w:t xml:space="preserve">2 </w:t>
            </w:r>
            <w:r w:rsidRPr="00CF7D68">
              <w:rPr>
                <w:rFonts w:ascii="Arial Narrow" w:hAnsi="Arial Narrow"/>
                <w:bCs/>
                <w:iCs/>
                <w:sz w:val="20"/>
                <w:szCs w:val="20"/>
              </w:rPr>
              <w:t>or</w:t>
            </w:r>
            <w:r w:rsidR="00EF3EA9" w:rsidRPr="00CF7D68">
              <w:rPr>
                <w:rFonts w:ascii="Arial Narrow" w:hAnsi="Arial Narrow"/>
                <w:bCs/>
                <w:iCs/>
                <w:sz w:val="20"/>
                <w:szCs w:val="20"/>
              </w:rPr>
              <w:t xml:space="preserve"> </w:t>
            </w:r>
            <w:r w:rsidRPr="00CF7D68">
              <w:rPr>
                <w:rFonts w:ascii="Arial Narrow" w:hAnsi="Arial Narrow"/>
                <w:bCs/>
                <w:iCs/>
                <w:sz w:val="20"/>
                <w:szCs w:val="20"/>
              </w:rPr>
              <w:t>UACR of ≥ 300 mg/g (≥ 33.9 mg/mmol) and eGFR ≥ 60 mL/min/1.73 m</w:t>
            </w:r>
            <w:r w:rsidRPr="00CF7D68">
              <w:rPr>
                <w:rFonts w:ascii="Arial Narrow" w:hAnsi="Arial Narrow"/>
                <w:bCs/>
                <w:iCs/>
                <w:sz w:val="20"/>
                <w:szCs w:val="20"/>
                <w:vertAlign w:val="superscript"/>
              </w:rPr>
              <w:t>2</w:t>
            </w:r>
          </w:p>
        </w:tc>
      </w:tr>
    </w:tbl>
    <w:p w14:paraId="4B71F46E" w14:textId="72E302A5" w:rsidR="00EF3EA9" w:rsidRPr="00CF7D68" w:rsidRDefault="00EF3EA9" w:rsidP="00EF3EA9">
      <w:pPr>
        <w:pStyle w:val="TableFigureFooter"/>
        <w:widowControl w:val="0"/>
        <w:ind w:firstLine="709"/>
        <w:rPr>
          <w:iCs/>
        </w:rPr>
      </w:pPr>
      <w:r w:rsidRPr="00CF7D68">
        <w:rPr>
          <w:iCs/>
        </w:rPr>
        <w:t>Source: Table 18 (</w:t>
      </w:r>
      <w:r w:rsidR="003073FE">
        <w:rPr>
          <w:iCs/>
        </w:rPr>
        <w:t>p</w:t>
      </w:r>
      <w:r w:rsidRPr="00CF7D68">
        <w:rPr>
          <w:iCs/>
        </w:rPr>
        <w:t>22) and Table 29 (p</w:t>
      </w:r>
      <w:r w:rsidR="003073FE">
        <w:rPr>
          <w:iCs/>
        </w:rPr>
        <w:t>p</w:t>
      </w:r>
      <w:r w:rsidRPr="00CF7D68">
        <w:rPr>
          <w:iCs/>
        </w:rPr>
        <w:t>42-43) of the submission</w:t>
      </w:r>
    </w:p>
    <w:p w14:paraId="3CB4526C" w14:textId="0DA3FC7C" w:rsidR="00FC176E" w:rsidRPr="00CF7D68" w:rsidRDefault="00FC176E" w:rsidP="00D72B64">
      <w:pPr>
        <w:pStyle w:val="ExecSumBodyText"/>
        <w:spacing w:before="240"/>
        <w:ind w:left="709" w:hanging="709"/>
        <w:rPr>
          <w:iCs/>
        </w:rPr>
      </w:pPr>
      <w:bookmarkStart w:id="8" w:name="_Ref106637837"/>
      <w:r w:rsidRPr="00CF7D68">
        <w:t>The ESC advised that the eGFR parameter should precede the UACR parameter in each criterion of the proposed listing. For the first criterion (</w:t>
      </w:r>
      <w:r w:rsidRPr="00CF7D68">
        <w:rPr>
          <w:iCs/>
        </w:rPr>
        <w:t xml:space="preserve">eGFR of 25-90 mL/min/1.73 m2 </w:t>
      </w:r>
      <w:r w:rsidRPr="00CF7D68">
        <w:rPr>
          <w:iCs/>
        </w:rPr>
        <w:lastRenderedPageBreak/>
        <w:t xml:space="preserve">and </w:t>
      </w:r>
      <w:r w:rsidRPr="00CF7D68">
        <w:rPr>
          <w:iCs/>
          <w:szCs w:val="20"/>
        </w:rPr>
        <w:t xml:space="preserve">UACR of 30-299 mg/g (3.39-33.9 mg/mmol)), the ESC advised that the UACR parameter could be simplified to UACR greater than 30 mg/g (3.39 mg/mmol). </w:t>
      </w:r>
      <w:r w:rsidR="00D72B64" w:rsidRPr="00CF7D68">
        <w:rPr>
          <w:iCs/>
          <w:szCs w:val="20"/>
        </w:rPr>
        <w:t>For the second criterion (eGFR ≥ 25 mL/min/1.73 m2 and UACR ≥ 300mg/g (≥ 33.9mg/mmol)), the ESC advised that the eGFR parameter should be simplified to be eGFR greater than 90 mL/min/1.73 m2, as this would remove the substantial overlap between the criteria.</w:t>
      </w:r>
      <w:bookmarkEnd w:id="8"/>
      <w:r w:rsidR="00D72B64" w:rsidRPr="00CF7D68">
        <w:rPr>
          <w:iCs/>
          <w:szCs w:val="20"/>
        </w:rPr>
        <w:t xml:space="preserve"> </w:t>
      </w:r>
    </w:p>
    <w:p w14:paraId="3EA92758" w14:textId="5EFCB99F" w:rsidR="00D914B0" w:rsidRPr="00CF7D68" w:rsidRDefault="005514B2" w:rsidP="00D914B0">
      <w:pPr>
        <w:pStyle w:val="ExecSumBodyText"/>
        <w:ind w:left="709" w:hanging="709"/>
        <w:rPr>
          <w:iCs/>
        </w:rPr>
      </w:pPr>
      <w:bookmarkStart w:id="9" w:name="_Ref105764910"/>
      <w:r w:rsidRPr="00CF7D68">
        <w:t xml:space="preserve">The ESC also noted that </w:t>
      </w:r>
      <w:r w:rsidRPr="00CF7D68">
        <w:rPr>
          <w:iCs/>
        </w:rPr>
        <w:t>t</w:t>
      </w:r>
      <w:r w:rsidR="00D914B0" w:rsidRPr="00CF7D68">
        <w:rPr>
          <w:iCs/>
        </w:rPr>
        <w:t>he proposed PBS restriction is broader tha</w:t>
      </w:r>
      <w:r w:rsidR="00EB7D3D" w:rsidRPr="00CF7D68">
        <w:rPr>
          <w:iCs/>
        </w:rPr>
        <w:t>n</w:t>
      </w:r>
      <w:r w:rsidR="00D914B0" w:rsidRPr="00CF7D68">
        <w:rPr>
          <w:iCs/>
        </w:rPr>
        <w:t xml:space="preserve"> the key trial populations which specifically excluded patients with </w:t>
      </w:r>
      <w:r w:rsidRPr="00CF7D68">
        <w:rPr>
          <w:iCs/>
        </w:rPr>
        <w:t xml:space="preserve">Class II to IV </w:t>
      </w:r>
      <w:r w:rsidR="008773E6" w:rsidRPr="00CF7D68">
        <w:rPr>
          <w:iCs/>
        </w:rPr>
        <w:t xml:space="preserve">heart failure with </w:t>
      </w:r>
      <w:r w:rsidR="00D914B0" w:rsidRPr="00CF7D68">
        <w:rPr>
          <w:iCs/>
        </w:rPr>
        <w:t xml:space="preserve">reduced ejection fraction </w:t>
      </w:r>
      <w:r w:rsidR="008773E6" w:rsidRPr="00CF7D68">
        <w:rPr>
          <w:iCs/>
        </w:rPr>
        <w:t>(</w:t>
      </w:r>
      <w:proofErr w:type="spellStart"/>
      <w:r w:rsidR="008773E6" w:rsidRPr="00CF7D68">
        <w:rPr>
          <w:iCs/>
        </w:rPr>
        <w:t>HFrEF</w:t>
      </w:r>
      <w:proofErr w:type="spellEnd"/>
      <w:r w:rsidR="003374B7" w:rsidRPr="00CF7D68">
        <w:rPr>
          <w:iCs/>
        </w:rPr>
        <w:t xml:space="preserve">) </w:t>
      </w:r>
      <w:r w:rsidR="003D05DC" w:rsidRPr="00CF7D68">
        <w:t>and</w:t>
      </w:r>
      <w:r w:rsidR="008773E6" w:rsidRPr="00CF7D68">
        <w:t xml:space="preserve"> also specifically excluded concomitant therapy with eplerenone, spironolactone, any </w:t>
      </w:r>
      <w:r w:rsidR="00D914B0" w:rsidRPr="00CF7D68">
        <w:t xml:space="preserve">renin </w:t>
      </w:r>
      <w:proofErr w:type="gramStart"/>
      <w:r w:rsidR="00D914B0" w:rsidRPr="00CF7D68">
        <w:t>inhibitor</w:t>
      </w:r>
      <w:proofErr w:type="gramEnd"/>
      <w:r w:rsidR="00D914B0" w:rsidRPr="00CF7D68">
        <w:t xml:space="preserve"> or </w:t>
      </w:r>
      <w:r w:rsidR="008773E6" w:rsidRPr="00CF7D68">
        <w:t xml:space="preserve">a </w:t>
      </w:r>
      <w:r w:rsidR="00D914B0" w:rsidRPr="00CF7D68">
        <w:t>potassium-sparing diuretic</w:t>
      </w:r>
      <w:r w:rsidR="008773E6" w:rsidRPr="00CF7D68">
        <w:t xml:space="preserve"> </w:t>
      </w:r>
      <w:r w:rsidR="00D15C4F" w:rsidRPr="00CF7D68">
        <w:t>(the TGA P</w:t>
      </w:r>
      <w:r w:rsidR="005429DA" w:rsidRPr="00CF7D68">
        <w:t xml:space="preserve">roduct </w:t>
      </w:r>
      <w:r w:rsidR="00D15C4F" w:rsidRPr="00CF7D68">
        <w:t>I</w:t>
      </w:r>
      <w:r w:rsidR="005429DA" w:rsidRPr="00CF7D68">
        <w:t>nformation</w:t>
      </w:r>
      <w:r w:rsidR="00D15C4F" w:rsidRPr="00CF7D68">
        <w:t xml:space="preserve"> also states that concomitant use of these therapies should be avoided)</w:t>
      </w:r>
      <w:r w:rsidR="00D914B0" w:rsidRPr="00CF7D68">
        <w:t xml:space="preserve">. The availability of </w:t>
      </w:r>
      <w:proofErr w:type="spellStart"/>
      <w:r w:rsidR="00D914B0" w:rsidRPr="00CF7D68">
        <w:t>finerenone</w:t>
      </w:r>
      <w:proofErr w:type="spellEnd"/>
      <w:r w:rsidR="00D914B0" w:rsidRPr="00CF7D68">
        <w:t xml:space="preserve"> in patient populations</w:t>
      </w:r>
      <w:r w:rsidR="008773E6" w:rsidRPr="00CF7D68">
        <w:t xml:space="preserve"> already being treated with an</w:t>
      </w:r>
      <w:r w:rsidR="001A604E" w:rsidRPr="00CF7D68">
        <w:t>other</w:t>
      </w:r>
      <w:r w:rsidR="008773E6" w:rsidRPr="00CF7D68">
        <w:t xml:space="preserve"> MRA</w:t>
      </w:r>
      <w:r w:rsidR="00D914B0" w:rsidRPr="00CF7D68">
        <w:t xml:space="preserve"> may </w:t>
      </w:r>
      <w:r w:rsidR="00D914B0" w:rsidRPr="00CF7D68">
        <w:rPr>
          <w:iCs/>
        </w:rPr>
        <w:t>result in patients switching therapies (as these therapies should not be used in combination) with uncertain incremental benefits/harms.</w:t>
      </w:r>
      <w:r w:rsidR="00D15C4F" w:rsidRPr="00CF7D68">
        <w:rPr>
          <w:iCs/>
        </w:rPr>
        <w:t xml:space="preserve"> </w:t>
      </w:r>
      <w:r w:rsidR="00D1462C" w:rsidRPr="00CF7D68">
        <w:t>T</w:t>
      </w:r>
      <w:r w:rsidR="00790B2B" w:rsidRPr="00CF7D68">
        <w:t>he</w:t>
      </w:r>
      <w:r w:rsidR="00EE4B5D" w:rsidRPr="00CF7D68">
        <w:t xml:space="preserve"> ESC advised that </w:t>
      </w:r>
      <w:r w:rsidR="008773E6" w:rsidRPr="00CF7D68">
        <w:t>to avoid prescriber confusion</w:t>
      </w:r>
      <w:r w:rsidR="00DC5A11" w:rsidRPr="00CF7D68">
        <w:t xml:space="preserve"> and uncertain cost-effectiveness</w:t>
      </w:r>
      <w:r w:rsidR="008773E6" w:rsidRPr="00CF7D68">
        <w:t xml:space="preserve"> </w:t>
      </w:r>
      <w:r w:rsidR="00EE4B5D" w:rsidRPr="00CF7D68">
        <w:t xml:space="preserve">the restriction should explicitly exclude patients </w:t>
      </w:r>
      <w:r w:rsidR="00B758FE" w:rsidRPr="00CF7D68">
        <w:t xml:space="preserve">taking renin inhibitors, potassium-sparing diuretics, or </w:t>
      </w:r>
      <w:r w:rsidR="00EE4B5D" w:rsidRPr="00CF7D68">
        <w:t xml:space="preserve">other </w:t>
      </w:r>
      <w:r w:rsidR="00DC5A11" w:rsidRPr="00CF7D68">
        <w:t>MRAs</w:t>
      </w:r>
      <w:r w:rsidR="00EE4B5D" w:rsidRPr="00CF7D68">
        <w:t xml:space="preserve"> </w:t>
      </w:r>
      <w:r w:rsidR="008773E6" w:rsidRPr="00CF7D68">
        <w:t>and</w:t>
      </w:r>
      <w:r w:rsidR="00EE4B5D" w:rsidRPr="00CF7D68">
        <w:t xml:space="preserve"> patients with established </w:t>
      </w:r>
      <w:proofErr w:type="spellStart"/>
      <w:r w:rsidR="00EE4B5D" w:rsidRPr="00CF7D68">
        <w:t>HFrEF</w:t>
      </w:r>
      <w:proofErr w:type="spellEnd"/>
      <w:r w:rsidR="00EE4B5D" w:rsidRPr="00CF7D68">
        <w:t xml:space="preserve"> and an indication for a</w:t>
      </w:r>
      <w:r w:rsidR="00DC5A11" w:rsidRPr="00CF7D68">
        <w:t>n MRA</w:t>
      </w:r>
      <w:r w:rsidR="00EE4B5D" w:rsidRPr="00CF7D68">
        <w:t>.</w:t>
      </w:r>
      <w:bookmarkEnd w:id="9"/>
    </w:p>
    <w:p w14:paraId="5AE1CE6E" w14:textId="420B896D" w:rsidR="00790B2B" w:rsidRPr="00B23ADF" w:rsidRDefault="00790B2B" w:rsidP="00DC0B71">
      <w:pPr>
        <w:pStyle w:val="ExecSumBodyText"/>
        <w:ind w:left="709" w:hanging="709"/>
        <w:rPr>
          <w:bCs/>
        </w:rPr>
      </w:pPr>
      <w:bookmarkStart w:id="10" w:name="_Ref106103658"/>
      <w:r w:rsidRPr="00CF7D68">
        <w:t xml:space="preserve">The ESC noted that </w:t>
      </w:r>
      <w:r w:rsidR="00D15C4F" w:rsidRPr="00CF7D68">
        <w:t>time to kidney failure</w:t>
      </w:r>
      <w:r w:rsidRPr="00CF7D68">
        <w:t xml:space="preserve"> was a </w:t>
      </w:r>
      <w:r w:rsidR="00D15C4F" w:rsidRPr="00CF7D68">
        <w:t xml:space="preserve">component of </w:t>
      </w:r>
      <w:r w:rsidRPr="00CF7D68">
        <w:t>clinical endpoint</w:t>
      </w:r>
      <w:r w:rsidR="00D15C4F" w:rsidRPr="00CF7D68">
        <w:t>s</w:t>
      </w:r>
      <w:r w:rsidRPr="00CF7D68">
        <w:t xml:space="preserve"> in the pivotal trials</w:t>
      </w:r>
      <w:r w:rsidR="00D15C4F" w:rsidRPr="00CF7D68">
        <w:t xml:space="preserve">, and was defined as end-stage renal disease (ESRD) or a sustained eGFR &lt; 15 mL/min/1.73 m2 confirmed by a second measurement at ≥ 4 weeks after the initial measurement. </w:t>
      </w:r>
      <w:r w:rsidR="00331DA6" w:rsidRPr="00CF7D68">
        <w:t xml:space="preserve">The ESC </w:t>
      </w:r>
      <w:r w:rsidR="004B35A3" w:rsidRPr="00CF7D68">
        <w:t>also not</w:t>
      </w:r>
      <w:r w:rsidRPr="00CF7D68">
        <w:t xml:space="preserve">ed that the risk of hyperkalaemia increases substantially for patients </w:t>
      </w:r>
      <w:r w:rsidR="00331DA6" w:rsidRPr="00CF7D68">
        <w:t>with eGFR &lt; 15 mL/min/1.73 m2</w:t>
      </w:r>
      <w:r w:rsidRPr="00CF7D68">
        <w:t xml:space="preserve">. </w:t>
      </w:r>
      <w:bookmarkEnd w:id="10"/>
    </w:p>
    <w:p w14:paraId="3510E8DA" w14:textId="77777777" w:rsidR="00B23ADF" w:rsidRPr="00711D44" w:rsidRDefault="00B23ADF" w:rsidP="00B23ADF">
      <w:pPr>
        <w:pStyle w:val="ExecSumBodyText"/>
        <w:ind w:left="709" w:hanging="709"/>
        <w:rPr>
          <w:iCs/>
        </w:rPr>
      </w:pPr>
      <w:bookmarkStart w:id="11" w:name="_Ref110433274"/>
      <w:r w:rsidRPr="00CF7D68">
        <w:t>The ESC advised that it was appropriate for the restriction to require patients to have sustained evidence of CKD and to exclude patients with known significant non-diabetic renal disease, as it considered that this was consistent with the key trial eligibility criteria.</w:t>
      </w:r>
      <w:bookmarkEnd w:id="11"/>
      <w:r w:rsidRPr="00CF7D68">
        <w:t xml:space="preserve"> </w:t>
      </w:r>
    </w:p>
    <w:p w14:paraId="7F55B411" w14:textId="33BE2059" w:rsidR="00711D44" w:rsidRDefault="00C747E5" w:rsidP="00711D44">
      <w:pPr>
        <w:pStyle w:val="ExecSumBodyText"/>
        <w:ind w:left="709" w:hanging="709"/>
        <w:rPr>
          <w:iCs/>
        </w:rPr>
      </w:pPr>
      <w:r w:rsidRPr="00CF7D68">
        <w:rPr>
          <w:iCs/>
        </w:rPr>
        <w:t xml:space="preserve">The proposed restriction </w:t>
      </w:r>
      <w:r w:rsidR="00B23ADF">
        <w:rPr>
          <w:iCs/>
        </w:rPr>
        <w:t>did</w:t>
      </w:r>
      <w:r w:rsidR="00B23ADF" w:rsidRPr="00CF7D68">
        <w:rPr>
          <w:iCs/>
        </w:rPr>
        <w:t xml:space="preserve"> </w:t>
      </w:r>
      <w:r w:rsidRPr="00CF7D68">
        <w:rPr>
          <w:iCs/>
        </w:rPr>
        <w:t>not include any clinical criteria regarding the use of diabetic medications. It was unclear</w:t>
      </w:r>
      <w:r w:rsidR="00B23ADF">
        <w:rPr>
          <w:iCs/>
        </w:rPr>
        <w:t xml:space="preserve"> to the evaluation</w:t>
      </w:r>
      <w:r w:rsidRPr="00CF7D68">
        <w:rPr>
          <w:iCs/>
        </w:rPr>
        <w:t xml:space="preserve"> whether this was appropriate given </w:t>
      </w:r>
      <w:r w:rsidR="00D60673" w:rsidRPr="00CF7D68">
        <w:rPr>
          <w:iCs/>
        </w:rPr>
        <w:t xml:space="preserve">the proposed </w:t>
      </w:r>
      <w:r w:rsidR="00930D17" w:rsidRPr="00CF7D68">
        <w:rPr>
          <w:iCs/>
        </w:rPr>
        <w:t xml:space="preserve">second-line role for </w:t>
      </w:r>
      <w:proofErr w:type="spellStart"/>
      <w:r w:rsidR="00930D17" w:rsidRPr="00CF7D68">
        <w:rPr>
          <w:iCs/>
        </w:rPr>
        <w:t>finerenone</w:t>
      </w:r>
      <w:proofErr w:type="spellEnd"/>
      <w:r w:rsidR="00930D17" w:rsidRPr="00CF7D68">
        <w:rPr>
          <w:iCs/>
        </w:rPr>
        <w:t xml:space="preserve"> in patients already receiving standard care (lifestyle advice, </w:t>
      </w:r>
      <w:proofErr w:type="spellStart"/>
      <w:r w:rsidR="00930D17" w:rsidRPr="00CF7D68">
        <w:rPr>
          <w:iCs/>
        </w:rPr>
        <w:t>ACEi</w:t>
      </w:r>
      <w:proofErr w:type="spellEnd"/>
      <w:r w:rsidR="00930D17" w:rsidRPr="00CF7D68">
        <w:rPr>
          <w:iCs/>
        </w:rPr>
        <w:t xml:space="preserve"> or ARB treatment and standard diabetes management). The importance of glucose control </w:t>
      </w:r>
      <w:r w:rsidRPr="00CF7D68">
        <w:rPr>
          <w:iCs/>
        </w:rPr>
        <w:t>in the reduction of cardiorenal complications in diabetic kidney disease</w:t>
      </w:r>
      <w:r w:rsidR="00930D17" w:rsidRPr="00CF7D68">
        <w:rPr>
          <w:iCs/>
        </w:rPr>
        <w:t xml:space="preserve"> is well established and</w:t>
      </w:r>
      <w:r w:rsidRPr="00CF7D68">
        <w:rPr>
          <w:iCs/>
        </w:rPr>
        <w:t xml:space="preserve"> recent guideline recommendations indicate that optimisation of specific medications (SGTL2 inhibitors and </w:t>
      </w:r>
      <w:r w:rsidR="007715D3" w:rsidRPr="00CF7D68">
        <w:rPr>
          <w:iCs/>
        </w:rPr>
        <w:t>GLP1</w:t>
      </w:r>
      <w:r w:rsidRPr="00CF7D68">
        <w:rPr>
          <w:iCs/>
        </w:rPr>
        <w:t xml:space="preserve"> analogues) may further reduce complications in the target population</w:t>
      </w:r>
      <w:r w:rsidR="000C3C2F" w:rsidRPr="00CF7D68">
        <w:rPr>
          <w:iCs/>
        </w:rPr>
        <w:t xml:space="preserve"> (</w:t>
      </w:r>
      <w:r w:rsidR="00FD1DA0" w:rsidRPr="00CF7D68">
        <w:rPr>
          <w:iCs/>
        </w:rPr>
        <w:t>2020 Kidney Health Australia CKD Management in Primary Care Handbook, 2020 RACGP Management of Type 2 Diabetes Handbook, 2020 Kidney Disease Improving Global Outcomes Guidelines; 2022 American Diabetes Association Chronic Kidney Disease Guidelines, 2019 European Society of Cardiology/ European Association for the Study of Diabetes Guidelines on diabetes, pre-diabetes, and cardiovascular diseases</w:t>
      </w:r>
      <w:r w:rsidR="000C3C2F" w:rsidRPr="00CF7D68">
        <w:rPr>
          <w:iCs/>
        </w:rPr>
        <w:t>)</w:t>
      </w:r>
      <w:r w:rsidRPr="00CF7D68">
        <w:rPr>
          <w:iCs/>
        </w:rPr>
        <w:t>.</w:t>
      </w:r>
      <w:r w:rsidR="0053376D" w:rsidRPr="00CF7D68">
        <w:rPr>
          <w:iCs/>
        </w:rPr>
        <w:t xml:space="preserve"> </w:t>
      </w:r>
      <w:r w:rsidR="0053376D" w:rsidRPr="00CF7D68">
        <w:t xml:space="preserve">The </w:t>
      </w:r>
      <w:r w:rsidR="00024BE0">
        <w:t>Pre-Sub-Committee Response</w:t>
      </w:r>
      <w:r w:rsidR="00024BE0" w:rsidRPr="00CF7D68">
        <w:t xml:space="preserve"> </w:t>
      </w:r>
      <w:r w:rsidR="00024BE0">
        <w:t>(</w:t>
      </w:r>
      <w:r w:rsidR="0053376D" w:rsidRPr="00CF7D68">
        <w:t>PSCR</w:t>
      </w:r>
      <w:r w:rsidR="00024BE0">
        <w:t>)</w:t>
      </w:r>
      <w:r w:rsidR="0053376D" w:rsidRPr="00CF7D68">
        <w:t xml:space="preserve"> noted that management of glycaemic control in the key clinical trials followed the recommendation of local guidelines.</w:t>
      </w:r>
    </w:p>
    <w:p w14:paraId="46A61032" w14:textId="6690C071" w:rsidR="00711D44" w:rsidRPr="00CF7D68" w:rsidRDefault="00763611" w:rsidP="00711D44">
      <w:pPr>
        <w:pStyle w:val="ExecSumBodyText"/>
        <w:numPr>
          <w:ilvl w:val="0"/>
          <w:numId w:val="0"/>
        </w:numPr>
        <w:ind w:left="709"/>
        <w:rPr>
          <w:i/>
          <w:iCs/>
        </w:rPr>
      </w:pPr>
      <w:r w:rsidRPr="00CF7D68">
        <w:rPr>
          <w:i/>
          <w:iCs/>
        </w:rPr>
        <w:lastRenderedPageBreak/>
        <w:t>For more detail on PBAC’s view, see section 7 PBAC outcome.</w:t>
      </w:r>
    </w:p>
    <w:p w14:paraId="7075B85C" w14:textId="465D8EE2" w:rsidR="00B50DB8" w:rsidRPr="00CF7D68" w:rsidRDefault="00203181" w:rsidP="004E18E9">
      <w:pPr>
        <w:pStyle w:val="2-SectionHeading"/>
      </w:pPr>
      <w:bookmarkStart w:id="12" w:name="_Toc103772411"/>
      <w:r w:rsidRPr="00CF7D68">
        <w:t xml:space="preserve">Population and </w:t>
      </w:r>
      <w:r w:rsidR="008E0D3C" w:rsidRPr="00CF7D68">
        <w:t>d</w:t>
      </w:r>
      <w:r w:rsidRPr="00CF7D68">
        <w:t>isease</w:t>
      </w:r>
      <w:bookmarkEnd w:id="12"/>
    </w:p>
    <w:p w14:paraId="5C4F9788" w14:textId="1B38012A" w:rsidR="00C747E5" w:rsidRPr="00CF7D68" w:rsidRDefault="00C747E5" w:rsidP="001D0F2B">
      <w:pPr>
        <w:pStyle w:val="ExecSumBodyText"/>
        <w:ind w:left="709" w:hanging="709"/>
      </w:pPr>
      <w:r w:rsidRPr="00CF7D68">
        <w:t xml:space="preserve">Type 2 diabetes mellitus is </w:t>
      </w:r>
      <w:r w:rsidR="00063E39">
        <w:t xml:space="preserve">a </w:t>
      </w:r>
      <w:r w:rsidRPr="00CF7D68">
        <w:t>common chronic disease (affecting over one million Australians) characterised by high blood glucose levels due to inadequate insulin production and/or inadequate response of cells to insulin. Diabetic nephropathy is a common complication of diabetes with approximately 1 in</w:t>
      </w:r>
      <w:r w:rsidR="00DC0B71" w:rsidRPr="00CF7D68">
        <w:t> </w:t>
      </w:r>
      <w:r w:rsidRPr="00CF7D68">
        <w:t xml:space="preserve">3 adults with diabetes having </w:t>
      </w:r>
      <w:r w:rsidR="00DC0B71" w:rsidRPr="00CF7D68">
        <w:t>CKD</w:t>
      </w:r>
      <w:r w:rsidRPr="00CF7D68">
        <w:t xml:space="preserve">. </w:t>
      </w:r>
      <w:r w:rsidR="00DC0B71" w:rsidRPr="00CF7D68">
        <w:t>CKD</w:t>
      </w:r>
      <w:r w:rsidRPr="00CF7D68">
        <w:t xml:space="preserve"> is characterised by the gradual loss of kidney function over time which decreases the ability to filter waste products from the blood. The earlier stages of this condition are frequently asymptomatic but can progress over time with a variety of symptoms (e.g.</w:t>
      </w:r>
      <w:r w:rsidR="00DC0B71" w:rsidRPr="00CF7D68">
        <w:t> </w:t>
      </w:r>
      <w:r w:rsidRPr="00CF7D68">
        <w:t>tiredness, frequent urination, nausea and vomiting, itchiness, swelling) and complications (e.g. hypertension, heart failure and cardiomyopathy, anaemia, mineral and bone disorders, electrolyte abnormalities). At later stages, when the kidneys can no longer function on their own, people need kidney replacement therapy such as dialysis or kidney transplant to survive.</w:t>
      </w:r>
    </w:p>
    <w:p w14:paraId="5241AA8F" w14:textId="2BBFB187" w:rsidR="00C747E5" w:rsidRPr="00CF7D68" w:rsidRDefault="00C747E5" w:rsidP="00C747E5">
      <w:pPr>
        <w:pStyle w:val="ExecSumBodyText"/>
        <w:ind w:left="709" w:hanging="709"/>
      </w:pPr>
      <w:proofErr w:type="spellStart"/>
      <w:r w:rsidRPr="00CF7D68">
        <w:t>Finerenone</w:t>
      </w:r>
      <w:proofErr w:type="spellEnd"/>
      <w:r w:rsidRPr="00CF7D68">
        <w:t xml:space="preserve"> is </w:t>
      </w:r>
      <w:r w:rsidR="005E3336" w:rsidRPr="00CF7D68">
        <w:t xml:space="preserve">a </w:t>
      </w:r>
      <w:r w:rsidRPr="00CF7D68">
        <w:t xml:space="preserve">non-steroidal mineralocorticoid receptor antagonist that belongs to a broader group of drugs classified as potassium-sparing diuretics. </w:t>
      </w:r>
      <w:proofErr w:type="spellStart"/>
      <w:r w:rsidRPr="00CF7D68">
        <w:t>Finerenone</w:t>
      </w:r>
      <w:proofErr w:type="spellEnd"/>
      <w:r w:rsidRPr="00CF7D68">
        <w:t xml:space="preserve"> has a similar mechanism of action to existing steroidal mineralocorticoid receptor antagonists (such as spironolactone and eplerenone) and works by inhibiting mineralocorticoid receptor-mediated sodium reabsorption as well as mineralocorticoid receptor overactivation which may contribute to fibrosis and inflammation in both epithelial (kidney) and nonepithelial (heart and blood vessel) tissues. In contrast to existing steroidal agents, the submission note</w:t>
      </w:r>
      <w:r w:rsidR="005E3336" w:rsidRPr="00CF7D68">
        <w:t>d</w:t>
      </w:r>
      <w:r w:rsidRPr="00CF7D68">
        <w:t xml:space="preserve"> that </w:t>
      </w:r>
      <w:proofErr w:type="spellStart"/>
      <w:r w:rsidRPr="00CF7D68">
        <w:t>finerenone</w:t>
      </w:r>
      <w:proofErr w:type="spellEnd"/>
      <w:r w:rsidRPr="00CF7D68">
        <w:t xml:space="preserve"> has no relevant affinity for androgen, progesterone, </w:t>
      </w:r>
      <w:proofErr w:type="gramStart"/>
      <w:r w:rsidRPr="00CF7D68">
        <w:t>oestrogen</w:t>
      </w:r>
      <w:proofErr w:type="gramEnd"/>
      <w:r w:rsidRPr="00CF7D68">
        <w:t xml:space="preserve"> and glucocorticoid receptors and does not cause sex hormone-related adverse events (e.g.</w:t>
      </w:r>
      <w:r w:rsidR="005F52D5" w:rsidRPr="00CF7D68">
        <w:t> </w:t>
      </w:r>
      <w:r w:rsidRPr="00CF7D68">
        <w:t>gynaecomastia).</w:t>
      </w:r>
    </w:p>
    <w:p w14:paraId="336F0C8A" w14:textId="768D3506" w:rsidR="00C747E5" w:rsidRPr="00CF7D68" w:rsidRDefault="00C747E5" w:rsidP="00C747E5">
      <w:pPr>
        <w:pStyle w:val="ExecSumBodyText"/>
        <w:ind w:left="709" w:hanging="709"/>
      </w:pPr>
      <w:bookmarkStart w:id="13" w:name="_Hlk110597157"/>
      <w:r w:rsidRPr="00CF7D68">
        <w:t xml:space="preserve">The submission positioned </w:t>
      </w:r>
      <w:proofErr w:type="spellStart"/>
      <w:r w:rsidRPr="00CF7D68">
        <w:t>finerenone</w:t>
      </w:r>
      <w:proofErr w:type="spellEnd"/>
      <w:r w:rsidRPr="00CF7D68">
        <w:t xml:space="preserve"> as an additional line of therapy after lifestyle advice, </w:t>
      </w:r>
      <w:proofErr w:type="spellStart"/>
      <w:r w:rsidRPr="00CF7D68">
        <w:t>ACEi</w:t>
      </w:r>
      <w:proofErr w:type="spellEnd"/>
      <w:r w:rsidRPr="00CF7D68">
        <w:t xml:space="preserve"> or ARB treatment and standard diabetes management in patients with diabetic kidney disease who have persistent high-to-very high albuminuria levels</w:t>
      </w:r>
      <w:bookmarkEnd w:id="13"/>
      <w:r w:rsidRPr="00CF7D68">
        <w:t xml:space="preserve">. </w:t>
      </w:r>
      <w:r w:rsidR="00B23ADF">
        <w:t>At the time of PBAC consideration,</w:t>
      </w:r>
      <w:r w:rsidR="00A057BA" w:rsidRPr="00CF7D68">
        <w:rPr>
          <w:iCs/>
        </w:rPr>
        <w:t xml:space="preserve"> </w:t>
      </w:r>
      <w:r w:rsidR="00B23ADF">
        <w:rPr>
          <w:iCs/>
        </w:rPr>
        <w:t>t</w:t>
      </w:r>
      <w:r w:rsidR="00A057BA" w:rsidRPr="00CF7D68">
        <w:rPr>
          <w:iCs/>
        </w:rPr>
        <w:t xml:space="preserve">he only </w:t>
      </w:r>
      <w:r w:rsidR="00B23ADF">
        <w:rPr>
          <w:iCs/>
        </w:rPr>
        <w:t xml:space="preserve">major </w:t>
      </w:r>
      <w:r w:rsidR="00A057BA" w:rsidRPr="00CF7D68">
        <w:rPr>
          <w:iCs/>
        </w:rPr>
        <w:t>clinical guidelines which specifically include</w:t>
      </w:r>
      <w:r w:rsidR="00B23ADF">
        <w:rPr>
          <w:iCs/>
        </w:rPr>
        <w:t>d</w:t>
      </w:r>
      <w:r w:rsidR="00A057BA" w:rsidRPr="00CF7D68">
        <w:rPr>
          <w:iCs/>
        </w:rPr>
        <w:t xml:space="preserve"> </w:t>
      </w:r>
      <w:proofErr w:type="spellStart"/>
      <w:r w:rsidR="00A057BA" w:rsidRPr="00CF7D68">
        <w:rPr>
          <w:iCs/>
        </w:rPr>
        <w:t>finerenone</w:t>
      </w:r>
      <w:proofErr w:type="spellEnd"/>
      <w:r w:rsidR="00A057BA" w:rsidRPr="00CF7D68">
        <w:rPr>
          <w:iCs/>
        </w:rPr>
        <w:t xml:space="preserve"> </w:t>
      </w:r>
      <w:r w:rsidR="00B23ADF">
        <w:rPr>
          <w:iCs/>
        </w:rPr>
        <w:t>were</w:t>
      </w:r>
      <w:r w:rsidR="00A057BA" w:rsidRPr="00CF7D68">
        <w:rPr>
          <w:iCs/>
        </w:rPr>
        <w:t xml:space="preserve"> the 2022 American Diabetes Association Chronic Kidney Disease Guidelines, which position it as a treatment option in patients who are at increased risk of cardiovascular events or chronic kidney disease progression or are unable to use an SGLT2 inhibitor.</w:t>
      </w:r>
      <w:r w:rsidR="00534204">
        <w:rPr>
          <w:iCs/>
        </w:rPr>
        <w:t xml:space="preserve"> The March 2022 public review </w:t>
      </w:r>
      <w:bookmarkStart w:id="14" w:name="_Hlk111211411"/>
      <w:r w:rsidR="00534204">
        <w:rPr>
          <w:iCs/>
        </w:rPr>
        <w:t xml:space="preserve">draft of the </w:t>
      </w:r>
      <w:r w:rsidR="00534204" w:rsidRPr="007A0637">
        <w:rPr>
          <w:iCs/>
        </w:rPr>
        <w:t xml:space="preserve">KDIGO 2022 Clinical </w:t>
      </w:r>
      <w:r w:rsidR="007A0637" w:rsidRPr="007A0637">
        <w:rPr>
          <w:iCs/>
        </w:rPr>
        <w:t>P</w:t>
      </w:r>
      <w:r w:rsidR="00534204" w:rsidRPr="007A0637">
        <w:rPr>
          <w:iCs/>
        </w:rPr>
        <w:t xml:space="preserve">ractice </w:t>
      </w:r>
      <w:r w:rsidR="007A0637" w:rsidRPr="007A0637">
        <w:rPr>
          <w:iCs/>
        </w:rPr>
        <w:t>G</w:t>
      </w:r>
      <w:r w:rsidR="00534204" w:rsidRPr="007A0637">
        <w:rPr>
          <w:iCs/>
        </w:rPr>
        <w:t xml:space="preserve">uideline for </w:t>
      </w:r>
      <w:r w:rsidR="007A0637" w:rsidRPr="007A0637">
        <w:rPr>
          <w:iCs/>
        </w:rPr>
        <w:t>D</w:t>
      </w:r>
      <w:r w:rsidR="00534204" w:rsidRPr="007A0637">
        <w:rPr>
          <w:iCs/>
        </w:rPr>
        <w:t xml:space="preserve">iabetes </w:t>
      </w:r>
      <w:r w:rsidR="007A0637" w:rsidRPr="007A0637">
        <w:rPr>
          <w:iCs/>
        </w:rPr>
        <w:t>M</w:t>
      </w:r>
      <w:r w:rsidR="00534204" w:rsidRPr="007A0637">
        <w:rPr>
          <w:iCs/>
        </w:rPr>
        <w:t xml:space="preserve">anagement in </w:t>
      </w:r>
      <w:r w:rsidR="007A0637" w:rsidRPr="007A0637">
        <w:rPr>
          <w:iCs/>
        </w:rPr>
        <w:t>C</w:t>
      </w:r>
      <w:r w:rsidR="00534204" w:rsidRPr="007A0637">
        <w:rPr>
          <w:iCs/>
        </w:rPr>
        <w:t xml:space="preserve">hronic </w:t>
      </w:r>
      <w:r w:rsidR="007A0637" w:rsidRPr="007A0637">
        <w:rPr>
          <w:iCs/>
        </w:rPr>
        <w:t>K</w:t>
      </w:r>
      <w:r w:rsidR="00534204" w:rsidRPr="007A0637">
        <w:rPr>
          <w:iCs/>
        </w:rPr>
        <w:t xml:space="preserve">idney </w:t>
      </w:r>
      <w:r w:rsidR="007A0637" w:rsidRPr="007A0637">
        <w:rPr>
          <w:iCs/>
        </w:rPr>
        <w:t>D</w:t>
      </w:r>
      <w:r w:rsidR="00534204" w:rsidRPr="007A0637">
        <w:rPr>
          <w:iCs/>
        </w:rPr>
        <w:t>isease</w:t>
      </w:r>
      <w:r w:rsidR="00534204">
        <w:rPr>
          <w:iCs/>
        </w:rPr>
        <w:t xml:space="preserve"> </w:t>
      </w:r>
      <w:bookmarkEnd w:id="14"/>
      <w:r w:rsidR="00534204">
        <w:rPr>
          <w:iCs/>
        </w:rPr>
        <w:t xml:space="preserve">also positioned nonsteroidal MRAs (i.e. </w:t>
      </w:r>
      <w:proofErr w:type="spellStart"/>
      <w:r w:rsidR="00534204">
        <w:rPr>
          <w:iCs/>
        </w:rPr>
        <w:t>finerenone</w:t>
      </w:r>
      <w:proofErr w:type="spellEnd"/>
      <w:r w:rsidR="00534204">
        <w:rPr>
          <w:iCs/>
        </w:rPr>
        <w:t xml:space="preserve">) as ‘most appropriate for patients with T2D [type 2 diabetes] who are at high risk of CKD progression and cardiovascular events, as demonstrated by persistent albuminuria despite other standard of care therapies’ and state that ‘in general, </w:t>
      </w:r>
      <w:proofErr w:type="spellStart"/>
      <w:r w:rsidR="00534204">
        <w:rPr>
          <w:iCs/>
        </w:rPr>
        <w:t>SGLTi</w:t>
      </w:r>
      <w:proofErr w:type="spellEnd"/>
      <w:r w:rsidR="00534204">
        <w:rPr>
          <w:iCs/>
        </w:rPr>
        <w:t xml:space="preserve"> should be initiated prior to adding a nonsteroidal MRA for treatment of T2D and CKD’.</w:t>
      </w:r>
    </w:p>
    <w:p w14:paraId="681A6037" w14:textId="2D799E96" w:rsidR="00982037" w:rsidRPr="00CF7D68" w:rsidRDefault="00982037" w:rsidP="00C747E5">
      <w:pPr>
        <w:pStyle w:val="ExecSumBodyText"/>
        <w:ind w:left="709" w:hanging="709"/>
      </w:pPr>
      <w:r w:rsidRPr="00CF7D68">
        <w:lastRenderedPageBreak/>
        <w:t>The submission claimed that there is a clinical need for additional treatment options in diabetic kidney disease with different mechanisms of action that complement existing treatment strategies.</w:t>
      </w:r>
      <w:r w:rsidR="00F545A7" w:rsidRPr="00CF7D68">
        <w:t xml:space="preserve"> </w:t>
      </w:r>
    </w:p>
    <w:p w14:paraId="2DC5B144" w14:textId="72314DDB" w:rsidR="00763611" w:rsidRPr="00CF7D68" w:rsidRDefault="00763611" w:rsidP="00763611">
      <w:pPr>
        <w:pStyle w:val="ExecSumBodyText"/>
        <w:numPr>
          <w:ilvl w:val="0"/>
          <w:numId w:val="0"/>
        </w:numPr>
        <w:rPr>
          <w:i/>
          <w:iCs/>
        </w:rPr>
      </w:pPr>
      <w:r w:rsidRPr="00CF7D68">
        <w:rPr>
          <w:i/>
          <w:iCs/>
        </w:rPr>
        <w:t>For more detail on PBAC’s view, see section 7 PBAC outcome.</w:t>
      </w:r>
    </w:p>
    <w:p w14:paraId="51E5AE96" w14:textId="30ED3810" w:rsidR="00B50DB8" w:rsidRPr="00CF7D68" w:rsidRDefault="00B50DB8" w:rsidP="004E18E9">
      <w:pPr>
        <w:pStyle w:val="2-SectionHeading"/>
      </w:pPr>
      <w:bookmarkStart w:id="15" w:name="_Toc103772412"/>
      <w:r w:rsidRPr="00CF7D68">
        <w:t>Comparator</w:t>
      </w:r>
      <w:bookmarkEnd w:id="15"/>
    </w:p>
    <w:p w14:paraId="612741BD" w14:textId="1B024930" w:rsidR="00930D17" w:rsidRPr="00CF7D68" w:rsidRDefault="00930D17" w:rsidP="00930D17">
      <w:pPr>
        <w:pStyle w:val="ExecSumBodyText"/>
        <w:ind w:left="709" w:hanging="709"/>
        <w:rPr>
          <w:iCs/>
          <w:snapToGrid/>
        </w:rPr>
      </w:pPr>
      <w:r w:rsidRPr="00CF7D68">
        <w:rPr>
          <w:snapToGrid/>
        </w:rPr>
        <w:t xml:space="preserve">The submission nominated placebo </w:t>
      </w:r>
      <w:r w:rsidR="009A3305" w:rsidRPr="00CF7D68">
        <w:rPr>
          <w:snapToGrid/>
        </w:rPr>
        <w:t>(</w:t>
      </w:r>
      <w:r w:rsidRPr="00CF7D68">
        <w:rPr>
          <w:snapToGrid/>
        </w:rPr>
        <w:t>standard of care) as the main comparator. The main argument provided in support of this nomination was th</w:t>
      </w:r>
      <w:r w:rsidR="00EC6330" w:rsidRPr="00CF7D68">
        <w:rPr>
          <w:snapToGrid/>
        </w:rPr>
        <w:t>at</w:t>
      </w:r>
      <w:r w:rsidRPr="00CF7D68">
        <w:rPr>
          <w:snapToGrid/>
        </w:rPr>
        <w:t xml:space="preserve"> </w:t>
      </w:r>
      <w:proofErr w:type="spellStart"/>
      <w:r w:rsidRPr="00CF7D68">
        <w:rPr>
          <w:snapToGrid/>
        </w:rPr>
        <w:t>finerenone</w:t>
      </w:r>
      <w:proofErr w:type="spellEnd"/>
      <w:r w:rsidRPr="00CF7D68">
        <w:rPr>
          <w:snapToGrid/>
        </w:rPr>
        <w:t xml:space="preserve"> offers an alternative mechanism of action and would be used in addition to the current standard of care for diabetic kidney disease (</w:t>
      </w:r>
      <w:proofErr w:type="spellStart"/>
      <w:r w:rsidRPr="00CF7D68">
        <w:rPr>
          <w:snapToGrid/>
        </w:rPr>
        <w:t>ACEi</w:t>
      </w:r>
      <w:proofErr w:type="spellEnd"/>
      <w:r w:rsidRPr="00CF7D68">
        <w:rPr>
          <w:snapToGrid/>
        </w:rPr>
        <w:t xml:space="preserve"> or ARB with anti-diabetic agents used for glycaemic control) and therefore would not replace existing therapies. </w:t>
      </w:r>
    </w:p>
    <w:p w14:paraId="58353C1E" w14:textId="349AB83F" w:rsidR="00930D17" w:rsidRPr="00CF7D68" w:rsidRDefault="00930D17" w:rsidP="00930D17">
      <w:pPr>
        <w:pStyle w:val="ExecSumBodyText"/>
        <w:ind w:left="709" w:hanging="709"/>
        <w:rPr>
          <w:iCs/>
          <w:snapToGrid/>
        </w:rPr>
      </w:pPr>
      <w:r w:rsidRPr="00CF7D68">
        <w:rPr>
          <w:snapToGrid/>
        </w:rPr>
        <w:t>The submission argued against SGLT2 inhibitors (such as dapagliflozin and empagliflozin) being considered as comparators on the basis that</w:t>
      </w:r>
      <w:r w:rsidR="00C64B81" w:rsidRPr="00CF7D68">
        <w:rPr>
          <w:snapToGrid/>
        </w:rPr>
        <w:t>,</w:t>
      </w:r>
      <w:r w:rsidRPr="00CF7D68">
        <w:rPr>
          <w:snapToGrid/>
        </w:rPr>
        <w:t xml:space="preserve"> while they are recommended for the management of diabetic kidney disease in current treatment guidelines</w:t>
      </w:r>
      <w:r w:rsidR="00C64B81" w:rsidRPr="00CF7D68">
        <w:rPr>
          <w:snapToGrid/>
        </w:rPr>
        <w:t>,</w:t>
      </w:r>
      <w:r w:rsidRPr="00CF7D68">
        <w:rPr>
          <w:snapToGrid/>
        </w:rPr>
        <w:t xml:space="preserve"> they are also established anti-diabetic agents used for glycaemic control and are therefore </w:t>
      </w:r>
      <w:r w:rsidR="0094111C" w:rsidRPr="00CF7D68">
        <w:rPr>
          <w:snapToGrid/>
        </w:rPr>
        <w:t xml:space="preserve">more </w:t>
      </w:r>
      <w:r w:rsidRPr="00CF7D68">
        <w:rPr>
          <w:snapToGrid/>
        </w:rPr>
        <w:t xml:space="preserve">likely to be considered as part of standard of care. </w:t>
      </w:r>
      <w:r w:rsidR="005F52D5" w:rsidRPr="00CF7D68">
        <w:rPr>
          <w:iCs/>
          <w:snapToGrid/>
        </w:rPr>
        <w:t>The ESC considered that t</w:t>
      </w:r>
      <w:r w:rsidRPr="00CF7D68">
        <w:rPr>
          <w:iCs/>
          <w:snapToGrid/>
        </w:rPr>
        <w:t>his argument appeared reasonable</w:t>
      </w:r>
      <w:r w:rsidR="00B23ADF">
        <w:rPr>
          <w:iCs/>
          <w:snapToGrid/>
        </w:rPr>
        <w:t>,</w:t>
      </w:r>
      <w:r w:rsidR="00540911" w:rsidRPr="00CF7D68">
        <w:rPr>
          <w:iCs/>
          <w:snapToGrid/>
        </w:rPr>
        <w:t xml:space="preserve"> </w:t>
      </w:r>
      <w:r w:rsidR="00440139" w:rsidRPr="00CF7D68">
        <w:rPr>
          <w:snapToGrid/>
        </w:rPr>
        <w:t>advising</w:t>
      </w:r>
      <w:r w:rsidR="00540911" w:rsidRPr="00CF7D68">
        <w:rPr>
          <w:snapToGrid/>
        </w:rPr>
        <w:t xml:space="preserve"> that</w:t>
      </w:r>
      <w:r w:rsidR="00A576D5" w:rsidRPr="00CF7D68">
        <w:rPr>
          <w:snapToGrid/>
        </w:rPr>
        <w:t xml:space="preserve"> most</w:t>
      </w:r>
      <w:r w:rsidR="00540911" w:rsidRPr="00CF7D68">
        <w:rPr>
          <w:snapToGrid/>
        </w:rPr>
        <w:t xml:space="preserve"> </w:t>
      </w:r>
      <w:r w:rsidR="00440139" w:rsidRPr="00CF7D68">
        <w:rPr>
          <w:snapToGrid/>
        </w:rPr>
        <w:t xml:space="preserve">patients would receive an SGLT2 inhibitor prior to being considered for </w:t>
      </w:r>
      <w:proofErr w:type="spellStart"/>
      <w:r w:rsidR="00440139" w:rsidRPr="00CF7D68">
        <w:rPr>
          <w:snapToGrid/>
        </w:rPr>
        <w:t>finerenone</w:t>
      </w:r>
      <w:proofErr w:type="spellEnd"/>
      <w:r w:rsidRPr="00CF7D68">
        <w:rPr>
          <w:iCs/>
          <w:snapToGrid/>
        </w:rPr>
        <w:t>.</w:t>
      </w:r>
    </w:p>
    <w:p w14:paraId="637850C4" w14:textId="708D1FFB" w:rsidR="00930D17" w:rsidRPr="00CF7D68" w:rsidRDefault="00930D17" w:rsidP="00930D17">
      <w:pPr>
        <w:pStyle w:val="ExecSumBodyText"/>
        <w:ind w:left="709" w:hanging="709"/>
        <w:rPr>
          <w:iCs/>
          <w:snapToGrid/>
        </w:rPr>
      </w:pPr>
      <w:r w:rsidRPr="00CF7D68">
        <w:rPr>
          <w:snapToGrid/>
        </w:rPr>
        <w:t xml:space="preserve">The submission did not consider steroidal </w:t>
      </w:r>
      <w:r w:rsidR="0086134A" w:rsidRPr="00CF7D68">
        <w:rPr>
          <w:snapToGrid/>
        </w:rPr>
        <w:t>MRAs</w:t>
      </w:r>
      <w:r w:rsidRPr="00CF7D68">
        <w:rPr>
          <w:snapToGrid/>
        </w:rPr>
        <w:t xml:space="preserve"> (such as spironolactone and eplerenone) as potential comparators. </w:t>
      </w:r>
      <w:r w:rsidRPr="00CF7D68">
        <w:rPr>
          <w:iCs/>
          <w:snapToGrid/>
        </w:rPr>
        <w:t xml:space="preserve">This </w:t>
      </w:r>
      <w:r w:rsidR="005D1AA4">
        <w:rPr>
          <w:iCs/>
          <w:snapToGrid/>
        </w:rPr>
        <w:t xml:space="preserve">evaluation considered that this </w:t>
      </w:r>
      <w:r w:rsidRPr="00CF7D68">
        <w:rPr>
          <w:iCs/>
          <w:snapToGrid/>
        </w:rPr>
        <w:t xml:space="preserve">may be reasonable given that there is a lack of data for their use in diabetic kidney disease and they are not identified as recommended treatment options in current treatment guidelines. However, </w:t>
      </w:r>
      <w:r w:rsidR="005D1AA4">
        <w:rPr>
          <w:iCs/>
          <w:snapToGrid/>
        </w:rPr>
        <w:t xml:space="preserve">the evaluation also noted that </w:t>
      </w:r>
      <w:r w:rsidRPr="00CF7D68">
        <w:rPr>
          <w:iCs/>
          <w:snapToGrid/>
        </w:rPr>
        <w:t xml:space="preserve">a substantial proportion of patients with diabetic kidney disease are likely to also have comorbid heart failure and/or treatment-resistant essential hypertension for which steroidal </w:t>
      </w:r>
      <w:r w:rsidR="0086134A" w:rsidRPr="00CF7D68">
        <w:rPr>
          <w:iCs/>
          <w:snapToGrid/>
        </w:rPr>
        <w:t>MRAs</w:t>
      </w:r>
      <w:r w:rsidRPr="00CF7D68">
        <w:rPr>
          <w:iCs/>
          <w:snapToGrid/>
        </w:rPr>
        <w:t xml:space="preserve"> are recommended treatment options and therefore the listing of </w:t>
      </w:r>
      <w:proofErr w:type="spellStart"/>
      <w:r w:rsidRPr="00CF7D68">
        <w:rPr>
          <w:iCs/>
          <w:snapToGrid/>
        </w:rPr>
        <w:t>finerenone</w:t>
      </w:r>
      <w:proofErr w:type="spellEnd"/>
      <w:r w:rsidRPr="00CF7D68">
        <w:rPr>
          <w:iCs/>
          <w:snapToGrid/>
        </w:rPr>
        <w:t xml:space="preserve"> has the potential to displace these therapies in this subgroup of patients.</w:t>
      </w:r>
      <w:r w:rsidR="0086134A" w:rsidRPr="00CF7D68">
        <w:rPr>
          <w:iCs/>
          <w:snapToGrid/>
        </w:rPr>
        <w:t xml:space="preserve"> </w:t>
      </w:r>
      <w:r w:rsidR="0086134A" w:rsidRPr="00CF7D68">
        <w:rPr>
          <w:snapToGrid/>
        </w:rPr>
        <w:t xml:space="preserve">The ESC considered that </w:t>
      </w:r>
      <w:r w:rsidR="0086134A" w:rsidRPr="00CF7D68">
        <w:rPr>
          <w:iCs/>
          <w:snapToGrid/>
        </w:rPr>
        <w:t xml:space="preserve">the restriction should explicitly exclude patients on other MRAs or patients with established </w:t>
      </w:r>
      <w:proofErr w:type="spellStart"/>
      <w:r w:rsidR="0086134A" w:rsidRPr="00CF7D68">
        <w:rPr>
          <w:iCs/>
          <w:snapToGrid/>
        </w:rPr>
        <w:t>HFrEF</w:t>
      </w:r>
      <w:proofErr w:type="spellEnd"/>
      <w:r w:rsidR="0086134A" w:rsidRPr="00CF7D68">
        <w:rPr>
          <w:iCs/>
          <w:snapToGrid/>
        </w:rPr>
        <w:t xml:space="preserve"> and an indication for an MRA, which would prevent this displacement. </w:t>
      </w:r>
    </w:p>
    <w:p w14:paraId="53830CE2" w14:textId="64D17A09" w:rsidR="00763611" w:rsidRPr="00CF7D68" w:rsidRDefault="00763611" w:rsidP="00763611">
      <w:pPr>
        <w:pStyle w:val="ExecSumBodyText"/>
        <w:numPr>
          <w:ilvl w:val="0"/>
          <w:numId w:val="0"/>
        </w:numPr>
        <w:rPr>
          <w:i/>
          <w:iCs/>
        </w:rPr>
      </w:pPr>
      <w:r w:rsidRPr="00CF7D68">
        <w:rPr>
          <w:i/>
          <w:iCs/>
        </w:rPr>
        <w:t>For more detail on PBAC’s view, see section 7 PBAC outcome.</w:t>
      </w:r>
    </w:p>
    <w:p w14:paraId="7F9C27C8" w14:textId="77777777" w:rsidR="00223D5A" w:rsidRPr="00CF7D68" w:rsidRDefault="00223D5A" w:rsidP="00223D5A">
      <w:pPr>
        <w:pStyle w:val="2-SectionHeading"/>
        <w:numPr>
          <w:ilvl w:val="0"/>
          <w:numId w:val="1"/>
        </w:numPr>
      </w:pPr>
      <w:bookmarkStart w:id="16" w:name="_Toc103772413"/>
      <w:bookmarkStart w:id="17" w:name="_Toc22897640"/>
      <w:r w:rsidRPr="00CF7D68">
        <w:t>Consideration of the evidence</w:t>
      </w:r>
      <w:bookmarkEnd w:id="16"/>
    </w:p>
    <w:p w14:paraId="31E3070C" w14:textId="77777777" w:rsidR="003B126F" w:rsidRPr="00CF7D68" w:rsidRDefault="003B126F" w:rsidP="003B126F">
      <w:pPr>
        <w:pStyle w:val="3-SubsectionHeading"/>
      </w:pPr>
      <w:bookmarkStart w:id="18" w:name="_Hlk76375935"/>
      <w:bookmarkStart w:id="19" w:name="_Toc103772414"/>
      <w:r w:rsidRPr="00CF7D68">
        <w:t>Sponsor hearing</w:t>
      </w:r>
    </w:p>
    <w:p w14:paraId="0F3217BE" w14:textId="2FDEB62B" w:rsidR="0086512E" w:rsidRPr="00CF7D68" w:rsidRDefault="002E0FFF" w:rsidP="003B126F">
      <w:pPr>
        <w:widowControl w:val="0"/>
        <w:numPr>
          <w:ilvl w:val="1"/>
          <w:numId w:val="1"/>
        </w:numPr>
        <w:spacing w:after="120"/>
        <w:ind w:left="720" w:hanging="720"/>
        <w:rPr>
          <w:rFonts w:asciiTheme="minorHAnsi" w:hAnsiTheme="minorHAnsi"/>
          <w:bCs/>
          <w:snapToGrid w:val="0"/>
        </w:rPr>
      </w:pPr>
      <w:bookmarkStart w:id="20" w:name="_Hlk76382586"/>
      <w:r w:rsidRPr="00CF7D68">
        <w:rPr>
          <w:rFonts w:asciiTheme="minorHAnsi" w:hAnsiTheme="minorHAnsi"/>
          <w:bCs/>
          <w:snapToGrid w:val="0"/>
        </w:rPr>
        <w:t>The sponsor requested a hearing for this item. The clinician discussed the burden of disease</w:t>
      </w:r>
      <w:r w:rsidR="00E03D3C" w:rsidRPr="00CF7D68">
        <w:rPr>
          <w:rFonts w:asciiTheme="minorHAnsi" w:hAnsiTheme="minorHAnsi"/>
          <w:bCs/>
          <w:snapToGrid w:val="0"/>
        </w:rPr>
        <w:t xml:space="preserve">, the mechanism of action of </w:t>
      </w:r>
      <w:proofErr w:type="spellStart"/>
      <w:r w:rsidR="00E03D3C" w:rsidRPr="00CF7D68">
        <w:rPr>
          <w:rFonts w:asciiTheme="minorHAnsi" w:hAnsiTheme="minorHAnsi"/>
          <w:bCs/>
          <w:snapToGrid w:val="0"/>
        </w:rPr>
        <w:t>finerenone</w:t>
      </w:r>
      <w:proofErr w:type="spellEnd"/>
      <w:r w:rsidR="00E03D3C" w:rsidRPr="00CF7D68">
        <w:rPr>
          <w:rFonts w:asciiTheme="minorHAnsi" w:hAnsiTheme="minorHAnsi"/>
          <w:bCs/>
          <w:snapToGrid w:val="0"/>
        </w:rPr>
        <w:t xml:space="preserve">, </w:t>
      </w:r>
      <w:r w:rsidR="004B48D8" w:rsidRPr="00CF7D68">
        <w:rPr>
          <w:rFonts w:asciiTheme="minorHAnsi" w:hAnsiTheme="minorHAnsi"/>
          <w:bCs/>
          <w:snapToGrid w:val="0"/>
        </w:rPr>
        <w:t xml:space="preserve">outlined </w:t>
      </w:r>
      <w:r w:rsidR="00E03D3C" w:rsidRPr="00CF7D68">
        <w:rPr>
          <w:rFonts w:asciiTheme="minorHAnsi" w:hAnsiTheme="minorHAnsi"/>
          <w:bCs/>
          <w:snapToGrid w:val="0"/>
        </w:rPr>
        <w:t>the pivotal clinical trials,</w:t>
      </w:r>
      <w:r w:rsidRPr="00CF7D68">
        <w:rPr>
          <w:rFonts w:asciiTheme="minorHAnsi" w:hAnsiTheme="minorHAnsi"/>
          <w:bCs/>
          <w:snapToGrid w:val="0"/>
        </w:rPr>
        <w:t xml:space="preserve"> </w:t>
      </w:r>
      <w:r w:rsidR="00756369" w:rsidRPr="00CF7D68">
        <w:rPr>
          <w:rFonts w:asciiTheme="minorHAnsi" w:hAnsiTheme="minorHAnsi"/>
          <w:bCs/>
          <w:snapToGrid w:val="0"/>
        </w:rPr>
        <w:t xml:space="preserve">and </w:t>
      </w:r>
      <w:r w:rsidR="00E03D3C" w:rsidRPr="00CF7D68">
        <w:rPr>
          <w:rFonts w:asciiTheme="minorHAnsi" w:hAnsiTheme="minorHAnsi"/>
          <w:bCs/>
          <w:snapToGrid w:val="0"/>
        </w:rPr>
        <w:t xml:space="preserve">how </w:t>
      </w:r>
      <w:proofErr w:type="spellStart"/>
      <w:r w:rsidR="00E03D3C" w:rsidRPr="00CF7D68">
        <w:rPr>
          <w:rFonts w:asciiTheme="minorHAnsi" w:hAnsiTheme="minorHAnsi"/>
          <w:bCs/>
          <w:snapToGrid w:val="0"/>
        </w:rPr>
        <w:t>finerenone</w:t>
      </w:r>
      <w:proofErr w:type="spellEnd"/>
      <w:r w:rsidR="00E03D3C" w:rsidRPr="00CF7D68">
        <w:rPr>
          <w:rFonts w:asciiTheme="minorHAnsi" w:hAnsiTheme="minorHAnsi"/>
          <w:bCs/>
          <w:snapToGrid w:val="0"/>
        </w:rPr>
        <w:t xml:space="preserve"> would be used in clinical practice.</w:t>
      </w:r>
      <w:r w:rsidR="00756369" w:rsidRPr="00CF7D68">
        <w:rPr>
          <w:rFonts w:asciiTheme="minorHAnsi" w:hAnsiTheme="minorHAnsi"/>
          <w:bCs/>
          <w:snapToGrid w:val="0"/>
        </w:rPr>
        <w:t xml:space="preserve"> The clinician stated that </w:t>
      </w:r>
      <w:proofErr w:type="spellStart"/>
      <w:r w:rsidR="00756369" w:rsidRPr="00CF7D68">
        <w:rPr>
          <w:rFonts w:asciiTheme="minorHAnsi" w:hAnsiTheme="minorHAnsi"/>
          <w:bCs/>
          <w:snapToGrid w:val="0"/>
        </w:rPr>
        <w:t>finerenone</w:t>
      </w:r>
      <w:proofErr w:type="spellEnd"/>
      <w:r w:rsidR="00756369" w:rsidRPr="00CF7D68">
        <w:rPr>
          <w:rFonts w:asciiTheme="minorHAnsi" w:hAnsiTheme="minorHAnsi"/>
          <w:bCs/>
          <w:snapToGrid w:val="0"/>
        </w:rPr>
        <w:t xml:space="preserve"> ha</w:t>
      </w:r>
      <w:r w:rsidR="00383873" w:rsidRPr="00CF7D68">
        <w:rPr>
          <w:rFonts w:asciiTheme="minorHAnsi" w:hAnsiTheme="minorHAnsi"/>
          <w:bCs/>
          <w:snapToGrid w:val="0"/>
        </w:rPr>
        <w:t>s</w:t>
      </w:r>
      <w:r w:rsidR="00756369" w:rsidRPr="00CF7D68">
        <w:rPr>
          <w:rFonts w:asciiTheme="minorHAnsi" w:hAnsiTheme="minorHAnsi"/>
          <w:bCs/>
          <w:snapToGrid w:val="0"/>
        </w:rPr>
        <w:t xml:space="preserve"> a complimentary mechanism of action to the current standard care medications (ACE inhibitor or ARB and SGLT2</w:t>
      </w:r>
      <w:r w:rsidR="005D1AA4">
        <w:rPr>
          <w:rFonts w:asciiTheme="minorHAnsi" w:hAnsiTheme="minorHAnsi"/>
          <w:bCs/>
          <w:snapToGrid w:val="0"/>
        </w:rPr>
        <w:t xml:space="preserve"> </w:t>
      </w:r>
      <w:r w:rsidR="00756369" w:rsidRPr="00CF7D68">
        <w:rPr>
          <w:rFonts w:asciiTheme="minorHAnsi" w:hAnsiTheme="minorHAnsi"/>
          <w:bCs/>
          <w:snapToGrid w:val="0"/>
        </w:rPr>
        <w:t>i</w:t>
      </w:r>
      <w:r w:rsidR="005D1AA4">
        <w:rPr>
          <w:rFonts w:asciiTheme="minorHAnsi" w:hAnsiTheme="minorHAnsi"/>
          <w:bCs/>
          <w:snapToGrid w:val="0"/>
        </w:rPr>
        <w:t>nhibitor</w:t>
      </w:r>
      <w:r w:rsidR="00756369" w:rsidRPr="00CF7D68">
        <w:rPr>
          <w:rFonts w:asciiTheme="minorHAnsi" w:hAnsiTheme="minorHAnsi"/>
          <w:bCs/>
          <w:snapToGrid w:val="0"/>
        </w:rPr>
        <w:t xml:space="preserve">) and outlined the clinical benefits associated with combination therapy. The clinician also outlined the </w:t>
      </w:r>
      <w:r w:rsidR="004B48D8" w:rsidRPr="00CF7D68">
        <w:rPr>
          <w:rFonts w:asciiTheme="minorHAnsi" w:hAnsiTheme="minorHAnsi"/>
          <w:bCs/>
          <w:snapToGrid w:val="0"/>
        </w:rPr>
        <w:t>rates</w:t>
      </w:r>
      <w:r w:rsidR="00756369" w:rsidRPr="00CF7D68">
        <w:rPr>
          <w:rFonts w:asciiTheme="minorHAnsi" w:hAnsiTheme="minorHAnsi"/>
          <w:bCs/>
          <w:snapToGrid w:val="0"/>
        </w:rPr>
        <w:t xml:space="preserve"> of hyperkalaemia </w:t>
      </w:r>
      <w:r w:rsidR="00756369" w:rsidRPr="00CF7D68">
        <w:rPr>
          <w:rFonts w:asciiTheme="minorHAnsi" w:hAnsiTheme="minorHAnsi"/>
          <w:bCs/>
          <w:snapToGrid w:val="0"/>
        </w:rPr>
        <w:lastRenderedPageBreak/>
        <w:t xml:space="preserve">reported in the clinical trials and </w:t>
      </w:r>
      <w:r w:rsidR="00AE5D6E">
        <w:rPr>
          <w:rFonts w:asciiTheme="minorHAnsi" w:hAnsiTheme="minorHAnsi"/>
          <w:bCs/>
          <w:snapToGrid w:val="0"/>
        </w:rPr>
        <w:t xml:space="preserve">considered that </w:t>
      </w:r>
      <w:r w:rsidR="00756369" w:rsidRPr="00CF7D68">
        <w:rPr>
          <w:rFonts w:asciiTheme="minorHAnsi" w:hAnsiTheme="minorHAnsi"/>
          <w:bCs/>
          <w:snapToGrid w:val="0"/>
        </w:rPr>
        <w:t xml:space="preserve">the </w:t>
      </w:r>
      <w:r w:rsidR="00383873" w:rsidRPr="00CF7D68">
        <w:rPr>
          <w:rFonts w:asciiTheme="minorHAnsi" w:hAnsiTheme="minorHAnsi"/>
          <w:bCs/>
          <w:snapToGrid w:val="0"/>
        </w:rPr>
        <w:t>protocols</w:t>
      </w:r>
      <w:r w:rsidR="00756369" w:rsidRPr="00CF7D68">
        <w:rPr>
          <w:rFonts w:asciiTheme="minorHAnsi" w:hAnsiTheme="minorHAnsi"/>
          <w:bCs/>
          <w:snapToGrid w:val="0"/>
        </w:rPr>
        <w:t xml:space="preserve"> </w:t>
      </w:r>
      <w:r w:rsidR="007E0736" w:rsidRPr="00CF7D68">
        <w:rPr>
          <w:rFonts w:asciiTheme="minorHAnsi" w:hAnsiTheme="minorHAnsi"/>
          <w:bCs/>
          <w:snapToGrid w:val="0"/>
        </w:rPr>
        <w:t>utilised</w:t>
      </w:r>
      <w:r w:rsidR="00756369" w:rsidRPr="00CF7D68">
        <w:rPr>
          <w:rFonts w:asciiTheme="minorHAnsi" w:hAnsiTheme="minorHAnsi"/>
          <w:bCs/>
          <w:snapToGrid w:val="0"/>
        </w:rPr>
        <w:t xml:space="preserve"> in the </w:t>
      </w:r>
      <w:r w:rsidR="00383873" w:rsidRPr="00CF7D68">
        <w:rPr>
          <w:rFonts w:asciiTheme="minorHAnsi" w:hAnsiTheme="minorHAnsi"/>
          <w:bCs/>
          <w:snapToGrid w:val="0"/>
        </w:rPr>
        <w:t xml:space="preserve">clinicals </w:t>
      </w:r>
      <w:r w:rsidR="00756369" w:rsidRPr="00CF7D68">
        <w:rPr>
          <w:rFonts w:asciiTheme="minorHAnsi" w:hAnsiTheme="minorHAnsi"/>
          <w:bCs/>
          <w:snapToGrid w:val="0"/>
        </w:rPr>
        <w:t xml:space="preserve">trials to </w:t>
      </w:r>
      <w:r w:rsidR="007E0736" w:rsidRPr="00CF7D68">
        <w:rPr>
          <w:rFonts w:asciiTheme="minorHAnsi" w:hAnsiTheme="minorHAnsi"/>
          <w:bCs/>
          <w:snapToGrid w:val="0"/>
        </w:rPr>
        <w:t>reduce</w:t>
      </w:r>
      <w:r w:rsidR="00756369" w:rsidRPr="00CF7D68">
        <w:rPr>
          <w:rFonts w:asciiTheme="minorHAnsi" w:hAnsiTheme="minorHAnsi"/>
          <w:bCs/>
          <w:snapToGrid w:val="0"/>
        </w:rPr>
        <w:t xml:space="preserve"> the risk of hyperkalaemi</w:t>
      </w:r>
      <w:r w:rsidR="004B48D8" w:rsidRPr="00CF7D68">
        <w:rPr>
          <w:rFonts w:asciiTheme="minorHAnsi" w:hAnsiTheme="minorHAnsi"/>
          <w:bCs/>
          <w:snapToGrid w:val="0"/>
        </w:rPr>
        <w:t>a</w:t>
      </w:r>
      <w:r w:rsidR="007854E8">
        <w:rPr>
          <w:rFonts w:asciiTheme="minorHAnsi" w:hAnsiTheme="minorHAnsi"/>
          <w:bCs/>
          <w:snapToGrid w:val="0"/>
        </w:rPr>
        <w:t xml:space="preserve"> would be manageable in clinical practice</w:t>
      </w:r>
      <w:r w:rsidR="00756369" w:rsidRPr="00CF7D68">
        <w:rPr>
          <w:rFonts w:asciiTheme="minorHAnsi" w:hAnsiTheme="minorHAnsi"/>
          <w:bCs/>
          <w:snapToGrid w:val="0"/>
        </w:rPr>
        <w:t xml:space="preserve">. </w:t>
      </w:r>
    </w:p>
    <w:bookmarkEnd w:id="20"/>
    <w:p w14:paraId="5F18A62A" w14:textId="77777777" w:rsidR="003B126F" w:rsidRPr="00CF7D68" w:rsidRDefault="003B126F" w:rsidP="003B126F">
      <w:pPr>
        <w:pStyle w:val="3-SubsectionHeading"/>
      </w:pPr>
      <w:r w:rsidRPr="00CF7D68">
        <w:t>Consumer comments</w:t>
      </w:r>
    </w:p>
    <w:p w14:paraId="4FAB8FDE" w14:textId="6220857C" w:rsidR="003B126F" w:rsidRPr="00CF7D68" w:rsidRDefault="003B126F" w:rsidP="003B126F">
      <w:pPr>
        <w:widowControl w:val="0"/>
        <w:numPr>
          <w:ilvl w:val="1"/>
          <w:numId w:val="1"/>
        </w:numPr>
        <w:spacing w:after="120"/>
        <w:ind w:left="720" w:hanging="720"/>
        <w:rPr>
          <w:rFonts w:asciiTheme="minorHAnsi" w:hAnsiTheme="minorHAnsi"/>
          <w:bCs/>
          <w:snapToGrid w:val="0"/>
        </w:rPr>
      </w:pPr>
      <w:bookmarkStart w:id="21" w:name="_Hlk76382618"/>
      <w:r w:rsidRPr="00CF7D68">
        <w:rPr>
          <w:rFonts w:asciiTheme="minorHAnsi" w:hAnsiTheme="minorHAnsi"/>
          <w:bCs/>
          <w:snapToGrid w:val="0"/>
        </w:rPr>
        <w:t>The PBAC noted and welcomed the input from health care professionals (</w:t>
      </w:r>
      <w:r w:rsidR="009044EC" w:rsidRPr="00CF7D68">
        <w:rPr>
          <w:rFonts w:asciiTheme="minorHAnsi" w:hAnsiTheme="minorHAnsi"/>
          <w:bCs/>
          <w:snapToGrid w:val="0"/>
        </w:rPr>
        <w:t>2</w:t>
      </w:r>
      <w:r w:rsidRPr="00CF7D68">
        <w:rPr>
          <w:rFonts w:asciiTheme="minorHAnsi" w:hAnsiTheme="minorHAnsi"/>
          <w:bCs/>
          <w:snapToGrid w:val="0"/>
        </w:rPr>
        <w:t xml:space="preserve">) and </w:t>
      </w:r>
      <w:r w:rsidR="009044EC" w:rsidRPr="00CF7D68">
        <w:rPr>
          <w:rFonts w:asciiTheme="minorHAnsi" w:hAnsiTheme="minorHAnsi"/>
          <w:bCs/>
          <w:snapToGrid w:val="0"/>
        </w:rPr>
        <w:t xml:space="preserve">one </w:t>
      </w:r>
      <w:r w:rsidRPr="00CF7D68">
        <w:rPr>
          <w:rFonts w:asciiTheme="minorHAnsi" w:hAnsiTheme="minorHAnsi"/>
          <w:bCs/>
          <w:snapToGrid w:val="0"/>
        </w:rPr>
        <w:t xml:space="preserve">organisation via the Consumer Comments facility on the PBS website. </w:t>
      </w:r>
      <w:r w:rsidR="00FC6EC8" w:rsidRPr="00CF7D68">
        <w:rPr>
          <w:rFonts w:asciiTheme="minorHAnsi" w:hAnsiTheme="minorHAnsi"/>
          <w:bCs/>
          <w:snapToGrid w:val="0"/>
        </w:rPr>
        <w:t>The comments from health professionals d</w:t>
      </w:r>
      <w:r w:rsidR="00ED042D" w:rsidRPr="00CF7D68">
        <w:rPr>
          <w:rFonts w:asciiTheme="minorHAnsi" w:hAnsiTheme="minorHAnsi"/>
          <w:bCs/>
          <w:snapToGrid w:val="0"/>
        </w:rPr>
        <w:t>iscussed</w:t>
      </w:r>
      <w:r w:rsidR="00FC6EC8" w:rsidRPr="00CF7D68">
        <w:rPr>
          <w:rFonts w:asciiTheme="minorHAnsi" w:hAnsiTheme="minorHAnsi"/>
          <w:bCs/>
          <w:snapToGrid w:val="0"/>
        </w:rPr>
        <w:t xml:space="preserve"> </w:t>
      </w:r>
      <w:r w:rsidR="00A22145">
        <w:rPr>
          <w:rFonts w:asciiTheme="minorHAnsi" w:hAnsiTheme="minorHAnsi"/>
          <w:bCs/>
          <w:snapToGrid w:val="0"/>
        </w:rPr>
        <w:t xml:space="preserve">the current </w:t>
      </w:r>
      <w:r w:rsidR="00FC6EC8" w:rsidRPr="00CF7D68">
        <w:rPr>
          <w:rFonts w:asciiTheme="minorHAnsi" w:hAnsiTheme="minorHAnsi"/>
          <w:bCs/>
          <w:snapToGrid w:val="0"/>
        </w:rPr>
        <w:t>lack of</w:t>
      </w:r>
      <w:r w:rsidR="00F62FFE" w:rsidRPr="00CF7D68">
        <w:rPr>
          <w:rFonts w:asciiTheme="minorHAnsi" w:hAnsiTheme="minorHAnsi"/>
          <w:bCs/>
          <w:snapToGrid w:val="0"/>
        </w:rPr>
        <w:t xml:space="preserve"> effective</w:t>
      </w:r>
      <w:r w:rsidR="00FC6EC8" w:rsidRPr="00CF7D68">
        <w:rPr>
          <w:rFonts w:asciiTheme="minorHAnsi" w:hAnsiTheme="minorHAnsi"/>
          <w:bCs/>
          <w:snapToGrid w:val="0"/>
        </w:rPr>
        <w:t xml:space="preserve"> treatments </w:t>
      </w:r>
      <w:r w:rsidR="00ED042D" w:rsidRPr="00CF7D68">
        <w:rPr>
          <w:rFonts w:asciiTheme="minorHAnsi" w:hAnsiTheme="minorHAnsi"/>
          <w:bCs/>
          <w:snapToGrid w:val="0"/>
        </w:rPr>
        <w:t xml:space="preserve">that target both inflammation and fibrosis </w:t>
      </w:r>
      <w:r w:rsidR="00A22145">
        <w:rPr>
          <w:rFonts w:asciiTheme="minorHAnsi" w:hAnsiTheme="minorHAnsi"/>
          <w:bCs/>
          <w:snapToGrid w:val="0"/>
        </w:rPr>
        <w:t>for</w:t>
      </w:r>
      <w:r w:rsidR="005D5465" w:rsidRPr="00CF7D68">
        <w:rPr>
          <w:rFonts w:asciiTheme="minorHAnsi" w:hAnsiTheme="minorHAnsi"/>
          <w:bCs/>
          <w:snapToGrid w:val="0"/>
        </w:rPr>
        <w:t xml:space="preserve"> managing</w:t>
      </w:r>
      <w:r w:rsidR="00FC6EC8" w:rsidRPr="00CF7D68">
        <w:rPr>
          <w:rFonts w:asciiTheme="minorHAnsi" w:hAnsiTheme="minorHAnsi"/>
          <w:bCs/>
          <w:snapToGrid w:val="0"/>
        </w:rPr>
        <w:t xml:space="preserve"> </w:t>
      </w:r>
      <w:r w:rsidR="00F62FFE" w:rsidRPr="00CF7D68">
        <w:rPr>
          <w:rFonts w:asciiTheme="minorHAnsi" w:hAnsiTheme="minorHAnsi"/>
          <w:bCs/>
          <w:snapToGrid w:val="0"/>
        </w:rPr>
        <w:t>patients with</w:t>
      </w:r>
      <w:r w:rsidR="00FC6EC8" w:rsidRPr="00CF7D68">
        <w:rPr>
          <w:rFonts w:asciiTheme="minorHAnsi" w:hAnsiTheme="minorHAnsi"/>
          <w:bCs/>
          <w:snapToGrid w:val="0"/>
        </w:rPr>
        <w:t xml:space="preserve"> </w:t>
      </w:r>
      <w:r w:rsidR="00AD4449" w:rsidRPr="00CF7D68">
        <w:rPr>
          <w:rFonts w:asciiTheme="minorHAnsi" w:hAnsiTheme="minorHAnsi"/>
          <w:bCs/>
          <w:snapToGrid w:val="0"/>
        </w:rPr>
        <w:t>diabetic kidney disease</w:t>
      </w:r>
      <w:r w:rsidR="00FC6EC8" w:rsidRPr="00CF7D68">
        <w:rPr>
          <w:rFonts w:asciiTheme="minorHAnsi" w:hAnsiTheme="minorHAnsi"/>
          <w:bCs/>
          <w:snapToGrid w:val="0"/>
        </w:rPr>
        <w:t>.</w:t>
      </w:r>
      <w:r w:rsidR="005D5465" w:rsidRPr="00CF7D68">
        <w:rPr>
          <w:rFonts w:asciiTheme="minorHAnsi" w:hAnsiTheme="minorHAnsi"/>
          <w:bCs/>
          <w:snapToGrid w:val="0"/>
        </w:rPr>
        <w:t xml:space="preserve"> </w:t>
      </w:r>
      <w:r w:rsidR="00BE596D" w:rsidRPr="00CF7D68">
        <w:rPr>
          <w:rFonts w:asciiTheme="minorHAnsi" w:hAnsiTheme="minorHAnsi"/>
          <w:bCs/>
          <w:snapToGrid w:val="0"/>
        </w:rPr>
        <w:t>The health professionals emphasised</w:t>
      </w:r>
      <w:r w:rsidR="00284FD3" w:rsidRPr="00CF7D68">
        <w:rPr>
          <w:rFonts w:asciiTheme="minorHAnsi" w:hAnsiTheme="minorHAnsi"/>
          <w:bCs/>
          <w:snapToGrid w:val="0"/>
        </w:rPr>
        <w:t xml:space="preserve"> that </w:t>
      </w:r>
      <w:proofErr w:type="spellStart"/>
      <w:r w:rsidR="00284FD3" w:rsidRPr="00CF7D68">
        <w:rPr>
          <w:rFonts w:asciiTheme="minorHAnsi" w:hAnsiTheme="minorHAnsi"/>
          <w:bCs/>
          <w:snapToGrid w:val="0"/>
        </w:rPr>
        <w:t>finerenone</w:t>
      </w:r>
      <w:proofErr w:type="spellEnd"/>
      <w:r w:rsidR="00284FD3" w:rsidRPr="00CF7D68">
        <w:rPr>
          <w:rFonts w:asciiTheme="minorHAnsi" w:hAnsiTheme="minorHAnsi"/>
          <w:bCs/>
          <w:snapToGrid w:val="0"/>
        </w:rPr>
        <w:t xml:space="preserve"> offered health benefits to patients with a manageable side effect profile and outlined the potential savings to the health system that </w:t>
      </w:r>
      <w:r w:rsidR="00BE596D" w:rsidRPr="00CF7D68">
        <w:rPr>
          <w:rFonts w:asciiTheme="minorHAnsi" w:hAnsiTheme="minorHAnsi"/>
          <w:bCs/>
          <w:snapToGrid w:val="0"/>
        </w:rPr>
        <w:t>may</w:t>
      </w:r>
      <w:r w:rsidR="00284FD3" w:rsidRPr="00CF7D68">
        <w:rPr>
          <w:rFonts w:asciiTheme="minorHAnsi" w:hAnsiTheme="minorHAnsi"/>
          <w:bCs/>
          <w:snapToGrid w:val="0"/>
        </w:rPr>
        <w:t xml:space="preserve"> result from reducing the costs associated with treating </w:t>
      </w:r>
      <w:r w:rsidR="00BE596D" w:rsidRPr="00CF7D68">
        <w:rPr>
          <w:rFonts w:asciiTheme="minorHAnsi" w:hAnsiTheme="minorHAnsi"/>
          <w:bCs/>
          <w:snapToGrid w:val="0"/>
        </w:rPr>
        <w:t>diabetes-related complications</w:t>
      </w:r>
      <w:r w:rsidR="00284FD3" w:rsidRPr="00CF7D68">
        <w:rPr>
          <w:rFonts w:asciiTheme="minorHAnsi" w:hAnsiTheme="minorHAnsi"/>
          <w:bCs/>
          <w:snapToGrid w:val="0"/>
        </w:rPr>
        <w:t>.</w:t>
      </w:r>
    </w:p>
    <w:p w14:paraId="03BB2619" w14:textId="621EEF8C" w:rsidR="003B126F" w:rsidRPr="00CF7D68" w:rsidRDefault="003B126F" w:rsidP="003B126F">
      <w:pPr>
        <w:widowControl w:val="0"/>
        <w:numPr>
          <w:ilvl w:val="1"/>
          <w:numId w:val="1"/>
        </w:numPr>
        <w:spacing w:after="120"/>
        <w:ind w:left="720" w:hanging="720"/>
        <w:rPr>
          <w:rFonts w:asciiTheme="minorHAnsi" w:hAnsiTheme="minorHAnsi"/>
          <w:bCs/>
          <w:snapToGrid w:val="0"/>
        </w:rPr>
      </w:pPr>
      <w:r w:rsidRPr="00CF7D68">
        <w:rPr>
          <w:rFonts w:asciiTheme="minorHAnsi" w:hAnsiTheme="minorHAnsi"/>
          <w:bCs/>
          <w:snapToGrid w:val="0"/>
        </w:rPr>
        <w:t xml:space="preserve">The PBAC noted the advice received from </w:t>
      </w:r>
      <w:r w:rsidR="00284FD3" w:rsidRPr="00CF7D68">
        <w:rPr>
          <w:rFonts w:asciiTheme="minorHAnsi" w:hAnsiTheme="minorHAnsi"/>
          <w:bCs/>
          <w:snapToGrid w:val="0"/>
        </w:rPr>
        <w:t>Diabetes Australia</w:t>
      </w:r>
      <w:r w:rsidRPr="00CF7D68">
        <w:rPr>
          <w:rFonts w:asciiTheme="minorHAnsi" w:hAnsiTheme="minorHAnsi"/>
          <w:bCs/>
          <w:snapToGrid w:val="0"/>
        </w:rPr>
        <w:t xml:space="preserve"> </w:t>
      </w:r>
      <w:r w:rsidR="00614E89">
        <w:rPr>
          <w:rFonts w:asciiTheme="minorHAnsi" w:hAnsiTheme="minorHAnsi"/>
          <w:bCs/>
          <w:snapToGrid w:val="0"/>
        </w:rPr>
        <w:t xml:space="preserve">highlighting the epidemiology of diabetic kidney disease and commenting </w:t>
      </w:r>
      <w:r w:rsidRPr="00CF7D68">
        <w:rPr>
          <w:rFonts w:asciiTheme="minorHAnsi" w:hAnsiTheme="minorHAnsi"/>
          <w:bCs/>
          <w:snapToGrid w:val="0"/>
        </w:rPr>
        <w:t xml:space="preserve">that the use of </w:t>
      </w:r>
      <w:proofErr w:type="spellStart"/>
      <w:r w:rsidR="00BE596D" w:rsidRPr="00CF7D68">
        <w:rPr>
          <w:rFonts w:asciiTheme="minorHAnsi" w:hAnsiTheme="minorHAnsi"/>
          <w:bCs/>
          <w:snapToGrid w:val="0"/>
        </w:rPr>
        <w:t>finerenone</w:t>
      </w:r>
      <w:proofErr w:type="spellEnd"/>
      <w:r w:rsidRPr="00CF7D68">
        <w:rPr>
          <w:rFonts w:asciiTheme="minorHAnsi" w:hAnsiTheme="minorHAnsi"/>
          <w:bCs/>
          <w:snapToGrid w:val="0"/>
        </w:rPr>
        <w:t xml:space="preserve"> may </w:t>
      </w:r>
      <w:r w:rsidR="00BE596D" w:rsidRPr="00CF7D68">
        <w:rPr>
          <w:rFonts w:asciiTheme="minorHAnsi" w:hAnsiTheme="minorHAnsi"/>
          <w:bCs/>
          <w:snapToGrid w:val="0"/>
        </w:rPr>
        <w:t>improve quality of life and health outcomes for people</w:t>
      </w:r>
      <w:r w:rsidR="00CF00DA" w:rsidRPr="00CF7D68">
        <w:rPr>
          <w:rFonts w:asciiTheme="minorHAnsi" w:hAnsiTheme="minorHAnsi"/>
          <w:bCs/>
          <w:snapToGrid w:val="0"/>
        </w:rPr>
        <w:t xml:space="preserve"> living with diabetes and reduce hospitalisation costs</w:t>
      </w:r>
      <w:r w:rsidR="00455350" w:rsidRPr="00CF7D68">
        <w:rPr>
          <w:rFonts w:asciiTheme="minorHAnsi" w:hAnsiTheme="minorHAnsi"/>
          <w:bCs/>
          <w:snapToGrid w:val="0"/>
        </w:rPr>
        <w:t xml:space="preserve"> associated with treat</w:t>
      </w:r>
      <w:r w:rsidR="00614E89">
        <w:rPr>
          <w:rFonts w:asciiTheme="minorHAnsi" w:hAnsiTheme="minorHAnsi"/>
          <w:bCs/>
          <w:snapToGrid w:val="0"/>
        </w:rPr>
        <w:t>ing</w:t>
      </w:r>
      <w:r w:rsidR="00455350" w:rsidRPr="00CF7D68">
        <w:rPr>
          <w:rFonts w:asciiTheme="minorHAnsi" w:hAnsiTheme="minorHAnsi"/>
          <w:bCs/>
          <w:snapToGrid w:val="0"/>
        </w:rPr>
        <w:t xml:space="preserve"> diabetes-related complications</w:t>
      </w:r>
      <w:r w:rsidRPr="00CF7D68">
        <w:rPr>
          <w:rFonts w:asciiTheme="minorHAnsi" w:hAnsiTheme="minorHAnsi"/>
          <w:bCs/>
          <w:snapToGrid w:val="0"/>
        </w:rPr>
        <w:t xml:space="preserve">. The PBAC </w:t>
      </w:r>
      <w:r w:rsidR="007854E8">
        <w:rPr>
          <w:rFonts w:asciiTheme="minorHAnsi" w:hAnsiTheme="minorHAnsi"/>
          <w:bCs/>
          <w:snapToGrid w:val="0"/>
        </w:rPr>
        <w:t>considere</w:t>
      </w:r>
      <w:r w:rsidR="007854E8" w:rsidRPr="00CF7D68">
        <w:rPr>
          <w:rFonts w:asciiTheme="minorHAnsi" w:hAnsiTheme="minorHAnsi"/>
          <w:bCs/>
          <w:snapToGrid w:val="0"/>
        </w:rPr>
        <w:t>d</w:t>
      </w:r>
      <w:r w:rsidR="007854E8">
        <w:rPr>
          <w:rFonts w:asciiTheme="minorHAnsi" w:hAnsiTheme="minorHAnsi"/>
          <w:bCs/>
          <w:snapToGrid w:val="0"/>
        </w:rPr>
        <w:t xml:space="preserve"> that</w:t>
      </w:r>
      <w:r w:rsidR="007854E8" w:rsidRPr="00CF7D68">
        <w:rPr>
          <w:rFonts w:asciiTheme="minorHAnsi" w:hAnsiTheme="minorHAnsi"/>
          <w:bCs/>
          <w:snapToGrid w:val="0"/>
        </w:rPr>
        <w:t xml:space="preserve"> the evidence provided in the submission </w:t>
      </w:r>
      <w:r w:rsidR="00DB6FC8">
        <w:rPr>
          <w:rFonts w:asciiTheme="minorHAnsi" w:hAnsiTheme="minorHAnsi"/>
          <w:bCs/>
          <w:snapToGrid w:val="0"/>
        </w:rPr>
        <w:t xml:space="preserve">was </w:t>
      </w:r>
      <w:r w:rsidR="007854E8">
        <w:rPr>
          <w:rFonts w:asciiTheme="minorHAnsi" w:hAnsiTheme="minorHAnsi"/>
          <w:bCs/>
          <w:snapToGrid w:val="0"/>
        </w:rPr>
        <w:t xml:space="preserve">only marginally </w:t>
      </w:r>
      <w:r w:rsidR="007854E8" w:rsidRPr="00CF7D68">
        <w:rPr>
          <w:rFonts w:asciiTheme="minorHAnsi" w:hAnsiTheme="minorHAnsi"/>
          <w:bCs/>
          <w:snapToGrid w:val="0"/>
        </w:rPr>
        <w:t xml:space="preserve">supportive of </w:t>
      </w:r>
      <w:r w:rsidRPr="00CF7D68">
        <w:rPr>
          <w:rFonts w:asciiTheme="minorHAnsi" w:hAnsiTheme="minorHAnsi"/>
          <w:bCs/>
          <w:snapToGrid w:val="0"/>
        </w:rPr>
        <w:t>this advice</w:t>
      </w:r>
      <w:r w:rsidR="007854E8">
        <w:rPr>
          <w:rFonts w:asciiTheme="minorHAnsi" w:hAnsiTheme="minorHAnsi"/>
          <w:bCs/>
          <w:snapToGrid w:val="0"/>
        </w:rPr>
        <w:t xml:space="preserve"> and t</w:t>
      </w:r>
      <w:r w:rsidR="00DB6FC8">
        <w:rPr>
          <w:rFonts w:asciiTheme="minorHAnsi" w:hAnsiTheme="minorHAnsi"/>
          <w:bCs/>
          <w:snapToGrid w:val="0"/>
        </w:rPr>
        <w:t>hat t</w:t>
      </w:r>
      <w:r w:rsidR="007854E8">
        <w:rPr>
          <w:rFonts w:asciiTheme="minorHAnsi" w:hAnsiTheme="minorHAnsi"/>
          <w:bCs/>
          <w:snapToGrid w:val="0"/>
        </w:rPr>
        <w:t xml:space="preserve">he magnitude of benefit with </w:t>
      </w:r>
      <w:proofErr w:type="spellStart"/>
      <w:r w:rsidR="007854E8">
        <w:rPr>
          <w:rFonts w:asciiTheme="minorHAnsi" w:hAnsiTheme="minorHAnsi"/>
          <w:bCs/>
          <w:snapToGrid w:val="0"/>
        </w:rPr>
        <w:t>finerenone</w:t>
      </w:r>
      <w:proofErr w:type="spellEnd"/>
      <w:r w:rsidR="007854E8">
        <w:rPr>
          <w:rFonts w:asciiTheme="minorHAnsi" w:hAnsiTheme="minorHAnsi"/>
          <w:bCs/>
          <w:snapToGrid w:val="0"/>
        </w:rPr>
        <w:t xml:space="preserve"> over standard care</w:t>
      </w:r>
      <w:r w:rsidRPr="00CF7D68">
        <w:rPr>
          <w:rFonts w:asciiTheme="minorHAnsi" w:hAnsiTheme="minorHAnsi"/>
          <w:bCs/>
          <w:snapToGrid w:val="0"/>
        </w:rPr>
        <w:t xml:space="preserve"> was </w:t>
      </w:r>
      <w:r w:rsidR="007854E8">
        <w:rPr>
          <w:rFonts w:asciiTheme="minorHAnsi" w:hAnsiTheme="minorHAnsi"/>
          <w:bCs/>
          <w:snapToGrid w:val="0"/>
        </w:rPr>
        <w:t>likely modest at best</w:t>
      </w:r>
      <w:r w:rsidRPr="00CF7D68">
        <w:rPr>
          <w:rFonts w:asciiTheme="minorHAnsi" w:hAnsiTheme="minorHAnsi"/>
          <w:bCs/>
          <w:snapToGrid w:val="0"/>
        </w:rPr>
        <w:t>.</w:t>
      </w:r>
    </w:p>
    <w:bookmarkEnd w:id="18"/>
    <w:bookmarkEnd w:id="21"/>
    <w:p w14:paraId="609C0765" w14:textId="21D42789" w:rsidR="00B60939" w:rsidRPr="00CF7D68" w:rsidRDefault="00B60939" w:rsidP="002E4F02">
      <w:pPr>
        <w:pStyle w:val="3-SubsectionHeading"/>
      </w:pPr>
      <w:r w:rsidRPr="00CF7D68">
        <w:t>Clinical trials</w:t>
      </w:r>
      <w:bookmarkEnd w:id="17"/>
      <w:bookmarkEnd w:id="19"/>
    </w:p>
    <w:p w14:paraId="56D46915" w14:textId="54010A4D" w:rsidR="00082A12" w:rsidRPr="00CF7D68" w:rsidRDefault="00082A12" w:rsidP="00082A12">
      <w:pPr>
        <w:pStyle w:val="ExecSumBodyText"/>
        <w:ind w:left="709" w:hanging="709"/>
      </w:pPr>
      <w:r w:rsidRPr="00CF7D68">
        <w:t xml:space="preserve">The submission was based on </w:t>
      </w:r>
      <w:r w:rsidR="00AC1BAF" w:rsidRPr="00CF7D68">
        <w:t xml:space="preserve">2 </w:t>
      </w:r>
      <w:r w:rsidRPr="00CF7D68">
        <w:t xml:space="preserve">head-to-head randomised trials comparing </w:t>
      </w:r>
      <w:proofErr w:type="spellStart"/>
      <w:r w:rsidRPr="00CF7D68">
        <w:t>finerenone</w:t>
      </w:r>
      <w:proofErr w:type="spellEnd"/>
      <w:r w:rsidRPr="00CF7D68">
        <w:t xml:space="preserve"> to placebo in diabetic kidney disease patients (FIDELIO-DKD, FIGARO-DKD) as well as a pre-specified pooled analysis of individual patient data from both trials (FIDELITY).</w:t>
      </w:r>
    </w:p>
    <w:p w14:paraId="2DB5A2F1" w14:textId="1B118B32" w:rsidR="00B167FC" w:rsidRPr="00CF7D68" w:rsidRDefault="00384E2E" w:rsidP="006F0189">
      <w:pPr>
        <w:pStyle w:val="ExecSumBodyText"/>
        <w:ind w:left="709" w:hanging="709"/>
      </w:pPr>
      <w:r w:rsidRPr="00CF7D68">
        <w:t xml:space="preserve">Details of the included </w:t>
      </w:r>
      <w:r w:rsidR="00B167FC" w:rsidRPr="00CF7D68">
        <w:t>studies</w:t>
      </w:r>
      <w:r w:rsidRPr="00CF7D68">
        <w:t xml:space="preserve"> are provided in </w:t>
      </w:r>
      <w:r w:rsidR="00AC1BAF" w:rsidRPr="00CF7D68">
        <w:fldChar w:fldCharType="begin"/>
      </w:r>
      <w:r w:rsidR="00AC1BAF" w:rsidRPr="00CF7D68">
        <w:instrText xml:space="preserve"> REF _Ref103262514 \h </w:instrText>
      </w:r>
      <w:r w:rsidR="00AC1BAF" w:rsidRPr="00CF7D68">
        <w:fldChar w:fldCharType="separate"/>
      </w:r>
      <w:r w:rsidR="00AE5D6E" w:rsidRPr="00CF7D68">
        <w:t xml:space="preserve">Table </w:t>
      </w:r>
      <w:r w:rsidR="00AE5D6E">
        <w:rPr>
          <w:noProof/>
        </w:rPr>
        <w:t>3</w:t>
      </w:r>
      <w:r w:rsidR="00AC1BAF" w:rsidRPr="00CF7D68">
        <w:fldChar w:fldCharType="end"/>
      </w:r>
      <w:r w:rsidRPr="00CF7D68">
        <w:t>.</w:t>
      </w:r>
    </w:p>
    <w:p w14:paraId="17EF28BF" w14:textId="6565E16E" w:rsidR="006F0189" w:rsidRPr="00CF7D68" w:rsidRDefault="006F0189" w:rsidP="00A11ED5">
      <w:pPr>
        <w:pStyle w:val="TableHeading"/>
      </w:pPr>
      <w:bookmarkStart w:id="22" w:name="_Ref103262514"/>
      <w:r w:rsidRPr="00CF7D68">
        <w:lastRenderedPageBreak/>
        <w:t xml:space="preserve">Table </w:t>
      </w:r>
      <w:r w:rsidR="00F9376A">
        <w:fldChar w:fldCharType="begin"/>
      </w:r>
      <w:r w:rsidR="00F9376A">
        <w:instrText xml:space="preserve"> SEQ Table \* ARABIC </w:instrText>
      </w:r>
      <w:r w:rsidR="00F9376A">
        <w:fldChar w:fldCharType="separate"/>
      </w:r>
      <w:r w:rsidR="00AE5D6E">
        <w:rPr>
          <w:noProof/>
        </w:rPr>
        <w:t>3</w:t>
      </w:r>
      <w:r w:rsidR="00F9376A">
        <w:rPr>
          <w:noProof/>
        </w:rPr>
        <w:fldChar w:fldCharType="end"/>
      </w:r>
      <w:bookmarkEnd w:id="22"/>
      <w:r w:rsidRPr="00CF7D68">
        <w:t xml:space="preserve">: </w:t>
      </w:r>
      <w:r w:rsidRPr="00CF7D68">
        <w:rPr>
          <w:rStyle w:val="CommentReference"/>
          <w:sz w:val="20"/>
          <w:szCs w:val="24"/>
        </w:rPr>
        <w:t>Studies and associated reports presented in the submission</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98"/>
        <w:gridCol w:w="5459"/>
        <w:gridCol w:w="2508"/>
      </w:tblGrid>
      <w:tr w:rsidR="00B167FC" w:rsidRPr="00CF7D68" w14:paraId="777964BE" w14:textId="77777777" w:rsidTr="00221C22">
        <w:trPr>
          <w:tblHeader/>
        </w:trPr>
        <w:tc>
          <w:tcPr>
            <w:tcW w:w="654" w:type="pct"/>
            <w:tcBorders>
              <w:bottom w:val="single" w:sz="4" w:space="0" w:color="auto"/>
            </w:tcBorders>
            <w:vAlign w:val="center"/>
          </w:tcPr>
          <w:p w14:paraId="2C38C660" w14:textId="77777777" w:rsidR="00B167FC" w:rsidRPr="00CF7D68" w:rsidRDefault="00B167FC" w:rsidP="00AC1BAF">
            <w:pPr>
              <w:pStyle w:val="Tabletext0"/>
              <w:keepNext/>
              <w:keepLines/>
              <w:rPr>
                <w:b/>
              </w:rPr>
            </w:pPr>
            <w:r w:rsidRPr="00CF7D68">
              <w:rPr>
                <w:b/>
              </w:rPr>
              <w:t>Trial ID</w:t>
            </w:r>
          </w:p>
        </w:tc>
        <w:tc>
          <w:tcPr>
            <w:tcW w:w="2978" w:type="pct"/>
            <w:tcBorders>
              <w:bottom w:val="single" w:sz="4" w:space="0" w:color="auto"/>
            </w:tcBorders>
            <w:vAlign w:val="center"/>
          </w:tcPr>
          <w:p w14:paraId="191F2E03" w14:textId="77777777" w:rsidR="00B167FC" w:rsidRPr="00CF7D68" w:rsidRDefault="00B167FC" w:rsidP="00AC1BAF">
            <w:pPr>
              <w:pStyle w:val="Tabletext0"/>
              <w:keepNext/>
              <w:keepLines/>
              <w:jc w:val="center"/>
              <w:rPr>
                <w:b/>
              </w:rPr>
            </w:pPr>
            <w:r w:rsidRPr="00CF7D68">
              <w:rPr>
                <w:b/>
              </w:rPr>
              <w:t>Protocol title/ Publication title</w:t>
            </w:r>
          </w:p>
        </w:tc>
        <w:tc>
          <w:tcPr>
            <w:tcW w:w="1368" w:type="pct"/>
            <w:tcBorders>
              <w:bottom w:val="single" w:sz="4" w:space="0" w:color="auto"/>
            </w:tcBorders>
            <w:vAlign w:val="center"/>
          </w:tcPr>
          <w:p w14:paraId="5C34FA76" w14:textId="77777777" w:rsidR="00B167FC" w:rsidRPr="00CF7D68" w:rsidRDefault="00B167FC" w:rsidP="00763494">
            <w:pPr>
              <w:pStyle w:val="Tabletext0"/>
              <w:keepNext/>
              <w:keepLines/>
              <w:jc w:val="center"/>
              <w:rPr>
                <w:b/>
              </w:rPr>
            </w:pPr>
            <w:r w:rsidRPr="00CF7D68">
              <w:rPr>
                <w:b/>
              </w:rPr>
              <w:t>Publication citation</w:t>
            </w:r>
          </w:p>
        </w:tc>
      </w:tr>
      <w:tr w:rsidR="00B167FC" w:rsidRPr="00CF7D68" w14:paraId="1F36EAEA" w14:textId="77777777" w:rsidTr="00221C22">
        <w:tc>
          <w:tcPr>
            <w:tcW w:w="654" w:type="pct"/>
            <w:vMerge w:val="restart"/>
            <w:tcBorders>
              <w:top w:val="single" w:sz="4" w:space="0" w:color="auto"/>
              <w:left w:val="single" w:sz="4" w:space="0" w:color="auto"/>
              <w:right w:val="single" w:sz="4" w:space="0" w:color="auto"/>
            </w:tcBorders>
            <w:vAlign w:val="center"/>
          </w:tcPr>
          <w:p w14:paraId="071AD21A" w14:textId="77777777" w:rsidR="00B167FC" w:rsidRPr="00CF7D68" w:rsidRDefault="00B167FC" w:rsidP="00AC1BAF">
            <w:pPr>
              <w:pStyle w:val="Tabletext0"/>
              <w:keepNext/>
              <w:keepLines/>
            </w:pPr>
            <w:r w:rsidRPr="00CF7D68">
              <w:t>FIDELIO-DKD</w:t>
            </w:r>
          </w:p>
        </w:tc>
        <w:tc>
          <w:tcPr>
            <w:tcW w:w="2978" w:type="pct"/>
            <w:tcBorders>
              <w:top w:val="single" w:sz="4" w:space="0" w:color="auto"/>
              <w:left w:val="single" w:sz="4" w:space="0" w:color="auto"/>
              <w:bottom w:val="single" w:sz="4" w:space="0" w:color="auto"/>
              <w:right w:val="single" w:sz="4" w:space="0" w:color="auto"/>
            </w:tcBorders>
            <w:vAlign w:val="center"/>
          </w:tcPr>
          <w:p w14:paraId="2AFAD356" w14:textId="77777777" w:rsidR="00B167FC" w:rsidRPr="00CF7D68" w:rsidRDefault="00B167FC" w:rsidP="00AC1BAF">
            <w:pPr>
              <w:pStyle w:val="Tabletext0"/>
              <w:keepNext/>
              <w:keepLines/>
              <w:rPr>
                <w:szCs w:val="18"/>
              </w:rPr>
            </w:pPr>
            <w:r w:rsidRPr="00CF7D68">
              <w:rPr>
                <w:szCs w:val="18"/>
              </w:rPr>
              <w:t xml:space="preserve">Bayer (2020). Efficacy and Safety of </w:t>
            </w:r>
            <w:proofErr w:type="spellStart"/>
            <w:r w:rsidRPr="00CF7D68">
              <w:rPr>
                <w:szCs w:val="18"/>
              </w:rPr>
              <w:t>Finerenone</w:t>
            </w:r>
            <w:proofErr w:type="spellEnd"/>
            <w:r w:rsidRPr="00CF7D68">
              <w:rPr>
                <w:szCs w:val="18"/>
              </w:rPr>
              <w:t xml:space="preserve"> in Subjects </w:t>
            </w:r>
            <w:proofErr w:type="gramStart"/>
            <w:r w:rsidRPr="00CF7D68">
              <w:rPr>
                <w:szCs w:val="18"/>
              </w:rPr>
              <w:t>With</w:t>
            </w:r>
            <w:proofErr w:type="gramEnd"/>
            <w:r w:rsidRPr="00CF7D68">
              <w:rPr>
                <w:szCs w:val="18"/>
              </w:rPr>
              <w:t xml:space="preserve"> Type 2 Diabetes Mellitus and Diabetic Kidney Disease</w:t>
            </w:r>
          </w:p>
        </w:tc>
        <w:tc>
          <w:tcPr>
            <w:tcW w:w="1368" w:type="pct"/>
            <w:tcBorders>
              <w:top w:val="single" w:sz="4" w:space="0" w:color="auto"/>
              <w:left w:val="single" w:sz="4" w:space="0" w:color="auto"/>
              <w:bottom w:val="single" w:sz="4" w:space="0" w:color="auto"/>
              <w:right w:val="single" w:sz="4" w:space="0" w:color="auto"/>
            </w:tcBorders>
            <w:vAlign w:val="center"/>
          </w:tcPr>
          <w:p w14:paraId="738A644E" w14:textId="77777777" w:rsidR="00B167FC" w:rsidRPr="00CF7D68" w:rsidRDefault="00B167FC" w:rsidP="00763494">
            <w:pPr>
              <w:pStyle w:val="Tabletext0"/>
              <w:keepNext/>
              <w:keepLines/>
            </w:pPr>
            <w:r w:rsidRPr="00CF7D68">
              <w:t>Internal study report</w:t>
            </w:r>
          </w:p>
        </w:tc>
      </w:tr>
      <w:tr w:rsidR="00B167FC" w:rsidRPr="00CF7D68" w14:paraId="2DBF215F" w14:textId="77777777" w:rsidTr="00221C22">
        <w:tc>
          <w:tcPr>
            <w:tcW w:w="654" w:type="pct"/>
            <w:vMerge/>
            <w:tcBorders>
              <w:left w:val="single" w:sz="4" w:space="0" w:color="auto"/>
              <w:right w:val="single" w:sz="4" w:space="0" w:color="auto"/>
            </w:tcBorders>
            <w:vAlign w:val="center"/>
          </w:tcPr>
          <w:p w14:paraId="18DEE01D" w14:textId="77777777" w:rsidR="00B167FC" w:rsidRPr="00CF7D68" w:rsidRDefault="00B167FC" w:rsidP="002A5982">
            <w:pPr>
              <w:pStyle w:val="Tabletext0"/>
              <w:keepNext/>
              <w:keepLines/>
            </w:pPr>
          </w:p>
        </w:tc>
        <w:tc>
          <w:tcPr>
            <w:tcW w:w="2978" w:type="pct"/>
            <w:tcBorders>
              <w:top w:val="single" w:sz="4" w:space="0" w:color="auto"/>
              <w:left w:val="single" w:sz="4" w:space="0" w:color="auto"/>
              <w:bottom w:val="single" w:sz="4" w:space="0" w:color="auto"/>
              <w:right w:val="single" w:sz="4" w:space="0" w:color="auto"/>
            </w:tcBorders>
            <w:vAlign w:val="center"/>
          </w:tcPr>
          <w:p w14:paraId="3948687D" w14:textId="77777777" w:rsidR="00B167FC" w:rsidRPr="00CF7D68" w:rsidRDefault="00B167FC" w:rsidP="002A5982">
            <w:pPr>
              <w:pStyle w:val="Tabletext0"/>
              <w:keepNext/>
              <w:keepLines/>
              <w:rPr>
                <w:szCs w:val="18"/>
              </w:rPr>
            </w:pPr>
            <w:proofErr w:type="spellStart"/>
            <w:r w:rsidRPr="00CF7D68">
              <w:rPr>
                <w:szCs w:val="18"/>
              </w:rPr>
              <w:t>Bakris</w:t>
            </w:r>
            <w:proofErr w:type="spellEnd"/>
            <w:r w:rsidRPr="00CF7D68">
              <w:rPr>
                <w:szCs w:val="18"/>
              </w:rPr>
              <w:t xml:space="preserve"> et al (2019). Design and baseline characteristics of the </w:t>
            </w:r>
            <w:proofErr w:type="spellStart"/>
            <w:r w:rsidRPr="00CF7D68">
              <w:rPr>
                <w:szCs w:val="18"/>
              </w:rPr>
              <w:t>finerenone</w:t>
            </w:r>
            <w:proofErr w:type="spellEnd"/>
            <w:r w:rsidRPr="00CF7D68">
              <w:rPr>
                <w:szCs w:val="18"/>
              </w:rPr>
              <w:t xml:space="preserve"> in reducing kidney failure and disease progression in diabetic kidney disease trial.</w:t>
            </w:r>
          </w:p>
        </w:tc>
        <w:tc>
          <w:tcPr>
            <w:tcW w:w="1368" w:type="pct"/>
            <w:tcBorders>
              <w:top w:val="single" w:sz="4" w:space="0" w:color="auto"/>
              <w:left w:val="single" w:sz="4" w:space="0" w:color="auto"/>
              <w:bottom w:val="single" w:sz="4" w:space="0" w:color="auto"/>
              <w:right w:val="single" w:sz="4" w:space="0" w:color="auto"/>
            </w:tcBorders>
            <w:vAlign w:val="center"/>
          </w:tcPr>
          <w:p w14:paraId="29DD66D7" w14:textId="77777777" w:rsidR="00B167FC" w:rsidRPr="00CF7D68" w:rsidRDefault="00B167FC" w:rsidP="002A5982">
            <w:pPr>
              <w:pStyle w:val="Tabletext0"/>
              <w:keepNext/>
              <w:keepLines/>
              <w:rPr>
                <w:szCs w:val="18"/>
              </w:rPr>
            </w:pPr>
            <w:r w:rsidRPr="00CF7D68">
              <w:rPr>
                <w:szCs w:val="18"/>
              </w:rPr>
              <w:t xml:space="preserve">American Journal of Nephrology </w:t>
            </w:r>
            <w:r w:rsidRPr="00CF7D68">
              <w:rPr>
                <w:szCs w:val="18"/>
              </w:rPr>
              <w:br/>
              <w:t>50: 333-344.</w:t>
            </w:r>
          </w:p>
        </w:tc>
      </w:tr>
      <w:tr w:rsidR="00B167FC" w:rsidRPr="00CF7D68" w14:paraId="0467BD48" w14:textId="77777777" w:rsidTr="00221C22">
        <w:tc>
          <w:tcPr>
            <w:tcW w:w="654" w:type="pct"/>
            <w:vMerge/>
            <w:tcBorders>
              <w:left w:val="single" w:sz="4" w:space="0" w:color="auto"/>
              <w:right w:val="single" w:sz="4" w:space="0" w:color="auto"/>
            </w:tcBorders>
            <w:vAlign w:val="center"/>
          </w:tcPr>
          <w:p w14:paraId="186FF622" w14:textId="77777777" w:rsidR="00B167FC" w:rsidRPr="00CF7D68" w:rsidRDefault="00B167FC" w:rsidP="002A5982">
            <w:pPr>
              <w:pStyle w:val="Tabletext0"/>
              <w:keepNext/>
              <w:keepLines/>
            </w:pPr>
          </w:p>
        </w:tc>
        <w:tc>
          <w:tcPr>
            <w:tcW w:w="2978" w:type="pct"/>
            <w:tcBorders>
              <w:top w:val="single" w:sz="4" w:space="0" w:color="auto"/>
              <w:left w:val="single" w:sz="4" w:space="0" w:color="auto"/>
              <w:bottom w:val="single" w:sz="4" w:space="0" w:color="auto"/>
              <w:right w:val="single" w:sz="4" w:space="0" w:color="auto"/>
            </w:tcBorders>
            <w:vAlign w:val="center"/>
          </w:tcPr>
          <w:p w14:paraId="1A4227CF" w14:textId="77777777" w:rsidR="00B167FC" w:rsidRPr="00CF7D68" w:rsidRDefault="00B167FC" w:rsidP="002A5982">
            <w:pPr>
              <w:pStyle w:val="Tabletext0"/>
              <w:keepNext/>
              <w:keepLines/>
              <w:rPr>
                <w:szCs w:val="18"/>
              </w:rPr>
            </w:pPr>
            <w:proofErr w:type="spellStart"/>
            <w:r w:rsidRPr="00CF7D68">
              <w:rPr>
                <w:szCs w:val="18"/>
              </w:rPr>
              <w:t>Bakris</w:t>
            </w:r>
            <w:proofErr w:type="spellEnd"/>
            <w:r w:rsidRPr="00CF7D68">
              <w:rPr>
                <w:szCs w:val="18"/>
              </w:rPr>
              <w:t xml:space="preserve"> et al (2020). Effect of </w:t>
            </w:r>
            <w:proofErr w:type="spellStart"/>
            <w:r w:rsidRPr="00CF7D68">
              <w:rPr>
                <w:szCs w:val="18"/>
              </w:rPr>
              <w:t>finerenone</w:t>
            </w:r>
            <w:proofErr w:type="spellEnd"/>
            <w:r w:rsidRPr="00CF7D68">
              <w:rPr>
                <w:szCs w:val="18"/>
              </w:rPr>
              <w:t xml:space="preserve"> on chronic kidney disease outcomes in type 2 diabetes.</w:t>
            </w:r>
          </w:p>
        </w:tc>
        <w:tc>
          <w:tcPr>
            <w:tcW w:w="1368" w:type="pct"/>
            <w:tcBorders>
              <w:top w:val="single" w:sz="4" w:space="0" w:color="auto"/>
              <w:left w:val="single" w:sz="4" w:space="0" w:color="auto"/>
              <w:bottom w:val="single" w:sz="4" w:space="0" w:color="auto"/>
              <w:right w:val="single" w:sz="4" w:space="0" w:color="auto"/>
            </w:tcBorders>
            <w:vAlign w:val="center"/>
          </w:tcPr>
          <w:p w14:paraId="76FDDF2D" w14:textId="77777777" w:rsidR="00B167FC" w:rsidRPr="00CF7D68" w:rsidRDefault="00B167FC" w:rsidP="002A5982">
            <w:pPr>
              <w:pStyle w:val="Tabletext0"/>
              <w:keepNext/>
              <w:keepLines/>
            </w:pPr>
            <w:r w:rsidRPr="00CF7D68">
              <w:rPr>
                <w:szCs w:val="18"/>
              </w:rPr>
              <w:t xml:space="preserve">New England Journal of Medicine </w:t>
            </w:r>
            <w:r w:rsidRPr="00CF7D68">
              <w:rPr>
                <w:szCs w:val="18"/>
              </w:rPr>
              <w:br/>
              <w:t>383: 2219</w:t>
            </w:r>
            <w:r w:rsidRPr="00CF7D68">
              <w:rPr>
                <w:rFonts w:ascii="Cambria Math" w:hAnsi="Cambria Math" w:cs="Cambria Math"/>
                <w:szCs w:val="18"/>
              </w:rPr>
              <w:t>‐</w:t>
            </w:r>
            <w:r w:rsidRPr="00CF7D68">
              <w:rPr>
                <w:szCs w:val="18"/>
              </w:rPr>
              <w:t>2229.</w:t>
            </w:r>
          </w:p>
        </w:tc>
      </w:tr>
      <w:tr w:rsidR="00B167FC" w:rsidRPr="00CF7D68" w14:paraId="34D1BA30" w14:textId="77777777" w:rsidTr="00221C22">
        <w:tc>
          <w:tcPr>
            <w:tcW w:w="654" w:type="pct"/>
            <w:vMerge/>
            <w:tcBorders>
              <w:left w:val="single" w:sz="4" w:space="0" w:color="auto"/>
              <w:right w:val="single" w:sz="4" w:space="0" w:color="auto"/>
            </w:tcBorders>
            <w:vAlign w:val="center"/>
          </w:tcPr>
          <w:p w14:paraId="1AD5376B" w14:textId="77777777" w:rsidR="00B167FC" w:rsidRPr="00CF7D68" w:rsidRDefault="00B167FC" w:rsidP="002A5982">
            <w:pPr>
              <w:pStyle w:val="Tabletext0"/>
              <w:keepNext/>
              <w:keepLines/>
            </w:pPr>
          </w:p>
        </w:tc>
        <w:tc>
          <w:tcPr>
            <w:tcW w:w="2978" w:type="pct"/>
            <w:tcBorders>
              <w:top w:val="single" w:sz="4" w:space="0" w:color="auto"/>
              <w:left w:val="single" w:sz="4" w:space="0" w:color="auto"/>
              <w:bottom w:val="single" w:sz="4" w:space="0" w:color="auto"/>
              <w:right w:val="single" w:sz="4" w:space="0" w:color="auto"/>
            </w:tcBorders>
            <w:vAlign w:val="center"/>
          </w:tcPr>
          <w:p w14:paraId="00BBC98F" w14:textId="77777777" w:rsidR="00B167FC" w:rsidRPr="00CF7D68" w:rsidRDefault="00B167FC" w:rsidP="002A5982">
            <w:pPr>
              <w:pStyle w:val="Tabletext0"/>
              <w:keepNext/>
              <w:keepLines/>
              <w:rPr>
                <w:szCs w:val="18"/>
              </w:rPr>
            </w:pPr>
            <w:proofErr w:type="spellStart"/>
            <w:r w:rsidRPr="00CF7D68">
              <w:rPr>
                <w:szCs w:val="18"/>
              </w:rPr>
              <w:t>Filippatos</w:t>
            </w:r>
            <w:proofErr w:type="spellEnd"/>
            <w:r w:rsidRPr="00CF7D68">
              <w:rPr>
                <w:szCs w:val="18"/>
              </w:rPr>
              <w:t xml:space="preserve"> et al (2021). </w:t>
            </w:r>
            <w:proofErr w:type="spellStart"/>
            <w:r w:rsidRPr="00CF7D68">
              <w:rPr>
                <w:szCs w:val="18"/>
              </w:rPr>
              <w:t>Finerenone</w:t>
            </w:r>
            <w:proofErr w:type="spellEnd"/>
            <w:r w:rsidRPr="00CF7D68">
              <w:rPr>
                <w:szCs w:val="18"/>
              </w:rPr>
              <w:t xml:space="preserve"> and Cardiovascular Outcomes in Patients with Chronic Kidney Disease and Type 2 Diabetes.</w:t>
            </w:r>
          </w:p>
        </w:tc>
        <w:tc>
          <w:tcPr>
            <w:tcW w:w="1368" w:type="pct"/>
            <w:tcBorders>
              <w:top w:val="single" w:sz="4" w:space="0" w:color="auto"/>
              <w:left w:val="single" w:sz="4" w:space="0" w:color="auto"/>
              <w:bottom w:val="single" w:sz="4" w:space="0" w:color="auto"/>
              <w:right w:val="single" w:sz="4" w:space="0" w:color="auto"/>
            </w:tcBorders>
            <w:vAlign w:val="center"/>
          </w:tcPr>
          <w:p w14:paraId="3F302394" w14:textId="77777777" w:rsidR="00B167FC" w:rsidRPr="00CF7D68" w:rsidRDefault="00B167FC" w:rsidP="002A5982">
            <w:pPr>
              <w:pStyle w:val="Tabletext0"/>
              <w:keepNext/>
              <w:keepLines/>
              <w:rPr>
                <w:szCs w:val="18"/>
              </w:rPr>
            </w:pPr>
            <w:r w:rsidRPr="00CF7D68">
              <w:rPr>
                <w:szCs w:val="18"/>
              </w:rPr>
              <w:t xml:space="preserve">Circulation </w:t>
            </w:r>
            <w:r w:rsidRPr="00CF7D68">
              <w:rPr>
                <w:szCs w:val="18"/>
              </w:rPr>
              <w:br/>
              <w:t>143: 540-552.</w:t>
            </w:r>
          </w:p>
        </w:tc>
      </w:tr>
      <w:tr w:rsidR="00B167FC" w:rsidRPr="00CF7D68" w14:paraId="3DAE7470" w14:textId="77777777" w:rsidTr="00221C22">
        <w:tc>
          <w:tcPr>
            <w:tcW w:w="654" w:type="pct"/>
            <w:vMerge/>
            <w:tcBorders>
              <w:left w:val="single" w:sz="4" w:space="0" w:color="auto"/>
              <w:right w:val="single" w:sz="4" w:space="0" w:color="auto"/>
            </w:tcBorders>
            <w:vAlign w:val="center"/>
          </w:tcPr>
          <w:p w14:paraId="6CE08513" w14:textId="77777777" w:rsidR="00B167FC" w:rsidRPr="00CF7D68" w:rsidRDefault="00B167FC" w:rsidP="002A5982">
            <w:pPr>
              <w:pStyle w:val="Tabletext0"/>
              <w:keepNext/>
              <w:keepLines/>
            </w:pPr>
          </w:p>
        </w:tc>
        <w:tc>
          <w:tcPr>
            <w:tcW w:w="2978" w:type="pct"/>
            <w:tcBorders>
              <w:top w:val="single" w:sz="4" w:space="0" w:color="auto"/>
              <w:left w:val="single" w:sz="4" w:space="0" w:color="auto"/>
              <w:bottom w:val="single" w:sz="4" w:space="0" w:color="auto"/>
              <w:right w:val="single" w:sz="4" w:space="0" w:color="auto"/>
            </w:tcBorders>
            <w:vAlign w:val="center"/>
          </w:tcPr>
          <w:p w14:paraId="7C5E083C" w14:textId="77777777" w:rsidR="00B167FC" w:rsidRPr="00CF7D68" w:rsidRDefault="00B167FC" w:rsidP="002A5982">
            <w:pPr>
              <w:pStyle w:val="Tabletext0"/>
              <w:keepNext/>
              <w:keepLines/>
              <w:rPr>
                <w:szCs w:val="18"/>
              </w:rPr>
            </w:pPr>
            <w:proofErr w:type="spellStart"/>
            <w:r w:rsidRPr="00CF7D68">
              <w:rPr>
                <w:szCs w:val="18"/>
              </w:rPr>
              <w:t>Filippatos</w:t>
            </w:r>
            <w:proofErr w:type="spellEnd"/>
            <w:r w:rsidRPr="00CF7D68">
              <w:rPr>
                <w:szCs w:val="18"/>
              </w:rPr>
              <w:t xml:space="preserve"> et al (2021b). </w:t>
            </w:r>
            <w:proofErr w:type="spellStart"/>
            <w:r w:rsidRPr="00CF7D68">
              <w:rPr>
                <w:szCs w:val="18"/>
              </w:rPr>
              <w:t>Finerenone</w:t>
            </w:r>
            <w:proofErr w:type="spellEnd"/>
            <w:r w:rsidRPr="00CF7D68">
              <w:rPr>
                <w:szCs w:val="18"/>
              </w:rPr>
              <w:t xml:space="preserve"> Reduces New-Onset Atrial Fibrillation in Patients </w:t>
            </w:r>
            <w:proofErr w:type="gramStart"/>
            <w:r w:rsidRPr="00CF7D68">
              <w:rPr>
                <w:szCs w:val="18"/>
              </w:rPr>
              <w:t>With</w:t>
            </w:r>
            <w:proofErr w:type="gramEnd"/>
            <w:r w:rsidRPr="00CF7D68">
              <w:rPr>
                <w:szCs w:val="18"/>
              </w:rPr>
              <w:t xml:space="preserve"> Chronic Kidney Disease and Type 2 Diabetes.</w:t>
            </w:r>
          </w:p>
        </w:tc>
        <w:tc>
          <w:tcPr>
            <w:tcW w:w="1368" w:type="pct"/>
            <w:tcBorders>
              <w:top w:val="single" w:sz="4" w:space="0" w:color="auto"/>
              <w:left w:val="single" w:sz="4" w:space="0" w:color="auto"/>
              <w:bottom w:val="single" w:sz="4" w:space="0" w:color="auto"/>
              <w:right w:val="single" w:sz="4" w:space="0" w:color="auto"/>
            </w:tcBorders>
            <w:vAlign w:val="center"/>
          </w:tcPr>
          <w:p w14:paraId="3E6EDA03" w14:textId="77777777" w:rsidR="00B167FC" w:rsidRPr="00CF7D68" w:rsidRDefault="00B167FC" w:rsidP="002A5982">
            <w:pPr>
              <w:pStyle w:val="Tabletext0"/>
              <w:keepNext/>
              <w:keepLines/>
              <w:rPr>
                <w:szCs w:val="18"/>
              </w:rPr>
            </w:pPr>
            <w:r w:rsidRPr="00CF7D68">
              <w:rPr>
                <w:szCs w:val="18"/>
              </w:rPr>
              <w:t>Journal of the American College of Cardiology 78: 142-152.</w:t>
            </w:r>
          </w:p>
        </w:tc>
      </w:tr>
      <w:tr w:rsidR="00B167FC" w:rsidRPr="00CF7D68" w14:paraId="35A5E958" w14:textId="77777777" w:rsidTr="00221C22">
        <w:tc>
          <w:tcPr>
            <w:tcW w:w="654" w:type="pct"/>
            <w:vMerge/>
            <w:tcBorders>
              <w:left w:val="single" w:sz="4" w:space="0" w:color="auto"/>
              <w:right w:val="single" w:sz="4" w:space="0" w:color="auto"/>
            </w:tcBorders>
            <w:vAlign w:val="center"/>
          </w:tcPr>
          <w:p w14:paraId="68B5D43C" w14:textId="77777777" w:rsidR="00B167FC" w:rsidRPr="00CF7D68" w:rsidRDefault="00B167FC" w:rsidP="002A5982">
            <w:pPr>
              <w:pStyle w:val="Tabletext0"/>
              <w:keepNext/>
              <w:keepLines/>
            </w:pPr>
          </w:p>
        </w:tc>
        <w:tc>
          <w:tcPr>
            <w:tcW w:w="2978" w:type="pct"/>
            <w:tcBorders>
              <w:top w:val="single" w:sz="4" w:space="0" w:color="auto"/>
              <w:left w:val="single" w:sz="4" w:space="0" w:color="auto"/>
              <w:bottom w:val="single" w:sz="4" w:space="0" w:color="auto"/>
              <w:right w:val="single" w:sz="4" w:space="0" w:color="auto"/>
            </w:tcBorders>
            <w:vAlign w:val="center"/>
          </w:tcPr>
          <w:p w14:paraId="229C030D" w14:textId="77777777" w:rsidR="00B167FC" w:rsidRPr="00CF7D68" w:rsidRDefault="00B167FC" w:rsidP="002A5982">
            <w:pPr>
              <w:pStyle w:val="Tabletext0"/>
              <w:keepNext/>
              <w:keepLines/>
              <w:rPr>
                <w:szCs w:val="18"/>
              </w:rPr>
            </w:pPr>
            <w:r w:rsidRPr="00CF7D68">
              <w:rPr>
                <w:szCs w:val="18"/>
              </w:rPr>
              <w:t xml:space="preserve">Agarwal et al (2022). </w:t>
            </w:r>
            <w:proofErr w:type="spellStart"/>
            <w:r w:rsidRPr="00CF7D68">
              <w:rPr>
                <w:szCs w:val="18"/>
              </w:rPr>
              <w:t>Hyperkalemia</w:t>
            </w:r>
            <w:proofErr w:type="spellEnd"/>
            <w:r w:rsidRPr="00CF7D68">
              <w:rPr>
                <w:szCs w:val="18"/>
              </w:rPr>
              <w:t xml:space="preserve"> Risk with </w:t>
            </w:r>
            <w:proofErr w:type="spellStart"/>
            <w:r w:rsidRPr="00CF7D68">
              <w:rPr>
                <w:szCs w:val="18"/>
              </w:rPr>
              <w:t>finerenone</w:t>
            </w:r>
            <w:proofErr w:type="spellEnd"/>
            <w:r w:rsidRPr="00CF7D68">
              <w:rPr>
                <w:szCs w:val="18"/>
              </w:rPr>
              <w:t xml:space="preserve">: Results from the FIDELIO-DKD Trial. </w:t>
            </w:r>
          </w:p>
        </w:tc>
        <w:tc>
          <w:tcPr>
            <w:tcW w:w="1368" w:type="pct"/>
            <w:tcBorders>
              <w:top w:val="single" w:sz="4" w:space="0" w:color="auto"/>
              <w:left w:val="single" w:sz="4" w:space="0" w:color="auto"/>
              <w:bottom w:val="single" w:sz="4" w:space="0" w:color="auto"/>
              <w:right w:val="single" w:sz="4" w:space="0" w:color="auto"/>
            </w:tcBorders>
            <w:vAlign w:val="center"/>
          </w:tcPr>
          <w:p w14:paraId="562DC9DC" w14:textId="77777777" w:rsidR="00B167FC" w:rsidRPr="00CF7D68" w:rsidRDefault="00B167FC" w:rsidP="002A5982">
            <w:pPr>
              <w:pStyle w:val="Tabletext0"/>
              <w:keepNext/>
              <w:keepLines/>
              <w:rPr>
                <w:szCs w:val="18"/>
              </w:rPr>
            </w:pPr>
            <w:r w:rsidRPr="00CF7D68">
              <w:rPr>
                <w:szCs w:val="18"/>
              </w:rPr>
              <w:t>Journal of the American Society of Nephrology 33: 225–237</w:t>
            </w:r>
          </w:p>
        </w:tc>
      </w:tr>
      <w:tr w:rsidR="00B167FC" w:rsidRPr="00CF7D68" w14:paraId="13D1BC69" w14:textId="77777777" w:rsidTr="00221C22">
        <w:tc>
          <w:tcPr>
            <w:tcW w:w="654" w:type="pct"/>
            <w:vMerge/>
            <w:tcBorders>
              <w:left w:val="single" w:sz="4" w:space="0" w:color="auto"/>
              <w:right w:val="single" w:sz="4" w:space="0" w:color="auto"/>
            </w:tcBorders>
            <w:vAlign w:val="center"/>
          </w:tcPr>
          <w:p w14:paraId="38F5A871" w14:textId="77777777" w:rsidR="00B167FC" w:rsidRPr="00CF7D68" w:rsidRDefault="00B167FC" w:rsidP="002A5982">
            <w:pPr>
              <w:pStyle w:val="Tabletext0"/>
              <w:keepNext/>
              <w:keepLines/>
            </w:pPr>
          </w:p>
        </w:tc>
        <w:tc>
          <w:tcPr>
            <w:tcW w:w="2978" w:type="pct"/>
            <w:tcBorders>
              <w:top w:val="single" w:sz="4" w:space="0" w:color="auto"/>
              <w:left w:val="single" w:sz="4" w:space="0" w:color="auto"/>
              <w:bottom w:val="single" w:sz="4" w:space="0" w:color="auto"/>
              <w:right w:val="single" w:sz="4" w:space="0" w:color="auto"/>
            </w:tcBorders>
            <w:vAlign w:val="center"/>
          </w:tcPr>
          <w:p w14:paraId="434BB7DD" w14:textId="1466DD00" w:rsidR="00B167FC" w:rsidRPr="005D1AA4" w:rsidRDefault="00B167FC" w:rsidP="002A5982">
            <w:pPr>
              <w:pStyle w:val="Tabletext0"/>
              <w:keepNext/>
              <w:keepLines/>
              <w:rPr>
                <w:szCs w:val="18"/>
                <w:vertAlign w:val="superscript"/>
              </w:rPr>
            </w:pPr>
            <w:proofErr w:type="spellStart"/>
            <w:r w:rsidRPr="003D4D97">
              <w:rPr>
                <w:szCs w:val="18"/>
              </w:rPr>
              <w:t>Rossing</w:t>
            </w:r>
            <w:proofErr w:type="spellEnd"/>
            <w:r w:rsidRPr="003D4D97">
              <w:rPr>
                <w:szCs w:val="18"/>
              </w:rPr>
              <w:t xml:space="preserve"> et al (2021). </w:t>
            </w:r>
            <w:proofErr w:type="spellStart"/>
            <w:r w:rsidRPr="003D4D97">
              <w:rPr>
                <w:szCs w:val="18"/>
              </w:rPr>
              <w:t>Finerenone</w:t>
            </w:r>
            <w:proofErr w:type="spellEnd"/>
            <w:r w:rsidRPr="003D4D97">
              <w:rPr>
                <w:szCs w:val="18"/>
              </w:rPr>
              <w:t xml:space="preserve"> in Predominantly Advanced CKD and Type 2 Diabetes </w:t>
            </w:r>
            <w:proofErr w:type="gramStart"/>
            <w:r w:rsidRPr="003D4D97">
              <w:rPr>
                <w:szCs w:val="18"/>
              </w:rPr>
              <w:t>With</w:t>
            </w:r>
            <w:proofErr w:type="gramEnd"/>
            <w:r w:rsidRPr="003D4D97">
              <w:rPr>
                <w:szCs w:val="18"/>
              </w:rPr>
              <w:t xml:space="preserve"> or Without Sodium-Glucose Cotransporter-2 Inhibitor </w:t>
            </w:r>
            <w:proofErr w:type="spellStart"/>
            <w:r w:rsidRPr="003D4D97">
              <w:rPr>
                <w:szCs w:val="18"/>
              </w:rPr>
              <w:t>Therapy</w:t>
            </w:r>
            <w:r w:rsidR="005D1AA4">
              <w:rPr>
                <w:szCs w:val="18"/>
                <w:vertAlign w:val="superscript"/>
              </w:rPr>
              <w:t>a</w:t>
            </w:r>
            <w:proofErr w:type="spellEnd"/>
          </w:p>
        </w:tc>
        <w:tc>
          <w:tcPr>
            <w:tcW w:w="1368" w:type="pct"/>
            <w:tcBorders>
              <w:top w:val="single" w:sz="4" w:space="0" w:color="auto"/>
              <w:left w:val="single" w:sz="4" w:space="0" w:color="auto"/>
              <w:bottom w:val="single" w:sz="4" w:space="0" w:color="auto"/>
              <w:right w:val="single" w:sz="4" w:space="0" w:color="auto"/>
            </w:tcBorders>
            <w:vAlign w:val="center"/>
          </w:tcPr>
          <w:p w14:paraId="4AD977B2" w14:textId="5C282F89" w:rsidR="00B167FC" w:rsidRPr="003D4D97" w:rsidRDefault="00B167FC" w:rsidP="002A5982">
            <w:pPr>
              <w:pStyle w:val="Tabletext0"/>
              <w:keepNext/>
              <w:keepLines/>
              <w:rPr>
                <w:szCs w:val="18"/>
              </w:rPr>
            </w:pPr>
            <w:r w:rsidRPr="003D4D97">
              <w:rPr>
                <w:szCs w:val="18"/>
              </w:rPr>
              <w:t xml:space="preserve">Kidney International Reports </w:t>
            </w:r>
            <w:r w:rsidRPr="003D4D97">
              <w:rPr>
                <w:szCs w:val="18"/>
              </w:rPr>
              <w:br/>
              <w:t>7: 36-45</w:t>
            </w:r>
            <w:r w:rsidR="00763494" w:rsidRPr="003D4D97">
              <w:rPr>
                <w:szCs w:val="18"/>
              </w:rPr>
              <w:t>.</w:t>
            </w:r>
          </w:p>
        </w:tc>
      </w:tr>
      <w:tr w:rsidR="00B167FC" w:rsidRPr="00CF7D68" w14:paraId="7957DACA" w14:textId="77777777" w:rsidTr="00221C22">
        <w:tc>
          <w:tcPr>
            <w:tcW w:w="654" w:type="pct"/>
            <w:vMerge/>
            <w:tcBorders>
              <w:left w:val="single" w:sz="4" w:space="0" w:color="auto"/>
              <w:right w:val="single" w:sz="4" w:space="0" w:color="auto"/>
            </w:tcBorders>
            <w:vAlign w:val="center"/>
          </w:tcPr>
          <w:p w14:paraId="7035CC54" w14:textId="77777777" w:rsidR="00B167FC" w:rsidRPr="00CF7D68" w:rsidRDefault="00B167FC" w:rsidP="002A5982">
            <w:pPr>
              <w:pStyle w:val="Tabletext0"/>
              <w:keepNext/>
              <w:keepLines/>
            </w:pPr>
          </w:p>
        </w:tc>
        <w:tc>
          <w:tcPr>
            <w:tcW w:w="2978" w:type="pct"/>
            <w:tcBorders>
              <w:top w:val="single" w:sz="4" w:space="0" w:color="auto"/>
              <w:left w:val="single" w:sz="4" w:space="0" w:color="auto"/>
              <w:bottom w:val="single" w:sz="4" w:space="0" w:color="auto"/>
              <w:right w:val="single" w:sz="4" w:space="0" w:color="auto"/>
            </w:tcBorders>
            <w:vAlign w:val="center"/>
          </w:tcPr>
          <w:p w14:paraId="5AEC9798" w14:textId="2B73F7E6" w:rsidR="00B167FC" w:rsidRPr="003D4D97" w:rsidRDefault="00B167FC" w:rsidP="002A5982">
            <w:pPr>
              <w:pStyle w:val="Tabletext0"/>
              <w:keepNext/>
              <w:keepLines/>
              <w:rPr>
                <w:szCs w:val="18"/>
              </w:rPr>
            </w:pPr>
            <w:proofErr w:type="spellStart"/>
            <w:r w:rsidRPr="003D4D97">
              <w:rPr>
                <w:szCs w:val="18"/>
              </w:rPr>
              <w:t>Filippatos</w:t>
            </w:r>
            <w:proofErr w:type="spellEnd"/>
            <w:r w:rsidRPr="003D4D97">
              <w:rPr>
                <w:szCs w:val="18"/>
              </w:rPr>
              <w:t xml:space="preserve"> et al (2022). </w:t>
            </w:r>
            <w:proofErr w:type="spellStart"/>
            <w:r w:rsidRPr="003D4D97">
              <w:rPr>
                <w:szCs w:val="18"/>
              </w:rPr>
              <w:t>Finerenone</w:t>
            </w:r>
            <w:proofErr w:type="spellEnd"/>
            <w:r w:rsidRPr="003D4D97">
              <w:rPr>
                <w:szCs w:val="18"/>
              </w:rPr>
              <w:t xml:space="preserve"> in patients with CKD and T2D with and without heart failure: A prespecified subgroup analysis of the FIDELIO-DKD </w:t>
            </w:r>
            <w:proofErr w:type="spellStart"/>
            <w:r w:rsidRPr="003D4D97">
              <w:rPr>
                <w:szCs w:val="18"/>
              </w:rPr>
              <w:t>trial</w:t>
            </w:r>
            <w:r w:rsidR="005D1AA4">
              <w:rPr>
                <w:szCs w:val="18"/>
                <w:vertAlign w:val="superscript"/>
              </w:rPr>
              <w:t>a</w:t>
            </w:r>
            <w:proofErr w:type="spellEnd"/>
          </w:p>
        </w:tc>
        <w:tc>
          <w:tcPr>
            <w:tcW w:w="1368" w:type="pct"/>
            <w:tcBorders>
              <w:top w:val="single" w:sz="4" w:space="0" w:color="auto"/>
              <w:left w:val="single" w:sz="4" w:space="0" w:color="auto"/>
              <w:bottom w:val="single" w:sz="4" w:space="0" w:color="auto"/>
              <w:right w:val="single" w:sz="4" w:space="0" w:color="auto"/>
            </w:tcBorders>
            <w:vAlign w:val="center"/>
          </w:tcPr>
          <w:p w14:paraId="41807D68" w14:textId="77777777" w:rsidR="00B167FC" w:rsidRPr="003D4D97" w:rsidRDefault="00B167FC" w:rsidP="002A5982">
            <w:pPr>
              <w:pStyle w:val="Tabletext0"/>
              <w:keepNext/>
              <w:keepLines/>
              <w:rPr>
                <w:szCs w:val="18"/>
              </w:rPr>
            </w:pPr>
            <w:r w:rsidRPr="003D4D97">
              <w:rPr>
                <w:szCs w:val="18"/>
              </w:rPr>
              <w:t xml:space="preserve">European Journal of Heart Failure </w:t>
            </w:r>
            <w:r w:rsidRPr="003D4D97">
              <w:rPr>
                <w:szCs w:val="18"/>
              </w:rPr>
              <w:br/>
            </w:r>
            <w:proofErr w:type="spellStart"/>
            <w:r w:rsidRPr="003D4D97">
              <w:rPr>
                <w:szCs w:val="18"/>
              </w:rPr>
              <w:t>doi</w:t>
            </w:r>
            <w:proofErr w:type="spellEnd"/>
            <w:r w:rsidRPr="003D4D97">
              <w:rPr>
                <w:szCs w:val="18"/>
              </w:rPr>
              <w:t>: 10.1002/ejhf.2469</w:t>
            </w:r>
          </w:p>
        </w:tc>
      </w:tr>
      <w:tr w:rsidR="00B167FC" w:rsidRPr="00CF7D68" w14:paraId="08B828B2" w14:textId="77777777" w:rsidTr="00221C22">
        <w:tc>
          <w:tcPr>
            <w:tcW w:w="654" w:type="pct"/>
            <w:vMerge/>
            <w:tcBorders>
              <w:left w:val="single" w:sz="4" w:space="0" w:color="auto"/>
              <w:right w:val="single" w:sz="4" w:space="0" w:color="auto"/>
            </w:tcBorders>
            <w:vAlign w:val="center"/>
          </w:tcPr>
          <w:p w14:paraId="3A7179AF" w14:textId="77777777" w:rsidR="00B167FC" w:rsidRPr="00CF7D68" w:rsidRDefault="00B167FC" w:rsidP="002A5982">
            <w:pPr>
              <w:pStyle w:val="Tabletext0"/>
              <w:keepNext/>
              <w:keepLines/>
            </w:pPr>
          </w:p>
        </w:tc>
        <w:tc>
          <w:tcPr>
            <w:tcW w:w="2978" w:type="pct"/>
            <w:tcBorders>
              <w:top w:val="single" w:sz="4" w:space="0" w:color="auto"/>
              <w:left w:val="single" w:sz="4" w:space="0" w:color="auto"/>
              <w:bottom w:val="single" w:sz="4" w:space="0" w:color="auto"/>
              <w:right w:val="single" w:sz="4" w:space="0" w:color="auto"/>
            </w:tcBorders>
            <w:vAlign w:val="center"/>
          </w:tcPr>
          <w:p w14:paraId="2E56039F" w14:textId="1AF9F0BF" w:rsidR="00B167FC" w:rsidRPr="003D4D97" w:rsidRDefault="00B167FC" w:rsidP="002A5982">
            <w:pPr>
              <w:pStyle w:val="Tabletext0"/>
              <w:keepNext/>
              <w:keepLines/>
              <w:rPr>
                <w:szCs w:val="18"/>
              </w:rPr>
            </w:pPr>
            <w:proofErr w:type="spellStart"/>
            <w:r w:rsidRPr="003D4D97">
              <w:rPr>
                <w:szCs w:val="18"/>
              </w:rPr>
              <w:t>Rossing</w:t>
            </w:r>
            <w:proofErr w:type="spellEnd"/>
            <w:r w:rsidRPr="003D4D97">
              <w:rPr>
                <w:szCs w:val="18"/>
              </w:rPr>
              <w:t xml:space="preserve"> et al (2022). </w:t>
            </w:r>
            <w:proofErr w:type="spellStart"/>
            <w:r w:rsidRPr="003D4D97">
              <w:rPr>
                <w:szCs w:val="18"/>
              </w:rPr>
              <w:t>Finerenone</w:t>
            </w:r>
            <w:proofErr w:type="spellEnd"/>
            <w:r w:rsidRPr="003D4D97">
              <w:rPr>
                <w:szCs w:val="18"/>
              </w:rPr>
              <w:t xml:space="preserve"> in Patients </w:t>
            </w:r>
            <w:proofErr w:type="gramStart"/>
            <w:r w:rsidRPr="003D4D97">
              <w:rPr>
                <w:szCs w:val="18"/>
              </w:rPr>
              <w:t>With</w:t>
            </w:r>
            <w:proofErr w:type="gramEnd"/>
            <w:r w:rsidRPr="003D4D97">
              <w:rPr>
                <w:szCs w:val="18"/>
              </w:rPr>
              <w:t xml:space="preserve"> Chronic Kidney Disease and Type 2 Diabetes According to Baseline HbA1c and Insulin Use: An Analysis From the FIDELIO-DKD </w:t>
            </w:r>
            <w:proofErr w:type="spellStart"/>
            <w:r w:rsidRPr="003D4D97">
              <w:rPr>
                <w:szCs w:val="18"/>
              </w:rPr>
              <w:t>Study</w:t>
            </w:r>
            <w:r w:rsidR="005D1AA4">
              <w:rPr>
                <w:szCs w:val="18"/>
                <w:vertAlign w:val="superscript"/>
              </w:rPr>
              <w:t>a</w:t>
            </w:r>
            <w:proofErr w:type="spellEnd"/>
          </w:p>
        </w:tc>
        <w:tc>
          <w:tcPr>
            <w:tcW w:w="1368" w:type="pct"/>
            <w:tcBorders>
              <w:top w:val="single" w:sz="4" w:space="0" w:color="auto"/>
              <w:left w:val="single" w:sz="4" w:space="0" w:color="auto"/>
              <w:bottom w:val="single" w:sz="4" w:space="0" w:color="auto"/>
              <w:right w:val="single" w:sz="4" w:space="0" w:color="auto"/>
            </w:tcBorders>
            <w:vAlign w:val="center"/>
          </w:tcPr>
          <w:p w14:paraId="34D5A475" w14:textId="77777777" w:rsidR="00B167FC" w:rsidRPr="003D4D97" w:rsidRDefault="00B167FC" w:rsidP="002A5982">
            <w:pPr>
              <w:pStyle w:val="Tabletext0"/>
              <w:keepNext/>
              <w:keepLines/>
              <w:rPr>
                <w:szCs w:val="18"/>
              </w:rPr>
            </w:pPr>
            <w:r w:rsidRPr="003D4D97">
              <w:rPr>
                <w:szCs w:val="18"/>
              </w:rPr>
              <w:t>Diabetes Care</w:t>
            </w:r>
          </w:p>
          <w:p w14:paraId="0312F11A" w14:textId="77777777" w:rsidR="00B167FC" w:rsidRPr="003D4D97" w:rsidRDefault="00B167FC" w:rsidP="002A5982">
            <w:pPr>
              <w:pStyle w:val="Tabletext0"/>
              <w:keepNext/>
              <w:keepLines/>
              <w:rPr>
                <w:szCs w:val="18"/>
              </w:rPr>
            </w:pPr>
            <w:proofErr w:type="spellStart"/>
            <w:r w:rsidRPr="003D4D97">
              <w:rPr>
                <w:szCs w:val="18"/>
              </w:rPr>
              <w:t>doi</w:t>
            </w:r>
            <w:proofErr w:type="spellEnd"/>
            <w:r w:rsidRPr="003D4D97">
              <w:rPr>
                <w:szCs w:val="18"/>
              </w:rPr>
              <w:t>: 10.2337/dc21-1944</w:t>
            </w:r>
          </w:p>
        </w:tc>
      </w:tr>
      <w:tr w:rsidR="00B167FC" w:rsidRPr="00CF7D68" w14:paraId="4F54E451" w14:textId="77777777" w:rsidTr="00221C22">
        <w:tc>
          <w:tcPr>
            <w:tcW w:w="654" w:type="pct"/>
            <w:vMerge/>
            <w:tcBorders>
              <w:left w:val="single" w:sz="4" w:space="0" w:color="auto"/>
              <w:right w:val="single" w:sz="4" w:space="0" w:color="auto"/>
            </w:tcBorders>
            <w:vAlign w:val="center"/>
          </w:tcPr>
          <w:p w14:paraId="1BFDFBA0" w14:textId="77777777" w:rsidR="00B167FC" w:rsidRPr="00CF7D68" w:rsidRDefault="00B167FC" w:rsidP="002A5982">
            <w:pPr>
              <w:pStyle w:val="Tabletext0"/>
              <w:keepNext/>
              <w:keepLines/>
            </w:pPr>
          </w:p>
        </w:tc>
        <w:tc>
          <w:tcPr>
            <w:tcW w:w="2978" w:type="pct"/>
            <w:tcBorders>
              <w:top w:val="single" w:sz="4" w:space="0" w:color="auto"/>
              <w:left w:val="single" w:sz="4" w:space="0" w:color="auto"/>
              <w:bottom w:val="single" w:sz="4" w:space="0" w:color="auto"/>
              <w:right w:val="single" w:sz="4" w:space="0" w:color="auto"/>
            </w:tcBorders>
            <w:vAlign w:val="center"/>
          </w:tcPr>
          <w:p w14:paraId="79AAF41E" w14:textId="0195A017" w:rsidR="00B167FC" w:rsidRPr="003D4D97" w:rsidRDefault="00B167FC" w:rsidP="002A5982">
            <w:pPr>
              <w:pStyle w:val="Tabletext0"/>
              <w:keepNext/>
              <w:keepLines/>
              <w:rPr>
                <w:szCs w:val="18"/>
              </w:rPr>
            </w:pPr>
            <w:proofErr w:type="spellStart"/>
            <w:r w:rsidRPr="003D4D97">
              <w:rPr>
                <w:szCs w:val="18"/>
              </w:rPr>
              <w:t>Rossing</w:t>
            </w:r>
            <w:proofErr w:type="spellEnd"/>
            <w:r w:rsidRPr="003D4D97">
              <w:rPr>
                <w:szCs w:val="18"/>
              </w:rPr>
              <w:t xml:space="preserve"> et al (2022b). Efficacy and safety of </w:t>
            </w:r>
            <w:proofErr w:type="spellStart"/>
            <w:r w:rsidRPr="003D4D97">
              <w:rPr>
                <w:szCs w:val="18"/>
              </w:rPr>
              <w:t>finerenone</w:t>
            </w:r>
            <w:proofErr w:type="spellEnd"/>
            <w:r w:rsidRPr="003D4D97">
              <w:rPr>
                <w:szCs w:val="18"/>
              </w:rPr>
              <w:t xml:space="preserve"> in patients with chronic kidney disease and type 2 diabetes by </w:t>
            </w:r>
            <w:r w:rsidR="007715D3" w:rsidRPr="003D4D97">
              <w:rPr>
                <w:szCs w:val="18"/>
              </w:rPr>
              <w:t>GLP1</w:t>
            </w:r>
            <w:r w:rsidRPr="003D4D97">
              <w:rPr>
                <w:szCs w:val="18"/>
              </w:rPr>
              <w:t xml:space="preserve">RA treatment: A subgroup analysis from the FIDELIO-DKD </w:t>
            </w:r>
            <w:proofErr w:type="spellStart"/>
            <w:r w:rsidRPr="003D4D97">
              <w:rPr>
                <w:szCs w:val="18"/>
              </w:rPr>
              <w:t>trial</w:t>
            </w:r>
            <w:r w:rsidR="005D1AA4">
              <w:rPr>
                <w:szCs w:val="18"/>
                <w:vertAlign w:val="superscript"/>
              </w:rPr>
              <w:t>a</w:t>
            </w:r>
            <w:proofErr w:type="spellEnd"/>
          </w:p>
        </w:tc>
        <w:tc>
          <w:tcPr>
            <w:tcW w:w="1368" w:type="pct"/>
            <w:tcBorders>
              <w:top w:val="single" w:sz="4" w:space="0" w:color="auto"/>
              <w:left w:val="single" w:sz="4" w:space="0" w:color="auto"/>
              <w:bottom w:val="single" w:sz="4" w:space="0" w:color="auto"/>
              <w:right w:val="single" w:sz="4" w:space="0" w:color="auto"/>
            </w:tcBorders>
            <w:vAlign w:val="center"/>
          </w:tcPr>
          <w:p w14:paraId="2E640D09" w14:textId="0CB48F36" w:rsidR="00B167FC" w:rsidRPr="003D4D97" w:rsidRDefault="00B167FC" w:rsidP="002A5982">
            <w:pPr>
              <w:pStyle w:val="Tabletext0"/>
              <w:keepNext/>
              <w:keepLines/>
              <w:rPr>
                <w:szCs w:val="18"/>
              </w:rPr>
            </w:pPr>
            <w:r w:rsidRPr="003D4D97">
              <w:rPr>
                <w:szCs w:val="18"/>
              </w:rPr>
              <w:t xml:space="preserve">Diabetes, Obesity &amp; Metabolism </w:t>
            </w:r>
            <w:r w:rsidRPr="003D4D97">
              <w:rPr>
                <w:szCs w:val="18"/>
              </w:rPr>
              <w:br/>
              <w:t>24: 125-134</w:t>
            </w:r>
            <w:r w:rsidR="00763494" w:rsidRPr="003D4D97">
              <w:rPr>
                <w:szCs w:val="18"/>
              </w:rPr>
              <w:t>.</w:t>
            </w:r>
          </w:p>
        </w:tc>
      </w:tr>
      <w:tr w:rsidR="00B167FC" w:rsidRPr="00CF7D68" w14:paraId="0FD0D72F" w14:textId="77777777" w:rsidTr="00221C22">
        <w:tc>
          <w:tcPr>
            <w:tcW w:w="654" w:type="pct"/>
            <w:vMerge w:val="restart"/>
            <w:tcBorders>
              <w:left w:val="single" w:sz="4" w:space="0" w:color="auto"/>
              <w:right w:val="single" w:sz="4" w:space="0" w:color="auto"/>
            </w:tcBorders>
            <w:vAlign w:val="center"/>
          </w:tcPr>
          <w:p w14:paraId="06C7CD4C" w14:textId="77777777" w:rsidR="00B167FC" w:rsidRPr="00CF7D68" w:rsidRDefault="00B167FC" w:rsidP="00221C22">
            <w:pPr>
              <w:pStyle w:val="Tabletext0"/>
              <w:keepNext/>
              <w:keepLines/>
            </w:pPr>
            <w:r w:rsidRPr="00CF7D68">
              <w:t>FIGARO-DKD</w:t>
            </w:r>
          </w:p>
        </w:tc>
        <w:tc>
          <w:tcPr>
            <w:tcW w:w="2978" w:type="pct"/>
            <w:tcBorders>
              <w:top w:val="single" w:sz="4" w:space="0" w:color="auto"/>
              <w:left w:val="single" w:sz="4" w:space="0" w:color="auto"/>
              <w:bottom w:val="single" w:sz="4" w:space="0" w:color="auto"/>
              <w:right w:val="single" w:sz="4" w:space="0" w:color="auto"/>
            </w:tcBorders>
            <w:vAlign w:val="center"/>
          </w:tcPr>
          <w:p w14:paraId="3A1B963B" w14:textId="77777777" w:rsidR="00B167FC" w:rsidRPr="00CF7D68" w:rsidRDefault="00B167FC" w:rsidP="00221C22">
            <w:pPr>
              <w:pStyle w:val="Tabletext0"/>
              <w:keepNext/>
              <w:keepLines/>
              <w:rPr>
                <w:szCs w:val="18"/>
              </w:rPr>
            </w:pPr>
            <w:r w:rsidRPr="00CF7D68">
              <w:rPr>
                <w:szCs w:val="18"/>
              </w:rPr>
              <w:t xml:space="preserve">Bayer (2021). Efficacy and safety of </w:t>
            </w:r>
            <w:proofErr w:type="spellStart"/>
            <w:r w:rsidRPr="00CF7D68">
              <w:rPr>
                <w:szCs w:val="18"/>
              </w:rPr>
              <w:t>finerenone</w:t>
            </w:r>
            <w:proofErr w:type="spellEnd"/>
            <w:r w:rsidRPr="00CF7D68">
              <w:rPr>
                <w:szCs w:val="18"/>
              </w:rPr>
              <w:t xml:space="preserve"> in subjects with type 2 diabetes mellitus and the clinical diagnosis of diabetic kidney disease</w:t>
            </w:r>
          </w:p>
        </w:tc>
        <w:tc>
          <w:tcPr>
            <w:tcW w:w="1368" w:type="pct"/>
            <w:tcBorders>
              <w:top w:val="single" w:sz="4" w:space="0" w:color="auto"/>
              <w:left w:val="single" w:sz="4" w:space="0" w:color="auto"/>
              <w:bottom w:val="single" w:sz="4" w:space="0" w:color="auto"/>
              <w:right w:val="single" w:sz="4" w:space="0" w:color="auto"/>
            </w:tcBorders>
            <w:vAlign w:val="center"/>
          </w:tcPr>
          <w:p w14:paraId="4F5F230F" w14:textId="77777777" w:rsidR="00B167FC" w:rsidRPr="00CF7D68" w:rsidRDefault="00B167FC" w:rsidP="00221C22">
            <w:pPr>
              <w:pStyle w:val="Tabletext0"/>
              <w:keepNext/>
              <w:keepLines/>
              <w:rPr>
                <w:szCs w:val="18"/>
              </w:rPr>
            </w:pPr>
            <w:r w:rsidRPr="00CF7D68">
              <w:t>Internal study report</w:t>
            </w:r>
          </w:p>
        </w:tc>
      </w:tr>
      <w:tr w:rsidR="00B167FC" w:rsidRPr="00CF7D68" w14:paraId="0DA98710" w14:textId="77777777" w:rsidTr="00221C22">
        <w:tc>
          <w:tcPr>
            <w:tcW w:w="654" w:type="pct"/>
            <w:vMerge/>
            <w:tcBorders>
              <w:left w:val="single" w:sz="4" w:space="0" w:color="auto"/>
              <w:right w:val="single" w:sz="4" w:space="0" w:color="auto"/>
            </w:tcBorders>
            <w:vAlign w:val="center"/>
          </w:tcPr>
          <w:p w14:paraId="59DBECA8" w14:textId="77777777" w:rsidR="00B167FC" w:rsidRPr="00CF7D68" w:rsidRDefault="00B167FC" w:rsidP="002A5982">
            <w:pPr>
              <w:pStyle w:val="Tabletext0"/>
              <w:keepNext/>
              <w:keepLines/>
            </w:pPr>
          </w:p>
        </w:tc>
        <w:tc>
          <w:tcPr>
            <w:tcW w:w="2978" w:type="pct"/>
            <w:tcBorders>
              <w:top w:val="single" w:sz="4" w:space="0" w:color="auto"/>
              <w:left w:val="single" w:sz="4" w:space="0" w:color="auto"/>
              <w:bottom w:val="single" w:sz="4" w:space="0" w:color="auto"/>
              <w:right w:val="single" w:sz="4" w:space="0" w:color="auto"/>
            </w:tcBorders>
            <w:vAlign w:val="center"/>
          </w:tcPr>
          <w:p w14:paraId="6512C6EA" w14:textId="77777777" w:rsidR="00B167FC" w:rsidRPr="00CF7D68" w:rsidRDefault="00B167FC" w:rsidP="002A5982">
            <w:pPr>
              <w:pStyle w:val="Tabletext0"/>
              <w:keepNext/>
              <w:keepLines/>
              <w:rPr>
                <w:szCs w:val="18"/>
              </w:rPr>
            </w:pPr>
            <w:proofErr w:type="spellStart"/>
            <w:r w:rsidRPr="00CF7D68">
              <w:rPr>
                <w:szCs w:val="18"/>
              </w:rPr>
              <w:t>Ruilope</w:t>
            </w:r>
            <w:proofErr w:type="spellEnd"/>
            <w:r w:rsidRPr="00CF7D68">
              <w:rPr>
                <w:szCs w:val="18"/>
              </w:rPr>
              <w:t xml:space="preserve"> et al (2019). Design and baseline characteristics of the </w:t>
            </w:r>
            <w:proofErr w:type="spellStart"/>
            <w:r w:rsidRPr="00CF7D68">
              <w:rPr>
                <w:szCs w:val="18"/>
              </w:rPr>
              <w:t>finerenone</w:t>
            </w:r>
            <w:proofErr w:type="spellEnd"/>
            <w:r w:rsidRPr="00CF7D68">
              <w:rPr>
                <w:szCs w:val="18"/>
              </w:rPr>
              <w:t xml:space="preserve"> in reducing cardiovascular mortality and morbidity in diabetic kidney disease trial. </w:t>
            </w:r>
          </w:p>
        </w:tc>
        <w:tc>
          <w:tcPr>
            <w:tcW w:w="1368" w:type="pct"/>
            <w:tcBorders>
              <w:top w:val="single" w:sz="4" w:space="0" w:color="auto"/>
              <w:left w:val="single" w:sz="4" w:space="0" w:color="auto"/>
              <w:bottom w:val="single" w:sz="4" w:space="0" w:color="auto"/>
              <w:right w:val="single" w:sz="4" w:space="0" w:color="auto"/>
            </w:tcBorders>
            <w:vAlign w:val="center"/>
          </w:tcPr>
          <w:p w14:paraId="1C65EFB4" w14:textId="77777777" w:rsidR="00B167FC" w:rsidRPr="00CF7D68" w:rsidRDefault="00B167FC" w:rsidP="002A5982">
            <w:pPr>
              <w:pStyle w:val="Tabletext0"/>
              <w:keepNext/>
              <w:keepLines/>
            </w:pPr>
            <w:r w:rsidRPr="00CF7D68">
              <w:rPr>
                <w:szCs w:val="18"/>
              </w:rPr>
              <w:t xml:space="preserve">American Journal of Nephrology </w:t>
            </w:r>
            <w:r w:rsidRPr="00CF7D68">
              <w:rPr>
                <w:szCs w:val="18"/>
              </w:rPr>
              <w:br/>
              <w:t>50: 345-356.</w:t>
            </w:r>
          </w:p>
        </w:tc>
      </w:tr>
      <w:tr w:rsidR="00B167FC" w:rsidRPr="00CF7D68" w14:paraId="3138C85D" w14:textId="77777777" w:rsidTr="00221C22">
        <w:tc>
          <w:tcPr>
            <w:tcW w:w="654" w:type="pct"/>
            <w:vMerge/>
            <w:tcBorders>
              <w:left w:val="single" w:sz="4" w:space="0" w:color="auto"/>
              <w:right w:val="single" w:sz="4" w:space="0" w:color="auto"/>
            </w:tcBorders>
            <w:vAlign w:val="center"/>
          </w:tcPr>
          <w:p w14:paraId="3BAF2CE8" w14:textId="77777777" w:rsidR="00B167FC" w:rsidRPr="00CF7D68" w:rsidRDefault="00B167FC" w:rsidP="002A5982">
            <w:pPr>
              <w:pStyle w:val="Tabletext0"/>
              <w:keepNext/>
              <w:keepLines/>
            </w:pPr>
          </w:p>
        </w:tc>
        <w:tc>
          <w:tcPr>
            <w:tcW w:w="2978" w:type="pct"/>
            <w:tcBorders>
              <w:top w:val="single" w:sz="4" w:space="0" w:color="auto"/>
              <w:left w:val="single" w:sz="4" w:space="0" w:color="auto"/>
              <w:bottom w:val="single" w:sz="4" w:space="0" w:color="auto"/>
              <w:right w:val="single" w:sz="4" w:space="0" w:color="auto"/>
            </w:tcBorders>
            <w:vAlign w:val="center"/>
          </w:tcPr>
          <w:p w14:paraId="4A5A8DAF" w14:textId="642B3785" w:rsidR="00B167FC" w:rsidRPr="003D4D97" w:rsidRDefault="00B167FC" w:rsidP="002A5982">
            <w:pPr>
              <w:pStyle w:val="Tabletext0"/>
              <w:keepNext/>
              <w:keepLines/>
              <w:rPr>
                <w:szCs w:val="18"/>
              </w:rPr>
            </w:pPr>
            <w:r w:rsidRPr="003D4D97">
              <w:rPr>
                <w:szCs w:val="18"/>
              </w:rPr>
              <w:t xml:space="preserve">Pitt et al (2021). Cardiovascular events with </w:t>
            </w:r>
            <w:proofErr w:type="spellStart"/>
            <w:r w:rsidRPr="003D4D97">
              <w:rPr>
                <w:szCs w:val="18"/>
              </w:rPr>
              <w:t>finerenone</w:t>
            </w:r>
            <w:proofErr w:type="spellEnd"/>
            <w:r w:rsidRPr="003D4D97">
              <w:rPr>
                <w:szCs w:val="18"/>
              </w:rPr>
              <w:t xml:space="preserve"> in kidney disease and Type 2 </w:t>
            </w:r>
            <w:proofErr w:type="spellStart"/>
            <w:r w:rsidRPr="003D4D97">
              <w:rPr>
                <w:szCs w:val="18"/>
              </w:rPr>
              <w:t>diabetes</w:t>
            </w:r>
            <w:r w:rsidR="005D1AA4">
              <w:rPr>
                <w:szCs w:val="18"/>
                <w:vertAlign w:val="superscript"/>
              </w:rPr>
              <w:t>a</w:t>
            </w:r>
            <w:proofErr w:type="spellEnd"/>
          </w:p>
        </w:tc>
        <w:tc>
          <w:tcPr>
            <w:tcW w:w="1368" w:type="pct"/>
            <w:tcBorders>
              <w:top w:val="single" w:sz="4" w:space="0" w:color="auto"/>
              <w:left w:val="single" w:sz="4" w:space="0" w:color="auto"/>
              <w:bottom w:val="single" w:sz="4" w:space="0" w:color="auto"/>
              <w:right w:val="single" w:sz="4" w:space="0" w:color="auto"/>
            </w:tcBorders>
            <w:vAlign w:val="center"/>
          </w:tcPr>
          <w:p w14:paraId="0EFA3E68" w14:textId="77777777" w:rsidR="00B167FC" w:rsidRPr="003D4D97" w:rsidRDefault="00B167FC" w:rsidP="002A5982">
            <w:pPr>
              <w:pStyle w:val="Tabletext0"/>
              <w:keepNext/>
              <w:keepLines/>
              <w:rPr>
                <w:szCs w:val="18"/>
              </w:rPr>
            </w:pPr>
            <w:r w:rsidRPr="003D4D97">
              <w:rPr>
                <w:szCs w:val="18"/>
              </w:rPr>
              <w:t xml:space="preserve">New England Journal of Medicine </w:t>
            </w:r>
            <w:r w:rsidRPr="003D4D97">
              <w:rPr>
                <w:szCs w:val="18"/>
              </w:rPr>
              <w:br/>
              <w:t>385: 2252</w:t>
            </w:r>
            <w:r w:rsidRPr="003D4D97">
              <w:rPr>
                <w:rFonts w:ascii="Cambria Math" w:hAnsi="Cambria Math" w:cs="Cambria Math"/>
                <w:szCs w:val="18"/>
              </w:rPr>
              <w:t>‐</w:t>
            </w:r>
            <w:r w:rsidRPr="003D4D97">
              <w:rPr>
                <w:szCs w:val="18"/>
              </w:rPr>
              <w:t>2263.</w:t>
            </w:r>
          </w:p>
        </w:tc>
      </w:tr>
      <w:tr w:rsidR="00B167FC" w:rsidRPr="00CF7D68" w14:paraId="028BABA3" w14:textId="77777777" w:rsidTr="00221C22">
        <w:tc>
          <w:tcPr>
            <w:tcW w:w="654" w:type="pct"/>
            <w:vMerge/>
            <w:tcBorders>
              <w:left w:val="single" w:sz="4" w:space="0" w:color="auto"/>
              <w:right w:val="single" w:sz="4" w:space="0" w:color="auto"/>
            </w:tcBorders>
            <w:vAlign w:val="center"/>
          </w:tcPr>
          <w:p w14:paraId="6A6B748B" w14:textId="77777777" w:rsidR="00B167FC" w:rsidRPr="00CF7D68" w:rsidRDefault="00B167FC" w:rsidP="002A5982">
            <w:pPr>
              <w:pStyle w:val="Tabletext0"/>
              <w:keepNext/>
              <w:keepLines/>
            </w:pPr>
          </w:p>
        </w:tc>
        <w:tc>
          <w:tcPr>
            <w:tcW w:w="2978" w:type="pct"/>
            <w:tcBorders>
              <w:top w:val="single" w:sz="4" w:space="0" w:color="auto"/>
              <w:left w:val="single" w:sz="4" w:space="0" w:color="auto"/>
              <w:bottom w:val="single" w:sz="4" w:space="0" w:color="auto"/>
              <w:right w:val="single" w:sz="4" w:space="0" w:color="auto"/>
            </w:tcBorders>
            <w:vAlign w:val="center"/>
          </w:tcPr>
          <w:p w14:paraId="3762F3C1" w14:textId="68FDC6C0" w:rsidR="00B167FC" w:rsidRPr="003D4D97" w:rsidRDefault="00B167FC" w:rsidP="002A5982">
            <w:pPr>
              <w:pStyle w:val="Tabletext0"/>
              <w:keepNext/>
              <w:keepLines/>
              <w:rPr>
                <w:szCs w:val="18"/>
              </w:rPr>
            </w:pPr>
            <w:proofErr w:type="spellStart"/>
            <w:r w:rsidRPr="003D4D97">
              <w:rPr>
                <w:szCs w:val="18"/>
              </w:rPr>
              <w:t>Filippatos</w:t>
            </w:r>
            <w:proofErr w:type="spellEnd"/>
            <w:r w:rsidRPr="003D4D97">
              <w:rPr>
                <w:szCs w:val="18"/>
              </w:rPr>
              <w:t xml:space="preserve"> et al (2022). </w:t>
            </w:r>
            <w:proofErr w:type="spellStart"/>
            <w:r w:rsidRPr="003D4D97">
              <w:rPr>
                <w:szCs w:val="18"/>
              </w:rPr>
              <w:t>Finerenone</w:t>
            </w:r>
            <w:proofErr w:type="spellEnd"/>
            <w:r w:rsidRPr="003D4D97">
              <w:rPr>
                <w:szCs w:val="18"/>
              </w:rPr>
              <w:t xml:space="preserve"> reduces risk of incident heart failure in patients with chronic kidney disease and Type 2 diabetes: analyses from the FIGARO-DKD </w:t>
            </w:r>
            <w:proofErr w:type="spellStart"/>
            <w:r w:rsidRPr="003D4D97">
              <w:rPr>
                <w:szCs w:val="18"/>
              </w:rPr>
              <w:t>trial</w:t>
            </w:r>
            <w:r w:rsidR="005D1AA4">
              <w:rPr>
                <w:szCs w:val="18"/>
                <w:vertAlign w:val="superscript"/>
              </w:rPr>
              <w:t>a</w:t>
            </w:r>
            <w:proofErr w:type="spellEnd"/>
          </w:p>
        </w:tc>
        <w:tc>
          <w:tcPr>
            <w:tcW w:w="1368" w:type="pct"/>
            <w:tcBorders>
              <w:top w:val="single" w:sz="4" w:space="0" w:color="auto"/>
              <w:left w:val="single" w:sz="4" w:space="0" w:color="auto"/>
              <w:bottom w:val="single" w:sz="4" w:space="0" w:color="auto"/>
              <w:right w:val="single" w:sz="4" w:space="0" w:color="auto"/>
            </w:tcBorders>
            <w:vAlign w:val="center"/>
          </w:tcPr>
          <w:p w14:paraId="6A2E053C" w14:textId="77777777" w:rsidR="00B167FC" w:rsidRPr="003D4D97" w:rsidRDefault="00B167FC" w:rsidP="002A5982">
            <w:pPr>
              <w:pStyle w:val="Tabletext0"/>
              <w:keepNext/>
              <w:keepLines/>
              <w:rPr>
                <w:szCs w:val="18"/>
              </w:rPr>
            </w:pPr>
            <w:r w:rsidRPr="003D4D97">
              <w:rPr>
                <w:szCs w:val="18"/>
              </w:rPr>
              <w:t xml:space="preserve">Circulation </w:t>
            </w:r>
            <w:r w:rsidRPr="003D4D97">
              <w:rPr>
                <w:szCs w:val="18"/>
              </w:rPr>
              <w:br/>
              <w:t>145: 437-447.</w:t>
            </w:r>
          </w:p>
        </w:tc>
      </w:tr>
      <w:tr w:rsidR="00B167FC" w:rsidRPr="00CF7D68" w14:paraId="1FA6AFD5" w14:textId="77777777" w:rsidTr="00221C22">
        <w:tc>
          <w:tcPr>
            <w:tcW w:w="654" w:type="pct"/>
            <w:vMerge w:val="restart"/>
            <w:tcBorders>
              <w:left w:val="single" w:sz="4" w:space="0" w:color="auto"/>
              <w:right w:val="single" w:sz="4" w:space="0" w:color="auto"/>
            </w:tcBorders>
            <w:vAlign w:val="center"/>
          </w:tcPr>
          <w:p w14:paraId="434441B7" w14:textId="77777777" w:rsidR="00B167FC" w:rsidRPr="00CF7D68" w:rsidRDefault="00B167FC" w:rsidP="00221C22">
            <w:pPr>
              <w:pStyle w:val="Tabletext0"/>
              <w:keepNext/>
              <w:keepLines/>
            </w:pPr>
            <w:r w:rsidRPr="00CF7D68">
              <w:t>FIDELITY</w:t>
            </w:r>
          </w:p>
        </w:tc>
        <w:tc>
          <w:tcPr>
            <w:tcW w:w="2978" w:type="pct"/>
            <w:tcBorders>
              <w:top w:val="single" w:sz="4" w:space="0" w:color="auto"/>
              <w:left w:val="single" w:sz="4" w:space="0" w:color="auto"/>
              <w:bottom w:val="single" w:sz="4" w:space="0" w:color="auto"/>
              <w:right w:val="single" w:sz="4" w:space="0" w:color="auto"/>
            </w:tcBorders>
            <w:vAlign w:val="center"/>
          </w:tcPr>
          <w:p w14:paraId="2C99D77C" w14:textId="77777777" w:rsidR="00B167FC" w:rsidRPr="00CF7D68" w:rsidRDefault="00B167FC" w:rsidP="00221C22">
            <w:pPr>
              <w:pStyle w:val="Tabletext0"/>
              <w:keepNext/>
              <w:keepLines/>
              <w:rPr>
                <w:szCs w:val="18"/>
              </w:rPr>
            </w:pPr>
            <w:r w:rsidRPr="00CF7D68">
              <w:rPr>
                <w:szCs w:val="18"/>
              </w:rPr>
              <w:t>Bayer (2021). Integrated analysis of FIDELIO-DKD and FIGARO-DKD</w:t>
            </w:r>
          </w:p>
        </w:tc>
        <w:tc>
          <w:tcPr>
            <w:tcW w:w="1368" w:type="pct"/>
            <w:tcBorders>
              <w:top w:val="single" w:sz="4" w:space="0" w:color="auto"/>
              <w:left w:val="single" w:sz="4" w:space="0" w:color="auto"/>
              <w:bottom w:val="single" w:sz="4" w:space="0" w:color="auto"/>
              <w:right w:val="single" w:sz="4" w:space="0" w:color="auto"/>
            </w:tcBorders>
            <w:vAlign w:val="center"/>
          </w:tcPr>
          <w:p w14:paraId="24EC7DE6" w14:textId="77777777" w:rsidR="00B167FC" w:rsidRPr="00CF7D68" w:rsidRDefault="00B167FC" w:rsidP="00221C22">
            <w:pPr>
              <w:pStyle w:val="Tabletext0"/>
              <w:keepNext/>
              <w:keepLines/>
              <w:rPr>
                <w:szCs w:val="18"/>
              </w:rPr>
            </w:pPr>
            <w:r w:rsidRPr="00CF7D68">
              <w:t>Internal study report</w:t>
            </w:r>
          </w:p>
        </w:tc>
      </w:tr>
      <w:tr w:rsidR="00B167FC" w:rsidRPr="00CF7D68" w14:paraId="10EBD6B4" w14:textId="77777777" w:rsidTr="00221C22">
        <w:tc>
          <w:tcPr>
            <w:tcW w:w="654" w:type="pct"/>
            <w:vMerge/>
            <w:tcBorders>
              <w:left w:val="single" w:sz="4" w:space="0" w:color="auto"/>
              <w:right w:val="single" w:sz="4" w:space="0" w:color="auto"/>
            </w:tcBorders>
            <w:vAlign w:val="center"/>
          </w:tcPr>
          <w:p w14:paraId="58B43899" w14:textId="77777777" w:rsidR="00B167FC" w:rsidRPr="00CF7D68" w:rsidRDefault="00B167FC" w:rsidP="002A5982">
            <w:pPr>
              <w:pStyle w:val="Tabletext0"/>
              <w:keepNext/>
              <w:keepLines/>
            </w:pPr>
          </w:p>
        </w:tc>
        <w:tc>
          <w:tcPr>
            <w:tcW w:w="2978" w:type="pct"/>
            <w:tcBorders>
              <w:top w:val="single" w:sz="4" w:space="0" w:color="auto"/>
              <w:left w:val="single" w:sz="4" w:space="0" w:color="auto"/>
              <w:bottom w:val="single" w:sz="4" w:space="0" w:color="auto"/>
              <w:right w:val="single" w:sz="4" w:space="0" w:color="auto"/>
            </w:tcBorders>
            <w:vAlign w:val="center"/>
          </w:tcPr>
          <w:p w14:paraId="14EC2498" w14:textId="2B9A5E80" w:rsidR="00B167FC" w:rsidRPr="00CF7D68" w:rsidRDefault="00B167FC" w:rsidP="002A5982">
            <w:pPr>
              <w:pStyle w:val="Tabletext0"/>
              <w:keepNext/>
              <w:keepLines/>
              <w:rPr>
                <w:szCs w:val="18"/>
              </w:rPr>
            </w:pPr>
            <w:proofErr w:type="spellStart"/>
            <w:r w:rsidRPr="00CF7D68">
              <w:rPr>
                <w:szCs w:val="18"/>
              </w:rPr>
              <w:t>Agawal</w:t>
            </w:r>
            <w:proofErr w:type="spellEnd"/>
            <w:r w:rsidRPr="00CF7D68">
              <w:rPr>
                <w:szCs w:val="18"/>
              </w:rPr>
              <w:t xml:space="preserve"> et al (2022)</w:t>
            </w:r>
            <w:r w:rsidR="00763494" w:rsidRPr="00CF7D68">
              <w:rPr>
                <w:szCs w:val="18"/>
              </w:rPr>
              <w:t>.</w:t>
            </w:r>
            <w:r w:rsidRPr="00CF7D68">
              <w:rPr>
                <w:szCs w:val="18"/>
              </w:rPr>
              <w:t xml:space="preserve"> Cardiovascular and kidney outcomes with </w:t>
            </w:r>
            <w:proofErr w:type="spellStart"/>
            <w:r w:rsidRPr="00CF7D68">
              <w:rPr>
                <w:szCs w:val="18"/>
              </w:rPr>
              <w:t>finerenone</w:t>
            </w:r>
            <w:proofErr w:type="spellEnd"/>
            <w:r w:rsidRPr="00CF7D68">
              <w:rPr>
                <w:szCs w:val="18"/>
              </w:rPr>
              <w:t xml:space="preserve"> in patients with type 2 diabetes and chronic kidney disease: the FIDELITY pooled analysis</w:t>
            </w:r>
          </w:p>
        </w:tc>
        <w:tc>
          <w:tcPr>
            <w:tcW w:w="1368" w:type="pct"/>
            <w:tcBorders>
              <w:top w:val="single" w:sz="4" w:space="0" w:color="auto"/>
              <w:left w:val="single" w:sz="4" w:space="0" w:color="auto"/>
              <w:bottom w:val="single" w:sz="4" w:space="0" w:color="auto"/>
              <w:right w:val="single" w:sz="4" w:space="0" w:color="auto"/>
            </w:tcBorders>
            <w:vAlign w:val="center"/>
          </w:tcPr>
          <w:p w14:paraId="42449AFC" w14:textId="77777777" w:rsidR="00B167FC" w:rsidRPr="00CF7D68" w:rsidRDefault="00B167FC" w:rsidP="002A5982">
            <w:pPr>
              <w:pStyle w:val="Tabletext0"/>
              <w:keepNext/>
              <w:keepLines/>
              <w:rPr>
                <w:szCs w:val="18"/>
              </w:rPr>
            </w:pPr>
            <w:r w:rsidRPr="00CF7D68">
              <w:rPr>
                <w:szCs w:val="18"/>
              </w:rPr>
              <w:t xml:space="preserve">European Heart Journal </w:t>
            </w:r>
          </w:p>
          <w:p w14:paraId="5CFA7F20" w14:textId="05E6C870" w:rsidR="00B167FC" w:rsidRPr="003D4D97" w:rsidRDefault="00B167FC" w:rsidP="002A5982">
            <w:pPr>
              <w:pStyle w:val="Tabletext0"/>
              <w:keepNext/>
              <w:keepLines/>
              <w:rPr>
                <w:szCs w:val="18"/>
              </w:rPr>
            </w:pPr>
            <w:r w:rsidRPr="00CF7D68">
              <w:rPr>
                <w:szCs w:val="18"/>
              </w:rPr>
              <w:t>43: 474-484</w:t>
            </w:r>
            <w:r w:rsidR="00763494" w:rsidRPr="00CF7D68">
              <w:rPr>
                <w:szCs w:val="18"/>
              </w:rPr>
              <w:t>.</w:t>
            </w:r>
          </w:p>
        </w:tc>
      </w:tr>
    </w:tbl>
    <w:p w14:paraId="03057D9F" w14:textId="5C951BB3" w:rsidR="00B167FC" w:rsidRPr="00CF7D68" w:rsidRDefault="00B167FC" w:rsidP="00250B01">
      <w:pPr>
        <w:pStyle w:val="TableFooter"/>
      </w:pPr>
      <w:r w:rsidRPr="00CF7D68">
        <w:t>Source: Table 24 (p</w:t>
      </w:r>
      <w:r w:rsidR="003073FE">
        <w:t>p</w:t>
      </w:r>
      <w:r w:rsidRPr="00CF7D68">
        <w:t>30-31) of the submission</w:t>
      </w:r>
    </w:p>
    <w:p w14:paraId="04B0EF58" w14:textId="6ABEAC75" w:rsidR="00B167FC" w:rsidRDefault="00B167FC" w:rsidP="00250B01">
      <w:pPr>
        <w:pStyle w:val="TableFooter"/>
      </w:pPr>
      <w:r w:rsidRPr="00CF7D68">
        <w:t>Note: Abstracts of studies with full publications are not presented</w:t>
      </w:r>
    </w:p>
    <w:p w14:paraId="2FEAF63F" w14:textId="6EF7AC63" w:rsidR="005D1AA4" w:rsidRPr="005D1AA4" w:rsidRDefault="005D1AA4" w:rsidP="00250B01">
      <w:pPr>
        <w:pStyle w:val="TableFooter"/>
      </w:pPr>
      <w:r>
        <w:rPr>
          <w:vertAlign w:val="superscript"/>
        </w:rPr>
        <w:t xml:space="preserve">a </w:t>
      </w:r>
      <w:r>
        <w:t>Publications identified during evaluation</w:t>
      </w:r>
    </w:p>
    <w:p w14:paraId="162A37F2" w14:textId="32189C7D" w:rsidR="00735694" w:rsidRPr="00CF7D68" w:rsidRDefault="005D1AA4" w:rsidP="00A131B0">
      <w:pPr>
        <w:pStyle w:val="ExecSumBodyText"/>
        <w:ind w:left="709" w:hanging="709"/>
        <w:rPr>
          <w:iCs/>
        </w:rPr>
      </w:pPr>
      <w:r>
        <w:rPr>
          <w:iCs/>
        </w:rPr>
        <w:t xml:space="preserve">At </w:t>
      </w:r>
      <w:r w:rsidR="003D4D97">
        <w:rPr>
          <w:iCs/>
        </w:rPr>
        <w:t xml:space="preserve">the </w:t>
      </w:r>
      <w:r>
        <w:rPr>
          <w:iCs/>
        </w:rPr>
        <w:t xml:space="preserve">time of PBAC consideration, there were </w:t>
      </w:r>
      <w:r w:rsidR="005E1291">
        <w:rPr>
          <w:iCs/>
        </w:rPr>
        <w:t>2</w:t>
      </w:r>
      <w:r w:rsidR="005E1291" w:rsidRPr="00CF7D68">
        <w:rPr>
          <w:iCs/>
        </w:rPr>
        <w:t xml:space="preserve"> </w:t>
      </w:r>
      <w:r>
        <w:rPr>
          <w:iCs/>
        </w:rPr>
        <w:t xml:space="preserve">ongoing </w:t>
      </w:r>
      <w:r w:rsidR="00735694" w:rsidRPr="00CF7D68">
        <w:rPr>
          <w:iCs/>
        </w:rPr>
        <w:t xml:space="preserve">additional trials comparing </w:t>
      </w:r>
      <w:proofErr w:type="spellStart"/>
      <w:r w:rsidR="00735694" w:rsidRPr="00CF7D68">
        <w:rPr>
          <w:iCs/>
        </w:rPr>
        <w:t>finerenone</w:t>
      </w:r>
      <w:proofErr w:type="spellEnd"/>
      <w:r w:rsidR="00735694" w:rsidRPr="00CF7D68">
        <w:rPr>
          <w:iCs/>
        </w:rPr>
        <w:t xml:space="preserve"> with placebo for the treatment of preserved fraction heart failure (FINEARTS-HF, estimated completion May 2024) and treatment of non-diabetic kidney disease (FINE-CKD, estimated completion December</w:t>
      </w:r>
      <w:r w:rsidR="007B2878" w:rsidRPr="00CF7D68">
        <w:rPr>
          <w:iCs/>
        </w:rPr>
        <w:t> </w:t>
      </w:r>
      <w:r w:rsidR="00735694" w:rsidRPr="00CF7D68">
        <w:rPr>
          <w:iCs/>
        </w:rPr>
        <w:t>2025).</w:t>
      </w:r>
    </w:p>
    <w:p w14:paraId="5CAB24DE" w14:textId="5D315234" w:rsidR="00B167FC" w:rsidRPr="00CF7D68" w:rsidRDefault="00B167FC" w:rsidP="00B167FC">
      <w:pPr>
        <w:pStyle w:val="ExecSumBodyText"/>
      </w:pPr>
      <w:r w:rsidRPr="00CF7D68">
        <w:t xml:space="preserve">The key features of the included studies are summarised in </w:t>
      </w:r>
      <w:r w:rsidR="003778F4" w:rsidRPr="00CF7D68">
        <w:fldChar w:fldCharType="begin"/>
      </w:r>
      <w:r w:rsidR="003778F4" w:rsidRPr="00CF7D68">
        <w:instrText xml:space="preserve"> REF _Ref103264970 \h </w:instrText>
      </w:r>
      <w:r w:rsidR="003778F4" w:rsidRPr="00CF7D68">
        <w:fldChar w:fldCharType="separate"/>
      </w:r>
      <w:r w:rsidR="00AE5D6E" w:rsidRPr="00CF7D68">
        <w:t xml:space="preserve">Table </w:t>
      </w:r>
      <w:r w:rsidR="00AE5D6E">
        <w:rPr>
          <w:noProof/>
        </w:rPr>
        <w:t>4</w:t>
      </w:r>
      <w:r w:rsidR="003778F4" w:rsidRPr="00CF7D68">
        <w:fldChar w:fldCharType="end"/>
      </w:r>
      <w:r w:rsidR="003778F4" w:rsidRPr="00CF7D68">
        <w:t xml:space="preserve"> </w:t>
      </w:r>
      <w:r w:rsidRPr="00CF7D68">
        <w:t>below.</w:t>
      </w:r>
    </w:p>
    <w:p w14:paraId="17F4FCA5" w14:textId="1A9CD88B" w:rsidR="006F0189" w:rsidRPr="00CF7D68" w:rsidRDefault="006F0189" w:rsidP="00A11ED5">
      <w:pPr>
        <w:pStyle w:val="TableHeading"/>
      </w:pPr>
      <w:bookmarkStart w:id="23" w:name="_Ref103264970"/>
      <w:r w:rsidRPr="00CF7D68">
        <w:lastRenderedPageBreak/>
        <w:t xml:space="preserve">Table </w:t>
      </w:r>
      <w:r w:rsidR="00F9376A">
        <w:fldChar w:fldCharType="begin"/>
      </w:r>
      <w:r w:rsidR="00F9376A">
        <w:instrText xml:space="preserve"> SEQ Table \* ARABIC </w:instrText>
      </w:r>
      <w:r w:rsidR="00F9376A">
        <w:fldChar w:fldCharType="separate"/>
      </w:r>
      <w:r w:rsidR="00AE5D6E">
        <w:rPr>
          <w:noProof/>
        </w:rPr>
        <w:t>4</w:t>
      </w:r>
      <w:r w:rsidR="00F9376A">
        <w:rPr>
          <w:noProof/>
        </w:rPr>
        <w:fldChar w:fldCharType="end"/>
      </w:r>
      <w:bookmarkEnd w:id="23"/>
      <w:r w:rsidRPr="00CF7D68">
        <w:t>: Key features of the included studies</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566"/>
        <w:gridCol w:w="1703"/>
        <w:gridCol w:w="709"/>
        <w:gridCol w:w="1710"/>
        <w:gridCol w:w="1930"/>
        <w:gridCol w:w="1276"/>
      </w:tblGrid>
      <w:tr w:rsidR="00F946E6" w:rsidRPr="00CF7D68" w14:paraId="20329206" w14:textId="77777777" w:rsidTr="006F0189">
        <w:trPr>
          <w:cantSplit/>
          <w:tblHeader/>
        </w:trPr>
        <w:tc>
          <w:tcPr>
            <w:tcW w:w="693" w:type="pct"/>
            <w:shd w:val="clear" w:color="auto" w:fill="auto"/>
            <w:vAlign w:val="center"/>
          </w:tcPr>
          <w:p w14:paraId="7CC1250B" w14:textId="77777777" w:rsidR="00B167FC" w:rsidRPr="00CF7D68" w:rsidRDefault="00B167FC" w:rsidP="00BD693B">
            <w:pPr>
              <w:pStyle w:val="Tableheadingrow"/>
              <w:rPr>
                <w:lang w:val="en-AU"/>
              </w:rPr>
            </w:pPr>
            <w:r w:rsidRPr="00CF7D68">
              <w:rPr>
                <w:lang w:val="en-AU"/>
              </w:rPr>
              <w:t>Trial</w:t>
            </w:r>
          </w:p>
        </w:tc>
        <w:tc>
          <w:tcPr>
            <w:tcW w:w="309" w:type="pct"/>
            <w:shd w:val="clear" w:color="auto" w:fill="auto"/>
            <w:vAlign w:val="center"/>
          </w:tcPr>
          <w:p w14:paraId="18B71EEB" w14:textId="77777777" w:rsidR="00B167FC" w:rsidRPr="00CF7D68" w:rsidRDefault="00B167FC" w:rsidP="00BD693B">
            <w:pPr>
              <w:pStyle w:val="Tableheadingrow"/>
              <w:jc w:val="center"/>
              <w:rPr>
                <w:lang w:val="en-AU"/>
              </w:rPr>
            </w:pPr>
            <w:r w:rsidRPr="00CF7D68">
              <w:rPr>
                <w:lang w:val="en-AU"/>
              </w:rPr>
              <w:t>N</w:t>
            </w:r>
          </w:p>
        </w:tc>
        <w:tc>
          <w:tcPr>
            <w:tcW w:w="929" w:type="pct"/>
            <w:shd w:val="clear" w:color="auto" w:fill="auto"/>
            <w:vAlign w:val="center"/>
          </w:tcPr>
          <w:p w14:paraId="4429E407" w14:textId="77777777" w:rsidR="00B167FC" w:rsidRPr="00CF7D68" w:rsidRDefault="00B167FC" w:rsidP="00BD693B">
            <w:pPr>
              <w:pStyle w:val="Tableheadingrow"/>
              <w:jc w:val="center"/>
              <w:rPr>
                <w:lang w:val="en-AU"/>
              </w:rPr>
            </w:pPr>
            <w:r w:rsidRPr="00CF7D68">
              <w:rPr>
                <w:lang w:val="en-AU"/>
              </w:rPr>
              <w:t>Design/ duration</w:t>
            </w:r>
          </w:p>
        </w:tc>
        <w:tc>
          <w:tcPr>
            <w:tcW w:w="387" w:type="pct"/>
            <w:shd w:val="clear" w:color="auto" w:fill="auto"/>
            <w:vAlign w:val="center"/>
          </w:tcPr>
          <w:p w14:paraId="161DC566" w14:textId="77777777" w:rsidR="00B167FC" w:rsidRPr="00CF7D68" w:rsidRDefault="00B167FC" w:rsidP="00BD693B">
            <w:pPr>
              <w:pStyle w:val="Tableheadingrow"/>
              <w:jc w:val="center"/>
              <w:rPr>
                <w:lang w:val="en-AU"/>
              </w:rPr>
            </w:pPr>
            <w:r w:rsidRPr="00CF7D68">
              <w:rPr>
                <w:lang w:val="en-AU"/>
              </w:rPr>
              <w:t>Risk of bias</w:t>
            </w:r>
          </w:p>
        </w:tc>
        <w:tc>
          <w:tcPr>
            <w:tcW w:w="933" w:type="pct"/>
            <w:shd w:val="clear" w:color="auto" w:fill="auto"/>
            <w:vAlign w:val="center"/>
          </w:tcPr>
          <w:p w14:paraId="0F2AA044" w14:textId="77777777" w:rsidR="00B167FC" w:rsidRPr="00CF7D68" w:rsidRDefault="00B167FC" w:rsidP="00BD693B">
            <w:pPr>
              <w:pStyle w:val="Tableheadingrow"/>
              <w:jc w:val="center"/>
              <w:rPr>
                <w:lang w:val="en-AU"/>
              </w:rPr>
            </w:pPr>
            <w:r w:rsidRPr="00CF7D68">
              <w:rPr>
                <w:lang w:val="en-AU"/>
              </w:rPr>
              <w:t>Patient population</w:t>
            </w:r>
          </w:p>
        </w:tc>
        <w:tc>
          <w:tcPr>
            <w:tcW w:w="1053" w:type="pct"/>
            <w:shd w:val="clear" w:color="auto" w:fill="auto"/>
            <w:vAlign w:val="center"/>
          </w:tcPr>
          <w:p w14:paraId="71530BBE" w14:textId="77777777" w:rsidR="00B167FC" w:rsidRPr="00CF7D68" w:rsidRDefault="00B167FC" w:rsidP="00BD693B">
            <w:pPr>
              <w:pStyle w:val="Tableheadingrow"/>
              <w:jc w:val="center"/>
              <w:rPr>
                <w:lang w:val="en-AU"/>
              </w:rPr>
            </w:pPr>
            <w:r w:rsidRPr="00CF7D68">
              <w:rPr>
                <w:lang w:val="en-AU"/>
              </w:rPr>
              <w:t>Outcomes</w:t>
            </w:r>
          </w:p>
        </w:tc>
        <w:tc>
          <w:tcPr>
            <w:tcW w:w="696" w:type="pct"/>
            <w:shd w:val="clear" w:color="auto" w:fill="auto"/>
            <w:vAlign w:val="center"/>
          </w:tcPr>
          <w:p w14:paraId="19F67D53" w14:textId="77777777" w:rsidR="00B167FC" w:rsidRPr="00CF7D68" w:rsidRDefault="00B167FC" w:rsidP="00BD693B">
            <w:pPr>
              <w:pStyle w:val="Tableheadingrow"/>
              <w:jc w:val="center"/>
              <w:rPr>
                <w:lang w:val="en-AU"/>
              </w:rPr>
            </w:pPr>
            <w:r w:rsidRPr="00CF7D68">
              <w:rPr>
                <w:lang w:val="en-AU"/>
              </w:rPr>
              <w:t>Use in modelled evaluation</w:t>
            </w:r>
          </w:p>
        </w:tc>
      </w:tr>
      <w:tr w:rsidR="00B167FC" w:rsidRPr="00CF7D68" w14:paraId="4DB20DF1" w14:textId="77777777" w:rsidTr="006F0189">
        <w:trPr>
          <w:cantSplit/>
        </w:trPr>
        <w:tc>
          <w:tcPr>
            <w:tcW w:w="693" w:type="pct"/>
            <w:shd w:val="clear" w:color="auto" w:fill="auto"/>
            <w:vAlign w:val="center"/>
          </w:tcPr>
          <w:p w14:paraId="506E2282" w14:textId="3D7AE385" w:rsidR="00B167FC" w:rsidRPr="00CF7D68" w:rsidRDefault="00B167FC" w:rsidP="00BD693B">
            <w:pPr>
              <w:pStyle w:val="TableText"/>
            </w:pPr>
            <w:r w:rsidRPr="00CF7D68">
              <w:t>FIDELIO-DKD</w:t>
            </w:r>
          </w:p>
        </w:tc>
        <w:tc>
          <w:tcPr>
            <w:tcW w:w="309" w:type="pct"/>
            <w:shd w:val="clear" w:color="auto" w:fill="auto"/>
            <w:vAlign w:val="center"/>
          </w:tcPr>
          <w:p w14:paraId="2C2EBD27" w14:textId="4E3BF495" w:rsidR="00B167FC" w:rsidRPr="00CF7D68" w:rsidRDefault="00B167FC" w:rsidP="00BD693B">
            <w:pPr>
              <w:pStyle w:val="TableText"/>
              <w:jc w:val="center"/>
            </w:pPr>
            <w:r w:rsidRPr="00CF7D68">
              <w:t>5,734</w:t>
            </w:r>
          </w:p>
        </w:tc>
        <w:tc>
          <w:tcPr>
            <w:tcW w:w="929" w:type="pct"/>
            <w:shd w:val="clear" w:color="auto" w:fill="auto"/>
            <w:vAlign w:val="center"/>
          </w:tcPr>
          <w:p w14:paraId="04F645E0" w14:textId="77777777" w:rsidR="00B167FC" w:rsidRPr="00CF7D68" w:rsidRDefault="00B167FC" w:rsidP="00BD693B">
            <w:pPr>
              <w:pStyle w:val="TableText"/>
              <w:jc w:val="center"/>
            </w:pPr>
            <w:r w:rsidRPr="00CF7D68">
              <w:t>MC, R, DB, PC</w:t>
            </w:r>
          </w:p>
          <w:p w14:paraId="7E6AAD86" w14:textId="77777777" w:rsidR="00B167FC" w:rsidRPr="00CF7D68" w:rsidRDefault="00B167FC" w:rsidP="00BD693B">
            <w:pPr>
              <w:pStyle w:val="TableText"/>
              <w:jc w:val="center"/>
            </w:pPr>
            <w:r w:rsidRPr="00CF7D68">
              <w:t>Event-driven trial</w:t>
            </w:r>
          </w:p>
          <w:p w14:paraId="181B588A" w14:textId="432922D4" w:rsidR="00B167FC" w:rsidRPr="00CF7D68" w:rsidRDefault="00B167FC" w:rsidP="00BD693B">
            <w:pPr>
              <w:pStyle w:val="TableText"/>
              <w:jc w:val="center"/>
            </w:pPr>
            <w:r w:rsidRPr="00CF7D68">
              <w:t xml:space="preserve">Mean </w:t>
            </w:r>
            <w:proofErr w:type="gramStart"/>
            <w:r w:rsidRPr="00CF7D68">
              <w:t>32 month</w:t>
            </w:r>
            <w:proofErr w:type="gramEnd"/>
            <w:r w:rsidRPr="00CF7D68">
              <w:t xml:space="preserve"> duration</w:t>
            </w:r>
          </w:p>
        </w:tc>
        <w:tc>
          <w:tcPr>
            <w:tcW w:w="387" w:type="pct"/>
            <w:shd w:val="clear" w:color="auto" w:fill="auto"/>
            <w:vAlign w:val="center"/>
          </w:tcPr>
          <w:p w14:paraId="6C2051AA" w14:textId="4E28088B" w:rsidR="00B167FC" w:rsidRPr="00CF7D68" w:rsidRDefault="00B167FC" w:rsidP="00BD693B">
            <w:pPr>
              <w:pStyle w:val="TableText"/>
              <w:jc w:val="center"/>
            </w:pPr>
            <w:r w:rsidRPr="00CF7D68">
              <w:t>Low</w:t>
            </w:r>
          </w:p>
        </w:tc>
        <w:tc>
          <w:tcPr>
            <w:tcW w:w="933" w:type="pct"/>
            <w:shd w:val="clear" w:color="auto" w:fill="auto"/>
            <w:vAlign w:val="center"/>
          </w:tcPr>
          <w:p w14:paraId="2EE9D50E" w14:textId="7C72DF14" w:rsidR="00B167FC" w:rsidRPr="00CF7D68" w:rsidRDefault="00B167FC" w:rsidP="00BD693B">
            <w:pPr>
              <w:pStyle w:val="TableText"/>
              <w:jc w:val="center"/>
            </w:pPr>
            <w:r w:rsidRPr="00CF7D68">
              <w:t xml:space="preserve">Patients with diabetic kidney </w:t>
            </w:r>
            <w:r w:rsidR="00F946E6" w:rsidRPr="00CF7D68">
              <w:t xml:space="preserve">disease </w:t>
            </w:r>
            <w:r w:rsidRPr="00CF7D68">
              <w:t>(predominantly advanced disease)</w:t>
            </w:r>
            <w:r w:rsidR="0080170E" w:rsidRPr="00CF7D68">
              <w:t xml:space="preserve"> receiving </w:t>
            </w:r>
            <w:proofErr w:type="spellStart"/>
            <w:r w:rsidR="0080170E" w:rsidRPr="00CF7D68">
              <w:t>ACEi</w:t>
            </w:r>
            <w:proofErr w:type="spellEnd"/>
            <w:r w:rsidR="0080170E" w:rsidRPr="00CF7D68">
              <w:t xml:space="preserve"> or ARB monotherapy as part of standard of care</w:t>
            </w:r>
            <w:r w:rsidRPr="00CF7D68">
              <w:t xml:space="preserve"> </w:t>
            </w:r>
          </w:p>
        </w:tc>
        <w:tc>
          <w:tcPr>
            <w:tcW w:w="1053" w:type="pct"/>
            <w:shd w:val="clear" w:color="auto" w:fill="auto"/>
            <w:vAlign w:val="center"/>
          </w:tcPr>
          <w:p w14:paraId="5B9F3BF2" w14:textId="1EABC099" w:rsidR="00B167FC" w:rsidRPr="00CF7D68" w:rsidRDefault="00B167FC" w:rsidP="00BD693B">
            <w:pPr>
              <w:pStyle w:val="TableText"/>
              <w:jc w:val="center"/>
            </w:pPr>
            <w:r w:rsidRPr="00CF7D68">
              <w:t>Cardio</w:t>
            </w:r>
            <w:r w:rsidR="00F946E6" w:rsidRPr="00CF7D68">
              <w:t>renal outcomes, biomarkers, quality of life and adverse events</w:t>
            </w:r>
          </w:p>
        </w:tc>
        <w:tc>
          <w:tcPr>
            <w:tcW w:w="696" w:type="pct"/>
            <w:shd w:val="clear" w:color="auto" w:fill="auto"/>
            <w:vAlign w:val="center"/>
          </w:tcPr>
          <w:p w14:paraId="06CBA628" w14:textId="21EEE690" w:rsidR="00B167FC" w:rsidRPr="00CF7D68" w:rsidRDefault="00F946E6" w:rsidP="00BD693B">
            <w:pPr>
              <w:pStyle w:val="TableText"/>
              <w:jc w:val="center"/>
            </w:pPr>
            <w:r w:rsidRPr="00CF7D68">
              <w:t xml:space="preserve">Not used </w:t>
            </w:r>
          </w:p>
        </w:tc>
      </w:tr>
      <w:tr w:rsidR="00F946E6" w:rsidRPr="00CF7D68" w14:paraId="5CC91984" w14:textId="77777777" w:rsidTr="006F0189">
        <w:trPr>
          <w:cantSplit/>
        </w:trPr>
        <w:tc>
          <w:tcPr>
            <w:tcW w:w="693" w:type="pct"/>
            <w:shd w:val="clear" w:color="auto" w:fill="auto"/>
            <w:vAlign w:val="center"/>
          </w:tcPr>
          <w:p w14:paraId="4F18C4D9" w14:textId="240AAD4A" w:rsidR="00F946E6" w:rsidRPr="00CF7D68" w:rsidRDefault="00F946E6" w:rsidP="00F946E6">
            <w:pPr>
              <w:pStyle w:val="TableText"/>
            </w:pPr>
            <w:r w:rsidRPr="00CF7D68">
              <w:t>FIGARO-DKD</w:t>
            </w:r>
          </w:p>
        </w:tc>
        <w:tc>
          <w:tcPr>
            <w:tcW w:w="309" w:type="pct"/>
            <w:shd w:val="clear" w:color="auto" w:fill="auto"/>
            <w:vAlign w:val="center"/>
          </w:tcPr>
          <w:p w14:paraId="04449C6A" w14:textId="0CCA2C6E" w:rsidR="00F946E6" w:rsidRPr="00CF7D68" w:rsidRDefault="00F946E6" w:rsidP="00F946E6">
            <w:pPr>
              <w:pStyle w:val="TableText"/>
              <w:jc w:val="center"/>
            </w:pPr>
            <w:r w:rsidRPr="00CF7D68">
              <w:t>7,437</w:t>
            </w:r>
          </w:p>
        </w:tc>
        <w:tc>
          <w:tcPr>
            <w:tcW w:w="929" w:type="pct"/>
            <w:shd w:val="clear" w:color="auto" w:fill="auto"/>
            <w:vAlign w:val="center"/>
          </w:tcPr>
          <w:p w14:paraId="6162BA82" w14:textId="77777777" w:rsidR="00F946E6" w:rsidRPr="00CF7D68" w:rsidRDefault="00F946E6" w:rsidP="00F946E6">
            <w:pPr>
              <w:pStyle w:val="TableText"/>
              <w:jc w:val="center"/>
            </w:pPr>
            <w:r w:rsidRPr="00CF7D68">
              <w:t>MC, R, DB, PC</w:t>
            </w:r>
          </w:p>
          <w:p w14:paraId="2399E62B" w14:textId="77777777" w:rsidR="00F946E6" w:rsidRPr="00CF7D68" w:rsidRDefault="00F946E6" w:rsidP="00F946E6">
            <w:pPr>
              <w:pStyle w:val="TableText"/>
              <w:jc w:val="center"/>
            </w:pPr>
            <w:r w:rsidRPr="00CF7D68">
              <w:t>Event-driven trial</w:t>
            </w:r>
          </w:p>
          <w:p w14:paraId="1A0A77B6" w14:textId="569A4CE2" w:rsidR="00F946E6" w:rsidRPr="00CF7D68" w:rsidRDefault="00F946E6" w:rsidP="00F946E6">
            <w:pPr>
              <w:pStyle w:val="TableText"/>
              <w:jc w:val="center"/>
            </w:pPr>
            <w:r w:rsidRPr="00CF7D68">
              <w:t xml:space="preserve">Mean </w:t>
            </w:r>
            <w:proofErr w:type="gramStart"/>
            <w:r w:rsidRPr="00CF7D68">
              <w:t>40 month</w:t>
            </w:r>
            <w:proofErr w:type="gramEnd"/>
            <w:r w:rsidRPr="00CF7D68">
              <w:t xml:space="preserve"> duration</w:t>
            </w:r>
          </w:p>
        </w:tc>
        <w:tc>
          <w:tcPr>
            <w:tcW w:w="387" w:type="pct"/>
            <w:shd w:val="clear" w:color="auto" w:fill="auto"/>
            <w:vAlign w:val="center"/>
          </w:tcPr>
          <w:p w14:paraId="1E9F3352" w14:textId="78A48F88" w:rsidR="00F946E6" w:rsidRPr="00CF7D68" w:rsidRDefault="00F946E6" w:rsidP="00F946E6">
            <w:pPr>
              <w:pStyle w:val="TableText"/>
              <w:jc w:val="center"/>
            </w:pPr>
            <w:r w:rsidRPr="00CF7D68">
              <w:t>Low</w:t>
            </w:r>
          </w:p>
        </w:tc>
        <w:tc>
          <w:tcPr>
            <w:tcW w:w="933" w:type="pct"/>
            <w:shd w:val="clear" w:color="auto" w:fill="auto"/>
            <w:vAlign w:val="center"/>
          </w:tcPr>
          <w:p w14:paraId="5C809F16" w14:textId="62EEB2D6" w:rsidR="00F946E6" w:rsidRPr="00CF7D68" w:rsidRDefault="00F946E6" w:rsidP="00F946E6">
            <w:pPr>
              <w:pStyle w:val="TableText"/>
              <w:jc w:val="center"/>
            </w:pPr>
            <w:r w:rsidRPr="00CF7D68">
              <w:t xml:space="preserve">Patients with diabetic kidney disease </w:t>
            </w:r>
            <w:r w:rsidR="0080170E" w:rsidRPr="00CF7D68">
              <w:t xml:space="preserve">receiving </w:t>
            </w:r>
            <w:proofErr w:type="spellStart"/>
            <w:r w:rsidR="0080170E" w:rsidRPr="00CF7D68">
              <w:t>ACEi</w:t>
            </w:r>
            <w:proofErr w:type="spellEnd"/>
            <w:r w:rsidR="0080170E" w:rsidRPr="00CF7D68">
              <w:t xml:space="preserve"> or ARB monotherapy as part of standard of care</w:t>
            </w:r>
            <w:r w:rsidRPr="00CF7D68">
              <w:t xml:space="preserve"> </w:t>
            </w:r>
          </w:p>
        </w:tc>
        <w:tc>
          <w:tcPr>
            <w:tcW w:w="1053" w:type="pct"/>
            <w:shd w:val="clear" w:color="auto" w:fill="auto"/>
            <w:vAlign w:val="center"/>
          </w:tcPr>
          <w:p w14:paraId="4D640813" w14:textId="5007B226" w:rsidR="00F946E6" w:rsidRPr="00CF7D68" w:rsidRDefault="00F946E6" w:rsidP="00F946E6">
            <w:pPr>
              <w:pStyle w:val="TableText"/>
              <w:jc w:val="center"/>
            </w:pPr>
            <w:r w:rsidRPr="00CF7D68">
              <w:t>Cardiorenal outcomes, biomarkers, quality of life and adverse events</w:t>
            </w:r>
          </w:p>
        </w:tc>
        <w:tc>
          <w:tcPr>
            <w:tcW w:w="696" w:type="pct"/>
            <w:shd w:val="clear" w:color="auto" w:fill="auto"/>
            <w:vAlign w:val="center"/>
          </w:tcPr>
          <w:p w14:paraId="1196AF20" w14:textId="12726E25" w:rsidR="00F946E6" w:rsidRPr="00CF7D68" w:rsidRDefault="00F946E6" w:rsidP="00F946E6">
            <w:pPr>
              <w:pStyle w:val="TableText"/>
              <w:jc w:val="center"/>
            </w:pPr>
            <w:r w:rsidRPr="00CF7D68">
              <w:t xml:space="preserve">Not used </w:t>
            </w:r>
          </w:p>
        </w:tc>
      </w:tr>
      <w:tr w:rsidR="00F946E6" w:rsidRPr="00CF7D68" w14:paraId="61A9AE6F" w14:textId="77777777" w:rsidTr="006F0189">
        <w:trPr>
          <w:cantSplit/>
        </w:trPr>
        <w:tc>
          <w:tcPr>
            <w:tcW w:w="693" w:type="pct"/>
            <w:shd w:val="clear" w:color="auto" w:fill="auto"/>
            <w:vAlign w:val="center"/>
          </w:tcPr>
          <w:p w14:paraId="29E4D451" w14:textId="142094A7" w:rsidR="00F946E6" w:rsidRPr="00CF7D68" w:rsidRDefault="00F946E6" w:rsidP="00F946E6">
            <w:pPr>
              <w:pStyle w:val="TableText"/>
            </w:pPr>
            <w:r w:rsidRPr="00CF7D68">
              <w:t>FIDELITY</w:t>
            </w:r>
          </w:p>
        </w:tc>
        <w:tc>
          <w:tcPr>
            <w:tcW w:w="309" w:type="pct"/>
            <w:shd w:val="clear" w:color="auto" w:fill="auto"/>
            <w:vAlign w:val="center"/>
          </w:tcPr>
          <w:p w14:paraId="4AB1E877" w14:textId="3E6F753C" w:rsidR="00F946E6" w:rsidRPr="00CF7D68" w:rsidRDefault="00F946E6" w:rsidP="00F946E6">
            <w:pPr>
              <w:pStyle w:val="TableText"/>
              <w:jc w:val="center"/>
            </w:pPr>
            <w:r w:rsidRPr="00CF7D68">
              <w:t>13,026</w:t>
            </w:r>
          </w:p>
        </w:tc>
        <w:tc>
          <w:tcPr>
            <w:tcW w:w="929" w:type="pct"/>
            <w:shd w:val="clear" w:color="auto" w:fill="auto"/>
            <w:vAlign w:val="center"/>
          </w:tcPr>
          <w:p w14:paraId="1737D575" w14:textId="687FB711" w:rsidR="00F946E6" w:rsidRPr="00CF7D68" w:rsidRDefault="00F946E6" w:rsidP="00F946E6">
            <w:pPr>
              <w:pStyle w:val="TableText"/>
              <w:jc w:val="center"/>
            </w:pPr>
            <w:r w:rsidRPr="00CF7D68">
              <w:t>Pooled analysis of individual patient data from FIDELIO-DKD and FIGARO-DKD</w:t>
            </w:r>
          </w:p>
        </w:tc>
        <w:tc>
          <w:tcPr>
            <w:tcW w:w="387" w:type="pct"/>
            <w:shd w:val="clear" w:color="auto" w:fill="auto"/>
            <w:vAlign w:val="center"/>
          </w:tcPr>
          <w:p w14:paraId="5404AED0" w14:textId="77E307C3" w:rsidR="00F946E6" w:rsidRPr="00CF7D68" w:rsidRDefault="00F946E6" w:rsidP="00F946E6">
            <w:pPr>
              <w:pStyle w:val="TableText"/>
              <w:jc w:val="center"/>
            </w:pPr>
            <w:r w:rsidRPr="00CF7D68">
              <w:t>Low</w:t>
            </w:r>
          </w:p>
        </w:tc>
        <w:tc>
          <w:tcPr>
            <w:tcW w:w="933" w:type="pct"/>
            <w:shd w:val="clear" w:color="auto" w:fill="auto"/>
            <w:vAlign w:val="center"/>
          </w:tcPr>
          <w:p w14:paraId="52B33C13" w14:textId="1C1E5CAF" w:rsidR="00F946E6" w:rsidRPr="00CF7D68" w:rsidRDefault="00F946E6" w:rsidP="00F946E6">
            <w:pPr>
              <w:pStyle w:val="TableText"/>
              <w:jc w:val="center"/>
            </w:pPr>
            <w:r w:rsidRPr="00CF7D68">
              <w:t xml:space="preserve">Patients with diabetic kidney disease </w:t>
            </w:r>
            <w:r w:rsidR="0080170E" w:rsidRPr="00CF7D68">
              <w:t xml:space="preserve">receiving </w:t>
            </w:r>
            <w:proofErr w:type="spellStart"/>
            <w:r w:rsidR="0080170E" w:rsidRPr="00CF7D68">
              <w:t>ACEi</w:t>
            </w:r>
            <w:proofErr w:type="spellEnd"/>
            <w:r w:rsidR="0080170E" w:rsidRPr="00CF7D68">
              <w:t xml:space="preserve"> or ARB monotherapy as part of standard of care</w:t>
            </w:r>
          </w:p>
        </w:tc>
        <w:tc>
          <w:tcPr>
            <w:tcW w:w="1053" w:type="pct"/>
            <w:shd w:val="clear" w:color="auto" w:fill="auto"/>
            <w:vAlign w:val="center"/>
          </w:tcPr>
          <w:p w14:paraId="41148EED" w14:textId="36A6A0AA" w:rsidR="00F946E6" w:rsidRPr="00CF7D68" w:rsidRDefault="00F946E6" w:rsidP="00F946E6">
            <w:pPr>
              <w:pStyle w:val="TableText"/>
              <w:jc w:val="center"/>
            </w:pPr>
            <w:r w:rsidRPr="00CF7D68">
              <w:t>Cardiorenal outcomes, biomarkers, quality of life and adverse events</w:t>
            </w:r>
          </w:p>
        </w:tc>
        <w:tc>
          <w:tcPr>
            <w:tcW w:w="696" w:type="pct"/>
            <w:shd w:val="clear" w:color="auto" w:fill="auto"/>
            <w:vAlign w:val="center"/>
          </w:tcPr>
          <w:p w14:paraId="4CBBF4C3" w14:textId="3AF0F8CE" w:rsidR="00F946E6" w:rsidRPr="00CF7D68" w:rsidRDefault="00F946E6" w:rsidP="00F946E6">
            <w:pPr>
              <w:pStyle w:val="TableText"/>
              <w:jc w:val="center"/>
            </w:pPr>
            <w:r w:rsidRPr="00CF7D68">
              <w:t>Baseline risk, treatment effects, utility values</w:t>
            </w:r>
          </w:p>
        </w:tc>
      </w:tr>
    </w:tbl>
    <w:p w14:paraId="72448F60" w14:textId="085C92FA" w:rsidR="00B167FC" w:rsidRPr="00CF7D68" w:rsidRDefault="00B167FC" w:rsidP="00250B01">
      <w:pPr>
        <w:pStyle w:val="TableFooter"/>
      </w:pPr>
      <w:r w:rsidRPr="00CF7D68">
        <w:t xml:space="preserve">Source: </w:t>
      </w:r>
      <w:r w:rsidR="00F946E6" w:rsidRPr="00CF7D68">
        <w:t>Section 2.3.1 (p</w:t>
      </w:r>
      <w:r w:rsidR="003073FE">
        <w:t>p</w:t>
      </w:r>
      <w:r w:rsidR="00F946E6" w:rsidRPr="00CF7D68">
        <w:t>36-40) and Section 2.4 (p</w:t>
      </w:r>
      <w:r w:rsidR="003073FE">
        <w:t>p</w:t>
      </w:r>
      <w:r w:rsidR="00F946E6" w:rsidRPr="00CF7D68">
        <w:t>41-57) of the submission</w:t>
      </w:r>
    </w:p>
    <w:p w14:paraId="3D956100" w14:textId="546A2EB0" w:rsidR="00F946E6" w:rsidRPr="00CF7D68" w:rsidRDefault="00B167FC" w:rsidP="00250B01">
      <w:pPr>
        <w:pStyle w:val="TableFooter"/>
      </w:pPr>
      <w:r w:rsidRPr="00CF7D68">
        <w:t xml:space="preserve">Abbreviations: </w:t>
      </w:r>
      <w:proofErr w:type="spellStart"/>
      <w:r w:rsidR="0080170E" w:rsidRPr="00CF7D68">
        <w:t>ACEi</w:t>
      </w:r>
      <w:proofErr w:type="spellEnd"/>
      <w:r w:rsidR="0080170E" w:rsidRPr="00CF7D68">
        <w:t xml:space="preserve">, angiotensin-converting enzyme inhibitors; ARB, angiotensin II receptor blockers; </w:t>
      </w:r>
      <w:r w:rsidRPr="00CF7D68">
        <w:t>DB, double-blind; MC, multicentre; PC, placebo-controlled; R, randomised</w:t>
      </w:r>
    </w:p>
    <w:p w14:paraId="683CC3EF" w14:textId="3C7C302F" w:rsidR="00666379" w:rsidRPr="00CF7D68" w:rsidRDefault="00666379" w:rsidP="00666379">
      <w:pPr>
        <w:pStyle w:val="ExecSumBodyText"/>
        <w:ind w:left="709" w:hanging="709"/>
        <w:rPr>
          <w:iCs/>
        </w:rPr>
      </w:pPr>
      <w:r w:rsidRPr="00CF7D68">
        <w:t>The submission presented a comparison between the trial populations and</w:t>
      </w:r>
      <w:r w:rsidR="00021FD4" w:rsidRPr="00CF7D68">
        <w:t xml:space="preserve"> an </w:t>
      </w:r>
      <w:r w:rsidRPr="00CF7D68">
        <w:t>Australian diabetic kidney disease population</w:t>
      </w:r>
      <w:r w:rsidR="00436252" w:rsidRPr="00CF7D68">
        <w:t>.</w:t>
      </w:r>
      <w:r w:rsidRPr="00CF7D68">
        <w:t xml:space="preserve"> </w:t>
      </w:r>
      <w:r w:rsidR="00436252" w:rsidRPr="00CF7D68">
        <w:t xml:space="preserve">The Australian population identified in the submission was based on a sponsor-commissioned analysis of </w:t>
      </w:r>
      <w:proofErr w:type="spellStart"/>
      <w:r w:rsidR="00436252" w:rsidRPr="00CF7D68">
        <w:t>OneNil</w:t>
      </w:r>
      <w:proofErr w:type="spellEnd"/>
      <w:r w:rsidR="00436252" w:rsidRPr="00CF7D68">
        <w:t xml:space="preserve"> electronic medical records database, from which the submission attempted to identify a FIDELITY-like population.</w:t>
      </w:r>
      <w:r w:rsidR="00436252" w:rsidRPr="00CF7D68">
        <w:rPr>
          <w:iCs/>
        </w:rPr>
        <w:t xml:space="preserve"> </w:t>
      </w:r>
      <w:r w:rsidR="00436252" w:rsidRPr="00CF7D68">
        <w:t>This comparison</w:t>
      </w:r>
      <w:r w:rsidRPr="00CF7D68">
        <w:t xml:space="preserve"> suggested substantial differences in a number of key characteristics that would affect the underlying risk of cardiorenal </w:t>
      </w:r>
      <w:r w:rsidRPr="00FB3E4D">
        <w:t>events such as</w:t>
      </w:r>
      <w:r w:rsidR="00096930" w:rsidRPr="00FB3E4D">
        <w:t>:</w:t>
      </w:r>
      <w:r w:rsidRPr="00FB3E4D">
        <w:t xml:space="preserve"> baseline eGFR (</w:t>
      </w:r>
      <w:r w:rsidR="00021FD4" w:rsidRPr="00FB3E4D">
        <w:t xml:space="preserve">trial </w:t>
      </w:r>
      <w:r w:rsidRPr="00FB3E4D">
        <w:t>39.9% v</w:t>
      </w:r>
      <w:r w:rsidR="00203B85" w:rsidRPr="00FB3E4D">
        <w:t>ersus</w:t>
      </w:r>
      <w:r w:rsidRPr="00FB3E4D">
        <w:t xml:space="preserve"> 57% with eGFR</w:t>
      </w:r>
      <w:r w:rsidR="00096930" w:rsidRPr="00FB3E4D">
        <w:t> </w:t>
      </w:r>
      <w:r w:rsidRPr="00FB3E4D">
        <w:t>&gt;</w:t>
      </w:r>
      <w:r w:rsidR="00096930" w:rsidRPr="00FB3E4D">
        <w:t> </w:t>
      </w:r>
      <w:r w:rsidRPr="00FB3E4D">
        <w:t>60</w:t>
      </w:r>
      <w:r w:rsidR="00096930" w:rsidRPr="00FB3E4D">
        <w:t> </w:t>
      </w:r>
      <w:r w:rsidRPr="00FB3E4D">
        <w:t>mL/min/1.73m</w:t>
      </w:r>
      <w:r w:rsidRPr="00FB3E4D">
        <w:rPr>
          <w:vertAlign w:val="superscript"/>
        </w:rPr>
        <w:t>2</w:t>
      </w:r>
      <w:r w:rsidRPr="00FB3E4D">
        <w:t>), baseline albuminuria (</w:t>
      </w:r>
      <w:r w:rsidR="00021FD4" w:rsidRPr="00FB3E4D">
        <w:t xml:space="preserve">trial </w:t>
      </w:r>
      <w:r w:rsidRPr="00FB3E4D">
        <w:t>66.7% v</w:t>
      </w:r>
      <w:r w:rsidR="00203B85" w:rsidRPr="00FB3E4D">
        <w:t>ersus</w:t>
      </w:r>
      <w:r w:rsidRPr="00FB3E4D">
        <w:t xml:space="preserve"> 23% with UACR</w:t>
      </w:r>
      <w:r w:rsidR="00096930" w:rsidRPr="00FB3E4D">
        <w:t> </w:t>
      </w:r>
      <w:r w:rsidRPr="00FB3E4D">
        <w:t>&gt;</w:t>
      </w:r>
      <w:r w:rsidR="00096930" w:rsidRPr="00FB3E4D">
        <w:t> </w:t>
      </w:r>
      <w:r w:rsidRPr="00FB3E4D">
        <w:t>300</w:t>
      </w:r>
      <w:r w:rsidR="00096930" w:rsidRPr="00FB3E4D">
        <w:t> </w:t>
      </w:r>
      <w:r w:rsidRPr="00FB3E4D">
        <w:t>mg/g), history of cardiovascular disease (</w:t>
      </w:r>
      <w:r w:rsidR="00021FD4" w:rsidRPr="00FB3E4D">
        <w:t xml:space="preserve">trial </w:t>
      </w:r>
      <w:r w:rsidRPr="00FB3E4D">
        <w:t>45.6% v</w:t>
      </w:r>
      <w:r w:rsidR="00203B85" w:rsidRPr="00FB3E4D">
        <w:t>ersus</w:t>
      </w:r>
      <w:r w:rsidRPr="00FB3E4D">
        <w:t xml:space="preserve"> 15%), use of </w:t>
      </w:r>
      <w:proofErr w:type="spellStart"/>
      <w:r w:rsidRPr="00FB3E4D">
        <w:t>ACEi</w:t>
      </w:r>
      <w:proofErr w:type="spellEnd"/>
      <w:r w:rsidRPr="00FB3E4D">
        <w:t>/ARBs (</w:t>
      </w:r>
      <w:r w:rsidR="00021FD4" w:rsidRPr="00FB3E4D">
        <w:t xml:space="preserve">trial </w:t>
      </w:r>
      <w:r w:rsidRPr="00FB3E4D">
        <w:t>99.8% v</w:t>
      </w:r>
      <w:r w:rsidR="00203B85" w:rsidRPr="00FB3E4D">
        <w:t>ersus</w:t>
      </w:r>
      <w:r w:rsidRPr="00FB3E4D">
        <w:t xml:space="preserve"> 42%) and use of SGLT2 inhibitors (</w:t>
      </w:r>
      <w:r w:rsidR="00021FD4" w:rsidRPr="00FB3E4D">
        <w:t xml:space="preserve">trial </w:t>
      </w:r>
      <w:r w:rsidRPr="00FB3E4D">
        <w:t>6.7% v</w:t>
      </w:r>
      <w:r w:rsidR="00203B85" w:rsidRPr="00FB3E4D">
        <w:t>ersus</w:t>
      </w:r>
      <w:r w:rsidRPr="00FB3E4D">
        <w:t xml:space="preserve"> 14%).</w:t>
      </w:r>
      <w:r w:rsidRPr="00FB3E4D">
        <w:rPr>
          <w:iCs/>
        </w:rPr>
        <w:t xml:space="preserve"> </w:t>
      </w:r>
      <w:r w:rsidR="00275847" w:rsidRPr="00FB3E4D">
        <w:t>The evaluation had considered that the population</w:t>
      </w:r>
      <w:r w:rsidR="00275847" w:rsidRPr="00CF7D68">
        <w:t xml:space="preserve"> selected from the </w:t>
      </w:r>
      <w:proofErr w:type="spellStart"/>
      <w:r w:rsidR="00275847" w:rsidRPr="00CF7D68">
        <w:t>OneNil</w:t>
      </w:r>
      <w:proofErr w:type="spellEnd"/>
      <w:r w:rsidR="00275847" w:rsidRPr="00CF7D68">
        <w:t xml:space="preserve"> database was at much lower risk of cardiorenal complications compared to the trial populations, </w:t>
      </w:r>
      <w:r w:rsidR="000763C2" w:rsidRPr="00CF7D68">
        <w:t>although</w:t>
      </w:r>
      <w:r w:rsidR="00275847" w:rsidRPr="00CF7D68">
        <w:t xml:space="preserve"> the ESC noted that the impact of the different baseline characteristics would be bidirectional. </w:t>
      </w:r>
      <w:r w:rsidR="00403053" w:rsidRPr="00CF7D68">
        <w:t>T</w:t>
      </w:r>
      <w:r w:rsidR="00275847" w:rsidRPr="00CF7D68">
        <w:t xml:space="preserve">he rules applied to the </w:t>
      </w:r>
      <w:proofErr w:type="spellStart"/>
      <w:r w:rsidR="00275847" w:rsidRPr="00CF7D68">
        <w:t>OneNil</w:t>
      </w:r>
      <w:proofErr w:type="spellEnd"/>
      <w:r w:rsidR="00275847" w:rsidRPr="00CF7D68">
        <w:t xml:space="preserve"> database </w:t>
      </w:r>
      <w:r w:rsidR="00275847" w:rsidRPr="00CF7D68">
        <w:rPr>
          <w:iCs/>
        </w:rPr>
        <w:t>were inadequate to identify an Australian population who have diabetic kidney disease with persistent albuminuria despite standard-of-care therapy (</w:t>
      </w:r>
      <w:r w:rsidR="00403053" w:rsidRPr="00CF7D68">
        <w:rPr>
          <w:iCs/>
        </w:rPr>
        <w:t xml:space="preserve">for example, </w:t>
      </w:r>
      <w:r w:rsidR="0001330B" w:rsidRPr="00CF7D68">
        <w:rPr>
          <w:iCs/>
        </w:rPr>
        <w:t xml:space="preserve">ESC was particularly concerned that the </w:t>
      </w:r>
      <w:r w:rsidR="000763C2" w:rsidRPr="00CF7D68">
        <w:rPr>
          <w:iCs/>
        </w:rPr>
        <w:t xml:space="preserve">high numbers of patients not </w:t>
      </w:r>
      <w:r w:rsidR="007D79B6" w:rsidRPr="00CF7D68">
        <w:rPr>
          <w:iCs/>
        </w:rPr>
        <w:t>treated with</w:t>
      </w:r>
      <w:r w:rsidR="00275847" w:rsidRPr="00CF7D68">
        <w:rPr>
          <w:iCs/>
        </w:rPr>
        <w:t xml:space="preserve"> </w:t>
      </w:r>
      <w:proofErr w:type="spellStart"/>
      <w:r w:rsidR="00275847" w:rsidRPr="00CF7D68">
        <w:rPr>
          <w:iCs/>
        </w:rPr>
        <w:t>ACEi</w:t>
      </w:r>
      <w:proofErr w:type="spellEnd"/>
      <w:r w:rsidR="00275847" w:rsidRPr="00CF7D68">
        <w:rPr>
          <w:iCs/>
        </w:rPr>
        <w:t xml:space="preserve">/ARB </w:t>
      </w:r>
      <w:r w:rsidR="000763C2" w:rsidRPr="00CF7D68">
        <w:rPr>
          <w:iCs/>
        </w:rPr>
        <w:t>would</w:t>
      </w:r>
      <w:r w:rsidR="007D79B6" w:rsidRPr="00CF7D68">
        <w:rPr>
          <w:iCs/>
        </w:rPr>
        <w:t xml:space="preserve"> not </w:t>
      </w:r>
      <w:r w:rsidR="000763C2" w:rsidRPr="00CF7D68">
        <w:rPr>
          <w:iCs/>
        </w:rPr>
        <w:t xml:space="preserve">reflect </w:t>
      </w:r>
      <w:r w:rsidR="007D79B6" w:rsidRPr="00CF7D68">
        <w:rPr>
          <w:iCs/>
        </w:rPr>
        <w:t xml:space="preserve">the target population, with </w:t>
      </w:r>
      <w:r w:rsidR="000763C2" w:rsidRPr="00CF7D68">
        <w:rPr>
          <w:iCs/>
        </w:rPr>
        <w:t>only</w:t>
      </w:r>
      <w:r w:rsidR="007D79B6" w:rsidRPr="00CF7D68">
        <w:rPr>
          <w:iCs/>
        </w:rPr>
        <w:t xml:space="preserve"> a small number </w:t>
      </w:r>
      <w:r w:rsidR="000763C2" w:rsidRPr="00CF7D68">
        <w:rPr>
          <w:iCs/>
        </w:rPr>
        <w:t>likely to</w:t>
      </w:r>
      <w:r w:rsidR="007D79B6" w:rsidRPr="00CF7D68">
        <w:rPr>
          <w:iCs/>
        </w:rPr>
        <w:t xml:space="preserve"> be </w:t>
      </w:r>
      <w:r w:rsidR="00275847" w:rsidRPr="00CF7D68">
        <w:rPr>
          <w:iCs/>
        </w:rPr>
        <w:t>contraindicated) and therefore this comparison was of limited value.</w:t>
      </w:r>
      <w:r w:rsidR="00F91DEC" w:rsidRPr="00CF7D68">
        <w:rPr>
          <w:iCs/>
        </w:rPr>
        <w:t xml:space="preserve"> Overall, the ESC considered that the population selected from </w:t>
      </w:r>
      <w:r w:rsidR="00287D5B" w:rsidRPr="00CF7D68">
        <w:rPr>
          <w:iCs/>
        </w:rPr>
        <w:t xml:space="preserve">the </w:t>
      </w:r>
      <w:proofErr w:type="spellStart"/>
      <w:r w:rsidR="00287D5B" w:rsidRPr="00CF7D68">
        <w:rPr>
          <w:iCs/>
        </w:rPr>
        <w:t>OneNil</w:t>
      </w:r>
      <w:proofErr w:type="spellEnd"/>
      <w:r w:rsidR="00287D5B" w:rsidRPr="00CF7D68">
        <w:rPr>
          <w:iCs/>
        </w:rPr>
        <w:t xml:space="preserve"> database</w:t>
      </w:r>
      <w:r w:rsidR="00F91DEC" w:rsidRPr="00CF7D68">
        <w:rPr>
          <w:iCs/>
        </w:rPr>
        <w:t xml:space="preserve"> was unlikely to be </w:t>
      </w:r>
      <w:r w:rsidR="00EE31E4">
        <w:rPr>
          <w:iCs/>
        </w:rPr>
        <w:t xml:space="preserve">adequately </w:t>
      </w:r>
      <w:r w:rsidR="00F91DEC" w:rsidRPr="00CF7D68">
        <w:rPr>
          <w:iCs/>
        </w:rPr>
        <w:t>representative of the proposed Australian PBS population.</w:t>
      </w:r>
    </w:p>
    <w:p w14:paraId="31689AF2" w14:textId="351C73F8" w:rsidR="00021FD4" w:rsidRPr="00CF7D68" w:rsidRDefault="00021FD4" w:rsidP="00826A1C">
      <w:pPr>
        <w:pStyle w:val="ExecSumBodyText"/>
        <w:ind w:left="709" w:hanging="709"/>
      </w:pPr>
      <w:r w:rsidRPr="00CF7D68">
        <w:rPr>
          <w:iCs/>
        </w:rPr>
        <w:t>The trials used a quota sampling approach which limited the proportion of the trial population with certain patient characteristics</w:t>
      </w:r>
      <w:r w:rsidR="00EF1EF4" w:rsidRPr="00CF7D68">
        <w:rPr>
          <w:iCs/>
        </w:rPr>
        <w:t xml:space="preserve"> (e.g. capping patients without cardiovascular disease)</w:t>
      </w:r>
      <w:r w:rsidR="00B6011A" w:rsidRPr="00CF7D68">
        <w:rPr>
          <w:iCs/>
        </w:rPr>
        <w:t xml:space="preserve">. </w:t>
      </w:r>
      <w:r w:rsidRPr="00CF7D68">
        <w:t>The</w:t>
      </w:r>
      <w:r w:rsidR="00436252" w:rsidRPr="00CF7D68">
        <w:t xml:space="preserve"> effect of this approach was to alter the </w:t>
      </w:r>
      <w:r w:rsidRPr="00CF7D68">
        <w:t xml:space="preserve">distribution of </w:t>
      </w:r>
      <w:r w:rsidRPr="00CF7D68">
        <w:lastRenderedPageBreak/>
        <w:t xml:space="preserve">patients across the diabetic kidney disease spectrum </w:t>
      </w:r>
      <w:r w:rsidR="007969DB" w:rsidRPr="00CF7D68">
        <w:t xml:space="preserve">and to </w:t>
      </w:r>
      <w:r w:rsidRPr="00CF7D68">
        <w:t>distort</w:t>
      </w:r>
      <w:r w:rsidR="00436252" w:rsidRPr="00CF7D68">
        <w:t xml:space="preserve"> the baseline population risk and </w:t>
      </w:r>
      <w:r w:rsidR="007969DB" w:rsidRPr="00CF7D68">
        <w:t>the rate of</w:t>
      </w:r>
      <w:r w:rsidRPr="00CF7D68">
        <w:t xml:space="preserve"> cardiorenal events in the </w:t>
      </w:r>
      <w:r w:rsidR="0089665E" w:rsidRPr="00CF7D68">
        <w:t>trials</w:t>
      </w:r>
      <w:r w:rsidRPr="00CF7D68">
        <w:rPr>
          <w:iCs/>
        </w:rPr>
        <w:t>.</w:t>
      </w:r>
      <w:r w:rsidR="00A24421" w:rsidRPr="00CF7D68">
        <w:rPr>
          <w:iCs/>
        </w:rPr>
        <w:t xml:space="preserve"> </w:t>
      </w:r>
      <w:r w:rsidR="00A24421" w:rsidRPr="00CF7D68">
        <w:t>The PSCR</w:t>
      </w:r>
      <w:r w:rsidR="00826A1C" w:rsidRPr="00CF7D68">
        <w:t xml:space="preserve"> </w:t>
      </w:r>
      <w:r w:rsidR="00287D5B" w:rsidRPr="00CF7D68">
        <w:t>considered</w:t>
      </w:r>
      <w:r w:rsidR="00826A1C" w:rsidRPr="00CF7D68">
        <w:t xml:space="preserve"> that the</w:t>
      </w:r>
      <w:r w:rsidR="00454C73" w:rsidRPr="00CF7D68">
        <w:t xml:space="preserve"> </w:t>
      </w:r>
      <w:r w:rsidR="00826A1C" w:rsidRPr="00CF7D68">
        <w:rPr>
          <w:iCs/>
        </w:rPr>
        <w:t xml:space="preserve">screening process did not alter the risk profile of the patient population </w:t>
      </w:r>
      <w:r w:rsidR="00683F36" w:rsidRPr="00CF7D68">
        <w:rPr>
          <w:iCs/>
        </w:rPr>
        <w:t>to such an extent</w:t>
      </w:r>
      <w:r w:rsidR="00826A1C" w:rsidRPr="00CF7D68">
        <w:rPr>
          <w:iCs/>
        </w:rPr>
        <w:t xml:space="preserve"> </w:t>
      </w:r>
      <w:r w:rsidR="00287D5B" w:rsidRPr="00CF7D68">
        <w:rPr>
          <w:iCs/>
        </w:rPr>
        <w:t>that</w:t>
      </w:r>
      <w:r w:rsidR="00826A1C" w:rsidRPr="00CF7D68">
        <w:rPr>
          <w:iCs/>
        </w:rPr>
        <w:t xml:space="preserve"> the clinical trials would </w:t>
      </w:r>
      <w:r w:rsidR="00683F36" w:rsidRPr="00CF7D68">
        <w:rPr>
          <w:iCs/>
        </w:rPr>
        <w:t>lack</w:t>
      </w:r>
      <w:r w:rsidR="00826A1C" w:rsidRPr="00CF7D68">
        <w:rPr>
          <w:iCs/>
        </w:rPr>
        <w:t xml:space="preserve"> applicab</w:t>
      </w:r>
      <w:r w:rsidR="00683F36" w:rsidRPr="00CF7D68">
        <w:rPr>
          <w:iCs/>
        </w:rPr>
        <w:t>ility</w:t>
      </w:r>
      <w:r w:rsidR="00826A1C" w:rsidRPr="00CF7D68">
        <w:rPr>
          <w:iCs/>
        </w:rPr>
        <w:t xml:space="preserve"> to the proposed </w:t>
      </w:r>
      <w:r w:rsidR="00287D5B" w:rsidRPr="00CF7D68">
        <w:rPr>
          <w:iCs/>
        </w:rPr>
        <w:t xml:space="preserve">PBS </w:t>
      </w:r>
      <w:r w:rsidR="00826A1C" w:rsidRPr="00CF7D68">
        <w:rPr>
          <w:iCs/>
        </w:rPr>
        <w:t>population</w:t>
      </w:r>
      <w:r w:rsidR="00287D5B" w:rsidRPr="00CF7D68">
        <w:rPr>
          <w:iCs/>
        </w:rPr>
        <w:t xml:space="preserve">. </w:t>
      </w:r>
      <w:r w:rsidR="00BC4CBA" w:rsidRPr="00CF7D68">
        <w:rPr>
          <w:iCs/>
        </w:rPr>
        <w:t>It also suggested</w:t>
      </w:r>
      <w:r w:rsidR="00826A1C" w:rsidRPr="00CF7D68">
        <w:rPr>
          <w:iCs/>
        </w:rPr>
        <w:t xml:space="preserve"> </w:t>
      </w:r>
      <w:r w:rsidR="00A24421" w:rsidRPr="00CF7D68">
        <w:rPr>
          <w:iCs/>
        </w:rPr>
        <w:t>that</w:t>
      </w:r>
      <w:r w:rsidR="00BC4CBA" w:rsidRPr="00CF7D68">
        <w:rPr>
          <w:iCs/>
        </w:rPr>
        <w:t xml:space="preserve"> the </w:t>
      </w:r>
      <w:proofErr w:type="spellStart"/>
      <w:r w:rsidR="00BC4CBA" w:rsidRPr="00CF7D68">
        <w:t>finerenone</w:t>
      </w:r>
      <w:proofErr w:type="spellEnd"/>
      <w:r w:rsidR="00BC4CBA" w:rsidRPr="00CF7D68">
        <w:t xml:space="preserve"> treatment effect is </w:t>
      </w:r>
      <w:r w:rsidR="00683F36" w:rsidRPr="00CF7D68">
        <w:t>in</w:t>
      </w:r>
      <w:r w:rsidR="00BC4CBA" w:rsidRPr="00CF7D68">
        <w:t>dependent o</w:t>
      </w:r>
      <w:r w:rsidR="00683F36" w:rsidRPr="00CF7D68">
        <w:t>f</w:t>
      </w:r>
      <w:r w:rsidR="00BC4CBA" w:rsidRPr="00CF7D68">
        <w:t xml:space="preserve"> cardiovascular characteristics (</w:t>
      </w:r>
      <w:r w:rsidR="00A24421" w:rsidRPr="00CF7D68">
        <w:t xml:space="preserve">based on pre-specified subgroup analyses and </w:t>
      </w:r>
      <w:r w:rsidR="00F137E9" w:rsidRPr="00CF7D68">
        <w:t>the</w:t>
      </w:r>
      <w:r w:rsidR="00A24421" w:rsidRPr="00CF7D68">
        <w:t xml:space="preserve"> lack of significant interaction between cardiovascular disease at baseline and clinical outcomes</w:t>
      </w:r>
      <w:r w:rsidR="00BC4CBA" w:rsidRPr="00CF7D68">
        <w:t>)</w:t>
      </w:r>
      <w:r w:rsidR="00A24421" w:rsidRPr="00CF7D68">
        <w:t>.</w:t>
      </w:r>
      <w:r w:rsidR="00F137E9" w:rsidRPr="00CF7D68">
        <w:t xml:space="preserve"> The </w:t>
      </w:r>
      <w:r w:rsidR="00682124" w:rsidRPr="00CF7D68">
        <w:t xml:space="preserve">ESC </w:t>
      </w:r>
      <w:r w:rsidR="00BC4CBA" w:rsidRPr="00CF7D68">
        <w:t xml:space="preserve">considered that the quota sampling approach </w:t>
      </w:r>
      <w:r w:rsidR="00683F36" w:rsidRPr="00CF7D68">
        <w:t xml:space="preserve">did not affect the </w:t>
      </w:r>
      <w:r w:rsidR="0089665E" w:rsidRPr="00CF7D68">
        <w:t xml:space="preserve">internal </w:t>
      </w:r>
      <w:r w:rsidR="00683F36" w:rsidRPr="00CF7D68">
        <w:t xml:space="preserve">validity of the observed treatment </w:t>
      </w:r>
      <w:r w:rsidR="006D0D8D" w:rsidRPr="00CF7D68">
        <w:t>effects and</w:t>
      </w:r>
      <w:r w:rsidR="0089665E" w:rsidRPr="00CF7D68">
        <w:t xml:space="preserve"> could be interpreted similarly to stratifying patients based on certain baseline characteristics. However, </w:t>
      </w:r>
      <w:r w:rsidR="00683F36" w:rsidRPr="00CF7D68">
        <w:t>altering</w:t>
      </w:r>
      <w:r w:rsidR="00826A1C" w:rsidRPr="00CF7D68">
        <w:t xml:space="preserve"> the baseline risk profile of the patient population</w:t>
      </w:r>
      <w:r w:rsidR="0004097B" w:rsidRPr="00CF7D68">
        <w:t xml:space="preserve"> ha</w:t>
      </w:r>
      <w:r w:rsidR="00D02DDD">
        <w:t>d</w:t>
      </w:r>
      <w:r w:rsidR="00826A1C" w:rsidRPr="00CF7D68">
        <w:t xml:space="preserve"> </w:t>
      </w:r>
      <w:r w:rsidR="0001330B" w:rsidRPr="00CF7D68">
        <w:t xml:space="preserve">significant </w:t>
      </w:r>
      <w:r w:rsidR="00826A1C" w:rsidRPr="00CF7D68">
        <w:t xml:space="preserve">implications for </w:t>
      </w:r>
      <w:r w:rsidR="00E263D3" w:rsidRPr="00CF7D68">
        <w:t>the economic</w:t>
      </w:r>
      <w:r w:rsidR="00826A1C" w:rsidRPr="00CF7D68">
        <w:t xml:space="preserve"> model</w:t>
      </w:r>
      <w:r w:rsidR="00B22F9D" w:rsidRPr="00CF7D68">
        <w:t xml:space="preserve"> (see </w:t>
      </w:r>
      <w:r w:rsidR="00B22F9D" w:rsidRPr="00CF7D68">
        <w:fldChar w:fldCharType="begin"/>
      </w:r>
      <w:r w:rsidR="00B22F9D" w:rsidRPr="00CF7D68">
        <w:instrText xml:space="preserve"> REF _Ref103270297 \h  \* MERGEFORMAT </w:instrText>
      </w:r>
      <w:r w:rsidR="00B22F9D" w:rsidRPr="00CF7D68">
        <w:fldChar w:fldCharType="separate"/>
      </w:r>
      <w:r w:rsidR="00AE5D6E" w:rsidRPr="00CF7D68">
        <w:t xml:space="preserve">Table </w:t>
      </w:r>
      <w:r w:rsidR="00AE5D6E">
        <w:rPr>
          <w:noProof/>
        </w:rPr>
        <w:t>13</w:t>
      </w:r>
      <w:r w:rsidR="00B22F9D" w:rsidRPr="00CF7D68">
        <w:fldChar w:fldCharType="end"/>
      </w:r>
      <w:r w:rsidR="00B22F9D" w:rsidRPr="00CF7D68">
        <w:t>)</w:t>
      </w:r>
      <w:r w:rsidR="00826A1C" w:rsidRPr="00CF7D68">
        <w:t>.</w:t>
      </w:r>
    </w:p>
    <w:p w14:paraId="23FE1667" w14:textId="75382C1E" w:rsidR="00F946E6" w:rsidRPr="00FF7AF1" w:rsidRDefault="009D2BC9" w:rsidP="009D2BC9">
      <w:pPr>
        <w:pStyle w:val="ExecSumBodyText"/>
        <w:ind w:left="709" w:hanging="709"/>
        <w:rPr>
          <w:iCs/>
        </w:rPr>
      </w:pPr>
      <w:r w:rsidRPr="00CF7D68">
        <w:rPr>
          <w:iCs/>
        </w:rPr>
        <w:t xml:space="preserve">The </w:t>
      </w:r>
      <w:proofErr w:type="spellStart"/>
      <w:r w:rsidRPr="00CF7D68">
        <w:rPr>
          <w:iCs/>
        </w:rPr>
        <w:t>finerenone</w:t>
      </w:r>
      <w:proofErr w:type="spellEnd"/>
      <w:r w:rsidRPr="00CF7D68">
        <w:rPr>
          <w:iCs/>
        </w:rPr>
        <w:t xml:space="preserve"> trials were conducted prior to recent guideline recommendations for the use of SGLT2 inhibitors and GLP1 analogues to reduce the risk of cardiovascular and renal complications in patients with diabetic kidney disease</w:t>
      </w:r>
      <w:r w:rsidR="00E57639" w:rsidRPr="00CF7D68">
        <w:rPr>
          <w:iCs/>
        </w:rPr>
        <w:t xml:space="preserve"> (2020 Kidney Health Australia CKD Management in Primary Care Handbook</w:t>
      </w:r>
      <w:r w:rsidR="00683F36" w:rsidRPr="00CF7D68">
        <w:rPr>
          <w:iCs/>
        </w:rPr>
        <w:t>;</w:t>
      </w:r>
      <w:r w:rsidR="00E57639" w:rsidRPr="00CF7D68">
        <w:rPr>
          <w:iCs/>
        </w:rPr>
        <w:t xml:space="preserve"> 2020 RACGP Management of Type 2 Diabetes Handbook</w:t>
      </w:r>
      <w:r w:rsidR="00683F36" w:rsidRPr="00CF7D68">
        <w:rPr>
          <w:iCs/>
        </w:rPr>
        <w:t>;</w:t>
      </w:r>
      <w:r w:rsidR="00E57639" w:rsidRPr="00CF7D68">
        <w:rPr>
          <w:iCs/>
        </w:rPr>
        <w:t xml:space="preserve"> 2020 Kidney Disease Improving Global Outcomes Guidelines; 2022 American Diabetes Association Chronic Kidney Disease Guidelines</w:t>
      </w:r>
      <w:r w:rsidR="00683F36" w:rsidRPr="00CF7D68">
        <w:rPr>
          <w:iCs/>
        </w:rPr>
        <w:t>;</w:t>
      </w:r>
      <w:r w:rsidR="00E57639" w:rsidRPr="00CF7D68">
        <w:rPr>
          <w:iCs/>
        </w:rPr>
        <w:t xml:space="preserve"> 2019 European Society of Cardiology/ European Association for the Study of Diabetes Guidelines on diabetes, pre-diabetes, and cardiovascular diseases)</w:t>
      </w:r>
      <w:r w:rsidRPr="00CF7D68">
        <w:rPr>
          <w:iCs/>
        </w:rPr>
        <w:t xml:space="preserve">. The </w:t>
      </w:r>
      <w:r w:rsidR="007969DB" w:rsidRPr="00CF7D68">
        <w:t>baseline</w:t>
      </w:r>
      <w:r w:rsidRPr="00CF7D68">
        <w:rPr>
          <w:iCs/>
        </w:rPr>
        <w:t xml:space="preserve"> use of these </w:t>
      </w:r>
      <w:r w:rsidRPr="00FF7AF1">
        <w:rPr>
          <w:iCs/>
        </w:rPr>
        <w:t>therapies in the clinical trials was low</w:t>
      </w:r>
      <w:r w:rsidR="007969DB" w:rsidRPr="00FF7AF1">
        <w:t xml:space="preserve">, although progressively increased during the course of the trial </w:t>
      </w:r>
      <w:r w:rsidR="005429DA" w:rsidRPr="00E91F81">
        <w:t xml:space="preserve">likely </w:t>
      </w:r>
      <w:r w:rsidR="007969DB" w:rsidRPr="00E91F81">
        <w:t>reflecting ch</w:t>
      </w:r>
      <w:r w:rsidR="007969DB" w:rsidRPr="00C71487">
        <w:t>anging</w:t>
      </w:r>
      <w:r w:rsidRPr="00C71487">
        <w:t xml:space="preserve"> clinical practice</w:t>
      </w:r>
      <w:r w:rsidRPr="00C71487">
        <w:rPr>
          <w:iCs/>
        </w:rPr>
        <w:t xml:space="preserve">. </w:t>
      </w:r>
      <w:r w:rsidR="00EE0808" w:rsidRPr="00B300E5">
        <w:rPr>
          <w:iCs/>
        </w:rPr>
        <w:t>Dapagliflozin, a SGLT2 inhibitor</w:t>
      </w:r>
      <w:r w:rsidR="00EE0808" w:rsidRPr="00FF7AF1">
        <w:rPr>
          <w:iCs/>
        </w:rPr>
        <w:t xml:space="preserve">, was recommended for PBS listing for patients with CKD at the March 2022 PBAC meeting. </w:t>
      </w:r>
      <w:r w:rsidR="00DB3991" w:rsidRPr="00C71487">
        <w:t xml:space="preserve">The ESC agreed with the evaluation that </w:t>
      </w:r>
      <w:r w:rsidR="00891170" w:rsidRPr="00C71487">
        <w:t xml:space="preserve">a </w:t>
      </w:r>
      <w:r w:rsidR="00DB3991" w:rsidRPr="00C71487">
        <w:rPr>
          <w:iCs/>
        </w:rPr>
        <w:t>h</w:t>
      </w:r>
      <w:r w:rsidRPr="003808B1">
        <w:rPr>
          <w:iCs/>
        </w:rPr>
        <w:t xml:space="preserve">igher use of SGLT2 inhibitors and GLP1 analogues in clinical practice </w:t>
      </w:r>
      <w:r w:rsidR="00DB3991" w:rsidRPr="00E422D8">
        <w:t>would likely</w:t>
      </w:r>
      <w:r w:rsidRPr="00E422D8">
        <w:rPr>
          <w:iCs/>
        </w:rPr>
        <w:t xml:space="preserve"> reduce the underlying risk of events compared to the trial populations</w:t>
      </w:r>
      <w:r w:rsidR="007969DB" w:rsidRPr="00E422D8">
        <w:rPr>
          <w:iCs/>
        </w:rPr>
        <w:t xml:space="preserve">. </w:t>
      </w:r>
      <w:r w:rsidR="00DC68C2" w:rsidRPr="00FF7AF1">
        <w:t xml:space="preserve"> </w:t>
      </w:r>
    </w:p>
    <w:p w14:paraId="08F7DC11" w14:textId="416B237D" w:rsidR="002630EA" w:rsidRPr="00FF7AF1" w:rsidRDefault="009D2BC9" w:rsidP="009D2BC9">
      <w:pPr>
        <w:pStyle w:val="ExecSumBodyText"/>
        <w:ind w:left="709" w:hanging="709"/>
        <w:rPr>
          <w:iCs/>
        </w:rPr>
      </w:pPr>
      <w:r w:rsidRPr="00E91F81">
        <w:rPr>
          <w:iCs/>
        </w:rPr>
        <w:t xml:space="preserve">The risk of hyperkalaemia was managed in the clinical trials through a combination of careful patient selection, intensive </w:t>
      </w:r>
      <w:proofErr w:type="gramStart"/>
      <w:r w:rsidRPr="00E91F81">
        <w:rPr>
          <w:iCs/>
        </w:rPr>
        <w:t>monitoring</w:t>
      </w:r>
      <w:proofErr w:type="gramEnd"/>
      <w:r w:rsidRPr="00E91F81">
        <w:rPr>
          <w:iCs/>
        </w:rPr>
        <w:t xml:space="preserve"> and dose adjustments (down-titrations and dose interruptions) as well as increased use of potassium lowering agents. </w:t>
      </w:r>
      <w:r w:rsidR="00C067B5" w:rsidRPr="00C71487">
        <w:t>The PSCR</w:t>
      </w:r>
      <w:r w:rsidR="00C067B5" w:rsidRPr="00FF7AF1">
        <w:t xml:space="preserve"> claimed that the </w:t>
      </w:r>
      <w:proofErr w:type="spellStart"/>
      <w:r w:rsidR="00C067B5" w:rsidRPr="00FF7AF1">
        <w:t>finerenone</w:t>
      </w:r>
      <w:proofErr w:type="spellEnd"/>
      <w:r w:rsidR="00C067B5" w:rsidRPr="00FF7AF1">
        <w:t xml:space="preserve"> Product Information (PI) and routine clinical monitoring would be sufficient for Australian clinicians to manage the risk of hyperkalaemia </w:t>
      </w:r>
      <w:r w:rsidR="00326089" w:rsidRPr="00FF7AF1">
        <w:t xml:space="preserve">in </w:t>
      </w:r>
      <w:r w:rsidR="00C067B5" w:rsidRPr="00FF7AF1">
        <w:t xml:space="preserve">line with the pivotal clinical trials. </w:t>
      </w:r>
      <w:r w:rsidRPr="00FF7AF1">
        <w:rPr>
          <w:iCs/>
        </w:rPr>
        <w:t xml:space="preserve">However, </w:t>
      </w:r>
      <w:r w:rsidR="00C067B5" w:rsidRPr="00FF7AF1">
        <w:t xml:space="preserve">the ESC considered it unlikely that </w:t>
      </w:r>
      <w:r w:rsidRPr="00FF7AF1">
        <w:rPr>
          <w:iCs/>
        </w:rPr>
        <w:t xml:space="preserve">the risk management measures used in the trials would be representative of clinical practice. </w:t>
      </w:r>
      <w:r w:rsidR="002630EA" w:rsidRPr="00FF7AF1">
        <w:rPr>
          <w:iCs/>
        </w:rPr>
        <w:t xml:space="preserve">Additionally, while the majority of patients in the clinical trials were using the higher </w:t>
      </w:r>
      <w:r w:rsidR="00001796" w:rsidRPr="00FF7AF1">
        <w:rPr>
          <w:iCs/>
        </w:rPr>
        <w:t xml:space="preserve">20 mg </w:t>
      </w:r>
      <w:proofErr w:type="spellStart"/>
      <w:r w:rsidR="002630EA" w:rsidRPr="00FF7AF1">
        <w:rPr>
          <w:iCs/>
        </w:rPr>
        <w:t>finerenone</w:t>
      </w:r>
      <w:proofErr w:type="spellEnd"/>
      <w:r w:rsidR="002630EA" w:rsidRPr="00FF7AF1">
        <w:rPr>
          <w:iCs/>
        </w:rPr>
        <w:t xml:space="preserve"> dose strength</w:t>
      </w:r>
      <w:r w:rsidR="007B2878" w:rsidRPr="00FF7AF1">
        <w:rPr>
          <w:iCs/>
        </w:rPr>
        <w:t>,</w:t>
      </w:r>
      <w:r w:rsidR="002630EA" w:rsidRPr="00FF7AF1">
        <w:rPr>
          <w:iCs/>
        </w:rPr>
        <w:t xml:space="preserve"> </w:t>
      </w:r>
      <w:r w:rsidR="00B8723F" w:rsidRPr="00FF7AF1">
        <w:t xml:space="preserve">the ESC considered that </w:t>
      </w:r>
      <w:r w:rsidR="002630EA" w:rsidRPr="00FF7AF1">
        <w:rPr>
          <w:iCs/>
        </w:rPr>
        <w:t xml:space="preserve">it is unclear </w:t>
      </w:r>
      <w:r w:rsidR="00992EE5" w:rsidRPr="00FF7AF1">
        <w:t xml:space="preserve">how often </w:t>
      </w:r>
      <w:r w:rsidR="002630EA" w:rsidRPr="00FF7AF1">
        <w:t xml:space="preserve">physicians </w:t>
      </w:r>
      <w:r w:rsidR="00455013" w:rsidRPr="00FF7AF1">
        <w:t xml:space="preserve">would </w:t>
      </w:r>
      <w:r w:rsidR="00CC25A6" w:rsidRPr="00FF7AF1">
        <w:t>up titrate</w:t>
      </w:r>
      <w:r w:rsidR="002630EA" w:rsidRPr="00FF7AF1">
        <w:t xml:space="preserve"> to the higher </w:t>
      </w:r>
      <w:proofErr w:type="spellStart"/>
      <w:r w:rsidR="002630EA" w:rsidRPr="00FF7AF1">
        <w:t>finerenone</w:t>
      </w:r>
      <w:proofErr w:type="spellEnd"/>
      <w:r w:rsidR="002630EA" w:rsidRPr="00FF7AF1">
        <w:t xml:space="preserve"> dose due to </w:t>
      </w:r>
      <w:r w:rsidR="00DF31D4" w:rsidRPr="00FF7AF1">
        <w:t xml:space="preserve">concerns over the risk </w:t>
      </w:r>
      <w:r w:rsidR="002630EA" w:rsidRPr="00FF7AF1">
        <w:t>of hyperkalaemia</w:t>
      </w:r>
      <w:r w:rsidR="00992EE5" w:rsidRPr="00FF7AF1">
        <w:t xml:space="preserve"> and whether suboptimal dosing of </w:t>
      </w:r>
      <w:proofErr w:type="spellStart"/>
      <w:r w:rsidR="00992EE5" w:rsidRPr="00FF7AF1">
        <w:t>finer</w:t>
      </w:r>
      <w:r w:rsidR="00141C91" w:rsidRPr="00FF7AF1">
        <w:t>e</w:t>
      </w:r>
      <w:r w:rsidR="00992EE5" w:rsidRPr="00FF7AF1">
        <w:t>none</w:t>
      </w:r>
      <w:proofErr w:type="spellEnd"/>
      <w:r w:rsidR="00992EE5" w:rsidRPr="00FF7AF1">
        <w:t xml:space="preserve"> may result</w:t>
      </w:r>
      <w:r w:rsidR="0061101F" w:rsidRPr="00FF7AF1">
        <w:t xml:space="preserve">. </w:t>
      </w:r>
      <w:r w:rsidR="00510CCF" w:rsidRPr="00FF7AF1">
        <w:t xml:space="preserve">The PBAC noted that the rates of screening failure </w:t>
      </w:r>
      <w:r w:rsidR="00EE0808">
        <w:t xml:space="preserve">(assuming </w:t>
      </w:r>
      <w:proofErr w:type="spellStart"/>
      <w:r w:rsidR="00EE0808" w:rsidRPr="00EE0808">
        <w:rPr>
          <w:lang w:val="en-US"/>
        </w:rPr>
        <w:t>hyperkalaemia</w:t>
      </w:r>
      <w:proofErr w:type="spellEnd"/>
      <w:r w:rsidR="00EE0808" w:rsidRPr="00EE0808">
        <w:rPr>
          <w:lang w:val="en-US"/>
        </w:rPr>
        <w:t xml:space="preserve"> was the </w:t>
      </w:r>
      <w:r w:rsidR="00EE0808">
        <w:rPr>
          <w:lang w:val="en-US"/>
        </w:rPr>
        <w:t>most common</w:t>
      </w:r>
      <w:r w:rsidR="00EE0808" w:rsidRPr="00EE0808">
        <w:rPr>
          <w:lang w:val="en-US"/>
        </w:rPr>
        <w:t xml:space="preserve"> cause</w:t>
      </w:r>
      <w:r w:rsidR="00EE0808">
        <w:rPr>
          <w:lang w:val="en-US"/>
        </w:rPr>
        <w:t>)</w:t>
      </w:r>
      <w:r w:rsidR="00EE0808" w:rsidRPr="00EE0808">
        <w:rPr>
          <w:lang w:val="en-US"/>
        </w:rPr>
        <w:t xml:space="preserve"> </w:t>
      </w:r>
      <w:r w:rsidR="00510CCF" w:rsidRPr="00FF7AF1">
        <w:t xml:space="preserve">were higher than expected in both trials (61.6% in FIGARO-CKD and 58.8% in FIDELIO-CKD versus 50% assumed), </w:t>
      </w:r>
      <w:r w:rsidR="00510CCF" w:rsidRPr="00E91F81">
        <w:t xml:space="preserve">which reinforced concerns around patient selection outside </w:t>
      </w:r>
      <w:r w:rsidR="00510CCF" w:rsidRPr="00C71487">
        <w:t>of the clinical trial setting.</w:t>
      </w:r>
    </w:p>
    <w:p w14:paraId="4A4FE085" w14:textId="49787DB2" w:rsidR="00B60939" w:rsidRPr="00CF7D68" w:rsidRDefault="00B60939" w:rsidP="00EC5836">
      <w:pPr>
        <w:pStyle w:val="3-SubsectionHeading"/>
      </w:pPr>
      <w:bookmarkStart w:id="24" w:name="_Toc22897641"/>
      <w:bookmarkStart w:id="25" w:name="_Toc103772415"/>
      <w:r w:rsidRPr="00CF7D68">
        <w:lastRenderedPageBreak/>
        <w:t>Comparative effectiveness</w:t>
      </w:r>
      <w:bookmarkEnd w:id="24"/>
      <w:bookmarkEnd w:id="25"/>
    </w:p>
    <w:p w14:paraId="5C345DBF" w14:textId="65E1C07A" w:rsidR="00E72EC2" w:rsidRPr="00CF7D68" w:rsidRDefault="00E72EC2" w:rsidP="006F0189">
      <w:pPr>
        <w:pStyle w:val="ExecSumBodyText"/>
        <w:ind w:left="709" w:hanging="709"/>
      </w:pPr>
      <w:r w:rsidRPr="00CF7D68">
        <w:t xml:space="preserve">Composite cardiovascular events reported with </w:t>
      </w:r>
      <w:proofErr w:type="spellStart"/>
      <w:r w:rsidRPr="00CF7D68">
        <w:t>finerenone</w:t>
      </w:r>
      <w:proofErr w:type="spellEnd"/>
      <w:r w:rsidRPr="00CF7D68">
        <w:t xml:space="preserve"> and placebo treatment in the FIDELIO-DKD and FIGARO-DKD trials are summarised in </w:t>
      </w:r>
      <w:r w:rsidR="003778F4" w:rsidRPr="00CF7D68">
        <w:fldChar w:fldCharType="begin"/>
      </w:r>
      <w:r w:rsidR="003778F4" w:rsidRPr="00CF7D68">
        <w:instrText xml:space="preserve"> REF _Ref103264958 \h </w:instrText>
      </w:r>
      <w:r w:rsidR="003778F4" w:rsidRPr="00CF7D68">
        <w:fldChar w:fldCharType="separate"/>
      </w:r>
      <w:r w:rsidR="00AE5D6E" w:rsidRPr="00CF7D68">
        <w:t xml:space="preserve">Table </w:t>
      </w:r>
      <w:r w:rsidR="00AE5D6E">
        <w:rPr>
          <w:noProof/>
        </w:rPr>
        <w:t>5</w:t>
      </w:r>
      <w:r w:rsidR="003778F4" w:rsidRPr="00CF7D68">
        <w:fldChar w:fldCharType="end"/>
      </w:r>
      <w:r w:rsidR="003778F4" w:rsidRPr="00CF7D68">
        <w:t xml:space="preserve"> </w:t>
      </w:r>
      <w:r w:rsidRPr="00CF7D68">
        <w:t>below. This was the primary outcome of the FIGARO-DKD trial and a key secondary outcome of the FIDELIO-DKD trial. The incidence of component outcomes reported in the commentary was based on the first event contributing to the composite outcome.</w:t>
      </w:r>
    </w:p>
    <w:p w14:paraId="2F266F67" w14:textId="304CA2B8" w:rsidR="006F0189" w:rsidRPr="00CF7D68" w:rsidRDefault="006F0189" w:rsidP="00462ADF">
      <w:pPr>
        <w:pStyle w:val="TableHeading"/>
      </w:pPr>
      <w:bookmarkStart w:id="26" w:name="_Ref103264958"/>
      <w:r w:rsidRPr="00CF7D68">
        <w:t xml:space="preserve">Table </w:t>
      </w:r>
      <w:r w:rsidR="00F9376A">
        <w:fldChar w:fldCharType="begin"/>
      </w:r>
      <w:r w:rsidR="00F9376A">
        <w:instrText xml:space="preserve"> SEQ Table \* ARABIC </w:instrText>
      </w:r>
      <w:r w:rsidR="00F9376A">
        <w:fldChar w:fldCharType="separate"/>
      </w:r>
      <w:r w:rsidR="00AE5D6E">
        <w:rPr>
          <w:noProof/>
        </w:rPr>
        <w:t>5</w:t>
      </w:r>
      <w:r w:rsidR="00F9376A">
        <w:rPr>
          <w:noProof/>
        </w:rPr>
        <w:fldChar w:fldCharType="end"/>
      </w:r>
      <w:bookmarkEnd w:id="26"/>
      <w:r w:rsidRPr="00CF7D68">
        <w:t xml:space="preserve">: Composite cardiovascular event with </w:t>
      </w:r>
      <w:proofErr w:type="spellStart"/>
      <w:r w:rsidRPr="00CF7D68">
        <w:t>finerenone</w:t>
      </w:r>
      <w:proofErr w:type="spellEnd"/>
      <w:r w:rsidRPr="00CF7D68">
        <w:t xml:space="preserve"> and placebo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842"/>
        <w:gridCol w:w="1843"/>
        <w:gridCol w:w="1646"/>
      </w:tblGrid>
      <w:tr w:rsidR="00E72EC2" w:rsidRPr="00CF7D68" w14:paraId="18D99EAE" w14:textId="77777777" w:rsidTr="00BD693B">
        <w:trPr>
          <w:trHeight w:val="58"/>
          <w:tblHeader/>
        </w:trPr>
        <w:tc>
          <w:tcPr>
            <w:tcW w:w="3686" w:type="dxa"/>
            <w:tcBorders>
              <w:top w:val="single" w:sz="4" w:space="0" w:color="auto"/>
              <w:left w:val="single" w:sz="4" w:space="0" w:color="auto"/>
              <w:right w:val="single" w:sz="4" w:space="0" w:color="auto"/>
            </w:tcBorders>
            <w:vAlign w:val="center"/>
          </w:tcPr>
          <w:p w14:paraId="5FFD41A0" w14:textId="77777777" w:rsidR="00E72EC2" w:rsidRPr="00CF7D68" w:rsidRDefault="00E72EC2" w:rsidP="00462ADF">
            <w:pPr>
              <w:pStyle w:val="TableText"/>
              <w:widowControl w:val="0"/>
              <w:rPr>
                <w:b/>
              </w:rPr>
            </w:pPr>
            <w:r w:rsidRPr="00CF7D68">
              <w:rPr>
                <w:b/>
              </w:rPr>
              <w:t>Outcome</w:t>
            </w:r>
          </w:p>
        </w:tc>
        <w:tc>
          <w:tcPr>
            <w:tcW w:w="1842" w:type="dxa"/>
            <w:tcBorders>
              <w:top w:val="single" w:sz="4" w:space="0" w:color="auto"/>
              <w:left w:val="single" w:sz="4" w:space="0" w:color="auto"/>
              <w:right w:val="single" w:sz="4" w:space="0" w:color="auto"/>
            </w:tcBorders>
            <w:vAlign w:val="center"/>
          </w:tcPr>
          <w:p w14:paraId="11CB7DC8" w14:textId="77777777" w:rsidR="00E72EC2" w:rsidRPr="00CF7D68" w:rsidRDefault="00E72EC2" w:rsidP="00462ADF">
            <w:pPr>
              <w:pStyle w:val="TableText"/>
              <w:widowControl w:val="0"/>
              <w:jc w:val="center"/>
              <w:rPr>
                <w:b/>
              </w:rPr>
            </w:pPr>
            <w:proofErr w:type="spellStart"/>
            <w:r w:rsidRPr="00CF7D68">
              <w:rPr>
                <w:b/>
              </w:rPr>
              <w:t>Finerenone</w:t>
            </w:r>
            <w:proofErr w:type="spellEnd"/>
            <w:r w:rsidRPr="00CF7D68">
              <w:rPr>
                <w:b/>
              </w:rPr>
              <w:t xml:space="preserve"> </w:t>
            </w:r>
          </w:p>
          <w:p w14:paraId="46A50F4A" w14:textId="77777777" w:rsidR="00E72EC2" w:rsidRPr="00CF7D68" w:rsidRDefault="00E72EC2" w:rsidP="00462ADF">
            <w:pPr>
              <w:pStyle w:val="TableText"/>
              <w:widowControl w:val="0"/>
              <w:jc w:val="center"/>
              <w:rPr>
                <w:b/>
              </w:rPr>
            </w:pPr>
            <w:r w:rsidRPr="00CF7D68">
              <w:rPr>
                <w:b/>
              </w:rPr>
              <w:t>n (%)</w:t>
            </w:r>
          </w:p>
        </w:tc>
        <w:tc>
          <w:tcPr>
            <w:tcW w:w="1843" w:type="dxa"/>
            <w:tcBorders>
              <w:top w:val="single" w:sz="4" w:space="0" w:color="auto"/>
              <w:left w:val="single" w:sz="4" w:space="0" w:color="auto"/>
              <w:right w:val="single" w:sz="4" w:space="0" w:color="auto"/>
            </w:tcBorders>
            <w:vAlign w:val="center"/>
          </w:tcPr>
          <w:p w14:paraId="4548551C" w14:textId="77777777" w:rsidR="00E72EC2" w:rsidRPr="00CF7D68" w:rsidRDefault="00E72EC2" w:rsidP="00462ADF">
            <w:pPr>
              <w:pStyle w:val="TableText"/>
              <w:widowControl w:val="0"/>
              <w:jc w:val="center"/>
              <w:rPr>
                <w:b/>
              </w:rPr>
            </w:pPr>
            <w:r w:rsidRPr="00CF7D68">
              <w:rPr>
                <w:b/>
              </w:rPr>
              <w:t xml:space="preserve">Placebo </w:t>
            </w:r>
          </w:p>
          <w:p w14:paraId="02F5FB1A" w14:textId="77777777" w:rsidR="00E72EC2" w:rsidRPr="00CF7D68" w:rsidRDefault="00E72EC2" w:rsidP="00462ADF">
            <w:pPr>
              <w:pStyle w:val="TableText"/>
              <w:widowControl w:val="0"/>
              <w:jc w:val="center"/>
              <w:rPr>
                <w:b/>
              </w:rPr>
            </w:pPr>
            <w:r w:rsidRPr="00CF7D68">
              <w:rPr>
                <w:b/>
              </w:rPr>
              <w:t>n (%)</w:t>
            </w:r>
          </w:p>
        </w:tc>
        <w:tc>
          <w:tcPr>
            <w:tcW w:w="1646" w:type="dxa"/>
            <w:tcBorders>
              <w:top w:val="single" w:sz="4" w:space="0" w:color="auto"/>
              <w:left w:val="single" w:sz="4" w:space="0" w:color="auto"/>
              <w:right w:val="single" w:sz="4" w:space="0" w:color="auto"/>
            </w:tcBorders>
            <w:vAlign w:val="center"/>
          </w:tcPr>
          <w:p w14:paraId="31AEC573" w14:textId="77777777" w:rsidR="00E72EC2" w:rsidRPr="00CF7D68" w:rsidRDefault="00E72EC2" w:rsidP="00462ADF">
            <w:pPr>
              <w:pStyle w:val="TableText"/>
              <w:widowControl w:val="0"/>
              <w:jc w:val="center"/>
              <w:rPr>
                <w:b/>
              </w:rPr>
            </w:pPr>
            <w:r w:rsidRPr="00CF7D68">
              <w:rPr>
                <w:b/>
              </w:rPr>
              <w:t>HR (95% CI)</w:t>
            </w:r>
          </w:p>
        </w:tc>
      </w:tr>
      <w:tr w:rsidR="00E72EC2" w:rsidRPr="00CF7D68" w14:paraId="48E7A4D1" w14:textId="77777777" w:rsidTr="00BD693B">
        <w:trPr>
          <w:trHeight w:val="70"/>
        </w:trPr>
        <w:tc>
          <w:tcPr>
            <w:tcW w:w="9017" w:type="dxa"/>
            <w:gridSpan w:val="4"/>
            <w:tcBorders>
              <w:top w:val="single" w:sz="4" w:space="0" w:color="auto"/>
              <w:left w:val="single" w:sz="4" w:space="0" w:color="auto"/>
              <w:bottom w:val="single" w:sz="4" w:space="0" w:color="auto"/>
              <w:right w:val="single" w:sz="4" w:space="0" w:color="auto"/>
            </w:tcBorders>
            <w:vAlign w:val="center"/>
          </w:tcPr>
          <w:p w14:paraId="6FA931C7" w14:textId="5B6CDACC" w:rsidR="00E72EC2" w:rsidRPr="00CF7D68" w:rsidRDefault="00E72EC2" w:rsidP="00462ADF">
            <w:pPr>
              <w:pStyle w:val="TableText"/>
              <w:widowControl w:val="0"/>
              <w:rPr>
                <w:b/>
              </w:rPr>
            </w:pPr>
            <w:r w:rsidRPr="00CF7D68">
              <w:rPr>
                <w:b/>
              </w:rPr>
              <w:t>FIDELIO-DKD</w:t>
            </w:r>
            <w:r w:rsidR="00B77F7A" w:rsidRPr="00CF7D68">
              <w:rPr>
                <w:b/>
              </w:rPr>
              <w:t xml:space="preserve"> [key secondary outcome]</w:t>
            </w:r>
          </w:p>
        </w:tc>
      </w:tr>
      <w:tr w:rsidR="00E72EC2" w:rsidRPr="00CF7D68" w14:paraId="1A68F275"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79AAB3C6" w14:textId="77777777" w:rsidR="00E72EC2" w:rsidRPr="00CF7D68" w:rsidRDefault="00E72EC2" w:rsidP="00462ADF">
            <w:pPr>
              <w:pStyle w:val="TableText"/>
              <w:widowControl w:val="0"/>
            </w:pPr>
            <w:r w:rsidRPr="00CF7D68">
              <w:t>Composite cardiovascular events</w:t>
            </w:r>
          </w:p>
        </w:tc>
        <w:tc>
          <w:tcPr>
            <w:tcW w:w="1842" w:type="dxa"/>
            <w:tcBorders>
              <w:top w:val="single" w:sz="4" w:space="0" w:color="auto"/>
              <w:left w:val="single" w:sz="4" w:space="0" w:color="auto"/>
              <w:bottom w:val="single" w:sz="4" w:space="0" w:color="auto"/>
              <w:right w:val="single" w:sz="4" w:space="0" w:color="auto"/>
            </w:tcBorders>
            <w:vAlign w:val="center"/>
          </w:tcPr>
          <w:p w14:paraId="24BFA892" w14:textId="77777777" w:rsidR="00E72EC2" w:rsidRPr="00CF7D68" w:rsidRDefault="00E72EC2" w:rsidP="00462ADF">
            <w:pPr>
              <w:pStyle w:val="TableText"/>
              <w:widowControl w:val="0"/>
              <w:jc w:val="center"/>
            </w:pPr>
            <w:r w:rsidRPr="00CF7D68">
              <w:t>367/2,833 (13.0%)</w:t>
            </w:r>
          </w:p>
        </w:tc>
        <w:tc>
          <w:tcPr>
            <w:tcW w:w="1843" w:type="dxa"/>
            <w:tcBorders>
              <w:top w:val="single" w:sz="4" w:space="0" w:color="auto"/>
              <w:left w:val="single" w:sz="4" w:space="0" w:color="auto"/>
              <w:bottom w:val="single" w:sz="4" w:space="0" w:color="auto"/>
              <w:right w:val="single" w:sz="4" w:space="0" w:color="auto"/>
            </w:tcBorders>
            <w:vAlign w:val="center"/>
          </w:tcPr>
          <w:p w14:paraId="67B2A368" w14:textId="77777777" w:rsidR="00E72EC2" w:rsidRPr="00CF7D68" w:rsidRDefault="00E72EC2" w:rsidP="00462ADF">
            <w:pPr>
              <w:pStyle w:val="TableText"/>
              <w:widowControl w:val="0"/>
              <w:jc w:val="center"/>
            </w:pPr>
            <w:r w:rsidRPr="00CF7D68">
              <w:t>420/2,841 (14.8%)</w:t>
            </w:r>
          </w:p>
        </w:tc>
        <w:tc>
          <w:tcPr>
            <w:tcW w:w="1646" w:type="dxa"/>
            <w:tcBorders>
              <w:top w:val="single" w:sz="4" w:space="0" w:color="auto"/>
              <w:left w:val="single" w:sz="4" w:space="0" w:color="auto"/>
              <w:right w:val="single" w:sz="4" w:space="0" w:color="auto"/>
            </w:tcBorders>
            <w:vAlign w:val="center"/>
          </w:tcPr>
          <w:p w14:paraId="4B33B9BA" w14:textId="77777777" w:rsidR="00E72EC2" w:rsidRPr="00CF7D68" w:rsidRDefault="00E72EC2" w:rsidP="00462ADF">
            <w:pPr>
              <w:pStyle w:val="TableText"/>
              <w:widowControl w:val="0"/>
              <w:jc w:val="center"/>
              <w:rPr>
                <w:b/>
                <w:bCs w:val="0"/>
              </w:rPr>
            </w:pPr>
            <w:r w:rsidRPr="00CF7D68">
              <w:rPr>
                <w:b/>
                <w:bCs w:val="0"/>
              </w:rPr>
              <w:t>0.86 (0.75, 0.99)</w:t>
            </w:r>
          </w:p>
        </w:tc>
      </w:tr>
      <w:tr w:rsidR="00E72EC2" w:rsidRPr="00CF7D68" w14:paraId="5985E53C"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472A3CD5" w14:textId="77777777" w:rsidR="00E72EC2" w:rsidRPr="00CF7D68" w:rsidRDefault="00E72EC2" w:rsidP="00462ADF">
            <w:pPr>
              <w:pStyle w:val="TableText"/>
              <w:widowControl w:val="0"/>
            </w:pPr>
            <w:r w:rsidRPr="00CF7D68">
              <w:t>- Cardiovascular death</w:t>
            </w:r>
          </w:p>
        </w:tc>
        <w:tc>
          <w:tcPr>
            <w:tcW w:w="1842" w:type="dxa"/>
            <w:tcBorders>
              <w:top w:val="single" w:sz="4" w:space="0" w:color="auto"/>
              <w:left w:val="single" w:sz="4" w:space="0" w:color="auto"/>
              <w:bottom w:val="single" w:sz="4" w:space="0" w:color="auto"/>
              <w:right w:val="single" w:sz="4" w:space="0" w:color="auto"/>
            </w:tcBorders>
            <w:vAlign w:val="center"/>
          </w:tcPr>
          <w:p w14:paraId="3A6C9869" w14:textId="7C5A6FF9" w:rsidR="00E72EC2" w:rsidRPr="00486D56" w:rsidRDefault="00E72EC2" w:rsidP="00462ADF">
            <w:pPr>
              <w:pStyle w:val="TableText"/>
              <w:widowControl w:val="0"/>
              <w:jc w:val="center"/>
            </w:pPr>
            <w:r w:rsidRPr="00486D56">
              <w:t>98 (3.5%)</w:t>
            </w:r>
          </w:p>
        </w:tc>
        <w:tc>
          <w:tcPr>
            <w:tcW w:w="1843" w:type="dxa"/>
            <w:tcBorders>
              <w:top w:val="single" w:sz="4" w:space="0" w:color="auto"/>
              <w:left w:val="single" w:sz="4" w:space="0" w:color="auto"/>
              <w:bottom w:val="single" w:sz="4" w:space="0" w:color="auto"/>
              <w:right w:val="single" w:sz="4" w:space="0" w:color="auto"/>
            </w:tcBorders>
            <w:vAlign w:val="center"/>
          </w:tcPr>
          <w:p w14:paraId="731FD699" w14:textId="0F6E51FA" w:rsidR="00E72EC2" w:rsidRPr="00486D56" w:rsidRDefault="00E72EC2" w:rsidP="00462ADF">
            <w:pPr>
              <w:pStyle w:val="TableText"/>
              <w:widowControl w:val="0"/>
              <w:jc w:val="center"/>
            </w:pPr>
            <w:r w:rsidRPr="00486D56">
              <w:t>115 (4.0%)</w:t>
            </w:r>
          </w:p>
        </w:tc>
        <w:tc>
          <w:tcPr>
            <w:tcW w:w="1646" w:type="dxa"/>
            <w:tcBorders>
              <w:left w:val="single" w:sz="4" w:space="0" w:color="auto"/>
              <w:right w:val="single" w:sz="4" w:space="0" w:color="auto"/>
            </w:tcBorders>
            <w:vAlign w:val="center"/>
          </w:tcPr>
          <w:p w14:paraId="27789F59" w14:textId="4E061C2A" w:rsidR="00E72EC2" w:rsidRPr="00CF7D68" w:rsidRDefault="00E72EC2" w:rsidP="00462ADF">
            <w:pPr>
              <w:pStyle w:val="TableText"/>
              <w:widowControl w:val="0"/>
              <w:jc w:val="center"/>
            </w:pPr>
            <w:r w:rsidRPr="00CF7D68">
              <w:t>-</w:t>
            </w:r>
          </w:p>
        </w:tc>
      </w:tr>
      <w:tr w:rsidR="00E72EC2" w:rsidRPr="00CF7D68" w14:paraId="78470453"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00B808B7" w14:textId="77777777" w:rsidR="00E72EC2" w:rsidRPr="00CF7D68" w:rsidRDefault="00E72EC2" w:rsidP="00462ADF">
            <w:pPr>
              <w:pStyle w:val="TableText"/>
              <w:widowControl w:val="0"/>
            </w:pPr>
            <w:r w:rsidRPr="00CF7D68">
              <w:t>- Non-fatal myocardial infarction</w:t>
            </w:r>
          </w:p>
        </w:tc>
        <w:tc>
          <w:tcPr>
            <w:tcW w:w="1842" w:type="dxa"/>
            <w:tcBorders>
              <w:top w:val="single" w:sz="4" w:space="0" w:color="auto"/>
              <w:left w:val="single" w:sz="4" w:space="0" w:color="auto"/>
              <w:bottom w:val="single" w:sz="4" w:space="0" w:color="auto"/>
              <w:right w:val="single" w:sz="4" w:space="0" w:color="auto"/>
            </w:tcBorders>
            <w:vAlign w:val="center"/>
          </w:tcPr>
          <w:p w14:paraId="2F3306C2" w14:textId="1FC9D870" w:rsidR="00E72EC2" w:rsidRPr="00486D56" w:rsidRDefault="00E72EC2" w:rsidP="00462ADF">
            <w:pPr>
              <w:pStyle w:val="TableText"/>
              <w:widowControl w:val="0"/>
              <w:jc w:val="center"/>
            </w:pPr>
            <w:r w:rsidRPr="00486D56">
              <w:t>65 (2.3%)</w:t>
            </w:r>
          </w:p>
        </w:tc>
        <w:tc>
          <w:tcPr>
            <w:tcW w:w="1843" w:type="dxa"/>
            <w:tcBorders>
              <w:top w:val="single" w:sz="4" w:space="0" w:color="auto"/>
              <w:left w:val="single" w:sz="4" w:space="0" w:color="auto"/>
              <w:bottom w:val="single" w:sz="4" w:space="0" w:color="auto"/>
              <w:right w:val="single" w:sz="4" w:space="0" w:color="auto"/>
            </w:tcBorders>
            <w:vAlign w:val="center"/>
          </w:tcPr>
          <w:p w14:paraId="539715BF" w14:textId="3B6DF262" w:rsidR="00E72EC2" w:rsidRPr="00486D56" w:rsidRDefault="00E72EC2" w:rsidP="00462ADF">
            <w:pPr>
              <w:pStyle w:val="TableText"/>
              <w:widowControl w:val="0"/>
              <w:jc w:val="center"/>
            </w:pPr>
            <w:r w:rsidRPr="00486D56">
              <w:t>82 (2.9%)</w:t>
            </w:r>
          </w:p>
        </w:tc>
        <w:tc>
          <w:tcPr>
            <w:tcW w:w="1646" w:type="dxa"/>
            <w:tcBorders>
              <w:left w:val="single" w:sz="4" w:space="0" w:color="auto"/>
              <w:right w:val="single" w:sz="4" w:space="0" w:color="auto"/>
            </w:tcBorders>
            <w:vAlign w:val="center"/>
          </w:tcPr>
          <w:p w14:paraId="662A1A7C" w14:textId="0F90A840" w:rsidR="00E72EC2" w:rsidRPr="00CF7D68" w:rsidRDefault="00E72EC2" w:rsidP="00462ADF">
            <w:pPr>
              <w:pStyle w:val="TableText"/>
              <w:widowControl w:val="0"/>
              <w:jc w:val="center"/>
            </w:pPr>
            <w:r w:rsidRPr="00CF7D68">
              <w:t>-</w:t>
            </w:r>
          </w:p>
        </w:tc>
      </w:tr>
      <w:tr w:rsidR="00E72EC2" w:rsidRPr="00CF7D68" w14:paraId="09A8CA1C"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577DD8F7" w14:textId="77777777" w:rsidR="00E72EC2" w:rsidRPr="00CF7D68" w:rsidRDefault="00E72EC2" w:rsidP="00462ADF">
            <w:pPr>
              <w:pStyle w:val="TableText"/>
              <w:widowControl w:val="0"/>
            </w:pPr>
            <w:r w:rsidRPr="00CF7D68">
              <w:t>- Non-fatal stroke</w:t>
            </w:r>
          </w:p>
        </w:tc>
        <w:tc>
          <w:tcPr>
            <w:tcW w:w="1842" w:type="dxa"/>
            <w:tcBorders>
              <w:top w:val="single" w:sz="4" w:space="0" w:color="auto"/>
              <w:left w:val="single" w:sz="4" w:space="0" w:color="auto"/>
              <w:bottom w:val="single" w:sz="4" w:space="0" w:color="auto"/>
              <w:right w:val="single" w:sz="4" w:space="0" w:color="auto"/>
            </w:tcBorders>
            <w:vAlign w:val="center"/>
          </w:tcPr>
          <w:p w14:paraId="11F95C77" w14:textId="56F334A9" w:rsidR="00E72EC2" w:rsidRPr="00486D56" w:rsidRDefault="00E72EC2" w:rsidP="00462ADF">
            <w:pPr>
              <w:pStyle w:val="TableText"/>
              <w:widowControl w:val="0"/>
              <w:jc w:val="center"/>
            </w:pPr>
            <w:r w:rsidRPr="00486D56">
              <w:t>81 (2.9%)</w:t>
            </w:r>
          </w:p>
        </w:tc>
        <w:tc>
          <w:tcPr>
            <w:tcW w:w="1843" w:type="dxa"/>
            <w:tcBorders>
              <w:top w:val="single" w:sz="4" w:space="0" w:color="auto"/>
              <w:left w:val="single" w:sz="4" w:space="0" w:color="auto"/>
              <w:bottom w:val="single" w:sz="4" w:space="0" w:color="auto"/>
              <w:right w:val="single" w:sz="4" w:space="0" w:color="auto"/>
            </w:tcBorders>
            <w:vAlign w:val="center"/>
          </w:tcPr>
          <w:p w14:paraId="265D07D1" w14:textId="4394FAC2" w:rsidR="00E72EC2" w:rsidRPr="00486D56" w:rsidRDefault="00E72EC2" w:rsidP="00462ADF">
            <w:pPr>
              <w:pStyle w:val="TableText"/>
              <w:widowControl w:val="0"/>
              <w:jc w:val="center"/>
            </w:pPr>
            <w:r w:rsidRPr="00486D56">
              <w:t>80 (2.8%)</w:t>
            </w:r>
          </w:p>
        </w:tc>
        <w:tc>
          <w:tcPr>
            <w:tcW w:w="1646" w:type="dxa"/>
            <w:tcBorders>
              <w:left w:val="single" w:sz="4" w:space="0" w:color="auto"/>
              <w:right w:val="single" w:sz="4" w:space="0" w:color="auto"/>
            </w:tcBorders>
            <w:vAlign w:val="center"/>
          </w:tcPr>
          <w:p w14:paraId="5A019472" w14:textId="39EEE75D" w:rsidR="00E72EC2" w:rsidRPr="00CF7D68" w:rsidRDefault="00E72EC2" w:rsidP="00462ADF">
            <w:pPr>
              <w:pStyle w:val="TableText"/>
              <w:widowControl w:val="0"/>
              <w:jc w:val="center"/>
            </w:pPr>
            <w:r w:rsidRPr="00CF7D68">
              <w:t>-</w:t>
            </w:r>
          </w:p>
        </w:tc>
      </w:tr>
      <w:tr w:rsidR="00E72EC2" w:rsidRPr="00CF7D68" w14:paraId="4B315AA5"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2B5E4ED8" w14:textId="77777777" w:rsidR="00E72EC2" w:rsidRPr="00CF7D68" w:rsidRDefault="00E72EC2" w:rsidP="00462ADF">
            <w:pPr>
              <w:pStyle w:val="TableText"/>
              <w:widowControl w:val="0"/>
            </w:pPr>
            <w:r w:rsidRPr="00CF7D68">
              <w:t>- Hospitalisation for heart failure</w:t>
            </w:r>
          </w:p>
        </w:tc>
        <w:tc>
          <w:tcPr>
            <w:tcW w:w="1842" w:type="dxa"/>
            <w:tcBorders>
              <w:top w:val="single" w:sz="4" w:space="0" w:color="auto"/>
              <w:left w:val="single" w:sz="4" w:space="0" w:color="auto"/>
              <w:bottom w:val="single" w:sz="4" w:space="0" w:color="auto"/>
              <w:right w:val="single" w:sz="4" w:space="0" w:color="auto"/>
            </w:tcBorders>
            <w:vAlign w:val="center"/>
          </w:tcPr>
          <w:p w14:paraId="5C03708F" w14:textId="46D46655" w:rsidR="00E72EC2" w:rsidRPr="00486D56" w:rsidRDefault="00E72EC2" w:rsidP="00462ADF">
            <w:pPr>
              <w:pStyle w:val="TableText"/>
              <w:widowControl w:val="0"/>
              <w:jc w:val="center"/>
            </w:pPr>
            <w:r w:rsidRPr="00486D56">
              <w:t>124 (4.4%)</w:t>
            </w:r>
          </w:p>
        </w:tc>
        <w:tc>
          <w:tcPr>
            <w:tcW w:w="1843" w:type="dxa"/>
            <w:tcBorders>
              <w:top w:val="single" w:sz="4" w:space="0" w:color="auto"/>
              <w:left w:val="single" w:sz="4" w:space="0" w:color="auto"/>
              <w:bottom w:val="single" w:sz="4" w:space="0" w:color="auto"/>
              <w:right w:val="single" w:sz="4" w:space="0" w:color="auto"/>
            </w:tcBorders>
            <w:vAlign w:val="center"/>
          </w:tcPr>
          <w:p w14:paraId="0B0211B8" w14:textId="15A6A1BB" w:rsidR="00E72EC2" w:rsidRPr="00486D56" w:rsidRDefault="00E72EC2" w:rsidP="00462ADF">
            <w:pPr>
              <w:pStyle w:val="TableText"/>
              <w:widowControl w:val="0"/>
              <w:jc w:val="center"/>
            </w:pPr>
            <w:r w:rsidRPr="00486D56">
              <w:t>146 (5.1%)</w:t>
            </w:r>
          </w:p>
        </w:tc>
        <w:tc>
          <w:tcPr>
            <w:tcW w:w="1646" w:type="dxa"/>
            <w:tcBorders>
              <w:left w:val="single" w:sz="4" w:space="0" w:color="auto"/>
              <w:right w:val="single" w:sz="4" w:space="0" w:color="auto"/>
            </w:tcBorders>
            <w:vAlign w:val="center"/>
          </w:tcPr>
          <w:p w14:paraId="696E654E" w14:textId="1A5C87E7" w:rsidR="00E72EC2" w:rsidRPr="00CF7D68" w:rsidRDefault="00E72EC2" w:rsidP="00462ADF">
            <w:pPr>
              <w:pStyle w:val="TableText"/>
              <w:widowControl w:val="0"/>
              <w:jc w:val="center"/>
            </w:pPr>
            <w:r w:rsidRPr="00CF7D68">
              <w:t>-</w:t>
            </w:r>
          </w:p>
        </w:tc>
      </w:tr>
      <w:tr w:rsidR="00E72EC2" w:rsidRPr="00CF7D68" w14:paraId="2B44F649" w14:textId="77777777" w:rsidTr="00BD693B">
        <w:trPr>
          <w:trHeight w:val="70"/>
        </w:trPr>
        <w:tc>
          <w:tcPr>
            <w:tcW w:w="9017" w:type="dxa"/>
            <w:gridSpan w:val="4"/>
            <w:tcBorders>
              <w:top w:val="single" w:sz="4" w:space="0" w:color="auto"/>
              <w:left w:val="single" w:sz="4" w:space="0" w:color="auto"/>
              <w:bottom w:val="single" w:sz="4" w:space="0" w:color="auto"/>
              <w:right w:val="single" w:sz="4" w:space="0" w:color="auto"/>
            </w:tcBorders>
            <w:vAlign w:val="center"/>
          </w:tcPr>
          <w:p w14:paraId="3F6F48B4" w14:textId="77777777" w:rsidR="00E72EC2" w:rsidRPr="00CF7D68" w:rsidRDefault="00E72EC2" w:rsidP="00462ADF">
            <w:pPr>
              <w:pStyle w:val="TableText"/>
              <w:widowControl w:val="0"/>
              <w:rPr>
                <w:b/>
                <w:bCs w:val="0"/>
              </w:rPr>
            </w:pPr>
            <w:r w:rsidRPr="00CF7D68">
              <w:rPr>
                <w:b/>
                <w:bCs w:val="0"/>
              </w:rPr>
              <w:t>FIGARO-DKD [primary outcome]</w:t>
            </w:r>
          </w:p>
        </w:tc>
      </w:tr>
      <w:tr w:rsidR="00E72EC2" w:rsidRPr="00CF7D68" w14:paraId="27749ECD"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0FA920A5" w14:textId="77777777" w:rsidR="00E72EC2" w:rsidRPr="00CF7D68" w:rsidRDefault="00E72EC2" w:rsidP="00462ADF">
            <w:pPr>
              <w:pStyle w:val="TableText"/>
              <w:widowControl w:val="0"/>
            </w:pPr>
            <w:r w:rsidRPr="00CF7D68">
              <w:t>Composite cardiovascular events</w:t>
            </w:r>
          </w:p>
        </w:tc>
        <w:tc>
          <w:tcPr>
            <w:tcW w:w="1842" w:type="dxa"/>
            <w:tcBorders>
              <w:top w:val="single" w:sz="4" w:space="0" w:color="auto"/>
              <w:left w:val="single" w:sz="4" w:space="0" w:color="auto"/>
              <w:bottom w:val="single" w:sz="4" w:space="0" w:color="auto"/>
              <w:right w:val="single" w:sz="4" w:space="0" w:color="auto"/>
            </w:tcBorders>
            <w:vAlign w:val="center"/>
          </w:tcPr>
          <w:p w14:paraId="6656106A" w14:textId="77777777" w:rsidR="00E72EC2" w:rsidRPr="00CF7D68" w:rsidRDefault="00E72EC2" w:rsidP="00462ADF">
            <w:pPr>
              <w:pStyle w:val="TableText"/>
              <w:widowControl w:val="0"/>
              <w:jc w:val="center"/>
            </w:pPr>
            <w:r w:rsidRPr="00CF7D68">
              <w:t>458/3,686 (12.4%)</w:t>
            </w:r>
          </w:p>
        </w:tc>
        <w:tc>
          <w:tcPr>
            <w:tcW w:w="1843" w:type="dxa"/>
            <w:tcBorders>
              <w:top w:val="single" w:sz="4" w:space="0" w:color="auto"/>
              <w:left w:val="single" w:sz="4" w:space="0" w:color="auto"/>
              <w:bottom w:val="single" w:sz="4" w:space="0" w:color="auto"/>
              <w:right w:val="single" w:sz="4" w:space="0" w:color="auto"/>
            </w:tcBorders>
            <w:vAlign w:val="center"/>
          </w:tcPr>
          <w:p w14:paraId="0EC08E60" w14:textId="77777777" w:rsidR="00E72EC2" w:rsidRPr="00CF7D68" w:rsidRDefault="00E72EC2" w:rsidP="00462ADF">
            <w:pPr>
              <w:pStyle w:val="TableText"/>
              <w:widowControl w:val="0"/>
              <w:jc w:val="center"/>
            </w:pPr>
            <w:r w:rsidRPr="00CF7D68">
              <w:t>519/3,666 (14.2%)</w:t>
            </w:r>
          </w:p>
        </w:tc>
        <w:tc>
          <w:tcPr>
            <w:tcW w:w="1646" w:type="dxa"/>
            <w:tcBorders>
              <w:left w:val="single" w:sz="4" w:space="0" w:color="auto"/>
              <w:right w:val="single" w:sz="4" w:space="0" w:color="auto"/>
            </w:tcBorders>
            <w:vAlign w:val="center"/>
          </w:tcPr>
          <w:p w14:paraId="0C22A084" w14:textId="77777777" w:rsidR="00E72EC2" w:rsidRPr="00CF7D68" w:rsidRDefault="00E72EC2" w:rsidP="00462ADF">
            <w:pPr>
              <w:pStyle w:val="TableText"/>
              <w:widowControl w:val="0"/>
              <w:jc w:val="center"/>
              <w:rPr>
                <w:b/>
                <w:bCs w:val="0"/>
              </w:rPr>
            </w:pPr>
            <w:r w:rsidRPr="00CF7D68">
              <w:rPr>
                <w:b/>
                <w:bCs w:val="0"/>
              </w:rPr>
              <w:t>0.87 (0.76, 0.98)</w:t>
            </w:r>
          </w:p>
        </w:tc>
      </w:tr>
      <w:tr w:rsidR="00E72EC2" w:rsidRPr="00CF7D68" w14:paraId="533264A1"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3FFCF6D0" w14:textId="77777777" w:rsidR="00E72EC2" w:rsidRPr="00CF7D68" w:rsidRDefault="00E72EC2" w:rsidP="00462ADF">
            <w:pPr>
              <w:pStyle w:val="TableText"/>
              <w:widowControl w:val="0"/>
            </w:pPr>
            <w:r w:rsidRPr="00CF7D68">
              <w:t>- Cardiovascular death</w:t>
            </w:r>
          </w:p>
        </w:tc>
        <w:tc>
          <w:tcPr>
            <w:tcW w:w="1842" w:type="dxa"/>
            <w:tcBorders>
              <w:top w:val="single" w:sz="4" w:space="0" w:color="auto"/>
              <w:left w:val="single" w:sz="4" w:space="0" w:color="auto"/>
              <w:bottom w:val="single" w:sz="4" w:space="0" w:color="auto"/>
              <w:right w:val="single" w:sz="4" w:space="0" w:color="auto"/>
            </w:tcBorders>
            <w:vAlign w:val="center"/>
          </w:tcPr>
          <w:p w14:paraId="66956952" w14:textId="0CC5C3AC" w:rsidR="00E72EC2" w:rsidRPr="00486D56" w:rsidRDefault="00E72EC2" w:rsidP="00462ADF">
            <w:pPr>
              <w:pStyle w:val="TableText"/>
              <w:widowControl w:val="0"/>
              <w:jc w:val="center"/>
            </w:pPr>
            <w:r w:rsidRPr="00486D56">
              <w:t>147 (4.0%)</w:t>
            </w:r>
          </w:p>
        </w:tc>
        <w:tc>
          <w:tcPr>
            <w:tcW w:w="1843" w:type="dxa"/>
            <w:tcBorders>
              <w:top w:val="single" w:sz="4" w:space="0" w:color="auto"/>
              <w:left w:val="single" w:sz="4" w:space="0" w:color="auto"/>
              <w:bottom w:val="single" w:sz="4" w:space="0" w:color="auto"/>
              <w:right w:val="single" w:sz="4" w:space="0" w:color="auto"/>
            </w:tcBorders>
            <w:vAlign w:val="center"/>
          </w:tcPr>
          <w:p w14:paraId="0CF64DE0" w14:textId="2FC45A62" w:rsidR="00E72EC2" w:rsidRPr="00486D56" w:rsidRDefault="00E72EC2" w:rsidP="00462ADF">
            <w:pPr>
              <w:pStyle w:val="TableText"/>
              <w:widowControl w:val="0"/>
              <w:jc w:val="center"/>
            </w:pPr>
            <w:r w:rsidRPr="00486D56">
              <w:t>174 (4.7%)</w:t>
            </w:r>
          </w:p>
        </w:tc>
        <w:tc>
          <w:tcPr>
            <w:tcW w:w="1646" w:type="dxa"/>
            <w:tcBorders>
              <w:left w:val="single" w:sz="4" w:space="0" w:color="auto"/>
              <w:right w:val="single" w:sz="4" w:space="0" w:color="auto"/>
            </w:tcBorders>
            <w:vAlign w:val="center"/>
          </w:tcPr>
          <w:p w14:paraId="6016511B" w14:textId="272B3A12" w:rsidR="00E72EC2" w:rsidRPr="00CF7D68" w:rsidRDefault="00E72EC2" w:rsidP="00462ADF">
            <w:pPr>
              <w:pStyle w:val="TableText"/>
              <w:widowControl w:val="0"/>
              <w:jc w:val="center"/>
            </w:pPr>
            <w:r w:rsidRPr="00CF7D68">
              <w:t>-</w:t>
            </w:r>
          </w:p>
        </w:tc>
      </w:tr>
      <w:tr w:rsidR="00E72EC2" w:rsidRPr="00CF7D68" w14:paraId="0A571A3C"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4F4B5CF0" w14:textId="77777777" w:rsidR="00E72EC2" w:rsidRPr="00CF7D68" w:rsidRDefault="00E72EC2" w:rsidP="00462ADF">
            <w:pPr>
              <w:pStyle w:val="TableText"/>
              <w:widowControl w:val="0"/>
            </w:pPr>
            <w:r w:rsidRPr="00CF7D68">
              <w:t>- Non-fatal myocardial infarction</w:t>
            </w:r>
          </w:p>
        </w:tc>
        <w:tc>
          <w:tcPr>
            <w:tcW w:w="1842" w:type="dxa"/>
            <w:tcBorders>
              <w:top w:val="single" w:sz="4" w:space="0" w:color="auto"/>
              <w:left w:val="single" w:sz="4" w:space="0" w:color="auto"/>
              <w:bottom w:val="single" w:sz="4" w:space="0" w:color="auto"/>
              <w:right w:val="single" w:sz="4" w:space="0" w:color="auto"/>
            </w:tcBorders>
            <w:vAlign w:val="center"/>
          </w:tcPr>
          <w:p w14:paraId="193944F9" w14:textId="2CE49C96" w:rsidR="00E72EC2" w:rsidRPr="00486D56" w:rsidRDefault="00E72EC2" w:rsidP="00462ADF">
            <w:pPr>
              <w:pStyle w:val="TableText"/>
              <w:widowControl w:val="0"/>
              <w:jc w:val="center"/>
            </w:pPr>
            <w:r w:rsidRPr="00486D56">
              <w:t>101 (2.7%)</w:t>
            </w:r>
          </w:p>
        </w:tc>
        <w:tc>
          <w:tcPr>
            <w:tcW w:w="1843" w:type="dxa"/>
            <w:tcBorders>
              <w:top w:val="single" w:sz="4" w:space="0" w:color="auto"/>
              <w:left w:val="single" w:sz="4" w:space="0" w:color="auto"/>
              <w:bottom w:val="single" w:sz="4" w:space="0" w:color="auto"/>
              <w:right w:val="single" w:sz="4" w:space="0" w:color="auto"/>
            </w:tcBorders>
            <w:vAlign w:val="center"/>
          </w:tcPr>
          <w:p w14:paraId="4517B982" w14:textId="314999ED" w:rsidR="00E72EC2" w:rsidRPr="00486D56" w:rsidRDefault="00E72EC2" w:rsidP="00462ADF">
            <w:pPr>
              <w:pStyle w:val="TableText"/>
              <w:widowControl w:val="0"/>
              <w:jc w:val="center"/>
            </w:pPr>
            <w:r w:rsidRPr="00486D56">
              <w:t>93 (2.5%)</w:t>
            </w:r>
          </w:p>
        </w:tc>
        <w:tc>
          <w:tcPr>
            <w:tcW w:w="1646" w:type="dxa"/>
            <w:tcBorders>
              <w:left w:val="single" w:sz="4" w:space="0" w:color="auto"/>
              <w:right w:val="single" w:sz="4" w:space="0" w:color="auto"/>
            </w:tcBorders>
            <w:vAlign w:val="center"/>
          </w:tcPr>
          <w:p w14:paraId="3A347AC8" w14:textId="6FA2E2D3" w:rsidR="00E72EC2" w:rsidRPr="00CF7D68" w:rsidRDefault="00E72EC2" w:rsidP="00462ADF">
            <w:pPr>
              <w:pStyle w:val="TableText"/>
              <w:widowControl w:val="0"/>
              <w:jc w:val="center"/>
            </w:pPr>
            <w:r w:rsidRPr="00CF7D68">
              <w:t>-</w:t>
            </w:r>
          </w:p>
        </w:tc>
      </w:tr>
      <w:tr w:rsidR="00E72EC2" w:rsidRPr="00CF7D68" w14:paraId="3D711445"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4A961F87" w14:textId="77777777" w:rsidR="00E72EC2" w:rsidRPr="00CF7D68" w:rsidRDefault="00E72EC2" w:rsidP="00462ADF">
            <w:pPr>
              <w:pStyle w:val="TableText"/>
              <w:widowControl w:val="0"/>
            </w:pPr>
            <w:r w:rsidRPr="00CF7D68">
              <w:t>- Non-fatal stroke</w:t>
            </w:r>
          </w:p>
        </w:tc>
        <w:tc>
          <w:tcPr>
            <w:tcW w:w="1842" w:type="dxa"/>
            <w:tcBorders>
              <w:top w:val="single" w:sz="4" w:space="0" w:color="auto"/>
              <w:left w:val="single" w:sz="4" w:space="0" w:color="auto"/>
              <w:bottom w:val="single" w:sz="4" w:space="0" w:color="auto"/>
              <w:right w:val="single" w:sz="4" w:space="0" w:color="auto"/>
            </w:tcBorders>
            <w:vAlign w:val="center"/>
          </w:tcPr>
          <w:p w14:paraId="7C444C91" w14:textId="1E0D8CE5" w:rsidR="00E72EC2" w:rsidRPr="00486D56" w:rsidRDefault="00E72EC2" w:rsidP="00462ADF">
            <w:pPr>
              <w:pStyle w:val="TableText"/>
              <w:widowControl w:val="0"/>
              <w:jc w:val="center"/>
            </w:pPr>
            <w:r w:rsidRPr="00486D56">
              <w:t>100 (2.7%)</w:t>
            </w:r>
          </w:p>
        </w:tc>
        <w:tc>
          <w:tcPr>
            <w:tcW w:w="1843" w:type="dxa"/>
            <w:tcBorders>
              <w:top w:val="single" w:sz="4" w:space="0" w:color="auto"/>
              <w:left w:val="single" w:sz="4" w:space="0" w:color="auto"/>
              <w:bottom w:val="single" w:sz="4" w:space="0" w:color="auto"/>
              <w:right w:val="single" w:sz="4" w:space="0" w:color="auto"/>
            </w:tcBorders>
            <w:vAlign w:val="center"/>
          </w:tcPr>
          <w:p w14:paraId="633A3E4D" w14:textId="074CBE32" w:rsidR="00E72EC2" w:rsidRPr="00486D56" w:rsidRDefault="00E72EC2" w:rsidP="00462ADF">
            <w:pPr>
              <w:pStyle w:val="TableText"/>
              <w:widowControl w:val="0"/>
              <w:jc w:val="center"/>
            </w:pPr>
            <w:r w:rsidRPr="00486D56">
              <w:t>103 (2.8%)</w:t>
            </w:r>
          </w:p>
        </w:tc>
        <w:tc>
          <w:tcPr>
            <w:tcW w:w="1646" w:type="dxa"/>
            <w:tcBorders>
              <w:left w:val="single" w:sz="4" w:space="0" w:color="auto"/>
              <w:right w:val="single" w:sz="4" w:space="0" w:color="auto"/>
            </w:tcBorders>
            <w:vAlign w:val="center"/>
          </w:tcPr>
          <w:p w14:paraId="4C74F1E7" w14:textId="26293C83" w:rsidR="00E72EC2" w:rsidRPr="00CF7D68" w:rsidRDefault="00E72EC2" w:rsidP="00462ADF">
            <w:pPr>
              <w:pStyle w:val="TableText"/>
              <w:widowControl w:val="0"/>
              <w:jc w:val="center"/>
            </w:pPr>
            <w:r w:rsidRPr="00CF7D68">
              <w:t>-</w:t>
            </w:r>
          </w:p>
        </w:tc>
      </w:tr>
      <w:tr w:rsidR="00E72EC2" w:rsidRPr="00CF7D68" w14:paraId="4707EE3D"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36235D61" w14:textId="77777777" w:rsidR="00E72EC2" w:rsidRPr="00CF7D68" w:rsidRDefault="00E72EC2" w:rsidP="00462ADF">
            <w:pPr>
              <w:pStyle w:val="TableText"/>
              <w:widowControl w:val="0"/>
            </w:pPr>
            <w:r w:rsidRPr="00CF7D68">
              <w:t>- Hospitalisation for heart failure</w:t>
            </w:r>
          </w:p>
        </w:tc>
        <w:tc>
          <w:tcPr>
            <w:tcW w:w="1842" w:type="dxa"/>
            <w:tcBorders>
              <w:top w:val="single" w:sz="4" w:space="0" w:color="auto"/>
              <w:left w:val="single" w:sz="4" w:space="0" w:color="auto"/>
              <w:bottom w:val="single" w:sz="4" w:space="0" w:color="auto"/>
              <w:right w:val="single" w:sz="4" w:space="0" w:color="auto"/>
            </w:tcBorders>
            <w:vAlign w:val="center"/>
          </w:tcPr>
          <w:p w14:paraId="05C22291" w14:textId="71823388" w:rsidR="00E72EC2" w:rsidRPr="00486D56" w:rsidRDefault="00E72EC2" w:rsidP="00462ADF">
            <w:pPr>
              <w:pStyle w:val="TableText"/>
              <w:widowControl w:val="0"/>
              <w:jc w:val="center"/>
            </w:pPr>
            <w:r w:rsidRPr="00486D56">
              <w:t>110 (3.0%)</w:t>
            </w:r>
          </w:p>
        </w:tc>
        <w:tc>
          <w:tcPr>
            <w:tcW w:w="1843" w:type="dxa"/>
            <w:tcBorders>
              <w:top w:val="single" w:sz="4" w:space="0" w:color="auto"/>
              <w:left w:val="single" w:sz="4" w:space="0" w:color="auto"/>
              <w:bottom w:val="single" w:sz="4" w:space="0" w:color="auto"/>
              <w:right w:val="single" w:sz="4" w:space="0" w:color="auto"/>
            </w:tcBorders>
            <w:vAlign w:val="center"/>
          </w:tcPr>
          <w:p w14:paraId="03B4BD5E" w14:textId="32B466A6" w:rsidR="00E72EC2" w:rsidRPr="00486D56" w:rsidRDefault="00E72EC2" w:rsidP="00462ADF">
            <w:pPr>
              <w:pStyle w:val="TableText"/>
              <w:widowControl w:val="0"/>
              <w:jc w:val="center"/>
            </w:pPr>
            <w:r w:rsidRPr="00486D56">
              <w:t>152 (4.1%)</w:t>
            </w:r>
          </w:p>
        </w:tc>
        <w:tc>
          <w:tcPr>
            <w:tcW w:w="1646" w:type="dxa"/>
            <w:tcBorders>
              <w:left w:val="single" w:sz="4" w:space="0" w:color="auto"/>
              <w:bottom w:val="single" w:sz="4" w:space="0" w:color="auto"/>
              <w:right w:val="single" w:sz="4" w:space="0" w:color="auto"/>
            </w:tcBorders>
            <w:vAlign w:val="center"/>
          </w:tcPr>
          <w:p w14:paraId="47D16476" w14:textId="6C46F4F8" w:rsidR="00E72EC2" w:rsidRPr="00CF7D68" w:rsidRDefault="00E72EC2" w:rsidP="00462ADF">
            <w:pPr>
              <w:pStyle w:val="TableText"/>
              <w:widowControl w:val="0"/>
              <w:jc w:val="center"/>
            </w:pPr>
          </w:p>
        </w:tc>
      </w:tr>
    </w:tbl>
    <w:p w14:paraId="164B7F2B" w14:textId="2F0E26C8" w:rsidR="00E72EC2" w:rsidRPr="00CF7D68" w:rsidRDefault="00E72EC2" w:rsidP="00462ADF">
      <w:pPr>
        <w:pStyle w:val="TableFooter"/>
        <w:keepNext/>
      </w:pPr>
      <w:r w:rsidRPr="00CF7D68">
        <w:t>Source: Table 36 (p59) of the submission; Table 14.2.2.1/2 (p8) of the FIDELIO-DKD trial report; Table 14.2.1/2 (</w:t>
      </w:r>
      <w:r w:rsidR="003073FE">
        <w:t>p</w:t>
      </w:r>
      <w:r w:rsidRPr="00CF7D68">
        <w:t>5) of the FIGARO-DKD trial report</w:t>
      </w:r>
    </w:p>
    <w:p w14:paraId="695A4266" w14:textId="77777777" w:rsidR="00E72EC2" w:rsidRPr="00CF7D68" w:rsidRDefault="00E72EC2" w:rsidP="00462ADF">
      <w:pPr>
        <w:pStyle w:val="TableFooter"/>
        <w:keepNext/>
      </w:pPr>
      <w:r w:rsidRPr="00CF7D68">
        <w:t>Abbreviations: CI, confidence interval; HR, hazard ratio</w:t>
      </w:r>
    </w:p>
    <w:p w14:paraId="46B24295" w14:textId="38E445F2" w:rsidR="00E72EC2" w:rsidRPr="00CF7D68" w:rsidRDefault="00E72EC2" w:rsidP="00462ADF">
      <w:pPr>
        <w:pStyle w:val="TableFooter"/>
        <w:keepNext/>
      </w:pPr>
      <w:r w:rsidRPr="00CF7D68">
        <w:t xml:space="preserve">Note: For each subject only the first occurrence of a component of the composite efficacy outcome event is considered. If a subject experienced </w:t>
      </w:r>
      <w:r w:rsidR="00B8723F" w:rsidRPr="00CF7D68">
        <w:t>2</w:t>
      </w:r>
      <w:r w:rsidRPr="00CF7D68">
        <w:t xml:space="preserve"> or more events on the same date, all these events are presented.</w:t>
      </w:r>
    </w:p>
    <w:p w14:paraId="7E249350" w14:textId="1BF82C36" w:rsidR="00E72EC2" w:rsidRPr="00CF7D68" w:rsidRDefault="00E72EC2" w:rsidP="00462ADF">
      <w:pPr>
        <w:pStyle w:val="TableFooter"/>
        <w:keepNext/>
      </w:pPr>
      <w:r w:rsidRPr="00CF7D68">
        <w:t>Note: Bolding indicates a statistically significant difference</w:t>
      </w:r>
    </w:p>
    <w:p w14:paraId="6F26428E" w14:textId="23151174" w:rsidR="00E72EC2" w:rsidRPr="00CF7D68" w:rsidRDefault="00E72EC2" w:rsidP="00E72EC2">
      <w:pPr>
        <w:pStyle w:val="ExecSumBodyText"/>
        <w:ind w:left="709" w:hanging="709"/>
      </w:pPr>
      <w:r w:rsidRPr="00CF7D68">
        <w:t xml:space="preserve">Treatment with </w:t>
      </w:r>
      <w:proofErr w:type="spellStart"/>
      <w:r w:rsidRPr="00CF7D68">
        <w:t>finerenone</w:t>
      </w:r>
      <w:proofErr w:type="spellEnd"/>
      <w:r w:rsidRPr="00CF7D68">
        <w:t xml:space="preserve"> was associated with a statistically significant reduction in the composite risk of cardiovascular events compared to placebo. This difference was primarily driven by a reduction in patients experiencing hospitalisation for heart failure as well as a reduction in cardiovascular death.</w:t>
      </w:r>
    </w:p>
    <w:p w14:paraId="2740954D" w14:textId="7FD25504" w:rsidR="003E5ECF" w:rsidRPr="00CF7D68" w:rsidRDefault="003E5ECF" w:rsidP="00547AC7">
      <w:pPr>
        <w:pStyle w:val="ExecSumBodyText"/>
        <w:ind w:left="709" w:hanging="709"/>
      </w:pPr>
      <w:r w:rsidRPr="00CF7D68">
        <w:t xml:space="preserve">Composite renal events (including </w:t>
      </w:r>
      <w:r w:rsidRPr="00CF7D68">
        <w:rPr>
          <w:u w:val="single"/>
        </w:rPr>
        <w:t>&gt;</w:t>
      </w:r>
      <w:r w:rsidRPr="00CF7D68">
        <w:t xml:space="preserve"> 40% decrease in eGFR) reported with </w:t>
      </w:r>
      <w:proofErr w:type="spellStart"/>
      <w:r w:rsidRPr="00CF7D68">
        <w:t>finerenone</w:t>
      </w:r>
      <w:proofErr w:type="spellEnd"/>
      <w:r w:rsidRPr="00CF7D68">
        <w:t xml:space="preserve"> and placebo treatment in the FIDELIO-DKD and FIGARO-DKD trials are summarised in </w:t>
      </w:r>
      <w:r w:rsidR="00B77F7A" w:rsidRPr="00CF7D68">
        <w:fldChar w:fldCharType="begin"/>
      </w:r>
      <w:r w:rsidR="00B77F7A" w:rsidRPr="00CF7D68">
        <w:instrText xml:space="preserve"> REF _Ref103265541 \h </w:instrText>
      </w:r>
      <w:r w:rsidR="00B77F7A" w:rsidRPr="00CF7D68">
        <w:fldChar w:fldCharType="separate"/>
      </w:r>
      <w:r w:rsidR="00AE5D6E" w:rsidRPr="00CF7D68">
        <w:t xml:space="preserve">Table </w:t>
      </w:r>
      <w:r w:rsidR="00AE5D6E">
        <w:rPr>
          <w:noProof/>
        </w:rPr>
        <w:t>6</w:t>
      </w:r>
      <w:r w:rsidR="00B77F7A" w:rsidRPr="00CF7D68">
        <w:fldChar w:fldCharType="end"/>
      </w:r>
      <w:r w:rsidR="00B77F7A" w:rsidRPr="00CF7D68">
        <w:t xml:space="preserve"> </w:t>
      </w:r>
      <w:r w:rsidRPr="00CF7D68">
        <w:t>below. This was the primary outcome of the FIDELIO-DKD trial and a key secondary outcome of the FIGARO-DKD trial. The incidence of component outcomes reported in the commentary was based on the first event contributing to the composite outcome.</w:t>
      </w:r>
    </w:p>
    <w:p w14:paraId="2D50E6CF" w14:textId="6984BF20" w:rsidR="00547AC7" w:rsidRPr="00CF7D68" w:rsidRDefault="00547AC7" w:rsidP="00A11ED5">
      <w:pPr>
        <w:pStyle w:val="TableHeading"/>
      </w:pPr>
      <w:bookmarkStart w:id="27" w:name="_Ref103265541"/>
      <w:r w:rsidRPr="00CF7D68">
        <w:lastRenderedPageBreak/>
        <w:t xml:space="preserve">Table </w:t>
      </w:r>
      <w:r w:rsidR="00F9376A">
        <w:fldChar w:fldCharType="begin"/>
      </w:r>
      <w:r w:rsidR="00F9376A">
        <w:instrText xml:space="preserve"> SEQ Table \* ARABIC </w:instrText>
      </w:r>
      <w:r w:rsidR="00F9376A">
        <w:fldChar w:fldCharType="separate"/>
      </w:r>
      <w:r w:rsidR="00AE5D6E">
        <w:rPr>
          <w:noProof/>
        </w:rPr>
        <w:t>6</w:t>
      </w:r>
      <w:r w:rsidR="00F9376A">
        <w:rPr>
          <w:noProof/>
        </w:rPr>
        <w:fldChar w:fldCharType="end"/>
      </w:r>
      <w:bookmarkEnd w:id="27"/>
      <w:r w:rsidRPr="00CF7D68">
        <w:t xml:space="preserve">: Composite renal events (including </w:t>
      </w:r>
      <w:r w:rsidRPr="00CF7D68">
        <w:rPr>
          <w:u w:val="single"/>
        </w:rPr>
        <w:t>&gt;</w:t>
      </w:r>
      <w:r w:rsidRPr="00CF7D68">
        <w:t xml:space="preserve"> 40% decrease in eGFR) with </w:t>
      </w:r>
      <w:proofErr w:type="spellStart"/>
      <w:r w:rsidRPr="00CF7D68">
        <w:t>finerenone</w:t>
      </w:r>
      <w:proofErr w:type="spellEnd"/>
      <w:r w:rsidRPr="00CF7D68">
        <w:t xml:space="preserve"> and placebo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842"/>
        <w:gridCol w:w="1843"/>
        <w:gridCol w:w="1646"/>
      </w:tblGrid>
      <w:tr w:rsidR="003E5ECF" w:rsidRPr="00CF7D68" w14:paraId="33F068DD" w14:textId="77777777" w:rsidTr="00BD693B">
        <w:trPr>
          <w:trHeight w:val="58"/>
          <w:tblHeader/>
        </w:trPr>
        <w:tc>
          <w:tcPr>
            <w:tcW w:w="3686" w:type="dxa"/>
            <w:tcBorders>
              <w:top w:val="single" w:sz="4" w:space="0" w:color="auto"/>
              <w:left w:val="single" w:sz="4" w:space="0" w:color="auto"/>
              <w:right w:val="single" w:sz="4" w:space="0" w:color="auto"/>
            </w:tcBorders>
            <w:vAlign w:val="center"/>
          </w:tcPr>
          <w:p w14:paraId="73AC62A4" w14:textId="77777777" w:rsidR="003E5ECF" w:rsidRPr="00CF7D68" w:rsidRDefault="003E5ECF" w:rsidP="00682D14">
            <w:pPr>
              <w:pStyle w:val="TableText"/>
              <w:keepLines/>
              <w:widowControl w:val="0"/>
              <w:rPr>
                <w:b/>
              </w:rPr>
            </w:pPr>
            <w:r w:rsidRPr="00CF7D68">
              <w:rPr>
                <w:b/>
              </w:rPr>
              <w:t>Outcome</w:t>
            </w:r>
          </w:p>
        </w:tc>
        <w:tc>
          <w:tcPr>
            <w:tcW w:w="1842" w:type="dxa"/>
            <w:tcBorders>
              <w:top w:val="single" w:sz="4" w:space="0" w:color="auto"/>
              <w:left w:val="single" w:sz="4" w:space="0" w:color="auto"/>
              <w:right w:val="single" w:sz="4" w:space="0" w:color="auto"/>
            </w:tcBorders>
            <w:vAlign w:val="center"/>
          </w:tcPr>
          <w:p w14:paraId="37512C35" w14:textId="77777777" w:rsidR="003E5ECF" w:rsidRPr="00CF7D68" w:rsidRDefault="003E5ECF" w:rsidP="00682D14">
            <w:pPr>
              <w:pStyle w:val="TableText"/>
              <w:keepLines/>
              <w:widowControl w:val="0"/>
              <w:jc w:val="center"/>
              <w:rPr>
                <w:b/>
              </w:rPr>
            </w:pPr>
            <w:proofErr w:type="spellStart"/>
            <w:r w:rsidRPr="00CF7D68">
              <w:rPr>
                <w:b/>
              </w:rPr>
              <w:t>Finerenone</w:t>
            </w:r>
            <w:proofErr w:type="spellEnd"/>
            <w:r w:rsidRPr="00CF7D68">
              <w:rPr>
                <w:b/>
              </w:rPr>
              <w:t xml:space="preserve"> </w:t>
            </w:r>
          </w:p>
          <w:p w14:paraId="4019C632" w14:textId="77777777" w:rsidR="003E5ECF" w:rsidRPr="00CF7D68" w:rsidRDefault="003E5ECF" w:rsidP="00682D14">
            <w:pPr>
              <w:pStyle w:val="TableText"/>
              <w:keepLines/>
              <w:widowControl w:val="0"/>
              <w:jc w:val="center"/>
              <w:rPr>
                <w:b/>
              </w:rPr>
            </w:pPr>
            <w:r w:rsidRPr="00CF7D68">
              <w:rPr>
                <w:b/>
              </w:rPr>
              <w:t>n (%)</w:t>
            </w:r>
          </w:p>
        </w:tc>
        <w:tc>
          <w:tcPr>
            <w:tcW w:w="1843" w:type="dxa"/>
            <w:tcBorders>
              <w:top w:val="single" w:sz="4" w:space="0" w:color="auto"/>
              <w:left w:val="single" w:sz="4" w:space="0" w:color="auto"/>
              <w:right w:val="single" w:sz="4" w:space="0" w:color="auto"/>
            </w:tcBorders>
            <w:vAlign w:val="center"/>
          </w:tcPr>
          <w:p w14:paraId="37D536F1" w14:textId="77777777" w:rsidR="003E5ECF" w:rsidRPr="00CF7D68" w:rsidRDefault="003E5ECF" w:rsidP="00682D14">
            <w:pPr>
              <w:pStyle w:val="TableText"/>
              <w:keepLines/>
              <w:widowControl w:val="0"/>
              <w:jc w:val="center"/>
              <w:rPr>
                <w:b/>
              </w:rPr>
            </w:pPr>
            <w:r w:rsidRPr="00CF7D68">
              <w:rPr>
                <w:b/>
              </w:rPr>
              <w:t xml:space="preserve">Placebo </w:t>
            </w:r>
          </w:p>
          <w:p w14:paraId="09A9A009" w14:textId="77777777" w:rsidR="003E5ECF" w:rsidRPr="00CF7D68" w:rsidRDefault="003E5ECF" w:rsidP="00682D14">
            <w:pPr>
              <w:pStyle w:val="TableText"/>
              <w:keepLines/>
              <w:widowControl w:val="0"/>
              <w:jc w:val="center"/>
              <w:rPr>
                <w:b/>
              </w:rPr>
            </w:pPr>
            <w:r w:rsidRPr="00CF7D68">
              <w:rPr>
                <w:b/>
              </w:rPr>
              <w:t>n (%)</w:t>
            </w:r>
          </w:p>
        </w:tc>
        <w:tc>
          <w:tcPr>
            <w:tcW w:w="1646" w:type="dxa"/>
            <w:tcBorders>
              <w:top w:val="single" w:sz="4" w:space="0" w:color="auto"/>
              <w:left w:val="single" w:sz="4" w:space="0" w:color="auto"/>
              <w:right w:val="single" w:sz="4" w:space="0" w:color="auto"/>
            </w:tcBorders>
            <w:vAlign w:val="center"/>
          </w:tcPr>
          <w:p w14:paraId="4B6D1CA3" w14:textId="77777777" w:rsidR="003E5ECF" w:rsidRPr="00CF7D68" w:rsidRDefault="003E5ECF" w:rsidP="00682D14">
            <w:pPr>
              <w:pStyle w:val="TableText"/>
              <w:keepLines/>
              <w:widowControl w:val="0"/>
              <w:jc w:val="center"/>
              <w:rPr>
                <w:b/>
              </w:rPr>
            </w:pPr>
            <w:r w:rsidRPr="00CF7D68">
              <w:rPr>
                <w:b/>
              </w:rPr>
              <w:t>HR (95% CI)</w:t>
            </w:r>
          </w:p>
        </w:tc>
      </w:tr>
      <w:tr w:rsidR="003E5ECF" w:rsidRPr="00CF7D68" w14:paraId="2A99F7BD" w14:textId="77777777" w:rsidTr="00BD693B">
        <w:trPr>
          <w:trHeight w:val="70"/>
        </w:trPr>
        <w:tc>
          <w:tcPr>
            <w:tcW w:w="9017" w:type="dxa"/>
            <w:gridSpan w:val="4"/>
            <w:tcBorders>
              <w:top w:val="single" w:sz="4" w:space="0" w:color="auto"/>
              <w:left w:val="single" w:sz="4" w:space="0" w:color="auto"/>
              <w:bottom w:val="single" w:sz="4" w:space="0" w:color="auto"/>
              <w:right w:val="single" w:sz="4" w:space="0" w:color="auto"/>
            </w:tcBorders>
            <w:vAlign w:val="center"/>
          </w:tcPr>
          <w:p w14:paraId="28F3C359" w14:textId="77777777" w:rsidR="003E5ECF" w:rsidRPr="00CF7D68" w:rsidRDefault="003E5ECF" w:rsidP="00682D14">
            <w:pPr>
              <w:pStyle w:val="TableText"/>
              <w:keepLines/>
              <w:widowControl w:val="0"/>
              <w:rPr>
                <w:b/>
              </w:rPr>
            </w:pPr>
            <w:r w:rsidRPr="00CF7D68">
              <w:rPr>
                <w:b/>
              </w:rPr>
              <w:t>FIDELIO-DKD [primary outcome]</w:t>
            </w:r>
          </w:p>
        </w:tc>
      </w:tr>
      <w:tr w:rsidR="003E5ECF" w:rsidRPr="00CF7D68" w14:paraId="23205BC7"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6FC1CF4B" w14:textId="77777777" w:rsidR="003E5ECF" w:rsidRPr="00CF7D68" w:rsidRDefault="003E5ECF" w:rsidP="00682D14">
            <w:pPr>
              <w:pStyle w:val="TableText"/>
              <w:keepLines/>
              <w:widowControl w:val="0"/>
            </w:pPr>
            <w:r w:rsidRPr="00CF7D68">
              <w:t>Composite renal events</w:t>
            </w:r>
          </w:p>
        </w:tc>
        <w:tc>
          <w:tcPr>
            <w:tcW w:w="1842" w:type="dxa"/>
            <w:tcBorders>
              <w:top w:val="single" w:sz="4" w:space="0" w:color="auto"/>
              <w:left w:val="single" w:sz="4" w:space="0" w:color="auto"/>
              <w:bottom w:val="single" w:sz="4" w:space="0" w:color="auto"/>
              <w:right w:val="single" w:sz="4" w:space="0" w:color="auto"/>
            </w:tcBorders>
            <w:vAlign w:val="center"/>
          </w:tcPr>
          <w:p w14:paraId="793A74F1" w14:textId="77777777" w:rsidR="003E5ECF" w:rsidRPr="00CF7D68" w:rsidRDefault="003E5ECF" w:rsidP="00682D14">
            <w:pPr>
              <w:pStyle w:val="TableText"/>
              <w:keepLines/>
              <w:widowControl w:val="0"/>
              <w:jc w:val="center"/>
            </w:pPr>
            <w:r w:rsidRPr="00CF7D68">
              <w:t>504/2,833 (17.8%)</w:t>
            </w:r>
          </w:p>
        </w:tc>
        <w:tc>
          <w:tcPr>
            <w:tcW w:w="1843" w:type="dxa"/>
            <w:tcBorders>
              <w:top w:val="single" w:sz="4" w:space="0" w:color="auto"/>
              <w:left w:val="single" w:sz="4" w:space="0" w:color="auto"/>
              <w:bottom w:val="single" w:sz="4" w:space="0" w:color="auto"/>
              <w:right w:val="single" w:sz="4" w:space="0" w:color="auto"/>
            </w:tcBorders>
            <w:vAlign w:val="center"/>
          </w:tcPr>
          <w:p w14:paraId="52A535C4" w14:textId="77777777" w:rsidR="003E5ECF" w:rsidRPr="00CF7D68" w:rsidRDefault="003E5ECF" w:rsidP="00682D14">
            <w:pPr>
              <w:pStyle w:val="TableText"/>
              <w:keepLines/>
              <w:widowControl w:val="0"/>
              <w:jc w:val="center"/>
            </w:pPr>
            <w:r w:rsidRPr="00CF7D68">
              <w:t>600/2,841 (21.1%)</w:t>
            </w:r>
          </w:p>
        </w:tc>
        <w:tc>
          <w:tcPr>
            <w:tcW w:w="1646" w:type="dxa"/>
            <w:tcBorders>
              <w:top w:val="single" w:sz="4" w:space="0" w:color="auto"/>
              <w:left w:val="single" w:sz="4" w:space="0" w:color="auto"/>
              <w:right w:val="single" w:sz="4" w:space="0" w:color="auto"/>
            </w:tcBorders>
            <w:vAlign w:val="center"/>
          </w:tcPr>
          <w:p w14:paraId="270C6F8E" w14:textId="77777777" w:rsidR="003E5ECF" w:rsidRPr="00CF7D68" w:rsidRDefault="003E5ECF" w:rsidP="00682D14">
            <w:pPr>
              <w:pStyle w:val="TableText"/>
              <w:keepLines/>
              <w:widowControl w:val="0"/>
              <w:jc w:val="center"/>
              <w:rPr>
                <w:b/>
                <w:bCs w:val="0"/>
              </w:rPr>
            </w:pPr>
            <w:r w:rsidRPr="00CF7D68">
              <w:rPr>
                <w:b/>
                <w:bCs w:val="0"/>
              </w:rPr>
              <w:t>0.83 (0.73, 0.93)</w:t>
            </w:r>
          </w:p>
        </w:tc>
      </w:tr>
      <w:tr w:rsidR="003E5ECF" w:rsidRPr="00CF7D68" w14:paraId="7B91CDB1"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2B6D95D2" w14:textId="35DD0789" w:rsidR="003E5ECF" w:rsidRPr="00CF7D68" w:rsidRDefault="003E5ECF" w:rsidP="00682D14">
            <w:pPr>
              <w:pStyle w:val="TableText"/>
              <w:keepLines/>
              <w:widowControl w:val="0"/>
            </w:pPr>
            <w:r w:rsidRPr="00CF7D68">
              <w:t>- Renal failure</w:t>
            </w:r>
          </w:p>
        </w:tc>
        <w:tc>
          <w:tcPr>
            <w:tcW w:w="1842" w:type="dxa"/>
            <w:tcBorders>
              <w:top w:val="single" w:sz="4" w:space="0" w:color="auto"/>
              <w:left w:val="single" w:sz="4" w:space="0" w:color="auto"/>
              <w:bottom w:val="single" w:sz="4" w:space="0" w:color="auto"/>
              <w:right w:val="single" w:sz="4" w:space="0" w:color="auto"/>
            </w:tcBorders>
            <w:vAlign w:val="center"/>
          </w:tcPr>
          <w:p w14:paraId="2619596E" w14:textId="32115F39" w:rsidR="003E5ECF" w:rsidRPr="00CF7D68" w:rsidRDefault="003E5ECF" w:rsidP="00682D14">
            <w:pPr>
              <w:pStyle w:val="TableText"/>
              <w:keepLines/>
              <w:widowControl w:val="0"/>
              <w:jc w:val="center"/>
            </w:pPr>
            <w:r w:rsidRPr="00CF7D68">
              <w:t>89 (3.1%)</w:t>
            </w:r>
          </w:p>
        </w:tc>
        <w:tc>
          <w:tcPr>
            <w:tcW w:w="1843" w:type="dxa"/>
            <w:tcBorders>
              <w:top w:val="single" w:sz="4" w:space="0" w:color="auto"/>
              <w:left w:val="single" w:sz="4" w:space="0" w:color="auto"/>
              <w:bottom w:val="single" w:sz="4" w:space="0" w:color="auto"/>
              <w:right w:val="single" w:sz="4" w:space="0" w:color="auto"/>
            </w:tcBorders>
            <w:vAlign w:val="center"/>
          </w:tcPr>
          <w:p w14:paraId="35889705" w14:textId="7FDC17E8" w:rsidR="003E5ECF" w:rsidRPr="00CF7D68" w:rsidRDefault="003E5ECF" w:rsidP="00682D14">
            <w:pPr>
              <w:pStyle w:val="TableText"/>
              <w:keepLines/>
              <w:widowControl w:val="0"/>
              <w:jc w:val="center"/>
            </w:pPr>
            <w:r w:rsidRPr="00CF7D68">
              <w:t>82 (2.9%)</w:t>
            </w:r>
          </w:p>
        </w:tc>
        <w:tc>
          <w:tcPr>
            <w:tcW w:w="1646" w:type="dxa"/>
            <w:tcBorders>
              <w:left w:val="single" w:sz="4" w:space="0" w:color="auto"/>
              <w:right w:val="single" w:sz="4" w:space="0" w:color="auto"/>
            </w:tcBorders>
            <w:vAlign w:val="center"/>
          </w:tcPr>
          <w:p w14:paraId="54166E49" w14:textId="32FB4437" w:rsidR="003E5ECF" w:rsidRPr="00CF7D68" w:rsidRDefault="003E5ECF" w:rsidP="00CC27E1">
            <w:pPr>
              <w:pStyle w:val="TableText"/>
              <w:keepLines/>
              <w:widowControl w:val="0"/>
              <w:jc w:val="center"/>
            </w:pPr>
            <w:r w:rsidRPr="00CF7D68">
              <w:t>-</w:t>
            </w:r>
          </w:p>
        </w:tc>
      </w:tr>
      <w:tr w:rsidR="003E5ECF" w:rsidRPr="00CF7D68" w14:paraId="3E36DF44"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238D0413" w14:textId="77777777" w:rsidR="003E5ECF" w:rsidRPr="00CF7D68" w:rsidRDefault="003E5ECF" w:rsidP="00682D14">
            <w:pPr>
              <w:pStyle w:val="TableText"/>
              <w:keepLines/>
              <w:widowControl w:val="0"/>
            </w:pPr>
            <w:r w:rsidRPr="00CF7D68">
              <w:t xml:space="preserve">- Sustained </w:t>
            </w:r>
            <w:r w:rsidRPr="00CF7D68">
              <w:rPr>
                <w:u w:val="single"/>
              </w:rPr>
              <w:t>&gt;</w:t>
            </w:r>
            <w:r w:rsidRPr="00CF7D68">
              <w:t xml:space="preserve"> 40% relative decrease in eGFR from baseline</w:t>
            </w:r>
          </w:p>
        </w:tc>
        <w:tc>
          <w:tcPr>
            <w:tcW w:w="1842" w:type="dxa"/>
            <w:tcBorders>
              <w:top w:val="single" w:sz="4" w:space="0" w:color="auto"/>
              <w:left w:val="single" w:sz="4" w:space="0" w:color="auto"/>
              <w:bottom w:val="single" w:sz="4" w:space="0" w:color="auto"/>
              <w:right w:val="single" w:sz="4" w:space="0" w:color="auto"/>
            </w:tcBorders>
            <w:vAlign w:val="center"/>
          </w:tcPr>
          <w:p w14:paraId="73E221A5" w14:textId="6F4559C8" w:rsidR="003E5ECF" w:rsidRPr="00CF7D68" w:rsidRDefault="003E5ECF" w:rsidP="00682D14">
            <w:pPr>
              <w:pStyle w:val="TableText"/>
              <w:keepLines/>
              <w:widowControl w:val="0"/>
              <w:jc w:val="center"/>
            </w:pPr>
            <w:r w:rsidRPr="00CF7D68">
              <w:t>477 (16.8%)</w:t>
            </w:r>
          </w:p>
        </w:tc>
        <w:tc>
          <w:tcPr>
            <w:tcW w:w="1843" w:type="dxa"/>
            <w:tcBorders>
              <w:top w:val="single" w:sz="4" w:space="0" w:color="auto"/>
              <w:left w:val="single" w:sz="4" w:space="0" w:color="auto"/>
              <w:bottom w:val="single" w:sz="4" w:space="0" w:color="auto"/>
              <w:right w:val="single" w:sz="4" w:space="0" w:color="auto"/>
            </w:tcBorders>
            <w:vAlign w:val="center"/>
          </w:tcPr>
          <w:p w14:paraId="4531A17D" w14:textId="7C3BB228" w:rsidR="003E5ECF" w:rsidRPr="00CF7D68" w:rsidRDefault="003E5ECF" w:rsidP="00682D14">
            <w:pPr>
              <w:pStyle w:val="TableText"/>
              <w:keepLines/>
              <w:widowControl w:val="0"/>
              <w:jc w:val="center"/>
            </w:pPr>
            <w:r w:rsidRPr="00CF7D68">
              <w:t>571 (20.1%)</w:t>
            </w:r>
          </w:p>
        </w:tc>
        <w:tc>
          <w:tcPr>
            <w:tcW w:w="1646" w:type="dxa"/>
            <w:tcBorders>
              <w:left w:val="single" w:sz="4" w:space="0" w:color="auto"/>
              <w:right w:val="single" w:sz="4" w:space="0" w:color="auto"/>
            </w:tcBorders>
            <w:vAlign w:val="center"/>
          </w:tcPr>
          <w:p w14:paraId="1C0D1DA4" w14:textId="1A3FC0C7" w:rsidR="003E5ECF" w:rsidRPr="00CF7D68" w:rsidRDefault="003E5ECF" w:rsidP="00682D14">
            <w:pPr>
              <w:pStyle w:val="TableText"/>
              <w:keepLines/>
              <w:widowControl w:val="0"/>
              <w:jc w:val="center"/>
            </w:pPr>
          </w:p>
        </w:tc>
      </w:tr>
      <w:tr w:rsidR="003E5ECF" w:rsidRPr="00CF7D68" w14:paraId="177FE7FA"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5A200081" w14:textId="77777777" w:rsidR="003E5ECF" w:rsidRPr="00CF7D68" w:rsidRDefault="003E5ECF" w:rsidP="00682D14">
            <w:pPr>
              <w:pStyle w:val="TableText"/>
              <w:keepLines/>
              <w:widowControl w:val="0"/>
            </w:pPr>
            <w:r w:rsidRPr="00CF7D68">
              <w:t>- Renal death</w:t>
            </w:r>
          </w:p>
        </w:tc>
        <w:tc>
          <w:tcPr>
            <w:tcW w:w="1842" w:type="dxa"/>
            <w:tcBorders>
              <w:top w:val="single" w:sz="4" w:space="0" w:color="auto"/>
              <w:left w:val="single" w:sz="4" w:space="0" w:color="auto"/>
              <w:bottom w:val="single" w:sz="4" w:space="0" w:color="auto"/>
              <w:right w:val="single" w:sz="4" w:space="0" w:color="auto"/>
            </w:tcBorders>
            <w:vAlign w:val="center"/>
          </w:tcPr>
          <w:p w14:paraId="18C035AC" w14:textId="770C3743" w:rsidR="003E5ECF" w:rsidRPr="00CF7D68" w:rsidRDefault="003E5ECF" w:rsidP="00682D14">
            <w:pPr>
              <w:pStyle w:val="TableText"/>
              <w:keepLines/>
              <w:widowControl w:val="0"/>
              <w:jc w:val="center"/>
            </w:pPr>
            <w:r w:rsidRPr="00CF7D68">
              <w:t>0 (0%)</w:t>
            </w:r>
          </w:p>
        </w:tc>
        <w:tc>
          <w:tcPr>
            <w:tcW w:w="1843" w:type="dxa"/>
            <w:tcBorders>
              <w:top w:val="single" w:sz="4" w:space="0" w:color="auto"/>
              <w:left w:val="single" w:sz="4" w:space="0" w:color="auto"/>
              <w:bottom w:val="single" w:sz="4" w:space="0" w:color="auto"/>
              <w:right w:val="single" w:sz="4" w:space="0" w:color="auto"/>
            </w:tcBorders>
            <w:vAlign w:val="center"/>
          </w:tcPr>
          <w:p w14:paraId="20D7D50A" w14:textId="155899E4" w:rsidR="003E5ECF" w:rsidRPr="00CF7D68" w:rsidRDefault="003E5ECF" w:rsidP="00682D14">
            <w:pPr>
              <w:pStyle w:val="TableText"/>
              <w:keepLines/>
              <w:widowControl w:val="0"/>
              <w:jc w:val="center"/>
            </w:pPr>
            <w:r w:rsidRPr="00CF7D68">
              <w:t>1 (&lt;0.1%)</w:t>
            </w:r>
          </w:p>
        </w:tc>
        <w:tc>
          <w:tcPr>
            <w:tcW w:w="1646" w:type="dxa"/>
            <w:tcBorders>
              <w:left w:val="single" w:sz="4" w:space="0" w:color="auto"/>
              <w:right w:val="single" w:sz="4" w:space="0" w:color="auto"/>
            </w:tcBorders>
            <w:vAlign w:val="center"/>
          </w:tcPr>
          <w:p w14:paraId="13149409" w14:textId="1AD357E7" w:rsidR="003E5ECF" w:rsidRPr="00CF7D68" w:rsidRDefault="003E5ECF" w:rsidP="00682D14">
            <w:pPr>
              <w:pStyle w:val="TableText"/>
              <w:keepLines/>
              <w:widowControl w:val="0"/>
              <w:jc w:val="center"/>
            </w:pPr>
          </w:p>
        </w:tc>
      </w:tr>
      <w:tr w:rsidR="003E5ECF" w:rsidRPr="00CF7D68" w14:paraId="2911AFF2" w14:textId="77777777" w:rsidTr="00BD693B">
        <w:trPr>
          <w:trHeight w:val="70"/>
        </w:trPr>
        <w:tc>
          <w:tcPr>
            <w:tcW w:w="9017" w:type="dxa"/>
            <w:gridSpan w:val="4"/>
            <w:tcBorders>
              <w:top w:val="single" w:sz="4" w:space="0" w:color="auto"/>
              <w:left w:val="single" w:sz="4" w:space="0" w:color="auto"/>
              <w:bottom w:val="single" w:sz="4" w:space="0" w:color="auto"/>
              <w:right w:val="single" w:sz="4" w:space="0" w:color="auto"/>
            </w:tcBorders>
            <w:vAlign w:val="center"/>
          </w:tcPr>
          <w:p w14:paraId="20F318F8" w14:textId="582BECE8" w:rsidR="003E5ECF" w:rsidRPr="00CF7D68" w:rsidRDefault="003E5ECF" w:rsidP="00682D14">
            <w:pPr>
              <w:pStyle w:val="TableText"/>
              <w:keepLines/>
              <w:widowControl w:val="0"/>
              <w:rPr>
                <w:b/>
                <w:bCs w:val="0"/>
              </w:rPr>
            </w:pPr>
            <w:r w:rsidRPr="00CF7D68">
              <w:rPr>
                <w:b/>
                <w:bCs w:val="0"/>
              </w:rPr>
              <w:t>FIGARO-DKD</w:t>
            </w:r>
            <w:r w:rsidR="00B77F7A" w:rsidRPr="00CF7D68">
              <w:rPr>
                <w:b/>
                <w:bCs w:val="0"/>
              </w:rPr>
              <w:t xml:space="preserve"> [key secondary outcome]</w:t>
            </w:r>
          </w:p>
        </w:tc>
      </w:tr>
      <w:tr w:rsidR="003E5ECF" w:rsidRPr="00CF7D68" w14:paraId="1452A43D"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2697A631" w14:textId="77777777" w:rsidR="003E5ECF" w:rsidRPr="00CF7D68" w:rsidRDefault="003E5ECF" w:rsidP="00682D14">
            <w:pPr>
              <w:pStyle w:val="TableText"/>
              <w:keepLines/>
              <w:widowControl w:val="0"/>
            </w:pPr>
            <w:r w:rsidRPr="00CF7D68">
              <w:t>Composite renal events</w:t>
            </w:r>
          </w:p>
        </w:tc>
        <w:tc>
          <w:tcPr>
            <w:tcW w:w="1842" w:type="dxa"/>
            <w:tcBorders>
              <w:top w:val="single" w:sz="4" w:space="0" w:color="auto"/>
              <w:left w:val="single" w:sz="4" w:space="0" w:color="auto"/>
              <w:bottom w:val="single" w:sz="4" w:space="0" w:color="auto"/>
              <w:right w:val="single" w:sz="4" w:space="0" w:color="auto"/>
            </w:tcBorders>
            <w:vAlign w:val="center"/>
          </w:tcPr>
          <w:p w14:paraId="22CF6006" w14:textId="77777777" w:rsidR="003E5ECF" w:rsidRPr="00CF7D68" w:rsidRDefault="003E5ECF" w:rsidP="00682D14">
            <w:pPr>
              <w:pStyle w:val="TableText"/>
              <w:keepLines/>
              <w:widowControl w:val="0"/>
              <w:jc w:val="center"/>
            </w:pPr>
            <w:r w:rsidRPr="00CF7D68">
              <w:t>350/3,686 (9.5%)</w:t>
            </w:r>
          </w:p>
        </w:tc>
        <w:tc>
          <w:tcPr>
            <w:tcW w:w="1843" w:type="dxa"/>
            <w:tcBorders>
              <w:top w:val="single" w:sz="4" w:space="0" w:color="auto"/>
              <w:left w:val="single" w:sz="4" w:space="0" w:color="auto"/>
              <w:bottom w:val="single" w:sz="4" w:space="0" w:color="auto"/>
              <w:right w:val="single" w:sz="4" w:space="0" w:color="auto"/>
            </w:tcBorders>
            <w:vAlign w:val="center"/>
          </w:tcPr>
          <w:p w14:paraId="08A37ED4" w14:textId="77777777" w:rsidR="003E5ECF" w:rsidRPr="00CF7D68" w:rsidRDefault="003E5ECF" w:rsidP="00682D14">
            <w:pPr>
              <w:pStyle w:val="TableText"/>
              <w:keepLines/>
              <w:widowControl w:val="0"/>
              <w:jc w:val="center"/>
            </w:pPr>
            <w:r w:rsidRPr="00CF7D68">
              <w:t>395/3,666 (10.8%)</w:t>
            </w:r>
          </w:p>
        </w:tc>
        <w:tc>
          <w:tcPr>
            <w:tcW w:w="1646" w:type="dxa"/>
            <w:tcBorders>
              <w:left w:val="single" w:sz="4" w:space="0" w:color="auto"/>
              <w:right w:val="single" w:sz="4" w:space="0" w:color="auto"/>
            </w:tcBorders>
            <w:vAlign w:val="center"/>
          </w:tcPr>
          <w:p w14:paraId="03454AC9" w14:textId="77777777" w:rsidR="003E5ECF" w:rsidRPr="00CF7D68" w:rsidRDefault="003E5ECF" w:rsidP="00682D14">
            <w:pPr>
              <w:pStyle w:val="TableText"/>
              <w:keepLines/>
              <w:widowControl w:val="0"/>
              <w:jc w:val="center"/>
            </w:pPr>
            <w:r w:rsidRPr="00CF7D68">
              <w:t>0.87 (0.76, 1.01)</w:t>
            </w:r>
          </w:p>
        </w:tc>
      </w:tr>
      <w:tr w:rsidR="003E5ECF" w:rsidRPr="00CF7D68" w14:paraId="6DA1CA21"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417379E0" w14:textId="44AF7713" w:rsidR="003E5ECF" w:rsidRPr="00CF7D68" w:rsidRDefault="003E5ECF" w:rsidP="00682D14">
            <w:pPr>
              <w:pStyle w:val="TableText"/>
              <w:keepLines/>
              <w:widowControl w:val="0"/>
            </w:pPr>
            <w:r w:rsidRPr="00CF7D68">
              <w:t>- Renal failure</w:t>
            </w:r>
          </w:p>
        </w:tc>
        <w:tc>
          <w:tcPr>
            <w:tcW w:w="1842" w:type="dxa"/>
            <w:tcBorders>
              <w:top w:val="single" w:sz="4" w:space="0" w:color="auto"/>
              <w:left w:val="single" w:sz="4" w:space="0" w:color="auto"/>
              <w:bottom w:val="single" w:sz="4" w:space="0" w:color="auto"/>
              <w:right w:val="single" w:sz="4" w:space="0" w:color="auto"/>
            </w:tcBorders>
            <w:vAlign w:val="center"/>
          </w:tcPr>
          <w:p w14:paraId="06175C52" w14:textId="1370B1DB" w:rsidR="003E5ECF" w:rsidRPr="00CF7D68" w:rsidRDefault="003E5ECF" w:rsidP="00682D14">
            <w:pPr>
              <w:pStyle w:val="TableText"/>
              <w:keepLines/>
              <w:widowControl w:val="0"/>
              <w:jc w:val="center"/>
            </w:pPr>
            <w:r w:rsidRPr="00CF7D68">
              <w:t>17 (0.5%)</w:t>
            </w:r>
          </w:p>
        </w:tc>
        <w:tc>
          <w:tcPr>
            <w:tcW w:w="1843" w:type="dxa"/>
            <w:tcBorders>
              <w:top w:val="single" w:sz="4" w:space="0" w:color="auto"/>
              <w:left w:val="single" w:sz="4" w:space="0" w:color="auto"/>
              <w:bottom w:val="single" w:sz="4" w:space="0" w:color="auto"/>
              <w:right w:val="single" w:sz="4" w:space="0" w:color="auto"/>
            </w:tcBorders>
            <w:vAlign w:val="center"/>
          </w:tcPr>
          <w:p w14:paraId="493D7661" w14:textId="7EBBE4FE" w:rsidR="003E5ECF" w:rsidRPr="00CF7D68" w:rsidRDefault="003E5ECF" w:rsidP="00682D14">
            <w:pPr>
              <w:pStyle w:val="TableText"/>
              <w:keepLines/>
              <w:widowControl w:val="0"/>
              <w:jc w:val="center"/>
            </w:pPr>
            <w:r w:rsidRPr="00CF7D68">
              <w:t>18 (0.5%)</w:t>
            </w:r>
          </w:p>
        </w:tc>
        <w:tc>
          <w:tcPr>
            <w:tcW w:w="1646" w:type="dxa"/>
            <w:tcBorders>
              <w:left w:val="single" w:sz="4" w:space="0" w:color="auto"/>
              <w:right w:val="single" w:sz="4" w:space="0" w:color="auto"/>
            </w:tcBorders>
            <w:vAlign w:val="center"/>
          </w:tcPr>
          <w:p w14:paraId="55F330BE" w14:textId="38E008F1" w:rsidR="003E5ECF" w:rsidRPr="00CF7D68" w:rsidRDefault="003E5ECF" w:rsidP="00682D14">
            <w:pPr>
              <w:pStyle w:val="TableText"/>
              <w:keepLines/>
              <w:widowControl w:val="0"/>
              <w:jc w:val="center"/>
            </w:pPr>
          </w:p>
        </w:tc>
      </w:tr>
      <w:tr w:rsidR="003E5ECF" w:rsidRPr="00CF7D68" w14:paraId="16BFBBA0"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72D43D69" w14:textId="77777777" w:rsidR="003E5ECF" w:rsidRPr="00CF7D68" w:rsidRDefault="003E5ECF" w:rsidP="00682D14">
            <w:pPr>
              <w:pStyle w:val="TableText"/>
              <w:keepLines/>
              <w:widowControl w:val="0"/>
            </w:pPr>
            <w:r w:rsidRPr="00CF7D68">
              <w:t xml:space="preserve">- Sustained </w:t>
            </w:r>
            <w:r w:rsidRPr="00CF7D68">
              <w:rPr>
                <w:u w:val="single"/>
              </w:rPr>
              <w:t>&gt;</w:t>
            </w:r>
            <w:r w:rsidRPr="00CF7D68">
              <w:t xml:space="preserve"> 40% relative decrease in eGFR from baseline</w:t>
            </w:r>
          </w:p>
        </w:tc>
        <w:tc>
          <w:tcPr>
            <w:tcW w:w="1842" w:type="dxa"/>
            <w:tcBorders>
              <w:top w:val="single" w:sz="4" w:space="0" w:color="auto"/>
              <w:left w:val="single" w:sz="4" w:space="0" w:color="auto"/>
              <w:bottom w:val="single" w:sz="4" w:space="0" w:color="auto"/>
              <w:right w:val="single" w:sz="4" w:space="0" w:color="auto"/>
            </w:tcBorders>
            <w:vAlign w:val="center"/>
          </w:tcPr>
          <w:p w14:paraId="5344D4DD" w14:textId="77777777" w:rsidR="003E5ECF" w:rsidRPr="00CF7D68" w:rsidRDefault="003E5ECF" w:rsidP="00682D14">
            <w:pPr>
              <w:pStyle w:val="TableText"/>
              <w:keepLines/>
              <w:widowControl w:val="0"/>
              <w:jc w:val="center"/>
            </w:pPr>
            <w:r w:rsidRPr="00CF7D68">
              <w:t>338 (9.2%)</w:t>
            </w:r>
          </w:p>
        </w:tc>
        <w:tc>
          <w:tcPr>
            <w:tcW w:w="1843" w:type="dxa"/>
            <w:tcBorders>
              <w:top w:val="single" w:sz="4" w:space="0" w:color="auto"/>
              <w:left w:val="single" w:sz="4" w:space="0" w:color="auto"/>
              <w:bottom w:val="single" w:sz="4" w:space="0" w:color="auto"/>
              <w:right w:val="single" w:sz="4" w:space="0" w:color="auto"/>
            </w:tcBorders>
            <w:vAlign w:val="center"/>
          </w:tcPr>
          <w:p w14:paraId="12A6F589" w14:textId="77777777" w:rsidR="003E5ECF" w:rsidRPr="00CF7D68" w:rsidRDefault="003E5ECF" w:rsidP="00682D14">
            <w:pPr>
              <w:pStyle w:val="TableText"/>
              <w:keepLines/>
              <w:widowControl w:val="0"/>
              <w:jc w:val="center"/>
            </w:pPr>
            <w:r w:rsidRPr="00CF7D68">
              <w:t>385 (10.5%)</w:t>
            </w:r>
          </w:p>
        </w:tc>
        <w:tc>
          <w:tcPr>
            <w:tcW w:w="1646" w:type="dxa"/>
            <w:tcBorders>
              <w:left w:val="single" w:sz="4" w:space="0" w:color="auto"/>
              <w:right w:val="single" w:sz="4" w:space="0" w:color="auto"/>
            </w:tcBorders>
            <w:vAlign w:val="center"/>
          </w:tcPr>
          <w:p w14:paraId="2A2634AE" w14:textId="05C3DF18" w:rsidR="003E5ECF" w:rsidRPr="00CF7D68" w:rsidRDefault="003E5ECF" w:rsidP="00682D14">
            <w:pPr>
              <w:pStyle w:val="TableText"/>
              <w:keepLines/>
              <w:widowControl w:val="0"/>
              <w:jc w:val="center"/>
            </w:pPr>
          </w:p>
        </w:tc>
      </w:tr>
      <w:tr w:rsidR="003E5ECF" w:rsidRPr="00CF7D68" w14:paraId="4C0D4ACC" w14:textId="77777777" w:rsidTr="00BD693B">
        <w:trPr>
          <w:trHeight w:val="70"/>
        </w:trPr>
        <w:tc>
          <w:tcPr>
            <w:tcW w:w="3686" w:type="dxa"/>
            <w:tcBorders>
              <w:top w:val="single" w:sz="4" w:space="0" w:color="auto"/>
              <w:left w:val="single" w:sz="4" w:space="0" w:color="auto"/>
              <w:bottom w:val="single" w:sz="4" w:space="0" w:color="auto"/>
              <w:right w:val="single" w:sz="4" w:space="0" w:color="auto"/>
            </w:tcBorders>
            <w:vAlign w:val="center"/>
          </w:tcPr>
          <w:p w14:paraId="548D9661" w14:textId="77777777" w:rsidR="003E5ECF" w:rsidRPr="00CF7D68" w:rsidRDefault="003E5ECF" w:rsidP="00682D14">
            <w:pPr>
              <w:pStyle w:val="TableText"/>
              <w:keepLines/>
              <w:widowControl w:val="0"/>
            </w:pPr>
            <w:r w:rsidRPr="00CF7D68">
              <w:t>- Renal death</w:t>
            </w:r>
          </w:p>
        </w:tc>
        <w:tc>
          <w:tcPr>
            <w:tcW w:w="1842" w:type="dxa"/>
            <w:tcBorders>
              <w:top w:val="single" w:sz="4" w:space="0" w:color="auto"/>
              <w:left w:val="single" w:sz="4" w:space="0" w:color="auto"/>
              <w:bottom w:val="single" w:sz="4" w:space="0" w:color="auto"/>
              <w:right w:val="single" w:sz="4" w:space="0" w:color="auto"/>
            </w:tcBorders>
            <w:vAlign w:val="center"/>
          </w:tcPr>
          <w:p w14:paraId="56CEFC5A" w14:textId="77777777" w:rsidR="003E5ECF" w:rsidRPr="00CF7D68" w:rsidRDefault="003E5ECF" w:rsidP="00682D14">
            <w:pPr>
              <w:pStyle w:val="TableText"/>
              <w:keepLines/>
              <w:widowControl w:val="0"/>
              <w:jc w:val="center"/>
            </w:pPr>
            <w:r w:rsidRPr="00CF7D68">
              <w:t>0 (0%)</w:t>
            </w:r>
          </w:p>
        </w:tc>
        <w:tc>
          <w:tcPr>
            <w:tcW w:w="1843" w:type="dxa"/>
            <w:tcBorders>
              <w:top w:val="single" w:sz="4" w:space="0" w:color="auto"/>
              <w:left w:val="single" w:sz="4" w:space="0" w:color="auto"/>
              <w:bottom w:val="single" w:sz="4" w:space="0" w:color="auto"/>
              <w:right w:val="single" w:sz="4" w:space="0" w:color="auto"/>
            </w:tcBorders>
            <w:vAlign w:val="center"/>
          </w:tcPr>
          <w:p w14:paraId="5DB3DEDD" w14:textId="2E1A9505" w:rsidR="003E5ECF" w:rsidRPr="00CF7D68" w:rsidRDefault="003E5ECF" w:rsidP="00682D14">
            <w:pPr>
              <w:pStyle w:val="TableText"/>
              <w:keepLines/>
              <w:widowControl w:val="0"/>
              <w:jc w:val="center"/>
            </w:pPr>
            <w:r w:rsidRPr="00CF7D68">
              <w:t>0 (0%)</w:t>
            </w:r>
          </w:p>
        </w:tc>
        <w:tc>
          <w:tcPr>
            <w:tcW w:w="1646" w:type="dxa"/>
            <w:tcBorders>
              <w:left w:val="single" w:sz="4" w:space="0" w:color="auto"/>
              <w:bottom w:val="single" w:sz="4" w:space="0" w:color="auto"/>
              <w:right w:val="single" w:sz="4" w:space="0" w:color="auto"/>
            </w:tcBorders>
            <w:vAlign w:val="center"/>
          </w:tcPr>
          <w:p w14:paraId="587999C7" w14:textId="4EB2A8EA" w:rsidR="003E5ECF" w:rsidRPr="00CF7D68" w:rsidRDefault="003E5ECF" w:rsidP="00682D14">
            <w:pPr>
              <w:pStyle w:val="TableText"/>
              <w:keepLines/>
              <w:widowControl w:val="0"/>
              <w:jc w:val="center"/>
            </w:pPr>
          </w:p>
        </w:tc>
      </w:tr>
    </w:tbl>
    <w:p w14:paraId="34FB5657" w14:textId="2E6A74A8" w:rsidR="003E5ECF" w:rsidRPr="00CF7D68" w:rsidRDefault="003E5ECF" w:rsidP="00250B01">
      <w:pPr>
        <w:pStyle w:val="TableFooter"/>
      </w:pPr>
      <w:r w:rsidRPr="00CF7D68">
        <w:t>Source: Table 37 (</w:t>
      </w:r>
      <w:r w:rsidR="003073FE">
        <w:t>p</w:t>
      </w:r>
      <w:r w:rsidRPr="00CF7D68">
        <w:t>60) of the submission; Table 14.2.1/2 (</w:t>
      </w:r>
      <w:r w:rsidR="003073FE">
        <w:t>p</w:t>
      </w:r>
      <w:r w:rsidRPr="00CF7D68">
        <w:t>5) of the FIDELIO-DKD trial report; Table 14.2.2.1/2 (</w:t>
      </w:r>
      <w:r w:rsidR="003073FE">
        <w:t>p</w:t>
      </w:r>
      <w:r w:rsidRPr="00CF7D68">
        <w:t>10) of the FIGARO-DKD trial report</w:t>
      </w:r>
    </w:p>
    <w:p w14:paraId="292C2677" w14:textId="269DB077" w:rsidR="003E5ECF" w:rsidRPr="00CF7D68" w:rsidRDefault="003E5ECF" w:rsidP="00250B01">
      <w:pPr>
        <w:pStyle w:val="TableFooter"/>
      </w:pPr>
      <w:r w:rsidRPr="00CF7D68">
        <w:t>Abbreviations: CI, confidence interval; HR, hazard ratio</w:t>
      </w:r>
      <w:r w:rsidR="001E7AC3">
        <w:t xml:space="preserve">; NR, not reported </w:t>
      </w:r>
    </w:p>
    <w:p w14:paraId="1DCC7B6C" w14:textId="7CABE65E" w:rsidR="003E5ECF" w:rsidRPr="00CF7D68" w:rsidRDefault="003E5ECF" w:rsidP="00250B01">
      <w:pPr>
        <w:pStyle w:val="TableFooter"/>
      </w:pPr>
      <w:r w:rsidRPr="00CF7D68">
        <w:t xml:space="preserve">Note: For each subject only the first occurrence of a component of the composite efficacy outcome event is considered. If a subject experienced </w:t>
      </w:r>
      <w:r w:rsidR="00C067B5" w:rsidRPr="00CF7D68">
        <w:t xml:space="preserve">2 </w:t>
      </w:r>
      <w:r w:rsidRPr="00CF7D68">
        <w:t>or more events on the same date, all these events are presented.</w:t>
      </w:r>
    </w:p>
    <w:p w14:paraId="63CE7945" w14:textId="73130AC2" w:rsidR="003E5ECF" w:rsidRPr="00CF7D68" w:rsidRDefault="003E5ECF" w:rsidP="00250B01">
      <w:pPr>
        <w:pStyle w:val="TableFooter"/>
      </w:pPr>
      <w:r w:rsidRPr="00CF7D68">
        <w:t>Note: Bolding indicates a statistically significant difference</w:t>
      </w:r>
    </w:p>
    <w:p w14:paraId="53F1619A" w14:textId="45691BDC" w:rsidR="003E5ECF" w:rsidRPr="00CF7D68" w:rsidRDefault="003E5ECF" w:rsidP="003E5ECF">
      <w:pPr>
        <w:pStyle w:val="ExecSumBodyText"/>
        <w:ind w:left="709" w:hanging="709"/>
      </w:pPr>
      <w:r w:rsidRPr="00CF7D68">
        <w:t xml:space="preserve">Treatment with </w:t>
      </w:r>
      <w:proofErr w:type="spellStart"/>
      <w:r w:rsidRPr="00CF7D68">
        <w:t>finerenone</w:t>
      </w:r>
      <w:proofErr w:type="spellEnd"/>
      <w:r w:rsidRPr="00CF7D68">
        <w:t xml:space="preserve"> was associated with a statistically significant reduction in the composite risk of renal events compared to placebo in the FIDELIO-DKD trial. This difference was primarily driven by a reduction in patients experiencing a sustained </w:t>
      </w:r>
      <w:r w:rsidRPr="00CF7D68">
        <w:rPr>
          <w:u w:val="single"/>
        </w:rPr>
        <w:t>&gt;</w:t>
      </w:r>
      <w:r w:rsidR="00C067B5" w:rsidRPr="00CF7D68">
        <w:t> </w:t>
      </w:r>
      <w:r w:rsidRPr="00CF7D68">
        <w:t>40% relative decrease in eGFR from baseline. A similar pattern of results was also observed in the FIGARO-DKD trial</w:t>
      </w:r>
      <w:r w:rsidR="0001330B" w:rsidRPr="00CF7D68">
        <w:t>,</w:t>
      </w:r>
      <w:r w:rsidRPr="00CF7D68">
        <w:t xml:space="preserve"> although the difference between treatment arms was not statistically significant.</w:t>
      </w:r>
    </w:p>
    <w:p w14:paraId="43101679" w14:textId="045069BE" w:rsidR="003E5ECF" w:rsidRPr="00CF7D68" w:rsidRDefault="003E5ECF" w:rsidP="00547AC7">
      <w:pPr>
        <w:pStyle w:val="ExecSumBodyText"/>
        <w:ind w:left="709" w:hanging="709"/>
      </w:pPr>
      <w:r w:rsidRPr="00CF7D68">
        <w:t>The key composite outcomes</w:t>
      </w:r>
      <w:r w:rsidR="00C067B5" w:rsidRPr="00CF7D68">
        <w:t xml:space="preserve"> and</w:t>
      </w:r>
      <w:r w:rsidRPr="00CF7D68">
        <w:t xml:space="preserve"> individual clinical outcomes from the FIDELITY pooled analysis of individual patient data are summarised in </w:t>
      </w:r>
      <w:r w:rsidR="00BE009F" w:rsidRPr="00CF7D68">
        <w:fldChar w:fldCharType="begin"/>
      </w:r>
      <w:r w:rsidR="00BE009F" w:rsidRPr="00CF7D68">
        <w:instrText xml:space="preserve"> REF _Ref103265940 \h </w:instrText>
      </w:r>
      <w:r w:rsidR="00BE009F" w:rsidRPr="00CF7D68">
        <w:fldChar w:fldCharType="separate"/>
      </w:r>
      <w:r w:rsidR="00AE5D6E" w:rsidRPr="00CF7D68">
        <w:t xml:space="preserve">Table </w:t>
      </w:r>
      <w:r w:rsidR="00AE5D6E">
        <w:rPr>
          <w:noProof/>
        </w:rPr>
        <w:t>7</w:t>
      </w:r>
      <w:r w:rsidR="00BE009F" w:rsidRPr="00CF7D68">
        <w:fldChar w:fldCharType="end"/>
      </w:r>
      <w:r w:rsidR="00BE009F" w:rsidRPr="00CF7D68">
        <w:t xml:space="preserve"> </w:t>
      </w:r>
      <w:r w:rsidRPr="00CF7D68">
        <w:t>below.</w:t>
      </w:r>
    </w:p>
    <w:p w14:paraId="611BE5A1" w14:textId="1DE3A410" w:rsidR="00547AC7" w:rsidRPr="00CF7D68" w:rsidRDefault="00547AC7" w:rsidP="00A11ED5">
      <w:pPr>
        <w:pStyle w:val="TableHeading"/>
      </w:pPr>
      <w:bookmarkStart w:id="28" w:name="_Ref103265940"/>
      <w:r w:rsidRPr="00CF7D68">
        <w:lastRenderedPageBreak/>
        <w:t xml:space="preserve">Table </w:t>
      </w:r>
      <w:r w:rsidR="00F9376A">
        <w:fldChar w:fldCharType="begin"/>
      </w:r>
      <w:r w:rsidR="00F9376A">
        <w:instrText xml:space="preserve"> SEQ Table \* ARABIC </w:instrText>
      </w:r>
      <w:r w:rsidR="00F9376A">
        <w:fldChar w:fldCharType="separate"/>
      </w:r>
      <w:r w:rsidR="00AE5D6E">
        <w:rPr>
          <w:noProof/>
        </w:rPr>
        <w:t>7</w:t>
      </w:r>
      <w:r w:rsidR="00F9376A">
        <w:rPr>
          <w:noProof/>
        </w:rPr>
        <w:fldChar w:fldCharType="end"/>
      </w:r>
      <w:bookmarkEnd w:id="28"/>
      <w:r w:rsidRPr="00CF7D68">
        <w:t xml:space="preserve">: Clinical outcomes with </w:t>
      </w:r>
      <w:proofErr w:type="spellStart"/>
      <w:r w:rsidRPr="00CF7D68">
        <w:t>finerenone</w:t>
      </w:r>
      <w:proofErr w:type="spellEnd"/>
      <w:r w:rsidRPr="00CF7D68">
        <w:t xml:space="preserve"> and placebo from the FIDELITY pooled analysis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0"/>
        <w:gridCol w:w="1270"/>
        <w:gridCol w:w="1271"/>
        <w:gridCol w:w="1646"/>
      </w:tblGrid>
      <w:tr w:rsidR="003E5ECF" w:rsidRPr="00CF7D68" w14:paraId="260AB2B3" w14:textId="77777777" w:rsidTr="00BD693B">
        <w:trPr>
          <w:trHeight w:val="58"/>
          <w:tblHeader/>
        </w:trPr>
        <w:tc>
          <w:tcPr>
            <w:tcW w:w="4830" w:type="dxa"/>
            <w:tcBorders>
              <w:top w:val="single" w:sz="4" w:space="0" w:color="auto"/>
              <w:left w:val="single" w:sz="4" w:space="0" w:color="auto"/>
              <w:right w:val="single" w:sz="4" w:space="0" w:color="auto"/>
            </w:tcBorders>
            <w:vAlign w:val="center"/>
          </w:tcPr>
          <w:p w14:paraId="5B3AECD5" w14:textId="77777777" w:rsidR="003E5ECF" w:rsidRPr="00CF7D68" w:rsidRDefault="003E5ECF" w:rsidP="00A8107D">
            <w:pPr>
              <w:pStyle w:val="TableText"/>
              <w:keepLines/>
              <w:widowControl w:val="0"/>
              <w:rPr>
                <w:b/>
              </w:rPr>
            </w:pPr>
            <w:r w:rsidRPr="00CF7D68">
              <w:rPr>
                <w:b/>
              </w:rPr>
              <w:t>Outcome</w:t>
            </w:r>
          </w:p>
        </w:tc>
        <w:tc>
          <w:tcPr>
            <w:tcW w:w="1270" w:type="dxa"/>
            <w:tcBorders>
              <w:top w:val="single" w:sz="4" w:space="0" w:color="auto"/>
              <w:left w:val="single" w:sz="4" w:space="0" w:color="auto"/>
              <w:right w:val="single" w:sz="4" w:space="0" w:color="auto"/>
            </w:tcBorders>
            <w:vAlign w:val="center"/>
          </w:tcPr>
          <w:p w14:paraId="7E9C8F27" w14:textId="77777777" w:rsidR="003E5ECF" w:rsidRPr="00CF7D68" w:rsidRDefault="003E5ECF" w:rsidP="00A8107D">
            <w:pPr>
              <w:pStyle w:val="TableText"/>
              <w:keepLines/>
              <w:widowControl w:val="0"/>
              <w:jc w:val="center"/>
              <w:rPr>
                <w:b/>
              </w:rPr>
            </w:pPr>
            <w:proofErr w:type="spellStart"/>
            <w:r w:rsidRPr="00CF7D68">
              <w:rPr>
                <w:b/>
              </w:rPr>
              <w:t>Finerenone</w:t>
            </w:r>
            <w:proofErr w:type="spellEnd"/>
            <w:r w:rsidRPr="00CF7D68">
              <w:rPr>
                <w:b/>
              </w:rPr>
              <w:t xml:space="preserve"> </w:t>
            </w:r>
          </w:p>
          <w:p w14:paraId="572CBAF6" w14:textId="77777777" w:rsidR="003E5ECF" w:rsidRPr="00CF7D68" w:rsidRDefault="003E5ECF" w:rsidP="00A8107D">
            <w:pPr>
              <w:pStyle w:val="TableText"/>
              <w:keepLines/>
              <w:widowControl w:val="0"/>
              <w:jc w:val="center"/>
              <w:rPr>
                <w:b/>
              </w:rPr>
            </w:pPr>
            <w:r w:rsidRPr="00CF7D68">
              <w:rPr>
                <w:b/>
              </w:rPr>
              <w:t>N = 6,519</w:t>
            </w:r>
          </w:p>
          <w:p w14:paraId="6A0D4981" w14:textId="77777777" w:rsidR="003E5ECF" w:rsidRPr="00CF7D68" w:rsidRDefault="003E5ECF" w:rsidP="00A8107D">
            <w:pPr>
              <w:pStyle w:val="TableText"/>
              <w:keepLines/>
              <w:widowControl w:val="0"/>
              <w:jc w:val="center"/>
              <w:rPr>
                <w:b/>
              </w:rPr>
            </w:pPr>
            <w:r w:rsidRPr="00CF7D68">
              <w:rPr>
                <w:b/>
              </w:rPr>
              <w:t>n (%)</w:t>
            </w:r>
          </w:p>
        </w:tc>
        <w:tc>
          <w:tcPr>
            <w:tcW w:w="1271" w:type="dxa"/>
            <w:tcBorders>
              <w:top w:val="single" w:sz="4" w:space="0" w:color="auto"/>
              <w:left w:val="single" w:sz="4" w:space="0" w:color="auto"/>
              <w:right w:val="single" w:sz="4" w:space="0" w:color="auto"/>
            </w:tcBorders>
            <w:vAlign w:val="center"/>
          </w:tcPr>
          <w:p w14:paraId="1AC9C769" w14:textId="77777777" w:rsidR="003E5ECF" w:rsidRPr="00CF7D68" w:rsidRDefault="003E5ECF" w:rsidP="00A8107D">
            <w:pPr>
              <w:pStyle w:val="TableText"/>
              <w:keepLines/>
              <w:widowControl w:val="0"/>
              <w:jc w:val="center"/>
              <w:rPr>
                <w:b/>
              </w:rPr>
            </w:pPr>
            <w:r w:rsidRPr="00CF7D68">
              <w:rPr>
                <w:b/>
              </w:rPr>
              <w:t>Placebo</w:t>
            </w:r>
          </w:p>
          <w:p w14:paraId="49F3D00D" w14:textId="77777777" w:rsidR="003E5ECF" w:rsidRPr="00CF7D68" w:rsidRDefault="003E5ECF" w:rsidP="00A8107D">
            <w:pPr>
              <w:pStyle w:val="TableText"/>
              <w:keepLines/>
              <w:widowControl w:val="0"/>
              <w:jc w:val="center"/>
              <w:rPr>
                <w:b/>
              </w:rPr>
            </w:pPr>
            <w:r w:rsidRPr="00CF7D68">
              <w:rPr>
                <w:b/>
              </w:rPr>
              <w:t xml:space="preserve">N = 6,507 </w:t>
            </w:r>
          </w:p>
          <w:p w14:paraId="29815273" w14:textId="77777777" w:rsidR="003E5ECF" w:rsidRPr="00CF7D68" w:rsidRDefault="003E5ECF" w:rsidP="00A8107D">
            <w:pPr>
              <w:pStyle w:val="TableText"/>
              <w:keepLines/>
              <w:widowControl w:val="0"/>
              <w:jc w:val="center"/>
              <w:rPr>
                <w:b/>
              </w:rPr>
            </w:pPr>
            <w:r w:rsidRPr="00CF7D68">
              <w:rPr>
                <w:b/>
              </w:rPr>
              <w:t>n (%)</w:t>
            </w:r>
          </w:p>
        </w:tc>
        <w:tc>
          <w:tcPr>
            <w:tcW w:w="1646" w:type="dxa"/>
            <w:tcBorders>
              <w:top w:val="single" w:sz="4" w:space="0" w:color="auto"/>
              <w:left w:val="single" w:sz="4" w:space="0" w:color="auto"/>
              <w:right w:val="single" w:sz="4" w:space="0" w:color="auto"/>
            </w:tcBorders>
            <w:vAlign w:val="center"/>
          </w:tcPr>
          <w:p w14:paraId="6144C371" w14:textId="77777777" w:rsidR="003E5ECF" w:rsidRPr="00CF7D68" w:rsidRDefault="003E5ECF" w:rsidP="00A8107D">
            <w:pPr>
              <w:pStyle w:val="TableText"/>
              <w:keepLines/>
              <w:widowControl w:val="0"/>
              <w:jc w:val="center"/>
              <w:rPr>
                <w:b/>
              </w:rPr>
            </w:pPr>
            <w:r w:rsidRPr="00CF7D68">
              <w:rPr>
                <w:b/>
              </w:rPr>
              <w:t>HR (95% CI)</w:t>
            </w:r>
          </w:p>
        </w:tc>
      </w:tr>
      <w:tr w:rsidR="003E5ECF" w:rsidRPr="00CF7D68" w14:paraId="6A5D3D72" w14:textId="77777777" w:rsidTr="00BD693B">
        <w:trPr>
          <w:trHeight w:val="70"/>
        </w:trPr>
        <w:tc>
          <w:tcPr>
            <w:tcW w:w="9017" w:type="dxa"/>
            <w:gridSpan w:val="4"/>
            <w:tcBorders>
              <w:top w:val="single" w:sz="4" w:space="0" w:color="auto"/>
              <w:left w:val="single" w:sz="4" w:space="0" w:color="auto"/>
              <w:bottom w:val="single" w:sz="4" w:space="0" w:color="auto"/>
              <w:right w:val="single" w:sz="4" w:space="0" w:color="auto"/>
            </w:tcBorders>
            <w:vAlign w:val="center"/>
          </w:tcPr>
          <w:p w14:paraId="03763F0B" w14:textId="77777777" w:rsidR="003E5ECF" w:rsidRPr="00CF7D68" w:rsidRDefault="003E5ECF" w:rsidP="00A8107D">
            <w:pPr>
              <w:pStyle w:val="TableText"/>
              <w:keepLines/>
              <w:widowControl w:val="0"/>
              <w:rPr>
                <w:b/>
              </w:rPr>
            </w:pPr>
            <w:r w:rsidRPr="00CF7D68">
              <w:rPr>
                <w:b/>
              </w:rPr>
              <w:t>Key composite outcomes</w:t>
            </w:r>
          </w:p>
        </w:tc>
      </w:tr>
      <w:tr w:rsidR="003E5ECF" w:rsidRPr="00CF7D68" w14:paraId="4E8532CF"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160B1DF3" w14:textId="4DFAE93D" w:rsidR="003E5ECF" w:rsidRPr="00CF7D68" w:rsidRDefault="003E5ECF" w:rsidP="00A8107D">
            <w:pPr>
              <w:pStyle w:val="TableText"/>
              <w:keepLines/>
              <w:widowControl w:val="0"/>
              <w:rPr>
                <w:vertAlign w:val="superscript"/>
              </w:rPr>
            </w:pPr>
            <w:r w:rsidRPr="00CF7D68">
              <w:t xml:space="preserve">Time to first cardiovascular </w:t>
            </w:r>
            <w:proofErr w:type="spellStart"/>
            <w:r w:rsidRPr="00CF7D68">
              <w:t>event</w:t>
            </w:r>
            <w:r w:rsidR="006C4BAA" w:rsidRPr="00CF7D68">
              <w:rPr>
                <w:vertAlign w:val="superscript"/>
              </w:rPr>
              <w:t>a</w:t>
            </w:r>
            <w:proofErr w:type="spellEnd"/>
          </w:p>
        </w:tc>
        <w:tc>
          <w:tcPr>
            <w:tcW w:w="1270" w:type="dxa"/>
            <w:tcBorders>
              <w:top w:val="single" w:sz="4" w:space="0" w:color="auto"/>
              <w:left w:val="single" w:sz="4" w:space="0" w:color="auto"/>
              <w:bottom w:val="single" w:sz="4" w:space="0" w:color="auto"/>
              <w:right w:val="single" w:sz="4" w:space="0" w:color="auto"/>
            </w:tcBorders>
            <w:vAlign w:val="center"/>
          </w:tcPr>
          <w:p w14:paraId="4388BD75" w14:textId="77777777" w:rsidR="003E5ECF" w:rsidRPr="00CF7D68" w:rsidRDefault="003E5ECF" w:rsidP="00A8107D">
            <w:pPr>
              <w:pStyle w:val="TableText"/>
              <w:keepLines/>
              <w:widowControl w:val="0"/>
              <w:jc w:val="center"/>
            </w:pPr>
            <w:r w:rsidRPr="00CF7D68">
              <w:t>825 (12.7%)</w:t>
            </w:r>
          </w:p>
        </w:tc>
        <w:tc>
          <w:tcPr>
            <w:tcW w:w="1271" w:type="dxa"/>
            <w:tcBorders>
              <w:top w:val="single" w:sz="4" w:space="0" w:color="auto"/>
              <w:left w:val="single" w:sz="4" w:space="0" w:color="auto"/>
              <w:bottom w:val="single" w:sz="4" w:space="0" w:color="auto"/>
              <w:right w:val="single" w:sz="4" w:space="0" w:color="auto"/>
            </w:tcBorders>
            <w:vAlign w:val="center"/>
          </w:tcPr>
          <w:p w14:paraId="6FD90499" w14:textId="77777777" w:rsidR="003E5ECF" w:rsidRPr="00CF7D68" w:rsidRDefault="003E5ECF" w:rsidP="00A8107D">
            <w:pPr>
              <w:pStyle w:val="TableText"/>
              <w:keepLines/>
              <w:widowControl w:val="0"/>
              <w:jc w:val="center"/>
            </w:pPr>
            <w:r w:rsidRPr="00CF7D68">
              <w:t>939 (14.4%)</w:t>
            </w:r>
          </w:p>
        </w:tc>
        <w:tc>
          <w:tcPr>
            <w:tcW w:w="1646" w:type="dxa"/>
            <w:tcBorders>
              <w:top w:val="single" w:sz="4" w:space="0" w:color="auto"/>
              <w:left w:val="single" w:sz="4" w:space="0" w:color="auto"/>
              <w:right w:val="single" w:sz="4" w:space="0" w:color="auto"/>
            </w:tcBorders>
            <w:vAlign w:val="center"/>
          </w:tcPr>
          <w:p w14:paraId="73924C47" w14:textId="77777777" w:rsidR="003E5ECF" w:rsidRPr="00CF7D68" w:rsidRDefault="003E5ECF" w:rsidP="00A8107D">
            <w:pPr>
              <w:pStyle w:val="TableText"/>
              <w:keepLines/>
              <w:widowControl w:val="0"/>
              <w:jc w:val="center"/>
              <w:rPr>
                <w:b/>
                <w:bCs w:val="0"/>
              </w:rPr>
            </w:pPr>
            <w:r w:rsidRPr="00CF7D68">
              <w:rPr>
                <w:b/>
                <w:bCs w:val="0"/>
              </w:rPr>
              <w:t>0.86 (0.78, 0.95)</w:t>
            </w:r>
          </w:p>
        </w:tc>
      </w:tr>
      <w:tr w:rsidR="003E5ECF" w:rsidRPr="00CF7D68" w14:paraId="685C4FEA"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66FB0225" w14:textId="6E48909D" w:rsidR="003E5ECF" w:rsidRPr="00CF7D68" w:rsidRDefault="003E5ECF" w:rsidP="00A8107D">
            <w:pPr>
              <w:pStyle w:val="TableText"/>
              <w:keepLines/>
              <w:widowControl w:val="0"/>
              <w:rPr>
                <w:vertAlign w:val="superscript"/>
              </w:rPr>
            </w:pPr>
            <w:r w:rsidRPr="00CF7D68">
              <w:t xml:space="preserve">Time to first renal event (including </w:t>
            </w:r>
            <w:r w:rsidRPr="00CF7D68">
              <w:rPr>
                <w:u w:val="single"/>
              </w:rPr>
              <w:t>&gt;</w:t>
            </w:r>
            <w:r w:rsidRPr="00CF7D68">
              <w:t xml:space="preserve"> 40% decrease in </w:t>
            </w:r>
            <w:proofErr w:type="gramStart"/>
            <w:r w:rsidRPr="00CF7D68">
              <w:t>eGFR)</w:t>
            </w:r>
            <w:r w:rsidR="00332A40" w:rsidRPr="00CF7D68">
              <w:rPr>
                <w:vertAlign w:val="superscript"/>
              </w:rPr>
              <w:t>b</w:t>
            </w:r>
            <w:proofErr w:type="gramEnd"/>
          </w:p>
        </w:tc>
        <w:tc>
          <w:tcPr>
            <w:tcW w:w="1270" w:type="dxa"/>
            <w:tcBorders>
              <w:top w:val="single" w:sz="4" w:space="0" w:color="auto"/>
              <w:left w:val="single" w:sz="4" w:space="0" w:color="auto"/>
              <w:bottom w:val="single" w:sz="4" w:space="0" w:color="auto"/>
              <w:right w:val="single" w:sz="4" w:space="0" w:color="auto"/>
            </w:tcBorders>
            <w:vAlign w:val="center"/>
          </w:tcPr>
          <w:p w14:paraId="468E2234" w14:textId="77777777" w:rsidR="003E5ECF" w:rsidRPr="00CF7D68" w:rsidRDefault="003E5ECF" w:rsidP="00A8107D">
            <w:pPr>
              <w:pStyle w:val="TableText"/>
              <w:keepLines/>
              <w:widowControl w:val="0"/>
              <w:jc w:val="center"/>
            </w:pPr>
            <w:r w:rsidRPr="00CF7D68">
              <w:t>854 (13.1%)</w:t>
            </w:r>
          </w:p>
        </w:tc>
        <w:tc>
          <w:tcPr>
            <w:tcW w:w="1271" w:type="dxa"/>
            <w:tcBorders>
              <w:top w:val="single" w:sz="4" w:space="0" w:color="auto"/>
              <w:left w:val="single" w:sz="4" w:space="0" w:color="auto"/>
              <w:bottom w:val="single" w:sz="4" w:space="0" w:color="auto"/>
              <w:right w:val="single" w:sz="4" w:space="0" w:color="auto"/>
            </w:tcBorders>
            <w:vAlign w:val="center"/>
          </w:tcPr>
          <w:p w14:paraId="55C2F9C9" w14:textId="77777777" w:rsidR="003E5ECF" w:rsidRPr="00CF7D68" w:rsidRDefault="003E5ECF" w:rsidP="00A8107D">
            <w:pPr>
              <w:pStyle w:val="TableText"/>
              <w:keepLines/>
              <w:widowControl w:val="0"/>
              <w:jc w:val="center"/>
            </w:pPr>
            <w:r w:rsidRPr="00CF7D68">
              <w:t>995 (15.3%)</w:t>
            </w:r>
          </w:p>
        </w:tc>
        <w:tc>
          <w:tcPr>
            <w:tcW w:w="1646" w:type="dxa"/>
            <w:tcBorders>
              <w:top w:val="single" w:sz="4" w:space="0" w:color="auto"/>
              <w:left w:val="single" w:sz="4" w:space="0" w:color="auto"/>
              <w:right w:val="single" w:sz="4" w:space="0" w:color="auto"/>
            </w:tcBorders>
            <w:vAlign w:val="center"/>
          </w:tcPr>
          <w:p w14:paraId="33F56624" w14:textId="77777777" w:rsidR="003E5ECF" w:rsidRPr="00CF7D68" w:rsidRDefault="003E5ECF" w:rsidP="00A8107D">
            <w:pPr>
              <w:pStyle w:val="TableText"/>
              <w:keepLines/>
              <w:widowControl w:val="0"/>
              <w:jc w:val="center"/>
              <w:rPr>
                <w:b/>
                <w:bCs w:val="0"/>
              </w:rPr>
            </w:pPr>
            <w:r w:rsidRPr="00CF7D68">
              <w:rPr>
                <w:b/>
                <w:bCs w:val="0"/>
              </w:rPr>
              <w:t>0.85 (0.77, 0.93)</w:t>
            </w:r>
          </w:p>
        </w:tc>
      </w:tr>
      <w:tr w:rsidR="003E5ECF" w:rsidRPr="00CF7D68" w14:paraId="060032D3"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38729FDF" w14:textId="1932E2A9" w:rsidR="003E5ECF" w:rsidRPr="00CF7D68" w:rsidRDefault="003E5ECF" w:rsidP="00A8107D">
            <w:pPr>
              <w:pStyle w:val="TableText"/>
              <w:keepLines/>
              <w:widowControl w:val="0"/>
              <w:rPr>
                <w:vertAlign w:val="superscript"/>
              </w:rPr>
            </w:pPr>
            <w:r w:rsidRPr="00CF7D68">
              <w:t xml:space="preserve">Time to first renal event (including </w:t>
            </w:r>
            <w:r w:rsidRPr="00CF7D68">
              <w:rPr>
                <w:u w:val="single"/>
              </w:rPr>
              <w:t>&gt;</w:t>
            </w:r>
            <w:r w:rsidRPr="00CF7D68">
              <w:t xml:space="preserve"> 57% decrease in </w:t>
            </w:r>
            <w:proofErr w:type="gramStart"/>
            <w:r w:rsidRPr="00CF7D68">
              <w:t>eGFR)</w:t>
            </w:r>
            <w:r w:rsidR="00332A40" w:rsidRPr="00CF7D68">
              <w:rPr>
                <w:vertAlign w:val="superscript"/>
              </w:rPr>
              <w:t>c</w:t>
            </w:r>
            <w:proofErr w:type="gramEnd"/>
          </w:p>
        </w:tc>
        <w:tc>
          <w:tcPr>
            <w:tcW w:w="1270" w:type="dxa"/>
            <w:tcBorders>
              <w:top w:val="single" w:sz="4" w:space="0" w:color="auto"/>
              <w:left w:val="single" w:sz="4" w:space="0" w:color="auto"/>
              <w:bottom w:val="single" w:sz="4" w:space="0" w:color="auto"/>
              <w:right w:val="single" w:sz="4" w:space="0" w:color="auto"/>
            </w:tcBorders>
            <w:vAlign w:val="center"/>
          </w:tcPr>
          <w:p w14:paraId="206BFC04" w14:textId="77777777" w:rsidR="003E5ECF" w:rsidRPr="00CF7D68" w:rsidRDefault="003E5ECF" w:rsidP="00A8107D">
            <w:pPr>
              <w:pStyle w:val="TableText"/>
              <w:keepLines/>
              <w:widowControl w:val="0"/>
              <w:jc w:val="center"/>
            </w:pPr>
            <w:r w:rsidRPr="00CF7D68">
              <w:t>360 (5.5%)</w:t>
            </w:r>
          </w:p>
        </w:tc>
        <w:tc>
          <w:tcPr>
            <w:tcW w:w="1271" w:type="dxa"/>
            <w:tcBorders>
              <w:top w:val="single" w:sz="4" w:space="0" w:color="auto"/>
              <w:left w:val="single" w:sz="4" w:space="0" w:color="auto"/>
              <w:bottom w:val="single" w:sz="4" w:space="0" w:color="auto"/>
              <w:right w:val="single" w:sz="4" w:space="0" w:color="auto"/>
            </w:tcBorders>
            <w:vAlign w:val="center"/>
          </w:tcPr>
          <w:p w14:paraId="69AFDC4C" w14:textId="77777777" w:rsidR="003E5ECF" w:rsidRPr="00CF7D68" w:rsidRDefault="003E5ECF" w:rsidP="00A8107D">
            <w:pPr>
              <w:pStyle w:val="TableText"/>
              <w:keepLines/>
              <w:widowControl w:val="0"/>
              <w:jc w:val="center"/>
            </w:pPr>
            <w:r w:rsidRPr="00CF7D68">
              <w:t>465 (7.1%)</w:t>
            </w:r>
          </w:p>
        </w:tc>
        <w:tc>
          <w:tcPr>
            <w:tcW w:w="1646" w:type="dxa"/>
            <w:tcBorders>
              <w:top w:val="single" w:sz="4" w:space="0" w:color="auto"/>
              <w:left w:val="single" w:sz="4" w:space="0" w:color="auto"/>
              <w:right w:val="single" w:sz="4" w:space="0" w:color="auto"/>
            </w:tcBorders>
            <w:vAlign w:val="center"/>
          </w:tcPr>
          <w:p w14:paraId="1AA34E51" w14:textId="77777777" w:rsidR="003E5ECF" w:rsidRPr="00CF7D68" w:rsidRDefault="003E5ECF" w:rsidP="00A8107D">
            <w:pPr>
              <w:pStyle w:val="TableText"/>
              <w:keepLines/>
              <w:widowControl w:val="0"/>
              <w:jc w:val="center"/>
              <w:rPr>
                <w:b/>
                <w:bCs w:val="0"/>
              </w:rPr>
            </w:pPr>
            <w:r w:rsidRPr="00CF7D68">
              <w:rPr>
                <w:b/>
                <w:bCs w:val="0"/>
              </w:rPr>
              <w:t>0.77 (0.67, 0.88)</w:t>
            </w:r>
          </w:p>
        </w:tc>
      </w:tr>
      <w:tr w:rsidR="003E5ECF" w:rsidRPr="00CF7D68" w14:paraId="100FD09F"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50AA815F" w14:textId="77777777" w:rsidR="003E5ECF" w:rsidRPr="00CF7D68" w:rsidRDefault="003E5ECF" w:rsidP="00A8107D">
            <w:pPr>
              <w:pStyle w:val="TableText"/>
              <w:keepLines/>
              <w:widowControl w:val="0"/>
            </w:pPr>
            <w:r w:rsidRPr="00CF7D68">
              <w:t>Time to all-cause mortality</w:t>
            </w:r>
          </w:p>
        </w:tc>
        <w:tc>
          <w:tcPr>
            <w:tcW w:w="1270" w:type="dxa"/>
            <w:tcBorders>
              <w:top w:val="single" w:sz="4" w:space="0" w:color="auto"/>
              <w:left w:val="single" w:sz="4" w:space="0" w:color="auto"/>
              <w:bottom w:val="single" w:sz="4" w:space="0" w:color="auto"/>
              <w:right w:val="single" w:sz="4" w:space="0" w:color="auto"/>
            </w:tcBorders>
            <w:vAlign w:val="center"/>
          </w:tcPr>
          <w:p w14:paraId="3832069C" w14:textId="77777777" w:rsidR="003E5ECF" w:rsidRPr="00CF7D68" w:rsidRDefault="003E5ECF" w:rsidP="00A8107D">
            <w:pPr>
              <w:pStyle w:val="TableText"/>
              <w:keepLines/>
              <w:widowControl w:val="0"/>
              <w:jc w:val="center"/>
            </w:pPr>
            <w:r w:rsidRPr="00CF7D68">
              <w:t>552 (8.5%)</w:t>
            </w:r>
          </w:p>
        </w:tc>
        <w:tc>
          <w:tcPr>
            <w:tcW w:w="1271" w:type="dxa"/>
            <w:tcBorders>
              <w:top w:val="single" w:sz="4" w:space="0" w:color="auto"/>
              <w:left w:val="single" w:sz="4" w:space="0" w:color="auto"/>
              <w:bottom w:val="single" w:sz="4" w:space="0" w:color="auto"/>
              <w:right w:val="single" w:sz="4" w:space="0" w:color="auto"/>
            </w:tcBorders>
            <w:vAlign w:val="center"/>
          </w:tcPr>
          <w:p w14:paraId="72345421" w14:textId="77777777" w:rsidR="003E5ECF" w:rsidRPr="00CF7D68" w:rsidRDefault="003E5ECF" w:rsidP="00A8107D">
            <w:pPr>
              <w:pStyle w:val="TableText"/>
              <w:keepLines/>
              <w:widowControl w:val="0"/>
              <w:jc w:val="center"/>
            </w:pPr>
            <w:r w:rsidRPr="00CF7D68">
              <w:t>614 (9.4%)</w:t>
            </w:r>
          </w:p>
        </w:tc>
        <w:tc>
          <w:tcPr>
            <w:tcW w:w="1646" w:type="dxa"/>
            <w:tcBorders>
              <w:top w:val="single" w:sz="4" w:space="0" w:color="auto"/>
              <w:left w:val="single" w:sz="4" w:space="0" w:color="auto"/>
              <w:right w:val="single" w:sz="4" w:space="0" w:color="auto"/>
            </w:tcBorders>
            <w:vAlign w:val="center"/>
          </w:tcPr>
          <w:p w14:paraId="5C8C5E70" w14:textId="77777777" w:rsidR="003E5ECF" w:rsidRPr="00CF7D68" w:rsidRDefault="003E5ECF" w:rsidP="00A8107D">
            <w:pPr>
              <w:pStyle w:val="TableText"/>
              <w:keepLines/>
              <w:widowControl w:val="0"/>
              <w:jc w:val="center"/>
            </w:pPr>
            <w:r w:rsidRPr="00CF7D68">
              <w:t>0.89 (0.79, 1.00)</w:t>
            </w:r>
          </w:p>
        </w:tc>
      </w:tr>
      <w:tr w:rsidR="003E5ECF" w:rsidRPr="00CF7D68" w14:paraId="7121F7F4"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49C326BF" w14:textId="77777777" w:rsidR="003E5ECF" w:rsidRPr="00CF7D68" w:rsidRDefault="003E5ECF" w:rsidP="00A8107D">
            <w:pPr>
              <w:pStyle w:val="TableText"/>
              <w:keepLines/>
              <w:widowControl w:val="0"/>
            </w:pPr>
            <w:r w:rsidRPr="00CF7D68">
              <w:t>Time to all-cause hospitalisation</w:t>
            </w:r>
          </w:p>
        </w:tc>
        <w:tc>
          <w:tcPr>
            <w:tcW w:w="1270" w:type="dxa"/>
            <w:tcBorders>
              <w:top w:val="single" w:sz="4" w:space="0" w:color="auto"/>
              <w:left w:val="single" w:sz="4" w:space="0" w:color="auto"/>
              <w:bottom w:val="single" w:sz="4" w:space="0" w:color="auto"/>
              <w:right w:val="single" w:sz="4" w:space="0" w:color="auto"/>
            </w:tcBorders>
            <w:vAlign w:val="center"/>
          </w:tcPr>
          <w:p w14:paraId="5EB2560F" w14:textId="77777777" w:rsidR="003E5ECF" w:rsidRPr="00CF7D68" w:rsidRDefault="003E5ECF" w:rsidP="00A8107D">
            <w:pPr>
              <w:pStyle w:val="TableText"/>
              <w:keepLines/>
              <w:widowControl w:val="0"/>
              <w:jc w:val="center"/>
            </w:pPr>
            <w:r w:rsidRPr="00CF7D68">
              <w:t>2,836 (43.5%)</w:t>
            </w:r>
          </w:p>
        </w:tc>
        <w:tc>
          <w:tcPr>
            <w:tcW w:w="1271" w:type="dxa"/>
            <w:tcBorders>
              <w:top w:val="single" w:sz="4" w:space="0" w:color="auto"/>
              <w:left w:val="single" w:sz="4" w:space="0" w:color="auto"/>
              <w:bottom w:val="single" w:sz="4" w:space="0" w:color="auto"/>
              <w:right w:val="single" w:sz="4" w:space="0" w:color="auto"/>
            </w:tcBorders>
            <w:vAlign w:val="center"/>
          </w:tcPr>
          <w:p w14:paraId="7A9C7422" w14:textId="77777777" w:rsidR="003E5ECF" w:rsidRPr="00CF7D68" w:rsidRDefault="003E5ECF" w:rsidP="00A8107D">
            <w:pPr>
              <w:pStyle w:val="TableText"/>
              <w:keepLines/>
              <w:widowControl w:val="0"/>
              <w:jc w:val="center"/>
            </w:pPr>
            <w:r w:rsidRPr="00CF7D68">
              <w:t>2,926 (45.0%)</w:t>
            </w:r>
          </w:p>
        </w:tc>
        <w:tc>
          <w:tcPr>
            <w:tcW w:w="1646" w:type="dxa"/>
            <w:tcBorders>
              <w:left w:val="single" w:sz="4" w:space="0" w:color="auto"/>
              <w:right w:val="single" w:sz="4" w:space="0" w:color="auto"/>
            </w:tcBorders>
            <w:vAlign w:val="center"/>
          </w:tcPr>
          <w:p w14:paraId="5F2031C3" w14:textId="77777777" w:rsidR="003E5ECF" w:rsidRPr="00CF7D68" w:rsidRDefault="003E5ECF" w:rsidP="00A8107D">
            <w:pPr>
              <w:pStyle w:val="TableText"/>
              <w:keepLines/>
              <w:widowControl w:val="0"/>
              <w:jc w:val="center"/>
            </w:pPr>
            <w:r w:rsidRPr="00CF7D68">
              <w:t>0.96 (0.91, 1.01)</w:t>
            </w:r>
          </w:p>
        </w:tc>
      </w:tr>
      <w:tr w:rsidR="003E5ECF" w:rsidRPr="00CF7D68" w14:paraId="0580A738" w14:textId="77777777" w:rsidTr="00BD693B">
        <w:trPr>
          <w:trHeight w:val="70"/>
        </w:trPr>
        <w:tc>
          <w:tcPr>
            <w:tcW w:w="9017" w:type="dxa"/>
            <w:gridSpan w:val="4"/>
            <w:tcBorders>
              <w:top w:val="single" w:sz="4" w:space="0" w:color="auto"/>
              <w:left w:val="single" w:sz="4" w:space="0" w:color="auto"/>
              <w:bottom w:val="single" w:sz="4" w:space="0" w:color="auto"/>
              <w:right w:val="single" w:sz="4" w:space="0" w:color="auto"/>
            </w:tcBorders>
            <w:vAlign w:val="center"/>
          </w:tcPr>
          <w:p w14:paraId="3F323DFB" w14:textId="77777777" w:rsidR="003E5ECF" w:rsidRPr="00CF7D68" w:rsidRDefault="003E5ECF" w:rsidP="00A8107D">
            <w:pPr>
              <w:pStyle w:val="TableText"/>
              <w:keepLines/>
              <w:widowControl w:val="0"/>
            </w:pPr>
            <w:r w:rsidRPr="00CF7D68">
              <w:rPr>
                <w:b/>
              </w:rPr>
              <w:t>Individual clinical outcomes</w:t>
            </w:r>
          </w:p>
        </w:tc>
      </w:tr>
      <w:tr w:rsidR="003E5ECF" w:rsidRPr="00CF7D68" w14:paraId="5B619994"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339BCB70" w14:textId="77777777" w:rsidR="003E5ECF" w:rsidRPr="00CF7D68" w:rsidRDefault="003E5ECF" w:rsidP="00A8107D">
            <w:pPr>
              <w:pStyle w:val="TableText"/>
              <w:keepLines/>
              <w:widowControl w:val="0"/>
            </w:pPr>
            <w:r w:rsidRPr="00CF7D68">
              <w:t>Time to onset of kidney failure</w:t>
            </w:r>
          </w:p>
        </w:tc>
        <w:tc>
          <w:tcPr>
            <w:tcW w:w="1270" w:type="dxa"/>
            <w:tcBorders>
              <w:top w:val="single" w:sz="4" w:space="0" w:color="auto"/>
              <w:left w:val="single" w:sz="4" w:space="0" w:color="auto"/>
              <w:bottom w:val="single" w:sz="4" w:space="0" w:color="auto"/>
              <w:right w:val="single" w:sz="4" w:space="0" w:color="auto"/>
            </w:tcBorders>
            <w:vAlign w:val="center"/>
          </w:tcPr>
          <w:p w14:paraId="7AD85516" w14:textId="77777777" w:rsidR="003E5ECF" w:rsidRPr="00CF7D68" w:rsidRDefault="003E5ECF" w:rsidP="00A8107D">
            <w:pPr>
              <w:pStyle w:val="TableText"/>
              <w:keepLines/>
              <w:widowControl w:val="0"/>
              <w:jc w:val="center"/>
            </w:pPr>
            <w:r w:rsidRPr="00CF7D68">
              <w:t>254 (3.9%)</w:t>
            </w:r>
          </w:p>
        </w:tc>
        <w:tc>
          <w:tcPr>
            <w:tcW w:w="1271" w:type="dxa"/>
            <w:tcBorders>
              <w:top w:val="single" w:sz="4" w:space="0" w:color="auto"/>
              <w:left w:val="single" w:sz="4" w:space="0" w:color="auto"/>
              <w:bottom w:val="single" w:sz="4" w:space="0" w:color="auto"/>
              <w:right w:val="single" w:sz="4" w:space="0" w:color="auto"/>
            </w:tcBorders>
            <w:vAlign w:val="center"/>
          </w:tcPr>
          <w:p w14:paraId="58451F2F" w14:textId="77777777" w:rsidR="003E5ECF" w:rsidRPr="00CF7D68" w:rsidRDefault="003E5ECF" w:rsidP="00A8107D">
            <w:pPr>
              <w:pStyle w:val="TableText"/>
              <w:keepLines/>
              <w:widowControl w:val="0"/>
              <w:jc w:val="center"/>
            </w:pPr>
            <w:r w:rsidRPr="00CF7D68">
              <w:t>297 (4.6%)</w:t>
            </w:r>
          </w:p>
        </w:tc>
        <w:tc>
          <w:tcPr>
            <w:tcW w:w="1646" w:type="dxa"/>
            <w:tcBorders>
              <w:left w:val="single" w:sz="4" w:space="0" w:color="auto"/>
              <w:right w:val="single" w:sz="4" w:space="0" w:color="auto"/>
            </w:tcBorders>
            <w:vAlign w:val="center"/>
          </w:tcPr>
          <w:p w14:paraId="6ECA2104" w14:textId="77777777" w:rsidR="003E5ECF" w:rsidRPr="00CF7D68" w:rsidRDefault="003E5ECF" w:rsidP="00A8107D">
            <w:pPr>
              <w:pStyle w:val="TableText"/>
              <w:keepLines/>
              <w:widowControl w:val="0"/>
              <w:jc w:val="center"/>
              <w:rPr>
                <w:b/>
                <w:bCs w:val="0"/>
              </w:rPr>
            </w:pPr>
            <w:r w:rsidRPr="00CF7D68">
              <w:rPr>
                <w:b/>
                <w:bCs w:val="0"/>
              </w:rPr>
              <w:t>0.84 (0.71, 0.99)</w:t>
            </w:r>
          </w:p>
        </w:tc>
      </w:tr>
      <w:tr w:rsidR="003E5ECF" w:rsidRPr="00CF7D68" w14:paraId="445DAEA0"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4A4D97CF" w14:textId="77777777" w:rsidR="003E5ECF" w:rsidRPr="00CF7D68" w:rsidRDefault="003E5ECF" w:rsidP="00A8107D">
            <w:pPr>
              <w:pStyle w:val="TableText"/>
              <w:keepLines/>
              <w:widowControl w:val="0"/>
            </w:pPr>
            <w:r w:rsidRPr="00CF7D68">
              <w:t xml:space="preserve">Time to sustained </w:t>
            </w:r>
            <w:r w:rsidRPr="00CF7D68">
              <w:rPr>
                <w:u w:val="single"/>
              </w:rPr>
              <w:t>&gt;</w:t>
            </w:r>
            <w:r w:rsidRPr="00CF7D68">
              <w:t xml:space="preserve"> 40% relative decrease in eGFR from baseline</w:t>
            </w:r>
          </w:p>
        </w:tc>
        <w:tc>
          <w:tcPr>
            <w:tcW w:w="1270" w:type="dxa"/>
            <w:tcBorders>
              <w:top w:val="single" w:sz="4" w:space="0" w:color="auto"/>
              <w:left w:val="single" w:sz="4" w:space="0" w:color="auto"/>
              <w:bottom w:val="single" w:sz="4" w:space="0" w:color="auto"/>
              <w:right w:val="single" w:sz="4" w:space="0" w:color="auto"/>
            </w:tcBorders>
            <w:vAlign w:val="center"/>
          </w:tcPr>
          <w:p w14:paraId="1DC5C042" w14:textId="77777777" w:rsidR="003E5ECF" w:rsidRPr="00CF7D68" w:rsidRDefault="003E5ECF" w:rsidP="00A8107D">
            <w:pPr>
              <w:pStyle w:val="TableText"/>
              <w:keepLines/>
              <w:widowControl w:val="0"/>
              <w:jc w:val="center"/>
            </w:pPr>
            <w:r w:rsidRPr="00CF7D68">
              <w:t>817 (12.5%)</w:t>
            </w:r>
          </w:p>
        </w:tc>
        <w:tc>
          <w:tcPr>
            <w:tcW w:w="1271" w:type="dxa"/>
            <w:tcBorders>
              <w:top w:val="single" w:sz="4" w:space="0" w:color="auto"/>
              <w:left w:val="single" w:sz="4" w:space="0" w:color="auto"/>
              <w:bottom w:val="single" w:sz="4" w:space="0" w:color="auto"/>
              <w:right w:val="single" w:sz="4" w:space="0" w:color="auto"/>
            </w:tcBorders>
            <w:vAlign w:val="center"/>
          </w:tcPr>
          <w:p w14:paraId="466D7892" w14:textId="77777777" w:rsidR="003E5ECF" w:rsidRPr="00CF7D68" w:rsidRDefault="003E5ECF" w:rsidP="00A8107D">
            <w:pPr>
              <w:pStyle w:val="TableText"/>
              <w:keepLines/>
              <w:widowControl w:val="0"/>
              <w:jc w:val="center"/>
            </w:pPr>
            <w:r w:rsidRPr="00CF7D68">
              <w:t>962 (14.8%)</w:t>
            </w:r>
          </w:p>
        </w:tc>
        <w:tc>
          <w:tcPr>
            <w:tcW w:w="1646" w:type="dxa"/>
            <w:tcBorders>
              <w:left w:val="single" w:sz="4" w:space="0" w:color="auto"/>
              <w:right w:val="single" w:sz="4" w:space="0" w:color="auto"/>
            </w:tcBorders>
            <w:vAlign w:val="center"/>
          </w:tcPr>
          <w:p w14:paraId="70B755A6" w14:textId="77777777" w:rsidR="003E5ECF" w:rsidRPr="00CF7D68" w:rsidRDefault="003E5ECF" w:rsidP="00A8107D">
            <w:pPr>
              <w:pStyle w:val="TableText"/>
              <w:keepLines/>
              <w:widowControl w:val="0"/>
              <w:jc w:val="center"/>
              <w:rPr>
                <w:b/>
                <w:bCs w:val="0"/>
              </w:rPr>
            </w:pPr>
            <w:r w:rsidRPr="00CF7D68">
              <w:rPr>
                <w:b/>
                <w:bCs w:val="0"/>
              </w:rPr>
              <w:t>0.84 (0.76, 0.92)</w:t>
            </w:r>
          </w:p>
        </w:tc>
      </w:tr>
      <w:tr w:rsidR="003E5ECF" w:rsidRPr="00CF7D68" w14:paraId="4C968D4D"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59010A90" w14:textId="77777777" w:rsidR="003E5ECF" w:rsidRPr="00CF7D68" w:rsidRDefault="003E5ECF" w:rsidP="00A8107D">
            <w:pPr>
              <w:pStyle w:val="TableText"/>
              <w:keepLines/>
              <w:widowControl w:val="0"/>
            </w:pPr>
            <w:r w:rsidRPr="00CF7D68">
              <w:t xml:space="preserve">Time to sustained </w:t>
            </w:r>
            <w:r w:rsidRPr="00CF7D68">
              <w:rPr>
                <w:u w:val="single"/>
              </w:rPr>
              <w:t>&gt;</w:t>
            </w:r>
            <w:r w:rsidRPr="00CF7D68">
              <w:t xml:space="preserve"> 57% relative decrease in eGFR from baseline</w:t>
            </w:r>
          </w:p>
        </w:tc>
        <w:tc>
          <w:tcPr>
            <w:tcW w:w="1270" w:type="dxa"/>
            <w:tcBorders>
              <w:top w:val="single" w:sz="4" w:space="0" w:color="auto"/>
              <w:left w:val="single" w:sz="4" w:space="0" w:color="auto"/>
              <w:bottom w:val="single" w:sz="4" w:space="0" w:color="auto"/>
              <w:right w:val="single" w:sz="4" w:space="0" w:color="auto"/>
            </w:tcBorders>
            <w:vAlign w:val="center"/>
          </w:tcPr>
          <w:p w14:paraId="17FF195F" w14:textId="77777777" w:rsidR="003E5ECF" w:rsidRPr="00CF7D68" w:rsidRDefault="003E5ECF" w:rsidP="00A8107D">
            <w:pPr>
              <w:pStyle w:val="TableText"/>
              <w:keepLines/>
              <w:widowControl w:val="0"/>
              <w:jc w:val="center"/>
            </w:pPr>
            <w:r w:rsidRPr="00CF7D68">
              <w:t>257 (3.9%)</w:t>
            </w:r>
          </w:p>
        </w:tc>
        <w:tc>
          <w:tcPr>
            <w:tcW w:w="1271" w:type="dxa"/>
            <w:tcBorders>
              <w:top w:val="single" w:sz="4" w:space="0" w:color="auto"/>
              <w:left w:val="single" w:sz="4" w:space="0" w:color="auto"/>
              <w:bottom w:val="single" w:sz="4" w:space="0" w:color="auto"/>
              <w:right w:val="single" w:sz="4" w:space="0" w:color="auto"/>
            </w:tcBorders>
            <w:vAlign w:val="center"/>
          </w:tcPr>
          <w:p w14:paraId="307D09EF" w14:textId="77777777" w:rsidR="003E5ECF" w:rsidRPr="00CF7D68" w:rsidRDefault="003E5ECF" w:rsidP="00A8107D">
            <w:pPr>
              <w:pStyle w:val="TableText"/>
              <w:keepLines/>
              <w:widowControl w:val="0"/>
              <w:jc w:val="center"/>
            </w:pPr>
            <w:r w:rsidRPr="00CF7D68">
              <w:t>361 (5.5%)</w:t>
            </w:r>
          </w:p>
        </w:tc>
        <w:tc>
          <w:tcPr>
            <w:tcW w:w="1646" w:type="dxa"/>
            <w:tcBorders>
              <w:left w:val="single" w:sz="4" w:space="0" w:color="auto"/>
              <w:right w:val="single" w:sz="4" w:space="0" w:color="auto"/>
            </w:tcBorders>
            <w:vAlign w:val="center"/>
          </w:tcPr>
          <w:p w14:paraId="47F2E70C" w14:textId="77777777" w:rsidR="003E5ECF" w:rsidRPr="00CF7D68" w:rsidRDefault="003E5ECF" w:rsidP="00A8107D">
            <w:pPr>
              <w:pStyle w:val="TableText"/>
              <w:keepLines/>
              <w:widowControl w:val="0"/>
              <w:jc w:val="center"/>
              <w:rPr>
                <w:b/>
                <w:bCs w:val="0"/>
              </w:rPr>
            </w:pPr>
            <w:r w:rsidRPr="00CF7D68">
              <w:rPr>
                <w:b/>
                <w:bCs w:val="0"/>
              </w:rPr>
              <w:t>0.70 (0.60, 0.83)</w:t>
            </w:r>
          </w:p>
        </w:tc>
      </w:tr>
      <w:tr w:rsidR="003E5ECF" w:rsidRPr="00CF7D68" w14:paraId="46463E16"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46B7A9ED" w14:textId="77777777" w:rsidR="003E5ECF" w:rsidRPr="00CF7D68" w:rsidRDefault="003E5ECF" w:rsidP="00A8107D">
            <w:pPr>
              <w:pStyle w:val="TableText"/>
              <w:keepLines/>
              <w:widowControl w:val="0"/>
            </w:pPr>
            <w:r w:rsidRPr="00CF7D68">
              <w:t>Time to renal death</w:t>
            </w:r>
          </w:p>
        </w:tc>
        <w:tc>
          <w:tcPr>
            <w:tcW w:w="1270" w:type="dxa"/>
            <w:tcBorders>
              <w:top w:val="single" w:sz="4" w:space="0" w:color="auto"/>
              <w:left w:val="single" w:sz="4" w:space="0" w:color="auto"/>
              <w:bottom w:val="single" w:sz="4" w:space="0" w:color="auto"/>
              <w:right w:val="single" w:sz="4" w:space="0" w:color="auto"/>
            </w:tcBorders>
            <w:vAlign w:val="center"/>
          </w:tcPr>
          <w:p w14:paraId="0EFEB29B" w14:textId="77777777" w:rsidR="003E5ECF" w:rsidRPr="00CF7D68" w:rsidRDefault="003E5ECF" w:rsidP="00A8107D">
            <w:pPr>
              <w:pStyle w:val="TableText"/>
              <w:keepLines/>
              <w:widowControl w:val="0"/>
              <w:jc w:val="center"/>
            </w:pPr>
            <w:r w:rsidRPr="00CF7D68">
              <w:t>2 (&lt;0.1%)</w:t>
            </w:r>
          </w:p>
        </w:tc>
        <w:tc>
          <w:tcPr>
            <w:tcW w:w="1271" w:type="dxa"/>
            <w:tcBorders>
              <w:top w:val="single" w:sz="4" w:space="0" w:color="auto"/>
              <w:left w:val="single" w:sz="4" w:space="0" w:color="auto"/>
              <w:bottom w:val="single" w:sz="4" w:space="0" w:color="auto"/>
              <w:right w:val="single" w:sz="4" w:space="0" w:color="auto"/>
            </w:tcBorders>
            <w:vAlign w:val="center"/>
          </w:tcPr>
          <w:p w14:paraId="5C169F0D" w14:textId="77777777" w:rsidR="003E5ECF" w:rsidRPr="00CF7D68" w:rsidRDefault="003E5ECF" w:rsidP="00A8107D">
            <w:pPr>
              <w:pStyle w:val="TableText"/>
              <w:keepLines/>
              <w:widowControl w:val="0"/>
              <w:jc w:val="center"/>
            </w:pPr>
            <w:r w:rsidRPr="00CF7D68">
              <w:t>4 (&lt;0.1%)</w:t>
            </w:r>
          </w:p>
        </w:tc>
        <w:tc>
          <w:tcPr>
            <w:tcW w:w="1646" w:type="dxa"/>
            <w:tcBorders>
              <w:left w:val="single" w:sz="4" w:space="0" w:color="auto"/>
              <w:right w:val="single" w:sz="4" w:space="0" w:color="auto"/>
            </w:tcBorders>
            <w:vAlign w:val="center"/>
          </w:tcPr>
          <w:p w14:paraId="6AE09F25" w14:textId="77777777" w:rsidR="003E5ECF" w:rsidRPr="00CF7D68" w:rsidRDefault="003E5ECF" w:rsidP="00A8107D">
            <w:pPr>
              <w:pStyle w:val="TableText"/>
              <w:keepLines/>
              <w:widowControl w:val="0"/>
              <w:jc w:val="center"/>
            </w:pPr>
            <w:r w:rsidRPr="00CF7D68">
              <w:t>0.53 (0.10, 2.91)</w:t>
            </w:r>
          </w:p>
        </w:tc>
      </w:tr>
      <w:tr w:rsidR="003E5ECF" w:rsidRPr="00CF7D68" w14:paraId="7453DC2C"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0FC89E59" w14:textId="77777777" w:rsidR="003E5ECF" w:rsidRPr="00CF7D68" w:rsidRDefault="003E5ECF" w:rsidP="00A8107D">
            <w:pPr>
              <w:pStyle w:val="TableText"/>
              <w:keepLines/>
              <w:widowControl w:val="0"/>
            </w:pPr>
            <w:r w:rsidRPr="00CF7D68">
              <w:t>Time to first non-fatal stroke</w:t>
            </w:r>
          </w:p>
        </w:tc>
        <w:tc>
          <w:tcPr>
            <w:tcW w:w="1270" w:type="dxa"/>
            <w:tcBorders>
              <w:top w:val="single" w:sz="4" w:space="0" w:color="auto"/>
              <w:left w:val="single" w:sz="4" w:space="0" w:color="auto"/>
              <w:bottom w:val="single" w:sz="4" w:space="0" w:color="auto"/>
              <w:right w:val="single" w:sz="4" w:space="0" w:color="auto"/>
            </w:tcBorders>
            <w:vAlign w:val="center"/>
          </w:tcPr>
          <w:p w14:paraId="1E6F7355" w14:textId="77777777" w:rsidR="003E5ECF" w:rsidRPr="00CF7D68" w:rsidRDefault="003E5ECF" w:rsidP="00A8107D">
            <w:pPr>
              <w:pStyle w:val="TableText"/>
              <w:keepLines/>
              <w:widowControl w:val="0"/>
              <w:jc w:val="center"/>
            </w:pPr>
            <w:r w:rsidRPr="00CF7D68">
              <w:t>198 (3.0%)</w:t>
            </w:r>
          </w:p>
        </w:tc>
        <w:tc>
          <w:tcPr>
            <w:tcW w:w="1271" w:type="dxa"/>
            <w:tcBorders>
              <w:top w:val="single" w:sz="4" w:space="0" w:color="auto"/>
              <w:left w:val="single" w:sz="4" w:space="0" w:color="auto"/>
              <w:bottom w:val="single" w:sz="4" w:space="0" w:color="auto"/>
              <w:right w:val="single" w:sz="4" w:space="0" w:color="auto"/>
            </w:tcBorders>
            <w:vAlign w:val="center"/>
          </w:tcPr>
          <w:p w14:paraId="34A843CB" w14:textId="77777777" w:rsidR="003E5ECF" w:rsidRPr="00CF7D68" w:rsidRDefault="003E5ECF" w:rsidP="00A8107D">
            <w:pPr>
              <w:pStyle w:val="TableText"/>
              <w:keepLines/>
              <w:widowControl w:val="0"/>
              <w:jc w:val="center"/>
            </w:pPr>
            <w:r w:rsidRPr="00CF7D68">
              <w:t>198 (3.0%)</w:t>
            </w:r>
          </w:p>
        </w:tc>
        <w:tc>
          <w:tcPr>
            <w:tcW w:w="1646" w:type="dxa"/>
            <w:tcBorders>
              <w:left w:val="single" w:sz="4" w:space="0" w:color="auto"/>
              <w:right w:val="single" w:sz="4" w:space="0" w:color="auto"/>
            </w:tcBorders>
            <w:vAlign w:val="center"/>
          </w:tcPr>
          <w:p w14:paraId="363D9A43" w14:textId="77777777" w:rsidR="003E5ECF" w:rsidRPr="00CF7D68" w:rsidRDefault="003E5ECF" w:rsidP="00A8107D">
            <w:pPr>
              <w:pStyle w:val="TableText"/>
              <w:keepLines/>
              <w:widowControl w:val="0"/>
              <w:jc w:val="center"/>
              <w:rPr>
                <w:b/>
                <w:bCs w:val="0"/>
              </w:rPr>
            </w:pPr>
            <w:r w:rsidRPr="00CF7D68">
              <w:t>0.99 (0.82, 1.21)</w:t>
            </w:r>
          </w:p>
        </w:tc>
      </w:tr>
      <w:tr w:rsidR="003E5ECF" w:rsidRPr="00CF7D68" w14:paraId="08148E84"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50326A09" w14:textId="77777777" w:rsidR="003E5ECF" w:rsidRPr="00CF7D68" w:rsidRDefault="003E5ECF" w:rsidP="00A8107D">
            <w:pPr>
              <w:pStyle w:val="TableText"/>
              <w:keepLines/>
              <w:widowControl w:val="0"/>
            </w:pPr>
            <w:r w:rsidRPr="00CF7D68">
              <w:t>Time to first non-fatal myocardial infarction</w:t>
            </w:r>
          </w:p>
        </w:tc>
        <w:tc>
          <w:tcPr>
            <w:tcW w:w="1270" w:type="dxa"/>
            <w:tcBorders>
              <w:top w:val="single" w:sz="4" w:space="0" w:color="auto"/>
              <w:left w:val="single" w:sz="4" w:space="0" w:color="auto"/>
              <w:bottom w:val="single" w:sz="4" w:space="0" w:color="auto"/>
              <w:right w:val="single" w:sz="4" w:space="0" w:color="auto"/>
            </w:tcBorders>
            <w:vAlign w:val="center"/>
          </w:tcPr>
          <w:p w14:paraId="391AC465" w14:textId="77777777" w:rsidR="003E5ECF" w:rsidRPr="00CF7D68" w:rsidRDefault="003E5ECF" w:rsidP="00A8107D">
            <w:pPr>
              <w:pStyle w:val="TableText"/>
              <w:keepLines/>
              <w:widowControl w:val="0"/>
              <w:jc w:val="center"/>
            </w:pPr>
            <w:r w:rsidRPr="00CF7D68">
              <w:t>173 (2.7%)</w:t>
            </w:r>
          </w:p>
        </w:tc>
        <w:tc>
          <w:tcPr>
            <w:tcW w:w="1271" w:type="dxa"/>
            <w:tcBorders>
              <w:top w:val="single" w:sz="4" w:space="0" w:color="auto"/>
              <w:left w:val="single" w:sz="4" w:space="0" w:color="auto"/>
              <w:bottom w:val="single" w:sz="4" w:space="0" w:color="auto"/>
              <w:right w:val="single" w:sz="4" w:space="0" w:color="auto"/>
            </w:tcBorders>
            <w:vAlign w:val="center"/>
          </w:tcPr>
          <w:p w14:paraId="52ED2A76" w14:textId="77777777" w:rsidR="003E5ECF" w:rsidRPr="00CF7D68" w:rsidRDefault="003E5ECF" w:rsidP="00A8107D">
            <w:pPr>
              <w:pStyle w:val="TableText"/>
              <w:keepLines/>
              <w:widowControl w:val="0"/>
              <w:jc w:val="center"/>
            </w:pPr>
            <w:r w:rsidRPr="00CF7D68">
              <w:t>189 (2.9%)</w:t>
            </w:r>
          </w:p>
        </w:tc>
        <w:tc>
          <w:tcPr>
            <w:tcW w:w="1646" w:type="dxa"/>
            <w:tcBorders>
              <w:left w:val="single" w:sz="4" w:space="0" w:color="auto"/>
              <w:right w:val="single" w:sz="4" w:space="0" w:color="auto"/>
            </w:tcBorders>
            <w:vAlign w:val="center"/>
          </w:tcPr>
          <w:p w14:paraId="6F82CD8D" w14:textId="77777777" w:rsidR="003E5ECF" w:rsidRPr="00CF7D68" w:rsidRDefault="003E5ECF" w:rsidP="00A8107D">
            <w:pPr>
              <w:pStyle w:val="TableText"/>
              <w:keepLines/>
              <w:widowControl w:val="0"/>
              <w:jc w:val="center"/>
              <w:rPr>
                <w:b/>
                <w:bCs w:val="0"/>
              </w:rPr>
            </w:pPr>
            <w:r w:rsidRPr="00CF7D68">
              <w:t>0.91 (0.74, 1.12)</w:t>
            </w:r>
          </w:p>
        </w:tc>
      </w:tr>
      <w:tr w:rsidR="003E5ECF" w:rsidRPr="00CF7D68" w14:paraId="256969CB"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17AC0DD6" w14:textId="77777777" w:rsidR="003E5ECF" w:rsidRPr="00CF7D68" w:rsidRDefault="003E5ECF" w:rsidP="00A8107D">
            <w:pPr>
              <w:pStyle w:val="TableText"/>
              <w:keepLines/>
              <w:widowControl w:val="0"/>
            </w:pPr>
            <w:r w:rsidRPr="00CF7D68">
              <w:t>Time to first heart failure hospitalisation</w:t>
            </w:r>
          </w:p>
        </w:tc>
        <w:tc>
          <w:tcPr>
            <w:tcW w:w="1270" w:type="dxa"/>
            <w:tcBorders>
              <w:top w:val="single" w:sz="4" w:space="0" w:color="auto"/>
              <w:left w:val="single" w:sz="4" w:space="0" w:color="auto"/>
              <w:bottom w:val="single" w:sz="4" w:space="0" w:color="auto"/>
              <w:right w:val="single" w:sz="4" w:space="0" w:color="auto"/>
            </w:tcBorders>
            <w:vAlign w:val="center"/>
          </w:tcPr>
          <w:p w14:paraId="3E9B80D7" w14:textId="77777777" w:rsidR="003E5ECF" w:rsidRPr="00CF7D68" w:rsidRDefault="003E5ECF" w:rsidP="00A8107D">
            <w:pPr>
              <w:pStyle w:val="TableText"/>
              <w:keepLines/>
              <w:widowControl w:val="0"/>
              <w:jc w:val="center"/>
            </w:pPr>
            <w:r w:rsidRPr="00CF7D68">
              <w:t>256 (3.9%)</w:t>
            </w:r>
          </w:p>
        </w:tc>
        <w:tc>
          <w:tcPr>
            <w:tcW w:w="1271" w:type="dxa"/>
            <w:tcBorders>
              <w:top w:val="single" w:sz="4" w:space="0" w:color="auto"/>
              <w:left w:val="single" w:sz="4" w:space="0" w:color="auto"/>
              <w:bottom w:val="single" w:sz="4" w:space="0" w:color="auto"/>
              <w:right w:val="single" w:sz="4" w:space="0" w:color="auto"/>
            </w:tcBorders>
            <w:vAlign w:val="center"/>
          </w:tcPr>
          <w:p w14:paraId="6EAA977D" w14:textId="77777777" w:rsidR="003E5ECF" w:rsidRPr="00CF7D68" w:rsidRDefault="003E5ECF" w:rsidP="00A8107D">
            <w:pPr>
              <w:pStyle w:val="TableText"/>
              <w:keepLines/>
              <w:widowControl w:val="0"/>
              <w:jc w:val="center"/>
            </w:pPr>
            <w:r w:rsidRPr="00CF7D68">
              <w:t>325 (5.0%)</w:t>
            </w:r>
          </w:p>
        </w:tc>
        <w:tc>
          <w:tcPr>
            <w:tcW w:w="1646" w:type="dxa"/>
            <w:tcBorders>
              <w:left w:val="single" w:sz="4" w:space="0" w:color="auto"/>
              <w:right w:val="single" w:sz="4" w:space="0" w:color="auto"/>
            </w:tcBorders>
            <w:vAlign w:val="center"/>
          </w:tcPr>
          <w:p w14:paraId="21827905" w14:textId="77777777" w:rsidR="003E5ECF" w:rsidRPr="00CF7D68" w:rsidRDefault="003E5ECF" w:rsidP="00A8107D">
            <w:pPr>
              <w:pStyle w:val="TableText"/>
              <w:keepLines/>
              <w:widowControl w:val="0"/>
              <w:jc w:val="center"/>
              <w:rPr>
                <w:b/>
                <w:bCs w:val="0"/>
              </w:rPr>
            </w:pPr>
            <w:r w:rsidRPr="00CF7D68">
              <w:rPr>
                <w:b/>
                <w:bCs w:val="0"/>
              </w:rPr>
              <w:t>0.78 (0.66, 0.92)</w:t>
            </w:r>
          </w:p>
        </w:tc>
      </w:tr>
      <w:tr w:rsidR="003E5ECF" w:rsidRPr="00CF7D68" w14:paraId="7E7FD090"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580C5455" w14:textId="77777777" w:rsidR="003E5ECF" w:rsidRPr="00CF7D68" w:rsidRDefault="003E5ECF" w:rsidP="00A8107D">
            <w:pPr>
              <w:pStyle w:val="TableText"/>
              <w:keepLines/>
              <w:widowControl w:val="0"/>
            </w:pPr>
            <w:r w:rsidRPr="00CF7D68">
              <w:t>Time to cardiovascular death</w:t>
            </w:r>
          </w:p>
        </w:tc>
        <w:tc>
          <w:tcPr>
            <w:tcW w:w="1270" w:type="dxa"/>
            <w:tcBorders>
              <w:top w:val="single" w:sz="4" w:space="0" w:color="auto"/>
              <w:left w:val="single" w:sz="4" w:space="0" w:color="auto"/>
              <w:bottom w:val="single" w:sz="4" w:space="0" w:color="auto"/>
              <w:right w:val="single" w:sz="4" w:space="0" w:color="auto"/>
            </w:tcBorders>
            <w:vAlign w:val="center"/>
          </w:tcPr>
          <w:p w14:paraId="6C0C1492" w14:textId="77777777" w:rsidR="003E5ECF" w:rsidRPr="00CF7D68" w:rsidRDefault="003E5ECF" w:rsidP="00A8107D">
            <w:pPr>
              <w:pStyle w:val="TableText"/>
              <w:keepLines/>
              <w:widowControl w:val="0"/>
              <w:jc w:val="center"/>
            </w:pPr>
            <w:r w:rsidRPr="00CF7D68">
              <w:t>322 (4.9%)</w:t>
            </w:r>
          </w:p>
        </w:tc>
        <w:tc>
          <w:tcPr>
            <w:tcW w:w="1271" w:type="dxa"/>
            <w:tcBorders>
              <w:top w:val="single" w:sz="4" w:space="0" w:color="auto"/>
              <w:left w:val="single" w:sz="4" w:space="0" w:color="auto"/>
              <w:bottom w:val="single" w:sz="4" w:space="0" w:color="auto"/>
              <w:right w:val="single" w:sz="4" w:space="0" w:color="auto"/>
            </w:tcBorders>
            <w:vAlign w:val="center"/>
          </w:tcPr>
          <w:p w14:paraId="267E211F" w14:textId="77777777" w:rsidR="003E5ECF" w:rsidRPr="00CF7D68" w:rsidRDefault="003E5ECF" w:rsidP="00A8107D">
            <w:pPr>
              <w:pStyle w:val="TableText"/>
              <w:keepLines/>
              <w:widowControl w:val="0"/>
              <w:jc w:val="center"/>
            </w:pPr>
            <w:r w:rsidRPr="00CF7D68">
              <w:t>364 (5.6%)</w:t>
            </w:r>
          </w:p>
        </w:tc>
        <w:tc>
          <w:tcPr>
            <w:tcW w:w="1646" w:type="dxa"/>
            <w:tcBorders>
              <w:left w:val="single" w:sz="4" w:space="0" w:color="auto"/>
              <w:right w:val="single" w:sz="4" w:space="0" w:color="auto"/>
            </w:tcBorders>
            <w:vAlign w:val="center"/>
          </w:tcPr>
          <w:p w14:paraId="4FC9744F" w14:textId="77777777" w:rsidR="003E5ECF" w:rsidRPr="00CF7D68" w:rsidRDefault="003E5ECF" w:rsidP="00A8107D">
            <w:pPr>
              <w:pStyle w:val="TableText"/>
              <w:keepLines/>
              <w:widowControl w:val="0"/>
              <w:jc w:val="center"/>
            </w:pPr>
            <w:r w:rsidRPr="00CF7D68">
              <w:t>0.88 (0.76, 1.02)</w:t>
            </w:r>
          </w:p>
        </w:tc>
      </w:tr>
      <w:tr w:rsidR="003E5ECF" w:rsidRPr="00CF7D68" w14:paraId="5FB586EC"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08712AAA" w14:textId="77777777" w:rsidR="003E5ECF" w:rsidRPr="005235A4" w:rsidRDefault="003E5ECF" w:rsidP="00A8107D">
            <w:pPr>
              <w:pStyle w:val="TableText"/>
              <w:keepLines/>
              <w:widowControl w:val="0"/>
            </w:pPr>
            <w:r w:rsidRPr="005235A4">
              <w:t>Time to non-cardiovascular, non-renal death</w:t>
            </w:r>
          </w:p>
        </w:tc>
        <w:tc>
          <w:tcPr>
            <w:tcW w:w="1270" w:type="dxa"/>
            <w:tcBorders>
              <w:top w:val="single" w:sz="4" w:space="0" w:color="auto"/>
              <w:left w:val="single" w:sz="4" w:space="0" w:color="auto"/>
              <w:bottom w:val="single" w:sz="4" w:space="0" w:color="auto"/>
              <w:right w:val="single" w:sz="4" w:space="0" w:color="auto"/>
            </w:tcBorders>
            <w:vAlign w:val="center"/>
          </w:tcPr>
          <w:p w14:paraId="787E6318" w14:textId="77777777" w:rsidR="003E5ECF" w:rsidRPr="005235A4" w:rsidRDefault="003E5ECF" w:rsidP="00A8107D">
            <w:pPr>
              <w:pStyle w:val="TableText"/>
              <w:keepLines/>
              <w:widowControl w:val="0"/>
              <w:jc w:val="center"/>
            </w:pPr>
            <w:r w:rsidRPr="005235A4">
              <w:t>228 (3.5%)</w:t>
            </w:r>
          </w:p>
        </w:tc>
        <w:tc>
          <w:tcPr>
            <w:tcW w:w="1271" w:type="dxa"/>
            <w:tcBorders>
              <w:top w:val="single" w:sz="4" w:space="0" w:color="auto"/>
              <w:left w:val="single" w:sz="4" w:space="0" w:color="auto"/>
              <w:bottom w:val="single" w:sz="4" w:space="0" w:color="auto"/>
              <w:right w:val="single" w:sz="4" w:space="0" w:color="auto"/>
            </w:tcBorders>
            <w:vAlign w:val="center"/>
          </w:tcPr>
          <w:p w14:paraId="23AC776C" w14:textId="77777777" w:rsidR="003E5ECF" w:rsidRPr="005235A4" w:rsidRDefault="003E5ECF" w:rsidP="00A8107D">
            <w:pPr>
              <w:pStyle w:val="TableText"/>
              <w:keepLines/>
              <w:widowControl w:val="0"/>
              <w:jc w:val="center"/>
            </w:pPr>
            <w:r w:rsidRPr="005235A4">
              <w:t>246 (3.8%)</w:t>
            </w:r>
          </w:p>
        </w:tc>
        <w:tc>
          <w:tcPr>
            <w:tcW w:w="1646" w:type="dxa"/>
            <w:tcBorders>
              <w:left w:val="single" w:sz="4" w:space="0" w:color="auto"/>
              <w:right w:val="single" w:sz="4" w:space="0" w:color="auto"/>
            </w:tcBorders>
            <w:vAlign w:val="center"/>
          </w:tcPr>
          <w:p w14:paraId="2A6E2CB3" w14:textId="77777777" w:rsidR="003E5ECF" w:rsidRPr="005235A4" w:rsidRDefault="003E5ECF" w:rsidP="00A8107D">
            <w:pPr>
              <w:pStyle w:val="TableText"/>
              <w:keepLines/>
              <w:widowControl w:val="0"/>
              <w:jc w:val="center"/>
            </w:pPr>
            <w:r w:rsidRPr="005235A4">
              <w:t>0.92 (0.77, 1.10)</w:t>
            </w:r>
          </w:p>
        </w:tc>
      </w:tr>
      <w:tr w:rsidR="003E5ECF" w:rsidRPr="00CF7D68" w14:paraId="687BEDE9"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5205F8E7" w14:textId="77777777" w:rsidR="003E5ECF" w:rsidRPr="005235A4" w:rsidRDefault="003E5ECF" w:rsidP="00A8107D">
            <w:pPr>
              <w:pStyle w:val="TableText"/>
              <w:keepLines/>
              <w:widowControl w:val="0"/>
            </w:pPr>
            <w:r w:rsidRPr="005235A4">
              <w:t>Time to first cardiovascular hospitalisation</w:t>
            </w:r>
          </w:p>
        </w:tc>
        <w:tc>
          <w:tcPr>
            <w:tcW w:w="1270" w:type="dxa"/>
            <w:tcBorders>
              <w:top w:val="single" w:sz="4" w:space="0" w:color="auto"/>
              <w:left w:val="single" w:sz="4" w:space="0" w:color="auto"/>
              <w:bottom w:val="single" w:sz="4" w:space="0" w:color="auto"/>
              <w:right w:val="single" w:sz="4" w:space="0" w:color="auto"/>
            </w:tcBorders>
            <w:vAlign w:val="center"/>
          </w:tcPr>
          <w:p w14:paraId="4A2AA8B5" w14:textId="77777777" w:rsidR="003E5ECF" w:rsidRPr="005235A4" w:rsidRDefault="003E5ECF" w:rsidP="00A8107D">
            <w:pPr>
              <w:pStyle w:val="TableText"/>
              <w:keepLines/>
              <w:widowControl w:val="0"/>
              <w:jc w:val="center"/>
            </w:pPr>
            <w:r w:rsidRPr="005235A4">
              <w:t>1,208 (18.5%)</w:t>
            </w:r>
          </w:p>
        </w:tc>
        <w:tc>
          <w:tcPr>
            <w:tcW w:w="1271" w:type="dxa"/>
            <w:tcBorders>
              <w:top w:val="single" w:sz="4" w:space="0" w:color="auto"/>
              <w:left w:val="single" w:sz="4" w:space="0" w:color="auto"/>
              <w:bottom w:val="single" w:sz="4" w:space="0" w:color="auto"/>
              <w:right w:val="single" w:sz="4" w:space="0" w:color="auto"/>
            </w:tcBorders>
            <w:vAlign w:val="center"/>
          </w:tcPr>
          <w:p w14:paraId="61970C15" w14:textId="77777777" w:rsidR="003E5ECF" w:rsidRPr="005235A4" w:rsidRDefault="003E5ECF" w:rsidP="00A8107D">
            <w:pPr>
              <w:pStyle w:val="TableText"/>
              <w:keepLines/>
              <w:widowControl w:val="0"/>
              <w:jc w:val="center"/>
            </w:pPr>
            <w:r w:rsidRPr="005235A4">
              <w:t>1,279 (19.7%)</w:t>
            </w:r>
          </w:p>
        </w:tc>
        <w:tc>
          <w:tcPr>
            <w:tcW w:w="1646" w:type="dxa"/>
            <w:tcBorders>
              <w:left w:val="single" w:sz="4" w:space="0" w:color="auto"/>
              <w:right w:val="single" w:sz="4" w:space="0" w:color="auto"/>
            </w:tcBorders>
            <w:vAlign w:val="center"/>
          </w:tcPr>
          <w:p w14:paraId="7AB763C8" w14:textId="77777777" w:rsidR="003E5ECF" w:rsidRPr="005235A4" w:rsidRDefault="003E5ECF" w:rsidP="00A8107D">
            <w:pPr>
              <w:pStyle w:val="TableText"/>
              <w:keepLines/>
              <w:widowControl w:val="0"/>
              <w:jc w:val="center"/>
            </w:pPr>
            <w:r w:rsidRPr="005235A4">
              <w:t>0.93 (0.86, 1.00)</w:t>
            </w:r>
          </w:p>
        </w:tc>
      </w:tr>
      <w:tr w:rsidR="003E5ECF" w:rsidRPr="00CF7D68" w14:paraId="2C077F5A" w14:textId="77777777" w:rsidTr="00BD693B">
        <w:trPr>
          <w:trHeight w:val="70"/>
        </w:trPr>
        <w:tc>
          <w:tcPr>
            <w:tcW w:w="4830" w:type="dxa"/>
            <w:tcBorders>
              <w:top w:val="single" w:sz="4" w:space="0" w:color="auto"/>
              <w:left w:val="single" w:sz="4" w:space="0" w:color="auto"/>
              <w:bottom w:val="single" w:sz="4" w:space="0" w:color="auto"/>
              <w:right w:val="single" w:sz="4" w:space="0" w:color="auto"/>
            </w:tcBorders>
            <w:vAlign w:val="center"/>
          </w:tcPr>
          <w:p w14:paraId="7562E007" w14:textId="77777777" w:rsidR="003E5ECF" w:rsidRPr="005235A4" w:rsidRDefault="003E5ECF" w:rsidP="00A8107D">
            <w:pPr>
              <w:pStyle w:val="TableText"/>
              <w:keepLines/>
              <w:widowControl w:val="0"/>
            </w:pPr>
            <w:r w:rsidRPr="005235A4">
              <w:t>Time to first non-cardiovascular hospitalisation</w:t>
            </w:r>
          </w:p>
        </w:tc>
        <w:tc>
          <w:tcPr>
            <w:tcW w:w="1270" w:type="dxa"/>
            <w:tcBorders>
              <w:top w:val="single" w:sz="4" w:space="0" w:color="auto"/>
              <w:left w:val="single" w:sz="4" w:space="0" w:color="auto"/>
              <w:bottom w:val="single" w:sz="4" w:space="0" w:color="auto"/>
              <w:right w:val="single" w:sz="4" w:space="0" w:color="auto"/>
            </w:tcBorders>
            <w:vAlign w:val="center"/>
          </w:tcPr>
          <w:p w14:paraId="6D396B52" w14:textId="77777777" w:rsidR="003E5ECF" w:rsidRPr="005235A4" w:rsidRDefault="003E5ECF" w:rsidP="00A8107D">
            <w:pPr>
              <w:pStyle w:val="TableText"/>
              <w:keepLines/>
              <w:widowControl w:val="0"/>
              <w:jc w:val="center"/>
            </w:pPr>
            <w:r w:rsidRPr="005235A4">
              <w:t>2,272 (34.9%)</w:t>
            </w:r>
          </w:p>
        </w:tc>
        <w:tc>
          <w:tcPr>
            <w:tcW w:w="1271" w:type="dxa"/>
            <w:tcBorders>
              <w:top w:val="single" w:sz="4" w:space="0" w:color="auto"/>
              <w:left w:val="single" w:sz="4" w:space="0" w:color="auto"/>
              <w:bottom w:val="single" w:sz="4" w:space="0" w:color="auto"/>
              <w:right w:val="single" w:sz="4" w:space="0" w:color="auto"/>
            </w:tcBorders>
            <w:vAlign w:val="center"/>
          </w:tcPr>
          <w:p w14:paraId="4ED70F84" w14:textId="77777777" w:rsidR="003E5ECF" w:rsidRPr="005235A4" w:rsidRDefault="003E5ECF" w:rsidP="00A8107D">
            <w:pPr>
              <w:pStyle w:val="TableText"/>
              <w:keepLines/>
              <w:widowControl w:val="0"/>
              <w:jc w:val="center"/>
            </w:pPr>
            <w:r w:rsidRPr="005235A4">
              <w:t>2,301 (35.4%)</w:t>
            </w:r>
          </w:p>
        </w:tc>
        <w:tc>
          <w:tcPr>
            <w:tcW w:w="1646" w:type="dxa"/>
            <w:tcBorders>
              <w:left w:val="single" w:sz="4" w:space="0" w:color="auto"/>
              <w:right w:val="single" w:sz="4" w:space="0" w:color="auto"/>
            </w:tcBorders>
            <w:vAlign w:val="center"/>
          </w:tcPr>
          <w:p w14:paraId="2B7B15FE" w14:textId="77777777" w:rsidR="003E5ECF" w:rsidRPr="005235A4" w:rsidRDefault="003E5ECF" w:rsidP="00A8107D">
            <w:pPr>
              <w:pStyle w:val="TableText"/>
              <w:keepLines/>
              <w:widowControl w:val="0"/>
              <w:jc w:val="center"/>
            </w:pPr>
            <w:r w:rsidRPr="005235A4">
              <w:t>0.98 (0.93, 1.04)</w:t>
            </w:r>
          </w:p>
        </w:tc>
      </w:tr>
    </w:tbl>
    <w:p w14:paraId="68EAE283" w14:textId="6F640F56" w:rsidR="003E5ECF" w:rsidRPr="00CF7D68" w:rsidRDefault="003E5ECF" w:rsidP="00250B01">
      <w:pPr>
        <w:pStyle w:val="TableFooter"/>
      </w:pPr>
      <w:r w:rsidRPr="00CF7D68">
        <w:t>Source: Table 44 (</w:t>
      </w:r>
      <w:r w:rsidR="003073FE">
        <w:t>p</w:t>
      </w:r>
      <w:r w:rsidRPr="00CF7D68">
        <w:t>68), Table 45 (</w:t>
      </w:r>
      <w:r w:rsidR="003073FE">
        <w:t>p</w:t>
      </w:r>
      <w:r w:rsidRPr="00CF7D68">
        <w:t>69), Table 46 (</w:t>
      </w:r>
      <w:r w:rsidR="003073FE">
        <w:t>p</w:t>
      </w:r>
      <w:r w:rsidRPr="00CF7D68">
        <w:t>71), Table 47 (</w:t>
      </w:r>
      <w:r w:rsidR="003073FE">
        <w:t>p</w:t>
      </w:r>
      <w:r w:rsidRPr="00CF7D68">
        <w:t>72), Table 60 (</w:t>
      </w:r>
      <w:r w:rsidR="003073FE">
        <w:t>p</w:t>
      </w:r>
      <w:r w:rsidRPr="00CF7D68">
        <w:t>110), Table 64 (</w:t>
      </w:r>
      <w:r w:rsidR="003073FE">
        <w:t>p</w:t>
      </w:r>
      <w:r w:rsidRPr="00CF7D68">
        <w:t>114) of the submission; Table 14.2.2/1 (</w:t>
      </w:r>
      <w:r w:rsidR="003073FE">
        <w:t>p</w:t>
      </w:r>
      <w:r w:rsidRPr="00CF7D68">
        <w:t>4), Table 14.2.2/3 (</w:t>
      </w:r>
      <w:r w:rsidR="003073FE">
        <w:t>p</w:t>
      </w:r>
      <w:r w:rsidRPr="00CF7D68">
        <w:t>6), Table 14.2.1/1 (</w:t>
      </w:r>
      <w:r w:rsidR="003073FE">
        <w:t>p</w:t>
      </w:r>
      <w:r w:rsidRPr="00CF7D68">
        <w:t>5), Table 14.2.1/3 (</w:t>
      </w:r>
      <w:r w:rsidR="003073FE">
        <w:t>p</w:t>
      </w:r>
      <w:r w:rsidRPr="00CF7D68">
        <w:t>9), Table 14.2.3/19 (</w:t>
      </w:r>
      <w:r w:rsidR="003073FE">
        <w:t>p</w:t>
      </w:r>
      <w:r w:rsidRPr="00CF7D68">
        <w:t>34), Table 14.2.3/21 (</w:t>
      </w:r>
      <w:r w:rsidR="003073FE">
        <w:t>p</w:t>
      </w:r>
      <w:r w:rsidRPr="00CF7D68">
        <w:t>36) of the FIDELITY pooled analysis</w:t>
      </w:r>
    </w:p>
    <w:p w14:paraId="1600B367" w14:textId="77777777" w:rsidR="003E5ECF" w:rsidRPr="00CF7D68" w:rsidRDefault="003E5ECF" w:rsidP="00250B01">
      <w:pPr>
        <w:pStyle w:val="TableFooter"/>
      </w:pPr>
      <w:r w:rsidRPr="00CF7D68">
        <w:t>Abbreviations: CI, confidence interval; HR, hazard ratio; NR, not reported</w:t>
      </w:r>
    </w:p>
    <w:p w14:paraId="53EB2E2F" w14:textId="2DD2AE64" w:rsidR="003E5ECF" w:rsidRPr="00CF7D68" w:rsidRDefault="003E5ECF" w:rsidP="00250B01">
      <w:pPr>
        <w:pStyle w:val="TableFooter"/>
      </w:pPr>
      <w:r w:rsidRPr="00CF7D68">
        <w:t>Note: Bolding indicates a statistically significant difference</w:t>
      </w:r>
    </w:p>
    <w:p w14:paraId="0678F505" w14:textId="70E0CFBE" w:rsidR="006C4BAA" w:rsidRPr="00CF7D68" w:rsidRDefault="006C4BAA" w:rsidP="00250B01">
      <w:pPr>
        <w:pStyle w:val="TableFooter"/>
      </w:pPr>
      <w:r w:rsidRPr="00CF7D68">
        <w:rPr>
          <w:vertAlign w:val="superscript"/>
        </w:rPr>
        <w:t>a</w:t>
      </w:r>
      <w:r w:rsidRPr="00CF7D68">
        <w:t xml:space="preserve"> </w:t>
      </w:r>
      <w:r w:rsidR="00332A40" w:rsidRPr="00CF7D68">
        <w:t>Composite of the time to cardiovascular death, non-fatal myocardial infarction, non-fatal stroke, or hospitalisation due to heart failure</w:t>
      </w:r>
    </w:p>
    <w:p w14:paraId="7B8E9DD6" w14:textId="502E1C86" w:rsidR="00332A40" w:rsidRPr="00CF7D68" w:rsidRDefault="00332A40" w:rsidP="00250B01">
      <w:pPr>
        <w:pStyle w:val="TableFooter"/>
      </w:pPr>
      <w:r w:rsidRPr="00CF7D68">
        <w:rPr>
          <w:vertAlign w:val="superscript"/>
        </w:rPr>
        <w:t xml:space="preserve">b </w:t>
      </w:r>
      <w:r w:rsidRPr="00CF7D68">
        <w:t>Composite of the time to kidney failure, sustained decrease of eGFR greater or equal to 40% from baseline over at least 4 weeks, or renal death</w:t>
      </w:r>
    </w:p>
    <w:p w14:paraId="14092430" w14:textId="148848F3" w:rsidR="00332A40" w:rsidRPr="00CF7D68" w:rsidRDefault="00332A40" w:rsidP="00250B01">
      <w:pPr>
        <w:pStyle w:val="TableFooter"/>
      </w:pPr>
      <w:r w:rsidRPr="00CF7D68">
        <w:rPr>
          <w:vertAlign w:val="superscript"/>
        </w:rPr>
        <w:t xml:space="preserve">c </w:t>
      </w:r>
      <w:r w:rsidRPr="00CF7D68">
        <w:t>Composite of the time to kidney failure, sustained decrease of eGFR greater or equal to 57% from baseline over at least 4 weeks, or renal death</w:t>
      </w:r>
    </w:p>
    <w:p w14:paraId="44C650AC" w14:textId="63AB0B0A" w:rsidR="003E5ECF" w:rsidRPr="00CF7D68" w:rsidRDefault="003E5ECF" w:rsidP="005B3345">
      <w:pPr>
        <w:pStyle w:val="ExecSumBodyText"/>
        <w:ind w:left="709" w:hanging="709"/>
      </w:pPr>
      <w:r w:rsidRPr="00CF7D68">
        <w:t xml:space="preserve">Treatment with </w:t>
      </w:r>
      <w:proofErr w:type="spellStart"/>
      <w:r w:rsidRPr="00CF7D68">
        <w:t>finerenone</w:t>
      </w:r>
      <w:proofErr w:type="spellEnd"/>
      <w:r w:rsidRPr="00CF7D68">
        <w:t xml:space="preserve"> was associated with a statistically significant reduction in cardiovascular and renal (using either the 40% or 57% eGFR threshold) composite outcomes compared to placebo. Exploratory analyses of individual outcomes suggested that treatment with </w:t>
      </w:r>
      <w:proofErr w:type="spellStart"/>
      <w:r w:rsidRPr="00CF7D68">
        <w:t>finerenone</w:t>
      </w:r>
      <w:proofErr w:type="spellEnd"/>
      <w:r w:rsidRPr="00CF7D68">
        <w:t xml:space="preserve"> was associated with reductions in heart failure hospitalisation, worsening renal impairment and progression to kidney failure. </w:t>
      </w:r>
    </w:p>
    <w:p w14:paraId="4F34539F" w14:textId="308E5200" w:rsidR="003E5ECF" w:rsidRPr="00CF7D68" w:rsidRDefault="003E5ECF" w:rsidP="005B3345">
      <w:pPr>
        <w:pStyle w:val="ExecSumBodyText"/>
        <w:ind w:left="709" w:hanging="709"/>
      </w:pPr>
      <w:r w:rsidRPr="00CF7D68">
        <w:t>Further exploratory analyses of cardiovascular mortality indicate that</w:t>
      </w:r>
      <w:r w:rsidR="00826D1F" w:rsidRPr="00CF7D68">
        <w:t>,</w:t>
      </w:r>
      <w:r w:rsidRPr="00CF7D68">
        <w:t xml:space="preserve"> while </w:t>
      </w:r>
      <w:proofErr w:type="spellStart"/>
      <w:r w:rsidRPr="00CF7D68">
        <w:t>finerenone</w:t>
      </w:r>
      <w:proofErr w:type="spellEnd"/>
      <w:r w:rsidRPr="00CF7D68">
        <w:t xml:space="preserve"> was not associated with a statistically significant reduction in the broader category of cardiovascular death</w:t>
      </w:r>
      <w:r w:rsidR="00826D1F" w:rsidRPr="00CF7D68">
        <w:t>,</w:t>
      </w:r>
      <w:r w:rsidRPr="00CF7D68">
        <w:t xml:space="preserve"> it may be associated with a reduction in sudden cardiac death</w:t>
      </w:r>
      <w:r w:rsidR="005B3345" w:rsidRPr="00CF7D68">
        <w:t xml:space="preserve"> and death due to heart failure</w:t>
      </w:r>
      <w:r w:rsidRPr="00CF7D68">
        <w:t xml:space="preserve">. However, further analyses of myocardial infarction and stroke exploratory outcomes did not clearly demonstrate a reduction in risk with </w:t>
      </w:r>
      <w:proofErr w:type="spellStart"/>
      <w:r w:rsidRPr="00CF7D68">
        <w:t>finerenone</w:t>
      </w:r>
      <w:proofErr w:type="spellEnd"/>
      <w:r w:rsidRPr="00CF7D68">
        <w:t xml:space="preserve"> treatment.</w:t>
      </w:r>
    </w:p>
    <w:p w14:paraId="6D070D9C" w14:textId="6537B055" w:rsidR="005B3345" w:rsidRDefault="005B3345" w:rsidP="005B3345">
      <w:pPr>
        <w:pStyle w:val="ExecSumBodyText"/>
        <w:ind w:left="709" w:hanging="709"/>
      </w:pPr>
      <w:r w:rsidRPr="00CF7D68">
        <w:t xml:space="preserve">The </w:t>
      </w:r>
      <w:r w:rsidR="00B23102" w:rsidRPr="00CF7D68">
        <w:rPr>
          <w:iCs/>
        </w:rPr>
        <w:t>pre-specified</w:t>
      </w:r>
      <w:r w:rsidR="00B23102" w:rsidRPr="00CF7D68">
        <w:t xml:space="preserve"> </w:t>
      </w:r>
      <w:r w:rsidRPr="00CF7D68">
        <w:t>subgroup analyses of cardiovascular outcomes did not suggest any major treatment effect interactions</w:t>
      </w:r>
      <w:r w:rsidR="00302DB3">
        <w:t xml:space="preserve"> (see</w:t>
      </w:r>
      <w:r w:rsidR="00302DB3" w:rsidRPr="00FF7AF1">
        <w:t xml:space="preserve"> </w:t>
      </w:r>
      <w:r w:rsidR="00302DB3" w:rsidRPr="00FF7AF1">
        <w:fldChar w:fldCharType="begin"/>
      </w:r>
      <w:r w:rsidR="00302DB3" w:rsidRPr="00FF7AF1">
        <w:instrText xml:space="preserve"> REF _Ref110682787 \h  \* MERGEFORMAT </w:instrText>
      </w:r>
      <w:r w:rsidR="00302DB3" w:rsidRPr="00FF7AF1">
        <w:fldChar w:fldCharType="separate"/>
      </w:r>
      <w:r w:rsidR="00AE5D6E">
        <w:t xml:space="preserve">Table </w:t>
      </w:r>
      <w:r w:rsidR="00AE5D6E">
        <w:rPr>
          <w:noProof/>
        </w:rPr>
        <w:t>8</w:t>
      </w:r>
      <w:r w:rsidR="00302DB3" w:rsidRPr="00FF7AF1">
        <w:fldChar w:fldCharType="end"/>
      </w:r>
      <w:r w:rsidR="00302DB3" w:rsidRPr="00FF7AF1">
        <w:t xml:space="preserve"> and </w:t>
      </w:r>
      <w:r w:rsidR="00302DB3" w:rsidRPr="00FF7AF1">
        <w:fldChar w:fldCharType="begin"/>
      </w:r>
      <w:r w:rsidR="00302DB3" w:rsidRPr="00FF7AF1">
        <w:instrText xml:space="preserve"> REF _Ref110682789 \h  \* MERGEFORMAT </w:instrText>
      </w:r>
      <w:r w:rsidR="00302DB3" w:rsidRPr="00FF7AF1">
        <w:fldChar w:fldCharType="separate"/>
      </w:r>
      <w:r w:rsidR="00AE5D6E">
        <w:t xml:space="preserve">Table </w:t>
      </w:r>
      <w:r w:rsidR="00AE5D6E">
        <w:rPr>
          <w:noProof/>
        </w:rPr>
        <w:t>9</w:t>
      </w:r>
      <w:r w:rsidR="00302DB3" w:rsidRPr="00FF7AF1">
        <w:fldChar w:fldCharType="end"/>
      </w:r>
      <w:r w:rsidR="00302DB3" w:rsidRPr="00FF7AF1">
        <w:t>)</w:t>
      </w:r>
      <w:r w:rsidRPr="00CF7D68">
        <w:t>.</w:t>
      </w:r>
      <w:r w:rsidR="00302DB3" w:rsidRPr="00302DB3">
        <w:t xml:space="preserve"> </w:t>
      </w:r>
      <w:r w:rsidR="00703518" w:rsidRPr="00FF7AF1">
        <w:t xml:space="preserve">The ESC considered that the impact of the interaction between </w:t>
      </w:r>
      <w:proofErr w:type="spellStart"/>
      <w:r w:rsidR="00703518" w:rsidRPr="00FF7AF1">
        <w:t>finerenone</w:t>
      </w:r>
      <w:proofErr w:type="spellEnd"/>
      <w:r w:rsidR="00703518" w:rsidRPr="00FF7AF1">
        <w:t xml:space="preserve"> and SGLT2 inhibitors and GLP-1 analogues on overall outcomes was unclear, although noted that the post hoc </w:t>
      </w:r>
      <w:r w:rsidR="00703518" w:rsidRPr="00FF7AF1">
        <w:lastRenderedPageBreak/>
        <w:t xml:space="preserve">subgroup analyses suggested that the benefits of </w:t>
      </w:r>
      <w:proofErr w:type="spellStart"/>
      <w:r w:rsidR="00703518" w:rsidRPr="00FF7AF1">
        <w:t>finerenone</w:t>
      </w:r>
      <w:proofErr w:type="spellEnd"/>
      <w:r w:rsidR="00703518" w:rsidRPr="00FF7AF1">
        <w:t xml:space="preserve"> were maintained with or without concomitant use of these medications</w:t>
      </w:r>
      <w:r w:rsidR="00703518">
        <w:t xml:space="preserve">. </w:t>
      </w:r>
      <w:r w:rsidR="00302DB3">
        <w:t xml:space="preserve">The PBAC noted the discordant effects across the </w:t>
      </w:r>
      <w:r w:rsidR="005E1291">
        <w:t>2</w:t>
      </w:r>
      <w:r w:rsidR="00302DB3">
        <w:t xml:space="preserve"> key trials and the imprecision of the post</w:t>
      </w:r>
      <w:r w:rsidR="00AE5D6E">
        <w:t xml:space="preserve"> </w:t>
      </w:r>
      <w:r w:rsidR="00302DB3">
        <w:t>hoc subgroup analyses, resulting in wide confidence intervals, limited reliable interpretation of the results.</w:t>
      </w:r>
    </w:p>
    <w:p w14:paraId="2474A2D1" w14:textId="5E5834DE" w:rsidR="00AC2068" w:rsidRPr="00CF7D68" w:rsidRDefault="00AC2068" w:rsidP="005B3345">
      <w:pPr>
        <w:pStyle w:val="ExecSumBodyText"/>
        <w:ind w:left="709" w:hanging="709"/>
      </w:pPr>
      <w:r>
        <w:t>The PBAC also noted the ongoing CONFIDENCE trial (</w:t>
      </w:r>
      <w:r w:rsidRPr="00AC2068">
        <w:t>NCT05254002</w:t>
      </w:r>
      <w:r>
        <w:t xml:space="preserve">) investigating </w:t>
      </w:r>
      <w:proofErr w:type="spellStart"/>
      <w:r>
        <w:t>finerenone</w:t>
      </w:r>
      <w:proofErr w:type="spellEnd"/>
      <w:r>
        <w:t xml:space="preserve"> versus empagliflozin versus combination </w:t>
      </w:r>
      <w:r w:rsidR="006D0D8D">
        <w:t>therapy and</w:t>
      </w:r>
      <w:r>
        <w:t xml:space="preserve"> considered that this trial design could only be ethically justified if there was equipoise regarding the additive benefit of </w:t>
      </w:r>
      <w:proofErr w:type="spellStart"/>
      <w:r>
        <w:t>finerenone</w:t>
      </w:r>
      <w:proofErr w:type="spellEnd"/>
      <w:r>
        <w:t xml:space="preserve"> to an SGLT2 inhibitor.</w:t>
      </w:r>
    </w:p>
    <w:p w14:paraId="2982A2EA" w14:textId="2FF989CC" w:rsidR="00894DDA" w:rsidRPr="00C623FC" w:rsidRDefault="00116C8E" w:rsidP="00C71487">
      <w:pPr>
        <w:pStyle w:val="TableFigureCaption"/>
      </w:pPr>
      <w:bookmarkStart w:id="29" w:name="_Ref110682787"/>
      <w:r>
        <w:t xml:space="preserve">Table </w:t>
      </w:r>
      <w:r w:rsidR="00F9376A">
        <w:fldChar w:fldCharType="begin"/>
      </w:r>
      <w:r w:rsidR="00F9376A">
        <w:instrText xml:space="preserve"> SEQ Table \* ARABIC </w:instrText>
      </w:r>
      <w:r w:rsidR="00F9376A">
        <w:fldChar w:fldCharType="separate"/>
      </w:r>
      <w:r w:rsidR="00AE5D6E">
        <w:rPr>
          <w:noProof/>
        </w:rPr>
        <w:t>8</w:t>
      </w:r>
      <w:r w:rsidR="00F9376A">
        <w:rPr>
          <w:noProof/>
        </w:rPr>
        <w:fldChar w:fldCharType="end"/>
      </w:r>
      <w:bookmarkEnd w:id="29"/>
      <w:r>
        <w:t>:</w:t>
      </w:r>
      <w:r w:rsidR="00894DDA" w:rsidRPr="00C623FC">
        <w:t xml:space="preserve"> Key subgroup analyses of the cardiovascular composite endpoint from FIDELIO-DKD, FIGARO-DKD and FIDELITY</w:t>
      </w:r>
    </w:p>
    <w:tbl>
      <w:tblPr>
        <w:tblW w:w="498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60"/>
        <w:gridCol w:w="709"/>
        <w:gridCol w:w="808"/>
        <w:gridCol w:w="653"/>
        <w:gridCol w:w="651"/>
        <w:gridCol w:w="653"/>
        <w:gridCol w:w="653"/>
        <w:gridCol w:w="651"/>
        <w:gridCol w:w="653"/>
        <w:gridCol w:w="653"/>
        <w:gridCol w:w="651"/>
        <w:gridCol w:w="653"/>
        <w:gridCol w:w="646"/>
      </w:tblGrid>
      <w:tr w:rsidR="00894DDA" w:rsidRPr="00C623FC" w14:paraId="2C2731BE" w14:textId="77777777" w:rsidTr="00C71487">
        <w:trPr>
          <w:trHeight w:val="40"/>
          <w:tblHeader/>
        </w:trPr>
        <w:tc>
          <w:tcPr>
            <w:tcW w:w="534" w:type="pct"/>
            <w:vMerge w:val="restart"/>
            <w:vAlign w:val="center"/>
          </w:tcPr>
          <w:p w14:paraId="13B0B1F8" w14:textId="77777777" w:rsidR="00894DDA" w:rsidRPr="00C623FC" w:rsidRDefault="00894DDA" w:rsidP="00510CCF">
            <w:pPr>
              <w:pStyle w:val="COMtbl-HEADLeftAligned"/>
            </w:pPr>
            <w:r w:rsidRPr="00C623FC">
              <w:t>Subgroup</w:t>
            </w:r>
          </w:p>
        </w:tc>
        <w:tc>
          <w:tcPr>
            <w:tcW w:w="1567" w:type="pct"/>
            <w:gridSpan w:val="4"/>
            <w:tcBorders>
              <w:right w:val="double" w:sz="4" w:space="0" w:color="auto"/>
            </w:tcBorders>
            <w:vAlign w:val="center"/>
          </w:tcPr>
          <w:p w14:paraId="7CA82B17" w14:textId="77777777" w:rsidR="00894DDA" w:rsidRPr="00C623FC" w:rsidRDefault="00894DDA" w:rsidP="00510CCF">
            <w:pPr>
              <w:pStyle w:val="COMtbl-HEADCentred"/>
            </w:pPr>
            <w:r w:rsidRPr="00C623FC">
              <w:t>FIDELIO-DKD, n/N (rate per 100 patient years)</w:t>
            </w:r>
          </w:p>
        </w:tc>
        <w:tc>
          <w:tcPr>
            <w:tcW w:w="1451" w:type="pct"/>
            <w:gridSpan w:val="4"/>
            <w:tcBorders>
              <w:left w:val="double" w:sz="4" w:space="0" w:color="auto"/>
              <w:right w:val="double" w:sz="4" w:space="0" w:color="auto"/>
            </w:tcBorders>
            <w:vAlign w:val="center"/>
          </w:tcPr>
          <w:p w14:paraId="5A8A13CE" w14:textId="77777777" w:rsidR="00894DDA" w:rsidRPr="00C623FC" w:rsidRDefault="00894DDA" w:rsidP="00510CCF">
            <w:pPr>
              <w:pStyle w:val="COMtbl-HEADCentred"/>
            </w:pPr>
            <w:r w:rsidRPr="00C623FC">
              <w:t>FIGARO-DKD, n/N (rate per 100 patient years)</w:t>
            </w:r>
          </w:p>
        </w:tc>
        <w:tc>
          <w:tcPr>
            <w:tcW w:w="1448" w:type="pct"/>
            <w:gridSpan w:val="4"/>
            <w:tcBorders>
              <w:left w:val="double" w:sz="4" w:space="0" w:color="auto"/>
            </w:tcBorders>
            <w:vAlign w:val="center"/>
          </w:tcPr>
          <w:p w14:paraId="7E26A8D0" w14:textId="77777777" w:rsidR="00894DDA" w:rsidRPr="00C623FC" w:rsidRDefault="00894DDA" w:rsidP="00510CCF">
            <w:pPr>
              <w:pStyle w:val="COMtbl-HEADCentred"/>
            </w:pPr>
            <w:r w:rsidRPr="00C623FC">
              <w:t>FIDELITY, n/N (rate per 100 patient years)</w:t>
            </w:r>
          </w:p>
        </w:tc>
      </w:tr>
      <w:tr w:rsidR="00894DDA" w:rsidRPr="00C623FC" w14:paraId="051AF7A7" w14:textId="77777777" w:rsidTr="00C71487">
        <w:trPr>
          <w:trHeight w:val="40"/>
          <w:tblHeader/>
        </w:trPr>
        <w:tc>
          <w:tcPr>
            <w:tcW w:w="534" w:type="pct"/>
            <w:vMerge/>
            <w:vAlign w:val="center"/>
          </w:tcPr>
          <w:p w14:paraId="76AC1B5D" w14:textId="77777777" w:rsidR="00894DDA" w:rsidRPr="00C623FC" w:rsidRDefault="00894DDA" w:rsidP="00510CCF">
            <w:pPr>
              <w:pStyle w:val="COMtbl-HEADLeftAligned"/>
            </w:pPr>
          </w:p>
        </w:tc>
        <w:tc>
          <w:tcPr>
            <w:tcW w:w="394" w:type="pct"/>
            <w:vAlign w:val="center"/>
          </w:tcPr>
          <w:p w14:paraId="43A2BAB7" w14:textId="77777777" w:rsidR="00894DDA" w:rsidRPr="00C623FC" w:rsidRDefault="00894DDA" w:rsidP="00510CCF">
            <w:pPr>
              <w:pStyle w:val="COMtbl-HEADCentred"/>
            </w:pPr>
            <w:r w:rsidRPr="00C623FC">
              <w:t>FIN</w:t>
            </w:r>
          </w:p>
        </w:tc>
        <w:tc>
          <w:tcPr>
            <w:tcW w:w="449" w:type="pct"/>
            <w:vAlign w:val="center"/>
          </w:tcPr>
          <w:p w14:paraId="54E1E91A" w14:textId="77777777" w:rsidR="00894DDA" w:rsidRPr="00C623FC" w:rsidRDefault="00894DDA" w:rsidP="00510CCF">
            <w:pPr>
              <w:pStyle w:val="COMtbl-HEADCentred"/>
            </w:pPr>
            <w:r w:rsidRPr="00C623FC">
              <w:t>PBO</w:t>
            </w:r>
          </w:p>
        </w:tc>
        <w:tc>
          <w:tcPr>
            <w:tcW w:w="363" w:type="pct"/>
            <w:vAlign w:val="center"/>
          </w:tcPr>
          <w:p w14:paraId="79B8767D" w14:textId="77777777" w:rsidR="00894DDA" w:rsidRPr="00C623FC" w:rsidRDefault="00894DDA" w:rsidP="00510CCF">
            <w:pPr>
              <w:pStyle w:val="COMtbl-HEADCentred"/>
            </w:pPr>
            <w:r w:rsidRPr="00C623FC">
              <w:t xml:space="preserve">HR </w:t>
            </w:r>
          </w:p>
          <w:p w14:paraId="34A696C4" w14:textId="77777777" w:rsidR="00894DDA" w:rsidRPr="00C623FC" w:rsidRDefault="00894DDA" w:rsidP="00510CCF">
            <w:pPr>
              <w:pStyle w:val="COMtbl-HEADCentred"/>
            </w:pPr>
            <w:r w:rsidRPr="00C623FC">
              <w:t>(95% CI)</w:t>
            </w:r>
          </w:p>
        </w:tc>
        <w:tc>
          <w:tcPr>
            <w:tcW w:w="362" w:type="pct"/>
            <w:tcBorders>
              <w:right w:val="double" w:sz="4" w:space="0" w:color="auto"/>
            </w:tcBorders>
            <w:vAlign w:val="center"/>
          </w:tcPr>
          <w:p w14:paraId="75F2B2B1" w14:textId="77777777" w:rsidR="00894DDA" w:rsidRPr="00C623FC" w:rsidRDefault="00894DDA" w:rsidP="00510CCF">
            <w:pPr>
              <w:pStyle w:val="COMtbl-HEADCentred"/>
            </w:pPr>
            <w:r w:rsidRPr="00C623FC">
              <w:t>Interaction p-value</w:t>
            </w:r>
          </w:p>
        </w:tc>
        <w:tc>
          <w:tcPr>
            <w:tcW w:w="363" w:type="pct"/>
            <w:tcBorders>
              <w:left w:val="double" w:sz="4" w:space="0" w:color="auto"/>
            </w:tcBorders>
            <w:vAlign w:val="center"/>
          </w:tcPr>
          <w:p w14:paraId="7ABE3A2A" w14:textId="77777777" w:rsidR="00894DDA" w:rsidRPr="00C623FC" w:rsidRDefault="00894DDA" w:rsidP="00510CCF">
            <w:pPr>
              <w:pStyle w:val="COMtbl-HEADCentred"/>
            </w:pPr>
            <w:r w:rsidRPr="00C623FC">
              <w:t>FIN</w:t>
            </w:r>
          </w:p>
        </w:tc>
        <w:tc>
          <w:tcPr>
            <w:tcW w:w="363" w:type="pct"/>
            <w:vAlign w:val="center"/>
          </w:tcPr>
          <w:p w14:paraId="6ECA65D9" w14:textId="77777777" w:rsidR="00894DDA" w:rsidRPr="00C623FC" w:rsidRDefault="00894DDA" w:rsidP="00510CCF">
            <w:pPr>
              <w:pStyle w:val="COMtbl-HEADCentred"/>
            </w:pPr>
            <w:r w:rsidRPr="00C623FC">
              <w:t>PBO</w:t>
            </w:r>
          </w:p>
        </w:tc>
        <w:tc>
          <w:tcPr>
            <w:tcW w:w="362" w:type="pct"/>
            <w:vAlign w:val="center"/>
          </w:tcPr>
          <w:p w14:paraId="65B23B21" w14:textId="77777777" w:rsidR="00894DDA" w:rsidRPr="00C623FC" w:rsidRDefault="00894DDA" w:rsidP="00510CCF">
            <w:pPr>
              <w:pStyle w:val="COMtbl-HEADCentred"/>
            </w:pPr>
            <w:r w:rsidRPr="00C623FC">
              <w:t xml:space="preserve">HR </w:t>
            </w:r>
          </w:p>
          <w:p w14:paraId="0193403A" w14:textId="77777777" w:rsidR="00894DDA" w:rsidRPr="00C623FC" w:rsidRDefault="00894DDA" w:rsidP="00510CCF">
            <w:pPr>
              <w:pStyle w:val="COMtbl-HEADCentred"/>
            </w:pPr>
            <w:r w:rsidRPr="00C623FC">
              <w:t>(95% CI)</w:t>
            </w:r>
          </w:p>
        </w:tc>
        <w:tc>
          <w:tcPr>
            <w:tcW w:w="363" w:type="pct"/>
            <w:tcBorders>
              <w:right w:val="double" w:sz="4" w:space="0" w:color="auto"/>
            </w:tcBorders>
            <w:vAlign w:val="center"/>
          </w:tcPr>
          <w:p w14:paraId="09139F61" w14:textId="77777777" w:rsidR="00894DDA" w:rsidRPr="00C623FC" w:rsidRDefault="00894DDA" w:rsidP="00510CCF">
            <w:pPr>
              <w:pStyle w:val="COMtbl-HEADCentred"/>
            </w:pPr>
            <w:r w:rsidRPr="00C623FC">
              <w:t>Interaction p-value</w:t>
            </w:r>
          </w:p>
        </w:tc>
        <w:tc>
          <w:tcPr>
            <w:tcW w:w="363" w:type="pct"/>
            <w:tcBorders>
              <w:left w:val="double" w:sz="4" w:space="0" w:color="auto"/>
            </w:tcBorders>
            <w:vAlign w:val="center"/>
          </w:tcPr>
          <w:p w14:paraId="50D60975" w14:textId="77777777" w:rsidR="00894DDA" w:rsidRPr="00C623FC" w:rsidRDefault="00894DDA" w:rsidP="00510CCF">
            <w:pPr>
              <w:pStyle w:val="COMtbl-HEADCentred"/>
            </w:pPr>
            <w:r w:rsidRPr="00C623FC">
              <w:t>FIN</w:t>
            </w:r>
          </w:p>
        </w:tc>
        <w:tc>
          <w:tcPr>
            <w:tcW w:w="362" w:type="pct"/>
            <w:vAlign w:val="center"/>
          </w:tcPr>
          <w:p w14:paraId="3E359BD8" w14:textId="77777777" w:rsidR="00894DDA" w:rsidRPr="00C623FC" w:rsidRDefault="00894DDA" w:rsidP="00510CCF">
            <w:pPr>
              <w:pStyle w:val="COMtbl-HEADCentred"/>
            </w:pPr>
            <w:r w:rsidRPr="00C623FC">
              <w:t>PBO</w:t>
            </w:r>
          </w:p>
        </w:tc>
        <w:tc>
          <w:tcPr>
            <w:tcW w:w="363" w:type="pct"/>
            <w:vAlign w:val="center"/>
          </w:tcPr>
          <w:p w14:paraId="29A87075" w14:textId="77777777" w:rsidR="00894DDA" w:rsidRPr="00C623FC" w:rsidRDefault="00894DDA" w:rsidP="00510CCF">
            <w:pPr>
              <w:pStyle w:val="COMtbl-HEADCentred"/>
            </w:pPr>
            <w:r w:rsidRPr="00C623FC">
              <w:t xml:space="preserve">HR </w:t>
            </w:r>
          </w:p>
          <w:p w14:paraId="3DEEFAD1" w14:textId="77777777" w:rsidR="00894DDA" w:rsidRPr="00C623FC" w:rsidRDefault="00894DDA" w:rsidP="00510CCF">
            <w:pPr>
              <w:pStyle w:val="COMtbl-HEADCentred"/>
            </w:pPr>
            <w:r w:rsidRPr="00C623FC">
              <w:t>(95% CI)</w:t>
            </w:r>
          </w:p>
        </w:tc>
        <w:tc>
          <w:tcPr>
            <w:tcW w:w="360" w:type="pct"/>
            <w:vAlign w:val="center"/>
          </w:tcPr>
          <w:p w14:paraId="1418F440" w14:textId="77777777" w:rsidR="00894DDA" w:rsidRPr="00C623FC" w:rsidRDefault="00894DDA" w:rsidP="00510CCF">
            <w:pPr>
              <w:pStyle w:val="COMtbl-HEADCentred"/>
            </w:pPr>
            <w:r w:rsidRPr="00C623FC">
              <w:t>Interaction</w:t>
            </w:r>
          </w:p>
          <w:p w14:paraId="1C5F0A4D" w14:textId="77777777" w:rsidR="00894DDA" w:rsidRPr="00C623FC" w:rsidRDefault="00894DDA" w:rsidP="00510CCF">
            <w:pPr>
              <w:pStyle w:val="COMtbl-HEADCentred"/>
            </w:pPr>
            <w:r w:rsidRPr="00C623FC">
              <w:t>p-value</w:t>
            </w:r>
          </w:p>
        </w:tc>
      </w:tr>
      <w:tr w:rsidR="00894DDA" w:rsidRPr="00C623FC" w14:paraId="14ABBBC9" w14:textId="77777777" w:rsidTr="00510CCF">
        <w:tc>
          <w:tcPr>
            <w:tcW w:w="5000" w:type="pct"/>
            <w:gridSpan w:val="13"/>
            <w:vAlign w:val="center"/>
          </w:tcPr>
          <w:p w14:paraId="3D3E28B0" w14:textId="77777777" w:rsidR="00894DDA" w:rsidRPr="00C623FC" w:rsidRDefault="00894DDA" w:rsidP="00510CCF">
            <w:pPr>
              <w:pStyle w:val="COMtbl-textCentred"/>
              <w:jc w:val="both"/>
              <w:rPr>
                <w:b/>
                <w:bCs/>
              </w:rPr>
            </w:pPr>
            <w:r w:rsidRPr="00C623FC">
              <w:rPr>
                <w:b/>
                <w:bCs/>
              </w:rPr>
              <w:t>Baseline UACR mg/g</w:t>
            </w:r>
          </w:p>
        </w:tc>
      </w:tr>
      <w:tr w:rsidR="00894DDA" w:rsidRPr="00C623FC" w14:paraId="65C3C642" w14:textId="77777777" w:rsidTr="00C71487">
        <w:tc>
          <w:tcPr>
            <w:tcW w:w="534" w:type="pct"/>
            <w:vAlign w:val="center"/>
          </w:tcPr>
          <w:p w14:paraId="1B4FCB50" w14:textId="77777777" w:rsidR="00894DDA" w:rsidRPr="00C623FC" w:rsidRDefault="00894DDA" w:rsidP="00510CCF">
            <w:pPr>
              <w:pStyle w:val="COMtbl-textLeftAligned"/>
            </w:pPr>
            <w:r w:rsidRPr="00C623FC">
              <w:t>&lt; 30</w:t>
            </w:r>
          </w:p>
        </w:tc>
        <w:tc>
          <w:tcPr>
            <w:tcW w:w="394" w:type="pct"/>
            <w:vAlign w:val="center"/>
          </w:tcPr>
          <w:p w14:paraId="5F3785DE" w14:textId="77777777" w:rsidR="00894DDA" w:rsidRPr="00C623FC" w:rsidRDefault="00894DDA" w:rsidP="00510CCF">
            <w:pPr>
              <w:pStyle w:val="COMtbl-textCentred"/>
            </w:pPr>
            <w:r w:rsidRPr="00C623FC">
              <w:t xml:space="preserve">0/11 </w:t>
            </w:r>
          </w:p>
          <w:p w14:paraId="70176C43" w14:textId="77777777" w:rsidR="00894DDA" w:rsidRPr="00C623FC" w:rsidRDefault="00894DDA" w:rsidP="00510CCF">
            <w:pPr>
              <w:pStyle w:val="COMtbl-textCentred"/>
            </w:pPr>
            <w:r w:rsidRPr="00C623FC">
              <w:t>(0.0)</w:t>
            </w:r>
          </w:p>
        </w:tc>
        <w:tc>
          <w:tcPr>
            <w:tcW w:w="449" w:type="pct"/>
            <w:vAlign w:val="center"/>
          </w:tcPr>
          <w:p w14:paraId="4DA145A4" w14:textId="77777777" w:rsidR="00894DDA" w:rsidRPr="00C623FC" w:rsidRDefault="00894DDA" w:rsidP="00510CCF">
            <w:pPr>
              <w:pStyle w:val="COMtbl-textCentred"/>
            </w:pPr>
            <w:r w:rsidRPr="00C623FC">
              <w:t xml:space="preserve">2/12 </w:t>
            </w:r>
          </w:p>
          <w:p w14:paraId="3EF995CC" w14:textId="77777777" w:rsidR="00894DDA" w:rsidRPr="00C623FC" w:rsidRDefault="00894DDA" w:rsidP="00510CCF">
            <w:pPr>
              <w:pStyle w:val="COMtbl-textCentred"/>
            </w:pPr>
            <w:r w:rsidRPr="00C623FC">
              <w:t>(5.53)</w:t>
            </w:r>
          </w:p>
        </w:tc>
        <w:tc>
          <w:tcPr>
            <w:tcW w:w="363" w:type="pct"/>
            <w:vAlign w:val="center"/>
          </w:tcPr>
          <w:p w14:paraId="07F47832" w14:textId="77777777" w:rsidR="00894DDA" w:rsidRPr="00C623FC" w:rsidRDefault="00894DDA" w:rsidP="00510CCF">
            <w:pPr>
              <w:pStyle w:val="COMtbl-textCentred"/>
            </w:pPr>
            <w:r w:rsidRPr="00C623FC">
              <w:t>NC</w:t>
            </w:r>
          </w:p>
        </w:tc>
        <w:tc>
          <w:tcPr>
            <w:tcW w:w="362" w:type="pct"/>
            <w:vMerge w:val="restart"/>
            <w:tcBorders>
              <w:right w:val="double" w:sz="4" w:space="0" w:color="auto"/>
            </w:tcBorders>
            <w:vAlign w:val="center"/>
          </w:tcPr>
          <w:p w14:paraId="48B3DBC6" w14:textId="77777777" w:rsidR="00894DDA" w:rsidRPr="00C623FC" w:rsidRDefault="00894DDA" w:rsidP="00510CCF">
            <w:pPr>
              <w:pStyle w:val="COMtbl-textCentred"/>
            </w:pPr>
            <w:r w:rsidRPr="00C623FC">
              <w:t>NC</w:t>
            </w:r>
          </w:p>
        </w:tc>
        <w:tc>
          <w:tcPr>
            <w:tcW w:w="363" w:type="pct"/>
            <w:tcBorders>
              <w:left w:val="double" w:sz="4" w:space="0" w:color="auto"/>
            </w:tcBorders>
            <w:vAlign w:val="center"/>
          </w:tcPr>
          <w:p w14:paraId="37030AF4" w14:textId="77777777" w:rsidR="00894DDA" w:rsidRPr="00C623FC" w:rsidRDefault="00894DDA" w:rsidP="00510CCF">
            <w:pPr>
              <w:pStyle w:val="COMtbl-textCentred"/>
            </w:pPr>
            <w:r w:rsidRPr="00C623FC">
              <w:t>10/109 (2.64)</w:t>
            </w:r>
          </w:p>
        </w:tc>
        <w:tc>
          <w:tcPr>
            <w:tcW w:w="363" w:type="pct"/>
            <w:vAlign w:val="center"/>
          </w:tcPr>
          <w:p w14:paraId="0AC80C2F" w14:textId="77777777" w:rsidR="00894DDA" w:rsidRPr="00C623FC" w:rsidRDefault="00894DDA" w:rsidP="00510CCF">
            <w:pPr>
              <w:pStyle w:val="COMtbl-textCentred"/>
            </w:pPr>
            <w:r w:rsidRPr="00C623FC">
              <w:t xml:space="preserve">13/98 </w:t>
            </w:r>
          </w:p>
          <w:p w14:paraId="37881CE0" w14:textId="77777777" w:rsidR="00894DDA" w:rsidRPr="00C623FC" w:rsidRDefault="00894DDA" w:rsidP="00510CCF">
            <w:pPr>
              <w:pStyle w:val="COMtbl-textCentred"/>
            </w:pPr>
            <w:r w:rsidRPr="00C623FC">
              <w:t>(4.13)</w:t>
            </w:r>
          </w:p>
        </w:tc>
        <w:tc>
          <w:tcPr>
            <w:tcW w:w="362" w:type="pct"/>
            <w:vAlign w:val="center"/>
          </w:tcPr>
          <w:p w14:paraId="7BC880E2" w14:textId="77777777" w:rsidR="00894DDA" w:rsidRPr="00C623FC" w:rsidRDefault="00894DDA" w:rsidP="00510CCF">
            <w:pPr>
              <w:pStyle w:val="COMtbl-textCentred"/>
            </w:pPr>
            <w:r w:rsidRPr="00C623FC">
              <w:t xml:space="preserve">0.67 </w:t>
            </w:r>
          </w:p>
          <w:p w14:paraId="56055131" w14:textId="77777777" w:rsidR="00894DDA" w:rsidRPr="00C623FC" w:rsidRDefault="00894DDA" w:rsidP="00510CCF">
            <w:pPr>
              <w:pStyle w:val="COMtbl-textCentred"/>
            </w:pPr>
            <w:r w:rsidRPr="00C623FC">
              <w:t>(0.27, 1.66)</w:t>
            </w:r>
          </w:p>
        </w:tc>
        <w:tc>
          <w:tcPr>
            <w:tcW w:w="363" w:type="pct"/>
            <w:vMerge w:val="restart"/>
            <w:tcBorders>
              <w:right w:val="double" w:sz="4" w:space="0" w:color="auto"/>
            </w:tcBorders>
            <w:vAlign w:val="center"/>
          </w:tcPr>
          <w:p w14:paraId="25089EA4" w14:textId="77777777" w:rsidR="00894DDA" w:rsidRPr="00C623FC" w:rsidRDefault="00894DDA" w:rsidP="00510CCF">
            <w:pPr>
              <w:pStyle w:val="COMtbl-textCentred"/>
            </w:pPr>
            <w:r w:rsidRPr="00C623FC">
              <w:t>0.6023</w:t>
            </w:r>
          </w:p>
        </w:tc>
        <w:tc>
          <w:tcPr>
            <w:tcW w:w="363" w:type="pct"/>
            <w:tcBorders>
              <w:left w:val="double" w:sz="4" w:space="0" w:color="auto"/>
            </w:tcBorders>
            <w:vAlign w:val="center"/>
          </w:tcPr>
          <w:p w14:paraId="56BACB40" w14:textId="77777777" w:rsidR="00894DDA" w:rsidRPr="00C623FC" w:rsidRDefault="00894DDA" w:rsidP="00510CCF">
            <w:pPr>
              <w:pStyle w:val="COMtbl-textCentred"/>
            </w:pPr>
            <w:r w:rsidRPr="00C623FC">
              <w:t>10/120 (2.43)</w:t>
            </w:r>
          </w:p>
        </w:tc>
        <w:tc>
          <w:tcPr>
            <w:tcW w:w="362" w:type="pct"/>
            <w:vAlign w:val="center"/>
          </w:tcPr>
          <w:p w14:paraId="57142FA3" w14:textId="77777777" w:rsidR="00894DDA" w:rsidRPr="00C623FC" w:rsidRDefault="00894DDA" w:rsidP="00510CCF">
            <w:pPr>
              <w:pStyle w:val="COMtbl-textCentred"/>
            </w:pPr>
            <w:r w:rsidRPr="00C623FC">
              <w:t>15/110 (4.27)</w:t>
            </w:r>
          </w:p>
        </w:tc>
        <w:tc>
          <w:tcPr>
            <w:tcW w:w="363" w:type="pct"/>
            <w:vAlign w:val="center"/>
          </w:tcPr>
          <w:p w14:paraId="3C7474CE" w14:textId="77777777" w:rsidR="00894DDA" w:rsidRPr="00C623FC" w:rsidRDefault="00894DDA" w:rsidP="00510CCF">
            <w:pPr>
              <w:pStyle w:val="COMtbl-textCentred"/>
            </w:pPr>
            <w:r w:rsidRPr="00C623FC">
              <w:t>0.59</w:t>
            </w:r>
          </w:p>
          <w:p w14:paraId="5AB1CE96" w14:textId="77777777" w:rsidR="00894DDA" w:rsidRPr="00C623FC" w:rsidRDefault="00894DDA" w:rsidP="00510CCF">
            <w:pPr>
              <w:pStyle w:val="COMtbl-textCentred"/>
            </w:pPr>
            <w:r w:rsidRPr="00C623FC">
              <w:t>(0.24, 1.45)</w:t>
            </w:r>
          </w:p>
        </w:tc>
        <w:tc>
          <w:tcPr>
            <w:tcW w:w="360" w:type="pct"/>
            <w:vMerge w:val="restart"/>
            <w:vAlign w:val="center"/>
          </w:tcPr>
          <w:p w14:paraId="724F42D4" w14:textId="77777777" w:rsidR="00894DDA" w:rsidRPr="00C623FC" w:rsidRDefault="00894DDA" w:rsidP="00510CCF">
            <w:pPr>
              <w:pStyle w:val="COMtbl-textCentred"/>
            </w:pPr>
            <w:r w:rsidRPr="00C623FC">
              <w:t>0.4104</w:t>
            </w:r>
          </w:p>
        </w:tc>
      </w:tr>
      <w:tr w:rsidR="00894DDA" w:rsidRPr="00C623FC" w14:paraId="4BA56CAC" w14:textId="77777777" w:rsidTr="00C71487">
        <w:tc>
          <w:tcPr>
            <w:tcW w:w="534" w:type="pct"/>
            <w:vAlign w:val="center"/>
          </w:tcPr>
          <w:p w14:paraId="2299CCF0" w14:textId="77777777" w:rsidR="00894DDA" w:rsidRPr="00C623FC" w:rsidRDefault="00894DDA" w:rsidP="00510CCF">
            <w:pPr>
              <w:pStyle w:val="COMtbl-textLeftAligned"/>
            </w:pPr>
            <w:r w:rsidRPr="00C623FC">
              <w:t>30 to &lt; 300</w:t>
            </w:r>
          </w:p>
        </w:tc>
        <w:tc>
          <w:tcPr>
            <w:tcW w:w="394" w:type="pct"/>
            <w:vAlign w:val="center"/>
          </w:tcPr>
          <w:p w14:paraId="0157C971" w14:textId="77777777" w:rsidR="00894DDA" w:rsidRPr="00C623FC" w:rsidRDefault="00894DDA" w:rsidP="00510CCF">
            <w:pPr>
              <w:pStyle w:val="COMtbl-textCentred"/>
            </w:pPr>
            <w:r w:rsidRPr="00C623FC">
              <w:t>34/350 (3.33)</w:t>
            </w:r>
          </w:p>
        </w:tc>
        <w:tc>
          <w:tcPr>
            <w:tcW w:w="449" w:type="pct"/>
            <w:vAlign w:val="center"/>
          </w:tcPr>
          <w:p w14:paraId="1FD794A6" w14:textId="77777777" w:rsidR="00894DDA" w:rsidRPr="00C623FC" w:rsidRDefault="00894DDA" w:rsidP="00510CCF">
            <w:pPr>
              <w:pStyle w:val="COMtbl-textCentred"/>
            </w:pPr>
            <w:r w:rsidRPr="00C623FC">
              <w:t>41/335 (4.25)</w:t>
            </w:r>
          </w:p>
        </w:tc>
        <w:tc>
          <w:tcPr>
            <w:tcW w:w="363" w:type="pct"/>
            <w:vAlign w:val="center"/>
          </w:tcPr>
          <w:p w14:paraId="2C6E584F" w14:textId="77777777" w:rsidR="00894DDA" w:rsidRPr="00C623FC" w:rsidRDefault="00894DDA" w:rsidP="00510CCF">
            <w:pPr>
              <w:pStyle w:val="COMtbl-textCentred"/>
            </w:pPr>
            <w:r w:rsidRPr="00C623FC">
              <w:t xml:space="preserve">0.76 </w:t>
            </w:r>
          </w:p>
          <w:p w14:paraId="203E8FED" w14:textId="77777777" w:rsidR="00894DDA" w:rsidRPr="00C623FC" w:rsidRDefault="00894DDA" w:rsidP="00510CCF">
            <w:pPr>
              <w:pStyle w:val="COMtbl-textCentred"/>
            </w:pPr>
            <w:r w:rsidRPr="00C623FC">
              <w:t>(0.48, 1.20)</w:t>
            </w:r>
          </w:p>
        </w:tc>
        <w:tc>
          <w:tcPr>
            <w:tcW w:w="362" w:type="pct"/>
            <w:vMerge/>
            <w:tcBorders>
              <w:right w:val="double" w:sz="4" w:space="0" w:color="auto"/>
            </w:tcBorders>
            <w:vAlign w:val="center"/>
          </w:tcPr>
          <w:p w14:paraId="1B24424A" w14:textId="77777777" w:rsidR="00894DDA" w:rsidRPr="00C623FC" w:rsidRDefault="00894DDA" w:rsidP="00510CCF">
            <w:pPr>
              <w:pStyle w:val="COMtbl-textCentred"/>
            </w:pPr>
          </w:p>
        </w:tc>
        <w:tc>
          <w:tcPr>
            <w:tcW w:w="363" w:type="pct"/>
            <w:tcBorders>
              <w:left w:val="double" w:sz="4" w:space="0" w:color="auto"/>
            </w:tcBorders>
            <w:vAlign w:val="center"/>
          </w:tcPr>
          <w:p w14:paraId="590FE224" w14:textId="77777777" w:rsidR="00894DDA" w:rsidRPr="00C623FC" w:rsidRDefault="00894DDA" w:rsidP="00510CCF">
            <w:pPr>
              <w:pStyle w:val="COMtbl-textCentred"/>
            </w:pPr>
            <w:r w:rsidRPr="00C623FC">
              <w:t>226/1,726 (3.88)</w:t>
            </w:r>
          </w:p>
        </w:tc>
        <w:tc>
          <w:tcPr>
            <w:tcW w:w="363" w:type="pct"/>
            <w:vAlign w:val="center"/>
          </w:tcPr>
          <w:p w14:paraId="51636BB0" w14:textId="77777777" w:rsidR="00894DDA" w:rsidRPr="00C623FC" w:rsidRDefault="00894DDA" w:rsidP="00510CCF">
            <w:pPr>
              <w:pStyle w:val="COMtbl-textCentred"/>
            </w:pPr>
            <w:r w:rsidRPr="00C623FC">
              <w:t>251/1,688 (4.42)</w:t>
            </w:r>
          </w:p>
        </w:tc>
        <w:tc>
          <w:tcPr>
            <w:tcW w:w="362" w:type="pct"/>
            <w:vAlign w:val="center"/>
          </w:tcPr>
          <w:p w14:paraId="6E27109B" w14:textId="77777777" w:rsidR="00894DDA" w:rsidRPr="00C623FC" w:rsidRDefault="00894DDA" w:rsidP="00510CCF">
            <w:pPr>
              <w:pStyle w:val="COMtbl-textCentred"/>
            </w:pPr>
            <w:r w:rsidRPr="00C623FC">
              <w:t xml:space="preserve">0.87 </w:t>
            </w:r>
          </w:p>
          <w:p w14:paraId="6BB50A0F" w14:textId="77777777" w:rsidR="00894DDA" w:rsidRPr="00C623FC" w:rsidRDefault="00894DDA" w:rsidP="00510CCF">
            <w:pPr>
              <w:pStyle w:val="COMtbl-textCentred"/>
            </w:pPr>
            <w:r w:rsidRPr="00C623FC">
              <w:t>(0.73, 1.04)</w:t>
            </w:r>
          </w:p>
        </w:tc>
        <w:tc>
          <w:tcPr>
            <w:tcW w:w="363" w:type="pct"/>
            <w:vMerge/>
            <w:tcBorders>
              <w:right w:val="double" w:sz="4" w:space="0" w:color="auto"/>
            </w:tcBorders>
            <w:vAlign w:val="center"/>
          </w:tcPr>
          <w:p w14:paraId="1B4FD61D" w14:textId="77777777" w:rsidR="00894DDA" w:rsidRPr="00C623FC" w:rsidRDefault="00894DDA" w:rsidP="00510CCF">
            <w:pPr>
              <w:pStyle w:val="COMtbl-textCentred"/>
            </w:pPr>
          </w:p>
        </w:tc>
        <w:tc>
          <w:tcPr>
            <w:tcW w:w="363" w:type="pct"/>
            <w:tcBorders>
              <w:left w:val="double" w:sz="4" w:space="0" w:color="auto"/>
            </w:tcBorders>
            <w:vAlign w:val="center"/>
          </w:tcPr>
          <w:p w14:paraId="60D5E954" w14:textId="77777777" w:rsidR="00894DDA" w:rsidRPr="00C623FC" w:rsidRDefault="00894DDA" w:rsidP="00510CCF">
            <w:pPr>
              <w:pStyle w:val="COMtbl-textCentred"/>
            </w:pPr>
            <w:r w:rsidRPr="00C623FC">
              <w:t>260/2,076 (3.79)</w:t>
            </w:r>
          </w:p>
        </w:tc>
        <w:tc>
          <w:tcPr>
            <w:tcW w:w="362" w:type="pct"/>
            <w:vAlign w:val="center"/>
          </w:tcPr>
          <w:p w14:paraId="096530B5" w14:textId="77777777" w:rsidR="00894DDA" w:rsidRPr="00C623FC" w:rsidRDefault="00894DDA" w:rsidP="00510CCF">
            <w:pPr>
              <w:pStyle w:val="COMtbl-textCentred"/>
            </w:pPr>
            <w:r w:rsidRPr="00C623FC">
              <w:t>292/2,023 (4.40)</w:t>
            </w:r>
          </w:p>
        </w:tc>
        <w:tc>
          <w:tcPr>
            <w:tcW w:w="363" w:type="pct"/>
            <w:vAlign w:val="center"/>
          </w:tcPr>
          <w:p w14:paraId="0A0A4688" w14:textId="77777777" w:rsidR="00894DDA" w:rsidRPr="00C623FC" w:rsidRDefault="00894DDA" w:rsidP="00510CCF">
            <w:pPr>
              <w:pStyle w:val="COMtbl-textCentred"/>
            </w:pPr>
            <w:r w:rsidRPr="00C623FC">
              <w:t>0.86</w:t>
            </w:r>
          </w:p>
          <w:p w14:paraId="47407A6A" w14:textId="77777777" w:rsidR="00894DDA" w:rsidRPr="00C623FC" w:rsidRDefault="00894DDA" w:rsidP="00510CCF">
            <w:pPr>
              <w:pStyle w:val="COMtbl-textCentred"/>
            </w:pPr>
            <w:r w:rsidRPr="00C623FC">
              <w:t>(0.73, 1.02)</w:t>
            </w:r>
          </w:p>
        </w:tc>
        <w:tc>
          <w:tcPr>
            <w:tcW w:w="360" w:type="pct"/>
            <w:vMerge/>
            <w:vAlign w:val="center"/>
          </w:tcPr>
          <w:p w14:paraId="0FA51864" w14:textId="77777777" w:rsidR="00894DDA" w:rsidRPr="00C623FC" w:rsidRDefault="00894DDA" w:rsidP="00510CCF">
            <w:pPr>
              <w:pStyle w:val="COMtbl-textCentred"/>
            </w:pPr>
          </w:p>
        </w:tc>
      </w:tr>
      <w:tr w:rsidR="00894DDA" w:rsidRPr="00C623FC" w14:paraId="15E9F7C7" w14:textId="77777777" w:rsidTr="00C71487">
        <w:tc>
          <w:tcPr>
            <w:tcW w:w="534" w:type="pct"/>
            <w:vAlign w:val="center"/>
          </w:tcPr>
          <w:p w14:paraId="2446F31B" w14:textId="77777777" w:rsidR="00894DDA" w:rsidRPr="00C623FC" w:rsidRDefault="00894DDA" w:rsidP="00510CCF">
            <w:pPr>
              <w:pStyle w:val="COMtbl-textLeftAligned"/>
            </w:pPr>
            <w:r w:rsidRPr="00C623FC">
              <w:rPr>
                <w:u w:val="single"/>
              </w:rPr>
              <w:t>&gt;</w:t>
            </w:r>
            <w:r w:rsidRPr="00C623FC">
              <w:t xml:space="preserve"> 300 </w:t>
            </w:r>
          </w:p>
        </w:tc>
        <w:tc>
          <w:tcPr>
            <w:tcW w:w="394" w:type="pct"/>
            <w:vAlign w:val="center"/>
          </w:tcPr>
          <w:p w14:paraId="50E90682" w14:textId="77777777" w:rsidR="00894DDA" w:rsidRPr="00C623FC" w:rsidRDefault="00894DDA" w:rsidP="00510CCF">
            <w:pPr>
              <w:pStyle w:val="COMtbl-textCentred"/>
            </w:pPr>
            <w:r w:rsidRPr="00C623FC">
              <w:t>332/2,470 (5.42)</w:t>
            </w:r>
          </w:p>
        </w:tc>
        <w:tc>
          <w:tcPr>
            <w:tcW w:w="449" w:type="pct"/>
            <w:vAlign w:val="center"/>
          </w:tcPr>
          <w:p w14:paraId="16AB8FCE" w14:textId="77777777" w:rsidR="00894DDA" w:rsidRPr="00C623FC" w:rsidRDefault="00894DDA" w:rsidP="00510CCF">
            <w:pPr>
              <w:pStyle w:val="COMtbl-textCentred"/>
            </w:pPr>
            <w:r w:rsidRPr="00C623FC">
              <w:t>377/2,493 (6.19)</w:t>
            </w:r>
          </w:p>
        </w:tc>
        <w:tc>
          <w:tcPr>
            <w:tcW w:w="363" w:type="pct"/>
            <w:vAlign w:val="center"/>
          </w:tcPr>
          <w:p w14:paraId="4EB89EDD" w14:textId="77777777" w:rsidR="00894DDA" w:rsidRPr="00C623FC" w:rsidRDefault="00894DDA" w:rsidP="00510CCF">
            <w:pPr>
              <w:pStyle w:val="COMtbl-textCentred"/>
            </w:pPr>
            <w:r w:rsidRPr="00C623FC">
              <w:t xml:space="preserve">0.87 </w:t>
            </w:r>
          </w:p>
          <w:p w14:paraId="1BB353A3" w14:textId="77777777" w:rsidR="00894DDA" w:rsidRPr="00C623FC" w:rsidRDefault="00894DDA" w:rsidP="00510CCF">
            <w:pPr>
              <w:pStyle w:val="COMtbl-textCentred"/>
            </w:pPr>
            <w:r w:rsidRPr="00C623FC">
              <w:t>(0.75, 1.01)</w:t>
            </w:r>
          </w:p>
        </w:tc>
        <w:tc>
          <w:tcPr>
            <w:tcW w:w="362" w:type="pct"/>
            <w:vMerge/>
            <w:tcBorders>
              <w:right w:val="double" w:sz="4" w:space="0" w:color="auto"/>
            </w:tcBorders>
            <w:vAlign w:val="center"/>
          </w:tcPr>
          <w:p w14:paraId="499C5567" w14:textId="77777777" w:rsidR="00894DDA" w:rsidRPr="00C623FC" w:rsidRDefault="00894DDA" w:rsidP="00510CCF">
            <w:pPr>
              <w:pStyle w:val="COMtbl-textCentred"/>
            </w:pPr>
          </w:p>
        </w:tc>
        <w:tc>
          <w:tcPr>
            <w:tcW w:w="363" w:type="pct"/>
            <w:tcBorders>
              <w:left w:val="double" w:sz="4" w:space="0" w:color="auto"/>
            </w:tcBorders>
            <w:vAlign w:val="center"/>
          </w:tcPr>
          <w:p w14:paraId="0D852B4F" w14:textId="77777777" w:rsidR="00894DDA" w:rsidRPr="00C623FC" w:rsidRDefault="00894DDA" w:rsidP="00510CCF">
            <w:pPr>
              <w:pStyle w:val="COMtbl-textCentred"/>
            </w:pPr>
            <w:r w:rsidRPr="00C623FC">
              <w:t>222/1,851 (3.94)</w:t>
            </w:r>
          </w:p>
        </w:tc>
        <w:tc>
          <w:tcPr>
            <w:tcW w:w="363" w:type="pct"/>
            <w:vAlign w:val="center"/>
          </w:tcPr>
          <w:p w14:paraId="48DB35D6" w14:textId="77777777" w:rsidR="00894DDA" w:rsidRPr="00C623FC" w:rsidRDefault="00894DDA" w:rsidP="00510CCF">
            <w:pPr>
              <w:pStyle w:val="COMtbl-textCentred"/>
            </w:pPr>
            <w:r w:rsidRPr="00C623FC">
              <w:t>254/1,878 (4.49)</w:t>
            </w:r>
          </w:p>
        </w:tc>
        <w:tc>
          <w:tcPr>
            <w:tcW w:w="362" w:type="pct"/>
            <w:vAlign w:val="center"/>
          </w:tcPr>
          <w:p w14:paraId="1CAD3F2A" w14:textId="77777777" w:rsidR="00894DDA" w:rsidRPr="00C623FC" w:rsidRDefault="00894DDA" w:rsidP="00510CCF">
            <w:pPr>
              <w:pStyle w:val="COMtbl-textCentred"/>
            </w:pPr>
            <w:r w:rsidRPr="00C623FC">
              <w:t xml:space="preserve">0.90 </w:t>
            </w:r>
          </w:p>
          <w:p w14:paraId="3D5D01BA" w14:textId="77777777" w:rsidR="00894DDA" w:rsidRPr="00C623FC" w:rsidRDefault="00894DDA" w:rsidP="00510CCF">
            <w:pPr>
              <w:pStyle w:val="COMtbl-textCentred"/>
            </w:pPr>
            <w:r w:rsidRPr="00C623FC">
              <w:t>(0.75, 1.08)</w:t>
            </w:r>
          </w:p>
        </w:tc>
        <w:tc>
          <w:tcPr>
            <w:tcW w:w="363" w:type="pct"/>
            <w:vMerge/>
            <w:tcBorders>
              <w:right w:val="double" w:sz="4" w:space="0" w:color="auto"/>
            </w:tcBorders>
            <w:vAlign w:val="center"/>
          </w:tcPr>
          <w:p w14:paraId="341823BF" w14:textId="77777777" w:rsidR="00894DDA" w:rsidRPr="00C623FC" w:rsidRDefault="00894DDA" w:rsidP="00510CCF">
            <w:pPr>
              <w:pStyle w:val="COMtbl-textCentred"/>
            </w:pPr>
          </w:p>
        </w:tc>
        <w:tc>
          <w:tcPr>
            <w:tcW w:w="363" w:type="pct"/>
            <w:tcBorders>
              <w:left w:val="double" w:sz="4" w:space="0" w:color="auto"/>
            </w:tcBorders>
            <w:vAlign w:val="center"/>
          </w:tcPr>
          <w:p w14:paraId="1D2034CC" w14:textId="77777777" w:rsidR="00894DDA" w:rsidRPr="00C623FC" w:rsidRDefault="00894DDA" w:rsidP="00510CCF">
            <w:pPr>
              <w:pStyle w:val="COMtbl-textCentred"/>
            </w:pPr>
            <w:r w:rsidRPr="00C623FC">
              <w:t>554/4,321 (4.71)</w:t>
            </w:r>
          </w:p>
        </w:tc>
        <w:tc>
          <w:tcPr>
            <w:tcW w:w="362" w:type="pct"/>
            <w:vAlign w:val="center"/>
          </w:tcPr>
          <w:p w14:paraId="77964ADA" w14:textId="77777777" w:rsidR="00894DDA" w:rsidRPr="00C623FC" w:rsidRDefault="00894DDA" w:rsidP="00510CCF">
            <w:pPr>
              <w:pStyle w:val="COMtbl-textCentred"/>
            </w:pPr>
            <w:r w:rsidRPr="00C623FC">
              <w:t>631/4,371 (5.37)</w:t>
            </w:r>
          </w:p>
        </w:tc>
        <w:tc>
          <w:tcPr>
            <w:tcW w:w="363" w:type="pct"/>
            <w:vAlign w:val="center"/>
          </w:tcPr>
          <w:p w14:paraId="5BC277BE" w14:textId="77777777" w:rsidR="00894DDA" w:rsidRPr="00C623FC" w:rsidRDefault="00894DDA" w:rsidP="00510CCF">
            <w:pPr>
              <w:pStyle w:val="COMtbl-textCentred"/>
            </w:pPr>
            <w:r w:rsidRPr="00C623FC">
              <w:t>0.89</w:t>
            </w:r>
          </w:p>
          <w:p w14:paraId="4E789940" w14:textId="77777777" w:rsidR="00894DDA" w:rsidRPr="00C623FC" w:rsidRDefault="00894DDA" w:rsidP="00510CCF">
            <w:pPr>
              <w:pStyle w:val="COMtbl-textCentred"/>
            </w:pPr>
            <w:r w:rsidRPr="00C623FC">
              <w:t>(0.79, 1.00)</w:t>
            </w:r>
          </w:p>
        </w:tc>
        <w:tc>
          <w:tcPr>
            <w:tcW w:w="360" w:type="pct"/>
            <w:vMerge/>
            <w:vAlign w:val="center"/>
          </w:tcPr>
          <w:p w14:paraId="039C154E" w14:textId="77777777" w:rsidR="00894DDA" w:rsidRPr="00C623FC" w:rsidRDefault="00894DDA" w:rsidP="00510CCF">
            <w:pPr>
              <w:pStyle w:val="COMtbl-textCentred"/>
            </w:pPr>
          </w:p>
        </w:tc>
      </w:tr>
      <w:tr w:rsidR="00894DDA" w:rsidRPr="00C623FC" w14:paraId="3635696A" w14:textId="77777777" w:rsidTr="00510CCF">
        <w:tc>
          <w:tcPr>
            <w:tcW w:w="5000" w:type="pct"/>
            <w:gridSpan w:val="13"/>
            <w:vAlign w:val="center"/>
          </w:tcPr>
          <w:p w14:paraId="789CE621" w14:textId="77777777" w:rsidR="00894DDA" w:rsidRPr="00C623FC" w:rsidRDefault="00894DDA" w:rsidP="00510CCF">
            <w:pPr>
              <w:pStyle w:val="COMtbl-textCentred"/>
              <w:jc w:val="both"/>
              <w:rPr>
                <w:b/>
                <w:bCs/>
              </w:rPr>
            </w:pPr>
            <w:r w:rsidRPr="00C623FC">
              <w:rPr>
                <w:b/>
                <w:bCs/>
              </w:rPr>
              <w:t>SGLT2 inhibitor use at baseline</w:t>
            </w:r>
          </w:p>
        </w:tc>
      </w:tr>
      <w:tr w:rsidR="00894DDA" w:rsidRPr="00C623FC" w14:paraId="007343B4" w14:textId="77777777" w:rsidTr="00C71487">
        <w:tc>
          <w:tcPr>
            <w:tcW w:w="534" w:type="pct"/>
            <w:vAlign w:val="center"/>
          </w:tcPr>
          <w:p w14:paraId="3A19D0DD" w14:textId="77777777" w:rsidR="00894DDA" w:rsidRPr="00C623FC" w:rsidRDefault="00894DDA" w:rsidP="00510CCF">
            <w:pPr>
              <w:pStyle w:val="COMtbl-textLeftAligned"/>
            </w:pPr>
            <w:r w:rsidRPr="00C623FC">
              <w:t>No</w:t>
            </w:r>
          </w:p>
        </w:tc>
        <w:tc>
          <w:tcPr>
            <w:tcW w:w="394" w:type="pct"/>
            <w:vAlign w:val="center"/>
          </w:tcPr>
          <w:p w14:paraId="0B6E8176" w14:textId="77777777" w:rsidR="00894DDA" w:rsidRPr="00C623FC" w:rsidRDefault="00894DDA" w:rsidP="00510CCF">
            <w:pPr>
              <w:pStyle w:val="COMtbl-textCentred"/>
            </w:pPr>
            <w:r w:rsidRPr="00C623FC">
              <w:t>352/2,709 (5.12)</w:t>
            </w:r>
          </w:p>
        </w:tc>
        <w:tc>
          <w:tcPr>
            <w:tcW w:w="449" w:type="pct"/>
            <w:vAlign w:val="center"/>
          </w:tcPr>
          <w:p w14:paraId="296930CF" w14:textId="77777777" w:rsidR="00894DDA" w:rsidRPr="00C623FC" w:rsidRDefault="00894DDA" w:rsidP="00510CCF">
            <w:pPr>
              <w:pStyle w:val="COMtbl-textCentred"/>
            </w:pPr>
            <w:r w:rsidRPr="00C623FC">
              <w:t>405/2,706 (5.99)</w:t>
            </w:r>
          </w:p>
        </w:tc>
        <w:tc>
          <w:tcPr>
            <w:tcW w:w="363" w:type="pct"/>
            <w:vAlign w:val="center"/>
          </w:tcPr>
          <w:p w14:paraId="43823DBB" w14:textId="77777777" w:rsidR="00894DDA" w:rsidRPr="00C623FC" w:rsidRDefault="00894DDA" w:rsidP="00510CCF">
            <w:pPr>
              <w:pStyle w:val="COMtbl-textCentred"/>
            </w:pPr>
            <w:r w:rsidRPr="00C623FC">
              <w:t xml:space="preserve">0.85 </w:t>
            </w:r>
          </w:p>
          <w:p w14:paraId="7687022D" w14:textId="77777777" w:rsidR="00894DDA" w:rsidRPr="00C623FC" w:rsidRDefault="00894DDA" w:rsidP="00510CCF">
            <w:pPr>
              <w:pStyle w:val="COMtbl-textCentred"/>
            </w:pPr>
            <w:r w:rsidRPr="00C623FC">
              <w:t>(0.74, 0.98)</w:t>
            </w:r>
          </w:p>
        </w:tc>
        <w:tc>
          <w:tcPr>
            <w:tcW w:w="362" w:type="pct"/>
            <w:vMerge w:val="restart"/>
            <w:tcBorders>
              <w:right w:val="double" w:sz="4" w:space="0" w:color="auto"/>
            </w:tcBorders>
            <w:vAlign w:val="center"/>
          </w:tcPr>
          <w:p w14:paraId="346B70FC" w14:textId="77777777" w:rsidR="00894DDA" w:rsidRPr="00C623FC" w:rsidRDefault="00894DDA" w:rsidP="00510CCF">
            <w:pPr>
              <w:pStyle w:val="COMtbl-textCentred"/>
            </w:pPr>
            <w:r w:rsidRPr="00C623FC">
              <w:t>0.4553</w:t>
            </w:r>
          </w:p>
        </w:tc>
        <w:tc>
          <w:tcPr>
            <w:tcW w:w="363" w:type="pct"/>
            <w:tcBorders>
              <w:left w:val="double" w:sz="4" w:space="0" w:color="auto"/>
            </w:tcBorders>
            <w:vAlign w:val="center"/>
          </w:tcPr>
          <w:p w14:paraId="18DA381C" w14:textId="77777777" w:rsidR="00894DDA" w:rsidRPr="00C623FC" w:rsidRDefault="00894DDA" w:rsidP="00510CCF">
            <w:pPr>
              <w:pStyle w:val="COMtbl-textCentred"/>
            </w:pPr>
            <w:r w:rsidRPr="00C623FC">
              <w:t>434/3,372 (4.01)</w:t>
            </w:r>
          </w:p>
        </w:tc>
        <w:tc>
          <w:tcPr>
            <w:tcW w:w="363" w:type="pct"/>
            <w:vAlign w:val="center"/>
          </w:tcPr>
          <w:p w14:paraId="06A7455E" w14:textId="77777777" w:rsidR="00894DDA" w:rsidRPr="00C623FC" w:rsidRDefault="00894DDA" w:rsidP="00510CCF">
            <w:pPr>
              <w:pStyle w:val="COMtbl-textCentred"/>
            </w:pPr>
            <w:r w:rsidRPr="00C623FC">
              <w:t>482/3,362 (4.50)</w:t>
            </w:r>
          </w:p>
        </w:tc>
        <w:tc>
          <w:tcPr>
            <w:tcW w:w="362" w:type="pct"/>
            <w:vAlign w:val="center"/>
          </w:tcPr>
          <w:p w14:paraId="5A1CEDA8" w14:textId="77777777" w:rsidR="00894DDA" w:rsidRPr="00C623FC" w:rsidRDefault="00894DDA" w:rsidP="00510CCF">
            <w:pPr>
              <w:pStyle w:val="COMtbl-textCentred"/>
            </w:pPr>
            <w:r w:rsidRPr="00C623FC">
              <w:t xml:space="preserve">0.89 </w:t>
            </w:r>
          </w:p>
          <w:p w14:paraId="22D61CF3" w14:textId="77777777" w:rsidR="00894DDA" w:rsidRPr="00C623FC" w:rsidRDefault="00894DDA" w:rsidP="00510CCF">
            <w:pPr>
              <w:pStyle w:val="COMtbl-textCentred"/>
            </w:pPr>
            <w:r w:rsidRPr="00C623FC">
              <w:t>(0.78, 1.01)</w:t>
            </w:r>
          </w:p>
        </w:tc>
        <w:tc>
          <w:tcPr>
            <w:tcW w:w="363" w:type="pct"/>
            <w:vMerge w:val="restart"/>
            <w:tcBorders>
              <w:right w:val="double" w:sz="4" w:space="0" w:color="auto"/>
            </w:tcBorders>
            <w:vAlign w:val="center"/>
          </w:tcPr>
          <w:p w14:paraId="0B2164BB" w14:textId="77777777" w:rsidR="00894DDA" w:rsidRPr="00C623FC" w:rsidRDefault="00894DDA" w:rsidP="00510CCF">
            <w:pPr>
              <w:pStyle w:val="COMtbl-textCentred"/>
            </w:pPr>
            <w:r w:rsidRPr="00C623FC">
              <w:t>0.1141</w:t>
            </w:r>
          </w:p>
        </w:tc>
        <w:tc>
          <w:tcPr>
            <w:tcW w:w="363" w:type="pct"/>
            <w:tcBorders>
              <w:left w:val="double" w:sz="4" w:space="0" w:color="auto"/>
            </w:tcBorders>
            <w:vAlign w:val="center"/>
          </w:tcPr>
          <w:p w14:paraId="1B22143B" w14:textId="77777777" w:rsidR="00894DDA" w:rsidRPr="00C623FC" w:rsidRDefault="00894DDA" w:rsidP="00510CCF">
            <w:pPr>
              <w:pStyle w:val="COMtbl-textCentred"/>
            </w:pPr>
            <w:r w:rsidRPr="00C623FC">
              <w:t>786/6,081 (4.44)</w:t>
            </w:r>
          </w:p>
        </w:tc>
        <w:tc>
          <w:tcPr>
            <w:tcW w:w="362" w:type="pct"/>
            <w:vAlign w:val="center"/>
          </w:tcPr>
          <w:p w14:paraId="056EDB0D" w14:textId="77777777" w:rsidR="00894DDA" w:rsidRPr="00C623FC" w:rsidRDefault="00894DDA" w:rsidP="00510CCF">
            <w:pPr>
              <w:pStyle w:val="COMtbl-textCentred"/>
            </w:pPr>
            <w:r w:rsidRPr="00C623FC">
              <w:t>887/6,068 (5.08)</w:t>
            </w:r>
          </w:p>
        </w:tc>
        <w:tc>
          <w:tcPr>
            <w:tcW w:w="363" w:type="pct"/>
            <w:vAlign w:val="center"/>
          </w:tcPr>
          <w:p w14:paraId="08D63D5F" w14:textId="77777777" w:rsidR="00894DDA" w:rsidRPr="00C623FC" w:rsidRDefault="00894DDA" w:rsidP="00510CCF">
            <w:pPr>
              <w:pStyle w:val="COMtbl-textCentred"/>
            </w:pPr>
            <w:r w:rsidRPr="00C623FC">
              <w:t xml:space="preserve">0.87 </w:t>
            </w:r>
          </w:p>
          <w:p w14:paraId="1DFD091B" w14:textId="77777777" w:rsidR="00894DDA" w:rsidRPr="00C623FC" w:rsidRDefault="00894DDA" w:rsidP="00510CCF">
            <w:pPr>
              <w:pStyle w:val="COMtbl-textCentred"/>
            </w:pPr>
            <w:r w:rsidRPr="00C623FC">
              <w:t>(0.79, 0.96)</w:t>
            </w:r>
          </w:p>
        </w:tc>
        <w:tc>
          <w:tcPr>
            <w:tcW w:w="360" w:type="pct"/>
            <w:vMerge w:val="restart"/>
            <w:vAlign w:val="center"/>
          </w:tcPr>
          <w:p w14:paraId="0F530F01" w14:textId="77777777" w:rsidR="00894DDA" w:rsidRPr="00C623FC" w:rsidRDefault="00894DDA" w:rsidP="00510CCF">
            <w:pPr>
              <w:pStyle w:val="COMtbl-textCentred"/>
            </w:pPr>
            <w:r w:rsidRPr="00C623FC">
              <w:t>0.4052</w:t>
            </w:r>
          </w:p>
        </w:tc>
      </w:tr>
      <w:tr w:rsidR="00894DDA" w:rsidRPr="00C623FC" w14:paraId="5DCA1B00" w14:textId="77777777" w:rsidTr="00C71487">
        <w:tc>
          <w:tcPr>
            <w:tcW w:w="534" w:type="pct"/>
            <w:vAlign w:val="center"/>
          </w:tcPr>
          <w:p w14:paraId="60F8F58E" w14:textId="77777777" w:rsidR="00894DDA" w:rsidRPr="00C623FC" w:rsidRDefault="00894DDA" w:rsidP="00510CCF">
            <w:pPr>
              <w:pStyle w:val="COMtbl-textLeftAligned"/>
            </w:pPr>
            <w:r w:rsidRPr="00C623FC">
              <w:t>Yes</w:t>
            </w:r>
          </w:p>
        </w:tc>
        <w:tc>
          <w:tcPr>
            <w:tcW w:w="394" w:type="pct"/>
            <w:vAlign w:val="center"/>
          </w:tcPr>
          <w:p w14:paraId="49F12606" w14:textId="77777777" w:rsidR="00894DDA" w:rsidRPr="00C623FC" w:rsidRDefault="00894DDA" w:rsidP="00510CCF">
            <w:pPr>
              <w:pStyle w:val="COMtbl-textCentred"/>
            </w:pPr>
            <w:r w:rsidRPr="00C623FC">
              <w:t>15/124 (4.90)</w:t>
            </w:r>
          </w:p>
        </w:tc>
        <w:tc>
          <w:tcPr>
            <w:tcW w:w="449" w:type="pct"/>
            <w:vAlign w:val="center"/>
          </w:tcPr>
          <w:p w14:paraId="434C8687" w14:textId="77777777" w:rsidR="00894DDA" w:rsidRPr="00C623FC" w:rsidRDefault="00894DDA" w:rsidP="00510CCF">
            <w:pPr>
              <w:pStyle w:val="COMtbl-textCentred"/>
            </w:pPr>
            <w:r w:rsidRPr="00C623FC">
              <w:t>15/135 (4.44)</w:t>
            </w:r>
          </w:p>
        </w:tc>
        <w:tc>
          <w:tcPr>
            <w:tcW w:w="363" w:type="pct"/>
            <w:vAlign w:val="center"/>
          </w:tcPr>
          <w:p w14:paraId="69D1B46B" w14:textId="77777777" w:rsidR="00894DDA" w:rsidRPr="00C623FC" w:rsidRDefault="00894DDA" w:rsidP="00510CCF">
            <w:pPr>
              <w:pStyle w:val="COMtbl-textCentred"/>
            </w:pPr>
            <w:r w:rsidRPr="00C623FC">
              <w:t xml:space="preserve">1.12 </w:t>
            </w:r>
          </w:p>
          <w:p w14:paraId="2D0362BC" w14:textId="77777777" w:rsidR="00894DDA" w:rsidRPr="00C623FC" w:rsidRDefault="00894DDA" w:rsidP="00510CCF">
            <w:pPr>
              <w:pStyle w:val="COMtbl-textCentred"/>
            </w:pPr>
            <w:r w:rsidRPr="00C623FC">
              <w:t>(0.55, 2.30)</w:t>
            </w:r>
          </w:p>
        </w:tc>
        <w:tc>
          <w:tcPr>
            <w:tcW w:w="362" w:type="pct"/>
            <w:vMerge/>
            <w:tcBorders>
              <w:right w:val="double" w:sz="4" w:space="0" w:color="auto"/>
            </w:tcBorders>
            <w:vAlign w:val="center"/>
          </w:tcPr>
          <w:p w14:paraId="75EF956B" w14:textId="77777777" w:rsidR="00894DDA" w:rsidRPr="00C623FC" w:rsidRDefault="00894DDA" w:rsidP="00510CCF">
            <w:pPr>
              <w:pStyle w:val="COMtbl-textCentred"/>
            </w:pPr>
          </w:p>
        </w:tc>
        <w:tc>
          <w:tcPr>
            <w:tcW w:w="363" w:type="pct"/>
            <w:tcBorders>
              <w:left w:val="double" w:sz="4" w:space="0" w:color="auto"/>
            </w:tcBorders>
            <w:vAlign w:val="center"/>
          </w:tcPr>
          <w:p w14:paraId="034422E2" w14:textId="77777777" w:rsidR="00894DDA" w:rsidRPr="00C623FC" w:rsidRDefault="00894DDA" w:rsidP="00510CCF">
            <w:pPr>
              <w:pStyle w:val="COMtbl-textCentred"/>
            </w:pPr>
            <w:r w:rsidRPr="00C623FC">
              <w:t>24/314 (2.37)</w:t>
            </w:r>
          </w:p>
        </w:tc>
        <w:tc>
          <w:tcPr>
            <w:tcW w:w="363" w:type="pct"/>
            <w:vAlign w:val="center"/>
          </w:tcPr>
          <w:p w14:paraId="67FAF910" w14:textId="77777777" w:rsidR="00894DDA" w:rsidRPr="00C623FC" w:rsidRDefault="00894DDA" w:rsidP="00510CCF">
            <w:pPr>
              <w:pStyle w:val="COMtbl-textCentred"/>
            </w:pPr>
            <w:r w:rsidRPr="00C623FC">
              <w:t>37/304 (3.95)</w:t>
            </w:r>
          </w:p>
        </w:tc>
        <w:tc>
          <w:tcPr>
            <w:tcW w:w="362" w:type="pct"/>
            <w:vAlign w:val="center"/>
          </w:tcPr>
          <w:p w14:paraId="2231C72A" w14:textId="77777777" w:rsidR="00894DDA" w:rsidRPr="00C623FC" w:rsidRDefault="00894DDA" w:rsidP="00510CCF">
            <w:pPr>
              <w:pStyle w:val="COMtbl-textCentred"/>
            </w:pPr>
            <w:r w:rsidRPr="00C623FC">
              <w:t xml:space="preserve">0.49 </w:t>
            </w:r>
          </w:p>
          <w:p w14:paraId="6AB25366" w14:textId="77777777" w:rsidR="00894DDA" w:rsidRPr="00C623FC" w:rsidRDefault="00894DDA" w:rsidP="00510CCF">
            <w:pPr>
              <w:pStyle w:val="COMtbl-textCentred"/>
            </w:pPr>
            <w:r w:rsidRPr="00C623FC">
              <w:t>(0.28, 0.86)</w:t>
            </w:r>
          </w:p>
        </w:tc>
        <w:tc>
          <w:tcPr>
            <w:tcW w:w="363" w:type="pct"/>
            <w:vMerge/>
            <w:tcBorders>
              <w:right w:val="double" w:sz="4" w:space="0" w:color="auto"/>
            </w:tcBorders>
            <w:vAlign w:val="center"/>
          </w:tcPr>
          <w:p w14:paraId="56365249" w14:textId="77777777" w:rsidR="00894DDA" w:rsidRPr="00C623FC" w:rsidRDefault="00894DDA" w:rsidP="00510CCF">
            <w:pPr>
              <w:pStyle w:val="COMtbl-textCentred"/>
            </w:pPr>
          </w:p>
        </w:tc>
        <w:tc>
          <w:tcPr>
            <w:tcW w:w="363" w:type="pct"/>
            <w:tcBorders>
              <w:left w:val="double" w:sz="4" w:space="0" w:color="auto"/>
            </w:tcBorders>
            <w:vAlign w:val="center"/>
          </w:tcPr>
          <w:p w14:paraId="7CFF9960" w14:textId="77777777" w:rsidR="00894DDA" w:rsidRPr="00C623FC" w:rsidRDefault="00894DDA" w:rsidP="00510CCF">
            <w:pPr>
              <w:pStyle w:val="COMtbl-textCentred"/>
            </w:pPr>
            <w:r w:rsidRPr="00C623FC">
              <w:t>39/438 (2.95)</w:t>
            </w:r>
          </w:p>
        </w:tc>
        <w:tc>
          <w:tcPr>
            <w:tcW w:w="362" w:type="pct"/>
            <w:vAlign w:val="center"/>
          </w:tcPr>
          <w:p w14:paraId="74ABF66D" w14:textId="77777777" w:rsidR="00894DDA" w:rsidRPr="00C623FC" w:rsidRDefault="00894DDA" w:rsidP="00510CCF">
            <w:pPr>
              <w:pStyle w:val="COMtbl-textCentred"/>
            </w:pPr>
            <w:r w:rsidRPr="00C623FC">
              <w:t>52/439 (4.08)</w:t>
            </w:r>
          </w:p>
        </w:tc>
        <w:tc>
          <w:tcPr>
            <w:tcW w:w="363" w:type="pct"/>
            <w:vAlign w:val="center"/>
          </w:tcPr>
          <w:p w14:paraId="0419ABDD" w14:textId="77777777" w:rsidR="00894DDA" w:rsidRPr="00C623FC" w:rsidRDefault="00894DDA" w:rsidP="00510CCF">
            <w:pPr>
              <w:pStyle w:val="COMtbl-textCentred"/>
            </w:pPr>
            <w:r w:rsidRPr="00C623FC">
              <w:t xml:space="preserve">0.63 </w:t>
            </w:r>
          </w:p>
          <w:p w14:paraId="67E2DEED" w14:textId="77777777" w:rsidR="00894DDA" w:rsidRPr="00C623FC" w:rsidRDefault="00894DDA" w:rsidP="00510CCF">
            <w:pPr>
              <w:pStyle w:val="COMtbl-textCentred"/>
            </w:pPr>
            <w:r w:rsidRPr="00C623FC">
              <w:t>(0.40, 1.00)</w:t>
            </w:r>
          </w:p>
        </w:tc>
        <w:tc>
          <w:tcPr>
            <w:tcW w:w="360" w:type="pct"/>
            <w:vMerge/>
            <w:vAlign w:val="center"/>
          </w:tcPr>
          <w:p w14:paraId="058F194C" w14:textId="77777777" w:rsidR="00894DDA" w:rsidRPr="00C623FC" w:rsidRDefault="00894DDA" w:rsidP="00510CCF">
            <w:pPr>
              <w:pStyle w:val="COMtbl-textCentred"/>
            </w:pPr>
          </w:p>
        </w:tc>
      </w:tr>
    </w:tbl>
    <w:p w14:paraId="450D33B9" w14:textId="77777777" w:rsidR="00894DDA" w:rsidRPr="00C71487" w:rsidRDefault="00894DDA" w:rsidP="00C71487">
      <w:pPr>
        <w:pStyle w:val="TableFooter"/>
      </w:pPr>
      <w:r w:rsidRPr="00C71487">
        <w:t>Source: Figure 9-23 (p 139), Figure 9-24 (p 140-141), Figure 14.2.4/12 (p 728-730) of the FIDELIO-DKD trial report; Figure 9-25 (p 145), Figure 9-26 (p 146-148) of the FIGARO-DKD trial report; Table 14.2.6.1/1 (p 31-38) of the FIDELITY pooled analysis</w:t>
      </w:r>
    </w:p>
    <w:p w14:paraId="268607C4" w14:textId="77777777" w:rsidR="00894DDA" w:rsidRPr="00C71487" w:rsidRDefault="00894DDA" w:rsidP="00C71487">
      <w:pPr>
        <w:pStyle w:val="TableFooter"/>
      </w:pPr>
      <w:r w:rsidRPr="00C71487">
        <w:t xml:space="preserve">Abbreviations: NC, not calculable </w:t>
      </w:r>
    </w:p>
    <w:p w14:paraId="2630EEFA" w14:textId="503B830B" w:rsidR="00894DDA" w:rsidRPr="00C623FC" w:rsidRDefault="00116C8E" w:rsidP="00C71487">
      <w:pPr>
        <w:pStyle w:val="TableFigureCaption"/>
      </w:pPr>
      <w:bookmarkStart w:id="30" w:name="_Ref110682789"/>
      <w:bookmarkStart w:id="31" w:name="_Hlk100329812"/>
      <w:r>
        <w:t xml:space="preserve">Table </w:t>
      </w:r>
      <w:r w:rsidR="00F9376A">
        <w:fldChar w:fldCharType="begin"/>
      </w:r>
      <w:r w:rsidR="00F9376A">
        <w:instrText xml:space="preserve"> SEQ Table \* ARABIC </w:instrText>
      </w:r>
      <w:r w:rsidR="00F9376A">
        <w:fldChar w:fldCharType="separate"/>
      </w:r>
      <w:r w:rsidR="00AE5D6E">
        <w:rPr>
          <w:noProof/>
        </w:rPr>
        <w:t>9</w:t>
      </w:r>
      <w:r w:rsidR="00F9376A">
        <w:rPr>
          <w:noProof/>
        </w:rPr>
        <w:fldChar w:fldCharType="end"/>
      </w:r>
      <w:bookmarkEnd w:id="30"/>
      <w:r w:rsidR="00894DDA" w:rsidRPr="00C623FC">
        <w:t>: Key subgroup analyses of the renal composite endpoint from FIDELIO-DKD, FIGARO-DKD and FIDELITY</w:t>
      </w:r>
    </w:p>
    <w:tbl>
      <w:tblPr>
        <w:tblW w:w="498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18"/>
        <w:gridCol w:w="709"/>
        <w:gridCol w:w="709"/>
        <w:gridCol w:w="892"/>
        <w:gridCol w:w="651"/>
        <w:gridCol w:w="653"/>
        <w:gridCol w:w="653"/>
        <w:gridCol w:w="651"/>
        <w:gridCol w:w="653"/>
        <w:gridCol w:w="653"/>
        <w:gridCol w:w="651"/>
        <w:gridCol w:w="653"/>
        <w:gridCol w:w="648"/>
      </w:tblGrid>
      <w:tr w:rsidR="00894DDA" w:rsidRPr="00C623FC" w14:paraId="52AA0A85" w14:textId="77777777" w:rsidTr="00C71487">
        <w:trPr>
          <w:trHeight w:val="40"/>
          <w:tblHeader/>
        </w:trPr>
        <w:tc>
          <w:tcPr>
            <w:tcW w:w="455" w:type="pct"/>
            <w:vMerge w:val="restart"/>
            <w:vAlign w:val="center"/>
          </w:tcPr>
          <w:p w14:paraId="3E4CAC6F" w14:textId="77777777" w:rsidR="00894DDA" w:rsidRPr="00C623FC" w:rsidRDefault="00894DDA" w:rsidP="00510CCF">
            <w:pPr>
              <w:pStyle w:val="COMtbl-HEADLeftAligned"/>
            </w:pPr>
            <w:r w:rsidRPr="00C623FC">
              <w:t>Subgroup</w:t>
            </w:r>
          </w:p>
        </w:tc>
        <w:tc>
          <w:tcPr>
            <w:tcW w:w="1646" w:type="pct"/>
            <w:gridSpan w:val="4"/>
            <w:tcBorders>
              <w:right w:val="double" w:sz="4" w:space="0" w:color="auto"/>
            </w:tcBorders>
            <w:vAlign w:val="center"/>
          </w:tcPr>
          <w:p w14:paraId="1E800055" w14:textId="77777777" w:rsidR="00894DDA" w:rsidRPr="00C623FC" w:rsidRDefault="00894DDA" w:rsidP="00510CCF">
            <w:pPr>
              <w:pStyle w:val="COMtbl-HEADCentred"/>
            </w:pPr>
            <w:r w:rsidRPr="00C623FC">
              <w:t>FIDELIO-DKD, n/N (rate per 100 patient years)</w:t>
            </w:r>
          </w:p>
        </w:tc>
        <w:tc>
          <w:tcPr>
            <w:tcW w:w="1451" w:type="pct"/>
            <w:gridSpan w:val="4"/>
            <w:tcBorders>
              <w:left w:val="double" w:sz="4" w:space="0" w:color="auto"/>
              <w:right w:val="double" w:sz="4" w:space="0" w:color="auto"/>
            </w:tcBorders>
            <w:vAlign w:val="center"/>
          </w:tcPr>
          <w:p w14:paraId="2F9986D6" w14:textId="77777777" w:rsidR="00894DDA" w:rsidRPr="00C623FC" w:rsidRDefault="00894DDA" w:rsidP="00510CCF">
            <w:pPr>
              <w:pStyle w:val="COMtbl-HEADCentred"/>
            </w:pPr>
            <w:r w:rsidRPr="00C623FC">
              <w:t>FIGARO-DKD, n/N (rate per 100 patient years)</w:t>
            </w:r>
          </w:p>
        </w:tc>
        <w:tc>
          <w:tcPr>
            <w:tcW w:w="1448" w:type="pct"/>
            <w:gridSpan w:val="4"/>
            <w:tcBorders>
              <w:left w:val="double" w:sz="4" w:space="0" w:color="auto"/>
            </w:tcBorders>
            <w:vAlign w:val="center"/>
          </w:tcPr>
          <w:p w14:paraId="2FD67DEF" w14:textId="77777777" w:rsidR="00894DDA" w:rsidRPr="00C623FC" w:rsidRDefault="00894DDA" w:rsidP="00510CCF">
            <w:pPr>
              <w:pStyle w:val="COMtbl-HEADCentred"/>
            </w:pPr>
            <w:r w:rsidRPr="00C623FC">
              <w:t>FIDELITY, n/N (rate per 100 patient years)</w:t>
            </w:r>
          </w:p>
        </w:tc>
      </w:tr>
      <w:tr w:rsidR="00116C8E" w:rsidRPr="00C623FC" w14:paraId="1D3F07B3" w14:textId="77777777" w:rsidTr="00116C8E">
        <w:trPr>
          <w:trHeight w:val="40"/>
          <w:tblHeader/>
        </w:trPr>
        <w:tc>
          <w:tcPr>
            <w:tcW w:w="455" w:type="pct"/>
            <w:vMerge/>
            <w:vAlign w:val="center"/>
          </w:tcPr>
          <w:p w14:paraId="60628235" w14:textId="77777777" w:rsidR="00894DDA" w:rsidRPr="00C623FC" w:rsidRDefault="00894DDA" w:rsidP="00510CCF">
            <w:pPr>
              <w:pStyle w:val="COMtbl-HEADLeftAligned"/>
            </w:pPr>
          </w:p>
        </w:tc>
        <w:tc>
          <w:tcPr>
            <w:tcW w:w="394" w:type="pct"/>
            <w:vAlign w:val="center"/>
          </w:tcPr>
          <w:p w14:paraId="3E2A08B1" w14:textId="77777777" w:rsidR="00894DDA" w:rsidRPr="00C623FC" w:rsidRDefault="00894DDA" w:rsidP="00510CCF">
            <w:pPr>
              <w:pStyle w:val="COMtbl-HEADCentred"/>
            </w:pPr>
            <w:r w:rsidRPr="00C623FC">
              <w:t>FIN</w:t>
            </w:r>
          </w:p>
        </w:tc>
        <w:tc>
          <w:tcPr>
            <w:tcW w:w="394" w:type="pct"/>
            <w:vAlign w:val="center"/>
          </w:tcPr>
          <w:p w14:paraId="6D9C352E" w14:textId="77777777" w:rsidR="00894DDA" w:rsidRPr="00C623FC" w:rsidRDefault="00894DDA" w:rsidP="00510CCF">
            <w:pPr>
              <w:pStyle w:val="COMtbl-HEADCentred"/>
            </w:pPr>
            <w:r w:rsidRPr="00C623FC">
              <w:t>PBO</w:t>
            </w:r>
          </w:p>
        </w:tc>
        <w:tc>
          <w:tcPr>
            <w:tcW w:w="496" w:type="pct"/>
            <w:vAlign w:val="center"/>
          </w:tcPr>
          <w:p w14:paraId="1CB11F79" w14:textId="77777777" w:rsidR="00894DDA" w:rsidRPr="00C623FC" w:rsidRDefault="00894DDA" w:rsidP="00510CCF">
            <w:pPr>
              <w:pStyle w:val="COMtbl-HEADCentred"/>
            </w:pPr>
            <w:r w:rsidRPr="00C623FC">
              <w:t xml:space="preserve">HR </w:t>
            </w:r>
          </w:p>
          <w:p w14:paraId="52111EE0" w14:textId="77777777" w:rsidR="00894DDA" w:rsidRPr="00C623FC" w:rsidRDefault="00894DDA" w:rsidP="00510CCF">
            <w:pPr>
              <w:pStyle w:val="COMtbl-HEADCentred"/>
            </w:pPr>
            <w:r w:rsidRPr="00C623FC">
              <w:t>(95% CI)</w:t>
            </w:r>
          </w:p>
        </w:tc>
        <w:tc>
          <w:tcPr>
            <w:tcW w:w="362" w:type="pct"/>
            <w:tcBorders>
              <w:right w:val="double" w:sz="4" w:space="0" w:color="auto"/>
            </w:tcBorders>
            <w:vAlign w:val="center"/>
          </w:tcPr>
          <w:p w14:paraId="75DA60DF" w14:textId="77777777" w:rsidR="00894DDA" w:rsidRPr="00C623FC" w:rsidRDefault="00894DDA" w:rsidP="00510CCF">
            <w:pPr>
              <w:pStyle w:val="COMtbl-HEADCentred"/>
            </w:pPr>
            <w:r w:rsidRPr="00C623FC">
              <w:t>Interaction p-value</w:t>
            </w:r>
          </w:p>
        </w:tc>
        <w:tc>
          <w:tcPr>
            <w:tcW w:w="363" w:type="pct"/>
            <w:tcBorders>
              <w:left w:val="double" w:sz="4" w:space="0" w:color="auto"/>
            </w:tcBorders>
            <w:vAlign w:val="center"/>
          </w:tcPr>
          <w:p w14:paraId="55C3419F" w14:textId="77777777" w:rsidR="00894DDA" w:rsidRPr="00C623FC" w:rsidRDefault="00894DDA" w:rsidP="00510CCF">
            <w:pPr>
              <w:pStyle w:val="COMtbl-HEADCentred"/>
            </w:pPr>
            <w:r w:rsidRPr="00C623FC">
              <w:t>FIN</w:t>
            </w:r>
          </w:p>
        </w:tc>
        <w:tc>
          <w:tcPr>
            <w:tcW w:w="363" w:type="pct"/>
            <w:vAlign w:val="center"/>
          </w:tcPr>
          <w:p w14:paraId="3EB95F48" w14:textId="77777777" w:rsidR="00894DDA" w:rsidRPr="00C623FC" w:rsidRDefault="00894DDA" w:rsidP="00510CCF">
            <w:pPr>
              <w:pStyle w:val="COMtbl-HEADCentred"/>
            </w:pPr>
            <w:r w:rsidRPr="00C623FC">
              <w:t>PBO</w:t>
            </w:r>
          </w:p>
        </w:tc>
        <w:tc>
          <w:tcPr>
            <w:tcW w:w="362" w:type="pct"/>
            <w:vAlign w:val="center"/>
          </w:tcPr>
          <w:p w14:paraId="688923EC" w14:textId="77777777" w:rsidR="00894DDA" w:rsidRPr="00C623FC" w:rsidRDefault="00894DDA" w:rsidP="00510CCF">
            <w:pPr>
              <w:pStyle w:val="COMtbl-HEADCentred"/>
            </w:pPr>
            <w:r w:rsidRPr="00C623FC">
              <w:t xml:space="preserve">HR </w:t>
            </w:r>
          </w:p>
          <w:p w14:paraId="7033FB9C" w14:textId="77777777" w:rsidR="00894DDA" w:rsidRPr="00C623FC" w:rsidRDefault="00894DDA" w:rsidP="00510CCF">
            <w:pPr>
              <w:pStyle w:val="COMtbl-HEADCentred"/>
            </w:pPr>
            <w:r w:rsidRPr="00C623FC">
              <w:t>(95% CI)</w:t>
            </w:r>
          </w:p>
        </w:tc>
        <w:tc>
          <w:tcPr>
            <w:tcW w:w="363" w:type="pct"/>
            <w:tcBorders>
              <w:right w:val="double" w:sz="4" w:space="0" w:color="auto"/>
            </w:tcBorders>
            <w:vAlign w:val="center"/>
          </w:tcPr>
          <w:p w14:paraId="15487893" w14:textId="77777777" w:rsidR="00894DDA" w:rsidRPr="00C623FC" w:rsidRDefault="00894DDA" w:rsidP="00510CCF">
            <w:pPr>
              <w:pStyle w:val="COMtbl-HEADCentred"/>
            </w:pPr>
            <w:r w:rsidRPr="00C623FC">
              <w:t>Interaction p-value</w:t>
            </w:r>
          </w:p>
        </w:tc>
        <w:tc>
          <w:tcPr>
            <w:tcW w:w="363" w:type="pct"/>
            <w:tcBorders>
              <w:left w:val="double" w:sz="4" w:space="0" w:color="auto"/>
            </w:tcBorders>
            <w:vAlign w:val="center"/>
          </w:tcPr>
          <w:p w14:paraId="18465E45" w14:textId="77777777" w:rsidR="00894DDA" w:rsidRPr="00C623FC" w:rsidRDefault="00894DDA" w:rsidP="00510CCF">
            <w:pPr>
              <w:pStyle w:val="COMtbl-HEADCentred"/>
            </w:pPr>
            <w:r w:rsidRPr="00C623FC">
              <w:t>FIN</w:t>
            </w:r>
          </w:p>
        </w:tc>
        <w:tc>
          <w:tcPr>
            <w:tcW w:w="362" w:type="pct"/>
            <w:vAlign w:val="center"/>
          </w:tcPr>
          <w:p w14:paraId="5E9B3FC0" w14:textId="77777777" w:rsidR="00894DDA" w:rsidRPr="00C623FC" w:rsidRDefault="00894DDA" w:rsidP="00510CCF">
            <w:pPr>
              <w:pStyle w:val="COMtbl-HEADCentred"/>
            </w:pPr>
            <w:r w:rsidRPr="00C623FC">
              <w:t>PBO</w:t>
            </w:r>
          </w:p>
        </w:tc>
        <w:tc>
          <w:tcPr>
            <w:tcW w:w="363" w:type="pct"/>
            <w:vAlign w:val="center"/>
          </w:tcPr>
          <w:p w14:paraId="04E99BEB" w14:textId="77777777" w:rsidR="00894DDA" w:rsidRPr="00C623FC" w:rsidRDefault="00894DDA" w:rsidP="00510CCF">
            <w:pPr>
              <w:pStyle w:val="COMtbl-HEADCentred"/>
            </w:pPr>
            <w:r w:rsidRPr="00C623FC">
              <w:t xml:space="preserve">HR </w:t>
            </w:r>
          </w:p>
          <w:p w14:paraId="110F40D1" w14:textId="77777777" w:rsidR="00894DDA" w:rsidRPr="00C623FC" w:rsidRDefault="00894DDA" w:rsidP="00510CCF">
            <w:pPr>
              <w:pStyle w:val="COMtbl-HEADCentred"/>
            </w:pPr>
            <w:r w:rsidRPr="00C623FC">
              <w:t>(95% CI)</w:t>
            </w:r>
          </w:p>
        </w:tc>
        <w:tc>
          <w:tcPr>
            <w:tcW w:w="360" w:type="pct"/>
            <w:vAlign w:val="center"/>
          </w:tcPr>
          <w:p w14:paraId="11365F7B" w14:textId="77777777" w:rsidR="00894DDA" w:rsidRPr="00C623FC" w:rsidRDefault="00894DDA" w:rsidP="00510CCF">
            <w:pPr>
              <w:pStyle w:val="COMtbl-HEADCentred"/>
            </w:pPr>
            <w:r w:rsidRPr="00C623FC">
              <w:t>Interaction</w:t>
            </w:r>
          </w:p>
          <w:p w14:paraId="6DF9A515" w14:textId="77777777" w:rsidR="00894DDA" w:rsidRPr="00C623FC" w:rsidRDefault="00894DDA" w:rsidP="00510CCF">
            <w:pPr>
              <w:pStyle w:val="COMtbl-HEADCentred"/>
            </w:pPr>
            <w:r w:rsidRPr="00C623FC">
              <w:t>p-value</w:t>
            </w:r>
          </w:p>
        </w:tc>
      </w:tr>
      <w:tr w:rsidR="00894DDA" w:rsidRPr="00C623FC" w14:paraId="5B5EBE44" w14:textId="77777777" w:rsidTr="00510CCF">
        <w:tc>
          <w:tcPr>
            <w:tcW w:w="5000" w:type="pct"/>
            <w:gridSpan w:val="13"/>
            <w:vAlign w:val="center"/>
          </w:tcPr>
          <w:p w14:paraId="0F2A0DC3" w14:textId="77777777" w:rsidR="00894DDA" w:rsidRPr="00C623FC" w:rsidRDefault="00894DDA" w:rsidP="00510CCF">
            <w:pPr>
              <w:pStyle w:val="COMtbl-textCentred"/>
              <w:jc w:val="both"/>
              <w:rPr>
                <w:b/>
                <w:bCs/>
              </w:rPr>
            </w:pPr>
            <w:r w:rsidRPr="00C623FC">
              <w:rPr>
                <w:b/>
                <w:bCs/>
              </w:rPr>
              <w:t>Baseline UACR mg/g</w:t>
            </w:r>
          </w:p>
        </w:tc>
      </w:tr>
      <w:tr w:rsidR="00116C8E" w:rsidRPr="00C623FC" w14:paraId="4D9CBCF5" w14:textId="77777777" w:rsidTr="00116C8E">
        <w:tc>
          <w:tcPr>
            <w:tcW w:w="455" w:type="pct"/>
            <w:vAlign w:val="center"/>
          </w:tcPr>
          <w:p w14:paraId="5CB61B08" w14:textId="77777777" w:rsidR="00894DDA" w:rsidRPr="00C623FC" w:rsidRDefault="00894DDA" w:rsidP="00510CCF">
            <w:pPr>
              <w:pStyle w:val="COMtbl-textLeftAligned"/>
            </w:pPr>
            <w:r w:rsidRPr="00C623FC">
              <w:t>&lt; 30</w:t>
            </w:r>
          </w:p>
        </w:tc>
        <w:tc>
          <w:tcPr>
            <w:tcW w:w="394" w:type="pct"/>
            <w:vAlign w:val="center"/>
          </w:tcPr>
          <w:p w14:paraId="5137E410" w14:textId="77777777" w:rsidR="00894DDA" w:rsidRPr="00C623FC" w:rsidRDefault="00894DDA" w:rsidP="00510CCF">
            <w:pPr>
              <w:pStyle w:val="COMtbl-textCentred"/>
            </w:pPr>
            <w:r w:rsidRPr="00C623FC">
              <w:t>0/11</w:t>
            </w:r>
          </w:p>
          <w:p w14:paraId="683511B4" w14:textId="77777777" w:rsidR="00894DDA" w:rsidRPr="00C623FC" w:rsidRDefault="00894DDA" w:rsidP="00510CCF">
            <w:pPr>
              <w:pStyle w:val="COMtbl-textCentred"/>
            </w:pPr>
            <w:r w:rsidRPr="00C623FC">
              <w:t>(0.0)</w:t>
            </w:r>
          </w:p>
        </w:tc>
        <w:tc>
          <w:tcPr>
            <w:tcW w:w="394" w:type="pct"/>
            <w:vAlign w:val="center"/>
          </w:tcPr>
          <w:p w14:paraId="56F502B4" w14:textId="77777777" w:rsidR="00894DDA" w:rsidRPr="00C623FC" w:rsidRDefault="00894DDA" w:rsidP="00510CCF">
            <w:pPr>
              <w:pStyle w:val="COMtbl-textCentred"/>
            </w:pPr>
            <w:r w:rsidRPr="00C623FC">
              <w:t xml:space="preserve">2/12 </w:t>
            </w:r>
          </w:p>
          <w:p w14:paraId="107584D7" w14:textId="77777777" w:rsidR="00894DDA" w:rsidRPr="00C623FC" w:rsidRDefault="00894DDA" w:rsidP="00510CCF">
            <w:pPr>
              <w:pStyle w:val="COMtbl-textCentred"/>
            </w:pPr>
            <w:r w:rsidRPr="00C623FC">
              <w:t>(7.3)</w:t>
            </w:r>
          </w:p>
        </w:tc>
        <w:tc>
          <w:tcPr>
            <w:tcW w:w="496" w:type="pct"/>
            <w:vAlign w:val="center"/>
          </w:tcPr>
          <w:p w14:paraId="0775F098" w14:textId="77777777" w:rsidR="00894DDA" w:rsidRPr="00C623FC" w:rsidRDefault="00894DDA" w:rsidP="00510CCF">
            <w:pPr>
              <w:pStyle w:val="COMtbl-textCentred"/>
            </w:pPr>
            <w:r w:rsidRPr="00C623FC">
              <w:t>NC</w:t>
            </w:r>
          </w:p>
        </w:tc>
        <w:tc>
          <w:tcPr>
            <w:tcW w:w="362" w:type="pct"/>
            <w:vMerge w:val="restart"/>
            <w:tcBorders>
              <w:right w:val="double" w:sz="4" w:space="0" w:color="auto"/>
            </w:tcBorders>
            <w:vAlign w:val="center"/>
          </w:tcPr>
          <w:p w14:paraId="529BAB71" w14:textId="77777777" w:rsidR="00894DDA" w:rsidRPr="00C623FC" w:rsidRDefault="00894DDA" w:rsidP="00510CCF">
            <w:pPr>
              <w:pStyle w:val="COMtbl-textCentred"/>
            </w:pPr>
            <w:r w:rsidRPr="00C623FC">
              <w:t>NC</w:t>
            </w:r>
          </w:p>
        </w:tc>
        <w:tc>
          <w:tcPr>
            <w:tcW w:w="363" w:type="pct"/>
            <w:tcBorders>
              <w:left w:val="double" w:sz="4" w:space="0" w:color="auto"/>
            </w:tcBorders>
            <w:vAlign w:val="center"/>
          </w:tcPr>
          <w:p w14:paraId="390CFF0B" w14:textId="77777777" w:rsidR="00894DDA" w:rsidRPr="00C623FC" w:rsidRDefault="00894DDA" w:rsidP="00510CCF">
            <w:pPr>
              <w:pStyle w:val="COMtbl-textCentred"/>
            </w:pPr>
            <w:r w:rsidRPr="00C623FC">
              <w:t xml:space="preserve">4/109 </w:t>
            </w:r>
          </w:p>
          <w:p w14:paraId="42A11F8A" w14:textId="77777777" w:rsidR="00894DDA" w:rsidRPr="00C623FC" w:rsidRDefault="00894DDA" w:rsidP="00510CCF">
            <w:pPr>
              <w:pStyle w:val="COMtbl-textCentred"/>
            </w:pPr>
            <w:r w:rsidRPr="00C623FC">
              <w:t>(1.11)</w:t>
            </w:r>
          </w:p>
        </w:tc>
        <w:tc>
          <w:tcPr>
            <w:tcW w:w="363" w:type="pct"/>
            <w:vAlign w:val="center"/>
          </w:tcPr>
          <w:p w14:paraId="3A43C31B" w14:textId="77777777" w:rsidR="00894DDA" w:rsidRPr="00C623FC" w:rsidRDefault="00894DDA" w:rsidP="00510CCF">
            <w:pPr>
              <w:pStyle w:val="COMtbl-textCentred"/>
            </w:pPr>
            <w:r w:rsidRPr="00C623FC">
              <w:t xml:space="preserve">3/98 </w:t>
            </w:r>
          </w:p>
          <w:p w14:paraId="54A0B1B5" w14:textId="77777777" w:rsidR="00894DDA" w:rsidRPr="00C623FC" w:rsidRDefault="00894DDA" w:rsidP="00510CCF">
            <w:pPr>
              <w:pStyle w:val="COMtbl-textCentred"/>
            </w:pPr>
            <w:r w:rsidRPr="00C623FC">
              <w:t>(0.99)</w:t>
            </w:r>
          </w:p>
        </w:tc>
        <w:tc>
          <w:tcPr>
            <w:tcW w:w="362" w:type="pct"/>
            <w:vAlign w:val="center"/>
          </w:tcPr>
          <w:p w14:paraId="33CE50DC" w14:textId="77777777" w:rsidR="00894DDA" w:rsidRPr="00C623FC" w:rsidRDefault="00894DDA" w:rsidP="00510CCF">
            <w:pPr>
              <w:pStyle w:val="COMtbl-textCentred"/>
            </w:pPr>
            <w:r w:rsidRPr="00C623FC">
              <w:t xml:space="preserve">0.58 </w:t>
            </w:r>
          </w:p>
          <w:p w14:paraId="0D00D52D" w14:textId="77777777" w:rsidR="00894DDA" w:rsidRPr="00C623FC" w:rsidRDefault="00894DDA" w:rsidP="00510CCF">
            <w:pPr>
              <w:pStyle w:val="COMtbl-textCentred"/>
            </w:pPr>
            <w:r w:rsidRPr="00C623FC">
              <w:t>(0.09, 3.57)</w:t>
            </w:r>
          </w:p>
        </w:tc>
        <w:tc>
          <w:tcPr>
            <w:tcW w:w="363" w:type="pct"/>
            <w:vMerge w:val="restart"/>
            <w:tcBorders>
              <w:right w:val="double" w:sz="4" w:space="0" w:color="auto"/>
            </w:tcBorders>
            <w:vAlign w:val="center"/>
          </w:tcPr>
          <w:p w14:paraId="73FEDD3C" w14:textId="77777777" w:rsidR="00894DDA" w:rsidRPr="00C623FC" w:rsidRDefault="00894DDA" w:rsidP="00510CCF">
            <w:pPr>
              <w:pStyle w:val="COMtbl-textCentred"/>
              <w:rPr>
                <w:b/>
                <w:bCs/>
              </w:rPr>
            </w:pPr>
            <w:r w:rsidRPr="00C623FC">
              <w:rPr>
                <w:b/>
                <w:bCs/>
              </w:rPr>
              <w:t>0.0188</w:t>
            </w:r>
          </w:p>
        </w:tc>
        <w:tc>
          <w:tcPr>
            <w:tcW w:w="363" w:type="pct"/>
            <w:tcBorders>
              <w:left w:val="double" w:sz="4" w:space="0" w:color="auto"/>
            </w:tcBorders>
            <w:vAlign w:val="center"/>
          </w:tcPr>
          <w:p w14:paraId="137A485A" w14:textId="77777777" w:rsidR="00894DDA" w:rsidRPr="00C623FC" w:rsidRDefault="00894DDA" w:rsidP="00510CCF">
            <w:pPr>
              <w:pStyle w:val="COMtbl-textCentred"/>
            </w:pPr>
            <w:r w:rsidRPr="00C623FC">
              <w:t xml:space="preserve">4/120 </w:t>
            </w:r>
          </w:p>
          <w:p w14:paraId="55365A6B" w14:textId="77777777" w:rsidR="00894DDA" w:rsidRPr="00C623FC" w:rsidRDefault="00894DDA" w:rsidP="00510CCF">
            <w:pPr>
              <w:pStyle w:val="COMtbl-textCentred"/>
            </w:pPr>
            <w:r w:rsidRPr="00C623FC">
              <w:t>(1.02)</w:t>
            </w:r>
          </w:p>
        </w:tc>
        <w:tc>
          <w:tcPr>
            <w:tcW w:w="362" w:type="pct"/>
            <w:vAlign w:val="center"/>
          </w:tcPr>
          <w:p w14:paraId="21379DC7" w14:textId="77777777" w:rsidR="00894DDA" w:rsidRPr="00C623FC" w:rsidRDefault="00894DDA" w:rsidP="00510CCF">
            <w:pPr>
              <w:pStyle w:val="COMtbl-textCentred"/>
            </w:pPr>
            <w:r w:rsidRPr="00C623FC">
              <w:t xml:space="preserve">5/110 </w:t>
            </w:r>
          </w:p>
          <w:p w14:paraId="6DACAC23" w14:textId="77777777" w:rsidR="00894DDA" w:rsidRPr="00C623FC" w:rsidRDefault="00894DDA" w:rsidP="00510CCF">
            <w:pPr>
              <w:pStyle w:val="COMtbl-textCentred"/>
            </w:pPr>
            <w:r w:rsidRPr="00C623FC">
              <w:t>(1.52)</w:t>
            </w:r>
          </w:p>
        </w:tc>
        <w:tc>
          <w:tcPr>
            <w:tcW w:w="363" w:type="pct"/>
            <w:vAlign w:val="center"/>
          </w:tcPr>
          <w:p w14:paraId="1454BA8C" w14:textId="77777777" w:rsidR="00894DDA" w:rsidRPr="00C623FC" w:rsidRDefault="00894DDA" w:rsidP="00510CCF">
            <w:pPr>
              <w:pStyle w:val="COMtbl-textCentred"/>
            </w:pPr>
            <w:r w:rsidRPr="00C623FC">
              <w:t xml:space="preserve">0.58 </w:t>
            </w:r>
          </w:p>
          <w:p w14:paraId="11853BD8" w14:textId="77777777" w:rsidR="00894DDA" w:rsidRPr="00C623FC" w:rsidRDefault="00894DDA" w:rsidP="00510CCF">
            <w:pPr>
              <w:pStyle w:val="COMtbl-textCentred"/>
            </w:pPr>
            <w:r w:rsidRPr="00C623FC">
              <w:t>(0.09, 3.57)</w:t>
            </w:r>
          </w:p>
        </w:tc>
        <w:tc>
          <w:tcPr>
            <w:tcW w:w="360" w:type="pct"/>
            <w:vMerge w:val="restart"/>
            <w:vAlign w:val="center"/>
          </w:tcPr>
          <w:p w14:paraId="3F557CAD" w14:textId="77777777" w:rsidR="00894DDA" w:rsidRPr="00C623FC" w:rsidRDefault="00894DDA" w:rsidP="00510CCF">
            <w:pPr>
              <w:pStyle w:val="COMtbl-textCentred"/>
              <w:rPr>
                <w:b/>
                <w:bCs/>
              </w:rPr>
            </w:pPr>
            <w:r w:rsidRPr="00C623FC">
              <w:rPr>
                <w:b/>
                <w:bCs/>
              </w:rPr>
              <w:t>0.0322</w:t>
            </w:r>
          </w:p>
        </w:tc>
      </w:tr>
      <w:tr w:rsidR="00116C8E" w:rsidRPr="00C623FC" w14:paraId="18CFB9E3" w14:textId="77777777" w:rsidTr="00116C8E">
        <w:tc>
          <w:tcPr>
            <w:tcW w:w="455" w:type="pct"/>
            <w:vAlign w:val="center"/>
          </w:tcPr>
          <w:p w14:paraId="1109E11E" w14:textId="77777777" w:rsidR="00894DDA" w:rsidRPr="00C623FC" w:rsidRDefault="00894DDA" w:rsidP="00510CCF">
            <w:pPr>
              <w:pStyle w:val="COMtbl-textLeftAligned"/>
            </w:pPr>
            <w:r w:rsidRPr="00C623FC">
              <w:t>30 to &lt; 300</w:t>
            </w:r>
          </w:p>
        </w:tc>
        <w:tc>
          <w:tcPr>
            <w:tcW w:w="394" w:type="pct"/>
            <w:vAlign w:val="center"/>
          </w:tcPr>
          <w:p w14:paraId="430DF4C5" w14:textId="77777777" w:rsidR="00894DDA" w:rsidRPr="00C623FC" w:rsidRDefault="00894DDA" w:rsidP="00510CCF">
            <w:pPr>
              <w:pStyle w:val="COMtbl-textCentred"/>
            </w:pPr>
            <w:r w:rsidRPr="00C623FC">
              <w:t>19/350 (1.90)</w:t>
            </w:r>
          </w:p>
        </w:tc>
        <w:tc>
          <w:tcPr>
            <w:tcW w:w="394" w:type="pct"/>
            <w:vAlign w:val="center"/>
          </w:tcPr>
          <w:p w14:paraId="0973FE3D" w14:textId="77777777" w:rsidR="00894DDA" w:rsidRPr="00C623FC" w:rsidRDefault="00894DDA" w:rsidP="00510CCF">
            <w:pPr>
              <w:pStyle w:val="COMtbl-textCentred"/>
            </w:pPr>
            <w:r w:rsidRPr="00C623FC">
              <w:t>20/335 (2.11)</w:t>
            </w:r>
          </w:p>
        </w:tc>
        <w:tc>
          <w:tcPr>
            <w:tcW w:w="496" w:type="pct"/>
            <w:vAlign w:val="center"/>
          </w:tcPr>
          <w:p w14:paraId="41ED2760" w14:textId="77777777" w:rsidR="00894DDA" w:rsidRPr="00C623FC" w:rsidRDefault="00894DDA" w:rsidP="00510CCF">
            <w:pPr>
              <w:pStyle w:val="COMtbl-textCentred"/>
            </w:pPr>
            <w:r w:rsidRPr="00C623FC">
              <w:t xml:space="preserve">0.92 </w:t>
            </w:r>
          </w:p>
          <w:p w14:paraId="420C7713" w14:textId="77777777" w:rsidR="00894DDA" w:rsidRPr="00C623FC" w:rsidRDefault="00894DDA" w:rsidP="00510CCF">
            <w:pPr>
              <w:pStyle w:val="COMtbl-textCentred"/>
            </w:pPr>
            <w:r w:rsidRPr="00C623FC">
              <w:t>(0.49, 1.72)</w:t>
            </w:r>
          </w:p>
        </w:tc>
        <w:tc>
          <w:tcPr>
            <w:tcW w:w="362" w:type="pct"/>
            <w:vMerge/>
            <w:tcBorders>
              <w:right w:val="double" w:sz="4" w:space="0" w:color="auto"/>
            </w:tcBorders>
            <w:vAlign w:val="center"/>
          </w:tcPr>
          <w:p w14:paraId="7340EEA3" w14:textId="77777777" w:rsidR="00894DDA" w:rsidRPr="00C623FC" w:rsidRDefault="00894DDA" w:rsidP="00510CCF">
            <w:pPr>
              <w:pStyle w:val="COMtbl-textCentred"/>
            </w:pPr>
          </w:p>
        </w:tc>
        <w:tc>
          <w:tcPr>
            <w:tcW w:w="363" w:type="pct"/>
            <w:tcBorders>
              <w:left w:val="double" w:sz="4" w:space="0" w:color="auto"/>
            </w:tcBorders>
            <w:vAlign w:val="center"/>
          </w:tcPr>
          <w:p w14:paraId="1D0FE225" w14:textId="77777777" w:rsidR="00894DDA" w:rsidRPr="00C623FC" w:rsidRDefault="00894DDA" w:rsidP="00510CCF">
            <w:pPr>
              <w:pStyle w:val="COMtbl-textCentred"/>
            </w:pPr>
            <w:r w:rsidRPr="00C623FC">
              <w:t>145/1,726 (2.63)</w:t>
            </w:r>
          </w:p>
        </w:tc>
        <w:tc>
          <w:tcPr>
            <w:tcW w:w="363" w:type="pct"/>
            <w:vAlign w:val="center"/>
          </w:tcPr>
          <w:p w14:paraId="056373E5" w14:textId="77777777" w:rsidR="00894DDA" w:rsidRPr="00C623FC" w:rsidRDefault="00894DDA" w:rsidP="00510CCF">
            <w:pPr>
              <w:pStyle w:val="COMtbl-textCentred"/>
            </w:pPr>
            <w:r w:rsidRPr="00C623FC">
              <w:t>124/1,688 (2.30)</w:t>
            </w:r>
          </w:p>
        </w:tc>
        <w:tc>
          <w:tcPr>
            <w:tcW w:w="362" w:type="pct"/>
            <w:vAlign w:val="center"/>
          </w:tcPr>
          <w:p w14:paraId="5361D27C" w14:textId="77777777" w:rsidR="00894DDA" w:rsidRPr="00C623FC" w:rsidRDefault="00894DDA" w:rsidP="00510CCF">
            <w:pPr>
              <w:pStyle w:val="COMtbl-textCentred"/>
            </w:pPr>
            <w:r w:rsidRPr="00C623FC">
              <w:t xml:space="preserve">1.16 </w:t>
            </w:r>
          </w:p>
          <w:p w14:paraId="6AD4C506" w14:textId="77777777" w:rsidR="00894DDA" w:rsidRPr="00C623FC" w:rsidRDefault="00894DDA" w:rsidP="00510CCF">
            <w:pPr>
              <w:pStyle w:val="COMtbl-textCentred"/>
            </w:pPr>
            <w:r w:rsidRPr="00C623FC">
              <w:t>(0.91, 1.47)</w:t>
            </w:r>
          </w:p>
        </w:tc>
        <w:tc>
          <w:tcPr>
            <w:tcW w:w="363" w:type="pct"/>
            <w:vMerge/>
            <w:tcBorders>
              <w:right w:val="double" w:sz="4" w:space="0" w:color="auto"/>
            </w:tcBorders>
            <w:vAlign w:val="center"/>
          </w:tcPr>
          <w:p w14:paraId="7F97592F" w14:textId="77777777" w:rsidR="00894DDA" w:rsidRPr="00C623FC" w:rsidRDefault="00894DDA" w:rsidP="00510CCF">
            <w:pPr>
              <w:pStyle w:val="COMtbl-textCentred"/>
            </w:pPr>
          </w:p>
        </w:tc>
        <w:tc>
          <w:tcPr>
            <w:tcW w:w="363" w:type="pct"/>
            <w:tcBorders>
              <w:left w:val="double" w:sz="4" w:space="0" w:color="auto"/>
            </w:tcBorders>
            <w:vAlign w:val="center"/>
          </w:tcPr>
          <w:p w14:paraId="6C455064" w14:textId="77777777" w:rsidR="00894DDA" w:rsidRPr="00C623FC" w:rsidRDefault="00894DDA" w:rsidP="00510CCF">
            <w:pPr>
              <w:pStyle w:val="COMtbl-textCentred"/>
            </w:pPr>
            <w:r w:rsidRPr="00C623FC">
              <w:t>164/2,076 (2.52)</w:t>
            </w:r>
          </w:p>
        </w:tc>
        <w:tc>
          <w:tcPr>
            <w:tcW w:w="362" w:type="pct"/>
            <w:vAlign w:val="center"/>
          </w:tcPr>
          <w:p w14:paraId="3A29F0F5" w14:textId="77777777" w:rsidR="00894DDA" w:rsidRPr="00C623FC" w:rsidRDefault="00894DDA" w:rsidP="00510CCF">
            <w:pPr>
              <w:pStyle w:val="COMtbl-textCentred"/>
            </w:pPr>
            <w:r w:rsidRPr="00C623FC">
              <w:t>144/2,023 (2.27)</w:t>
            </w:r>
          </w:p>
        </w:tc>
        <w:tc>
          <w:tcPr>
            <w:tcW w:w="363" w:type="pct"/>
            <w:vAlign w:val="center"/>
          </w:tcPr>
          <w:p w14:paraId="760DBEBE" w14:textId="77777777" w:rsidR="00894DDA" w:rsidRPr="00C623FC" w:rsidRDefault="00894DDA" w:rsidP="00510CCF">
            <w:pPr>
              <w:pStyle w:val="COMtbl-textCentred"/>
            </w:pPr>
            <w:r w:rsidRPr="00C623FC">
              <w:t xml:space="preserve">1.11 </w:t>
            </w:r>
          </w:p>
          <w:p w14:paraId="085B73C4" w14:textId="77777777" w:rsidR="00894DDA" w:rsidRPr="00C623FC" w:rsidRDefault="00894DDA" w:rsidP="00510CCF">
            <w:pPr>
              <w:pStyle w:val="COMtbl-textCentred"/>
            </w:pPr>
            <w:r w:rsidRPr="00C623FC">
              <w:t>(0.88, 1.39)</w:t>
            </w:r>
          </w:p>
        </w:tc>
        <w:tc>
          <w:tcPr>
            <w:tcW w:w="360" w:type="pct"/>
            <w:vMerge/>
            <w:vAlign w:val="center"/>
          </w:tcPr>
          <w:p w14:paraId="3774D9AE" w14:textId="77777777" w:rsidR="00894DDA" w:rsidRPr="00C623FC" w:rsidRDefault="00894DDA" w:rsidP="00510CCF">
            <w:pPr>
              <w:pStyle w:val="COMtbl-textCentred"/>
            </w:pPr>
          </w:p>
        </w:tc>
      </w:tr>
      <w:tr w:rsidR="00116C8E" w:rsidRPr="00C623FC" w14:paraId="4D2CF2BF" w14:textId="77777777" w:rsidTr="00116C8E">
        <w:tc>
          <w:tcPr>
            <w:tcW w:w="455" w:type="pct"/>
            <w:vAlign w:val="center"/>
          </w:tcPr>
          <w:p w14:paraId="741AEC7D" w14:textId="77777777" w:rsidR="00894DDA" w:rsidRPr="00C623FC" w:rsidRDefault="00894DDA" w:rsidP="00510CCF">
            <w:pPr>
              <w:pStyle w:val="COMtbl-textLeftAligned"/>
            </w:pPr>
            <w:r w:rsidRPr="00C623FC">
              <w:rPr>
                <w:u w:val="single"/>
              </w:rPr>
              <w:t>&gt;</w:t>
            </w:r>
            <w:r w:rsidRPr="00C623FC">
              <w:t xml:space="preserve"> 300 </w:t>
            </w:r>
          </w:p>
        </w:tc>
        <w:tc>
          <w:tcPr>
            <w:tcW w:w="394" w:type="pct"/>
            <w:vAlign w:val="center"/>
          </w:tcPr>
          <w:p w14:paraId="47EF6C00" w14:textId="77777777" w:rsidR="00894DDA" w:rsidRPr="00C623FC" w:rsidRDefault="00894DDA" w:rsidP="00510CCF">
            <w:pPr>
              <w:pStyle w:val="COMtbl-textCentred"/>
            </w:pPr>
            <w:r w:rsidRPr="00C623FC">
              <w:t>485/2,470 (8.65)</w:t>
            </w:r>
          </w:p>
        </w:tc>
        <w:tc>
          <w:tcPr>
            <w:tcW w:w="394" w:type="pct"/>
            <w:vAlign w:val="center"/>
          </w:tcPr>
          <w:p w14:paraId="470F07C1" w14:textId="77777777" w:rsidR="00894DDA" w:rsidRPr="00C623FC" w:rsidRDefault="00894DDA" w:rsidP="00510CCF">
            <w:pPr>
              <w:pStyle w:val="COMtbl-textCentred"/>
            </w:pPr>
            <w:r w:rsidRPr="00C623FC">
              <w:t>578/2,493 (10.26)</w:t>
            </w:r>
          </w:p>
        </w:tc>
        <w:tc>
          <w:tcPr>
            <w:tcW w:w="496" w:type="pct"/>
            <w:vAlign w:val="center"/>
          </w:tcPr>
          <w:p w14:paraId="26A94318" w14:textId="77777777" w:rsidR="00894DDA" w:rsidRPr="00C623FC" w:rsidRDefault="00894DDA" w:rsidP="00510CCF">
            <w:pPr>
              <w:pStyle w:val="COMtbl-textCentred"/>
            </w:pPr>
            <w:r w:rsidRPr="00C623FC">
              <w:t xml:space="preserve">0.83 </w:t>
            </w:r>
          </w:p>
          <w:p w14:paraId="467FAA3D" w14:textId="77777777" w:rsidR="00894DDA" w:rsidRPr="00C623FC" w:rsidRDefault="00894DDA" w:rsidP="00510CCF">
            <w:pPr>
              <w:pStyle w:val="COMtbl-textCentred"/>
            </w:pPr>
            <w:r w:rsidRPr="00C623FC">
              <w:t>(0.73, 0.93)</w:t>
            </w:r>
          </w:p>
        </w:tc>
        <w:tc>
          <w:tcPr>
            <w:tcW w:w="362" w:type="pct"/>
            <w:vMerge/>
            <w:tcBorders>
              <w:right w:val="double" w:sz="4" w:space="0" w:color="auto"/>
            </w:tcBorders>
            <w:vAlign w:val="center"/>
          </w:tcPr>
          <w:p w14:paraId="2AB2BAAE" w14:textId="77777777" w:rsidR="00894DDA" w:rsidRPr="00C623FC" w:rsidRDefault="00894DDA" w:rsidP="00510CCF">
            <w:pPr>
              <w:pStyle w:val="COMtbl-textCentred"/>
            </w:pPr>
          </w:p>
        </w:tc>
        <w:tc>
          <w:tcPr>
            <w:tcW w:w="363" w:type="pct"/>
            <w:tcBorders>
              <w:left w:val="double" w:sz="4" w:space="0" w:color="auto"/>
            </w:tcBorders>
            <w:vAlign w:val="center"/>
          </w:tcPr>
          <w:p w14:paraId="25B07ADB" w14:textId="77777777" w:rsidR="00894DDA" w:rsidRPr="00C623FC" w:rsidRDefault="00894DDA" w:rsidP="00510CCF">
            <w:pPr>
              <w:pStyle w:val="COMtbl-textCentred"/>
            </w:pPr>
            <w:r w:rsidRPr="00C623FC">
              <w:t>201/1,851 (3.83)</w:t>
            </w:r>
          </w:p>
        </w:tc>
        <w:tc>
          <w:tcPr>
            <w:tcW w:w="363" w:type="pct"/>
            <w:vAlign w:val="center"/>
          </w:tcPr>
          <w:p w14:paraId="7E65EEA2" w14:textId="77777777" w:rsidR="00894DDA" w:rsidRPr="00C623FC" w:rsidRDefault="00894DDA" w:rsidP="00510CCF">
            <w:pPr>
              <w:pStyle w:val="COMtbl-textCentred"/>
            </w:pPr>
            <w:r w:rsidRPr="00C623FC">
              <w:t>268/1,878 (5.02)</w:t>
            </w:r>
          </w:p>
        </w:tc>
        <w:tc>
          <w:tcPr>
            <w:tcW w:w="362" w:type="pct"/>
            <w:vAlign w:val="center"/>
          </w:tcPr>
          <w:p w14:paraId="2780BD35" w14:textId="77777777" w:rsidR="00894DDA" w:rsidRPr="00C623FC" w:rsidRDefault="00894DDA" w:rsidP="00510CCF">
            <w:pPr>
              <w:pStyle w:val="COMtbl-textCentred"/>
            </w:pPr>
            <w:r w:rsidRPr="00C623FC">
              <w:t xml:space="preserve">0.74 </w:t>
            </w:r>
          </w:p>
          <w:p w14:paraId="10E75394" w14:textId="77777777" w:rsidR="00894DDA" w:rsidRPr="00C623FC" w:rsidRDefault="00894DDA" w:rsidP="00510CCF">
            <w:pPr>
              <w:pStyle w:val="COMtbl-textCentred"/>
            </w:pPr>
            <w:r w:rsidRPr="00C623FC">
              <w:t>(0.62, 0.90)</w:t>
            </w:r>
          </w:p>
        </w:tc>
        <w:tc>
          <w:tcPr>
            <w:tcW w:w="363" w:type="pct"/>
            <w:vMerge/>
            <w:tcBorders>
              <w:right w:val="double" w:sz="4" w:space="0" w:color="auto"/>
            </w:tcBorders>
            <w:vAlign w:val="center"/>
          </w:tcPr>
          <w:p w14:paraId="157E0685" w14:textId="77777777" w:rsidR="00894DDA" w:rsidRPr="00C623FC" w:rsidRDefault="00894DDA" w:rsidP="00510CCF">
            <w:pPr>
              <w:pStyle w:val="COMtbl-textCentred"/>
            </w:pPr>
          </w:p>
        </w:tc>
        <w:tc>
          <w:tcPr>
            <w:tcW w:w="363" w:type="pct"/>
            <w:tcBorders>
              <w:left w:val="double" w:sz="4" w:space="0" w:color="auto"/>
            </w:tcBorders>
            <w:vAlign w:val="center"/>
          </w:tcPr>
          <w:p w14:paraId="1ECCE72C" w14:textId="77777777" w:rsidR="00894DDA" w:rsidRPr="00C623FC" w:rsidRDefault="00894DDA" w:rsidP="00510CCF">
            <w:pPr>
              <w:pStyle w:val="COMtbl-textCentred"/>
            </w:pPr>
            <w:r w:rsidRPr="00C623FC">
              <w:t>686/4,321 (6.32)</w:t>
            </w:r>
          </w:p>
        </w:tc>
        <w:tc>
          <w:tcPr>
            <w:tcW w:w="362" w:type="pct"/>
            <w:vAlign w:val="center"/>
          </w:tcPr>
          <w:p w14:paraId="35CD4812" w14:textId="77777777" w:rsidR="00894DDA" w:rsidRPr="00C623FC" w:rsidRDefault="00894DDA" w:rsidP="00510CCF">
            <w:pPr>
              <w:pStyle w:val="COMtbl-textCentred"/>
            </w:pPr>
            <w:r w:rsidRPr="00C623FC">
              <w:t>846/4,371 (7.71)</w:t>
            </w:r>
          </w:p>
        </w:tc>
        <w:tc>
          <w:tcPr>
            <w:tcW w:w="363" w:type="pct"/>
            <w:vAlign w:val="center"/>
          </w:tcPr>
          <w:p w14:paraId="1F52A026" w14:textId="77777777" w:rsidR="00894DDA" w:rsidRPr="00C623FC" w:rsidRDefault="00894DDA" w:rsidP="00510CCF">
            <w:pPr>
              <w:pStyle w:val="COMtbl-textCentred"/>
            </w:pPr>
            <w:r w:rsidRPr="00C623FC">
              <w:t xml:space="preserve">0.81 </w:t>
            </w:r>
          </w:p>
          <w:p w14:paraId="3FD6A1D4" w14:textId="77777777" w:rsidR="00894DDA" w:rsidRPr="00C623FC" w:rsidRDefault="00894DDA" w:rsidP="00510CCF">
            <w:pPr>
              <w:pStyle w:val="COMtbl-textCentred"/>
            </w:pPr>
            <w:r w:rsidRPr="00C623FC">
              <w:t>(0.73, 0.89)</w:t>
            </w:r>
          </w:p>
        </w:tc>
        <w:tc>
          <w:tcPr>
            <w:tcW w:w="360" w:type="pct"/>
            <w:vMerge/>
            <w:vAlign w:val="center"/>
          </w:tcPr>
          <w:p w14:paraId="280B1B8F" w14:textId="77777777" w:rsidR="00894DDA" w:rsidRPr="00C623FC" w:rsidRDefault="00894DDA" w:rsidP="00510CCF">
            <w:pPr>
              <w:pStyle w:val="COMtbl-textCentred"/>
            </w:pPr>
          </w:p>
        </w:tc>
      </w:tr>
      <w:tr w:rsidR="00894DDA" w:rsidRPr="00C623FC" w14:paraId="3C6C0077" w14:textId="77777777" w:rsidTr="00510CCF">
        <w:tc>
          <w:tcPr>
            <w:tcW w:w="5000" w:type="pct"/>
            <w:gridSpan w:val="13"/>
            <w:vAlign w:val="center"/>
          </w:tcPr>
          <w:p w14:paraId="73AFDADB" w14:textId="77777777" w:rsidR="00894DDA" w:rsidRPr="00C623FC" w:rsidRDefault="00894DDA" w:rsidP="00510CCF">
            <w:pPr>
              <w:pStyle w:val="COMtbl-textCentred"/>
              <w:jc w:val="both"/>
              <w:rPr>
                <w:b/>
                <w:bCs/>
              </w:rPr>
            </w:pPr>
            <w:r w:rsidRPr="00C623FC">
              <w:rPr>
                <w:b/>
                <w:bCs/>
              </w:rPr>
              <w:lastRenderedPageBreak/>
              <w:t>SGLT2 inhibitor use at baseline</w:t>
            </w:r>
          </w:p>
        </w:tc>
      </w:tr>
      <w:tr w:rsidR="00116C8E" w:rsidRPr="00C623FC" w14:paraId="53219E7F" w14:textId="77777777" w:rsidTr="00116C8E">
        <w:tc>
          <w:tcPr>
            <w:tcW w:w="455" w:type="pct"/>
            <w:vAlign w:val="center"/>
          </w:tcPr>
          <w:p w14:paraId="165AA748" w14:textId="77777777" w:rsidR="00894DDA" w:rsidRPr="00C623FC" w:rsidRDefault="00894DDA" w:rsidP="00510CCF">
            <w:pPr>
              <w:pStyle w:val="COMtbl-textLeftAligned"/>
            </w:pPr>
            <w:r w:rsidRPr="00C623FC">
              <w:t>No</w:t>
            </w:r>
          </w:p>
        </w:tc>
        <w:tc>
          <w:tcPr>
            <w:tcW w:w="394" w:type="pct"/>
            <w:vAlign w:val="center"/>
          </w:tcPr>
          <w:p w14:paraId="2ED024AA" w14:textId="77777777" w:rsidR="00894DDA" w:rsidRPr="00C623FC" w:rsidRDefault="00894DDA" w:rsidP="00510CCF">
            <w:pPr>
              <w:pStyle w:val="COMtbl-textCentred"/>
            </w:pPr>
            <w:r w:rsidRPr="00C623FC">
              <w:t>490/2,709 (7.73)</w:t>
            </w:r>
          </w:p>
        </w:tc>
        <w:tc>
          <w:tcPr>
            <w:tcW w:w="394" w:type="pct"/>
            <w:vAlign w:val="center"/>
          </w:tcPr>
          <w:p w14:paraId="021B4762" w14:textId="77777777" w:rsidR="00894DDA" w:rsidRPr="00C623FC" w:rsidRDefault="00894DDA" w:rsidP="00510CCF">
            <w:pPr>
              <w:pStyle w:val="COMtbl-textCentred"/>
            </w:pPr>
            <w:r w:rsidRPr="00C623FC">
              <w:t>590/2,706 (9.39)</w:t>
            </w:r>
          </w:p>
        </w:tc>
        <w:tc>
          <w:tcPr>
            <w:tcW w:w="496" w:type="pct"/>
            <w:vAlign w:val="center"/>
          </w:tcPr>
          <w:p w14:paraId="6B8E21DD" w14:textId="77777777" w:rsidR="00894DDA" w:rsidRPr="00C623FC" w:rsidRDefault="00894DDA" w:rsidP="00510CCF">
            <w:pPr>
              <w:pStyle w:val="COMtbl-textCentred"/>
            </w:pPr>
            <w:r w:rsidRPr="00C623FC">
              <w:t xml:space="preserve">0.82 </w:t>
            </w:r>
          </w:p>
          <w:p w14:paraId="46B5FC05" w14:textId="77777777" w:rsidR="00894DDA" w:rsidRPr="00C623FC" w:rsidRDefault="00894DDA" w:rsidP="00510CCF">
            <w:pPr>
              <w:pStyle w:val="COMtbl-textCentred"/>
            </w:pPr>
            <w:r w:rsidRPr="00C623FC">
              <w:t>(0.72, 0.92)</w:t>
            </w:r>
          </w:p>
        </w:tc>
        <w:tc>
          <w:tcPr>
            <w:tcW w:w="362" w:type="pct"/>
            <w:vMerge w:val="restart"/>
            <w:tcBorders>
              <w:right w:val="double" w:sz="4" w:space="0" w:color="auto"/>
            </w:tcBorders>
            <w:vAlign w:val="center"/>
          </w:tcPr>
          <w:p w14:paraId="4E922967" w14:textId="77777777" w:rsidR="00894DDA" w:rsidRPr="00C623FC" w:rsidRDefault="00894DDA" w:rsidP="00510CCF">
            <w:pPr>
              <w:pStyle w:val="COMtbl-textCentred"/>
            </w:pPr>
            <w:r w:rsidRPr="00C623FC">
              <w:t>0.2114</w:t>
            </w:r>
          </w:p>
        </w:tc>
        <w:tc>
          <w:tcPr>
            <w:tcW w:w="363" w:type="pct"/>
            <w:tcBorders>
              <w:left w:val="double" w:sz="4" w:space="0" w:color="auto"/>
            </w:tcBorders>
            <w:vAlign w:val="center"/>
          </w:tcPr>
          <w:p w14:paraId="584B293C" w14:textId="77777777" w:rsidR="00894DDA" w:rsidRPr="00C623FC" w:rsidRDefault="00894DDA" w:rsidP="00510CCF">
            <w:pPr>
              <w:pStyle w:val="COMtbl-textCentred"/>
            </w:pPr>
            <w:r w:rsidRPr="00C623FC">
              <w:t>328/3,372 (3.23)</w:t>
            </w:r>
          </w:p>
        </w:tc>
        <w:tc>
          <w:tcPr>
            <w:tcW w:w="363" w:type="pct"/>
            <w:vAlign w:val="center"/>
          </w:tcPr>
          <w:p w14:paraId="5679D450" w14:textId="77777777" w:rsidR="00894DDA" w:rsidRPr="00C623FC" w:rsidRDefault="00894DDA" w:rsidP="00510CCF">
            <w:pPr>
              <w:pStyle w:val="COMtbl-textCentred"/>
            </w:pPr>
            <w:r w:rsidRPr="00C623FC">
              <w:t>371/3,362 (3.65)</w:t>
            </w:r>
          </w:p>
        </w:tc>
        <w:tc>
          <w:tcPr>
            <w:tcW w:w="362" w:type="pct"/>
            <w:vAlign w:val="center"/>
          </w:tcPr>
          <w:p w14:paraId="1AD2E206" w14:textId="77777777" w:rsidR="00894DDA" w:rsidRPr="00C623FC" w:rsidRDefault="00894DDA" w:rsidP="00510CCF">
            <w:pPr>
              <w:pStyle w:val="COMtbl-textCentred"/>
            </w:pPr>
            <w:r w:rsidRPr="00C623FC">
              <w:t xml:space="preserve">0.88 </w:t>
            </w:r>
          </w:p>
          <w:p w14:paraId="2735B54E" w14:textId="77777777" w:rsidR="00894DDA" w:rsidRPr="00C623FC" w:rsidRDefault="00894DDA" w:rsidP="00510CCF">
            <w:pPr>
              <w:pStyle w:val="COMtbl-textCentred"/>
            </w:pPr>
            <w:r w:rsidRPr="00C623FC">
              <w:t>(0.76, 1.03)</w:t>
            </w:r>
          </w:p>
        </w:tc>
        <w:tc>
          <w:tcPr>
            <w:tcW w:w="363" w:type="pct"/>
            <w:vMerge w:val="restart"/>
            <w:tcBorders>
              <w:right w:val="double" w:sz="4" w:space="0" w:color="auto"/>
            </w:tcBorders>
            <w:vAlign w:val="center"/>
          </w:tcPr>
          <w:p w14:paraId="527942DB" w14:textId="77777777" w:rsidR="00894DDA" w:rsidRPr="00C623FC" w:rsidRDefault="00894DDA" w:rsidP="00510CCF">
            <w:pPr>
              <w:pStyle w:val="COMtbl-textCentred"/>
            </w:pPr>
            <w:r w:rsidRPr="00C623FC">
              <w:t>0.6875</w:t>
            </w:r>
          </w:p>
        </w:tc>
        <w:tc>
          <w:tcPr>
            <w:tcW w:w="363" w:type="pct"/>
            <w:tcBorders>
              <w:left w:val="double" w:sz="4" w:space="0" w:color="auto"/>
            </w:tcBorders>
            <w:vAlign w:val="center"/>
          </w:tcPr>
          <w:p w14:paraId="1106BD61" w14:textId="77777777" w:rsidR="00894DDA" w:rsidRPr="00C623FC" w:rsidRDefault="00894DDA" w:rsidP="00510CCF">
            <w:pPr>
              <w:pStyle w:val="COMtbl-textCentred"/>
            </w:pPr>
            <w:r w:rsidRPr="00C623FC">
              <w:t>818/6,081 (4.96)</w:t>
            </w:r>
          </w:p>
        </w:tc>
        <w:tc>
          <w:tcPr>
            <w:tcW w:w="362" w:type="pct"/>
            <w:vAlign w:val="center"/>
          </w:tcPr>
          <w:p w14:paraId="4A9BE258" w14:textId="77777777" w:rsidR="00894DDA" w:rsidRPr="00C623FC" w:rsidRDefault="00894DDA" w:rsidP="00510CCF">
            <w:pPr>
              <w:pStyle w:val="COMtbl-textCentred"/>
            </w:pPr>
            <w:r w:rsidRPr="00C623FC">
              <w:t>961/6,068 (5.85)</w:t>
            </w:r>
          </w:p>
        </w:tc>
        <w:tc>
          <w:tcPr>
            <w:tcW w:w="363" w:type="pct"/>
            <w:vAlign w:val="center"/>
          </w:tcPr>
          <w:p w14:paraId="594714F9" w14:textId="77777777" w:rsidR="00894DDA" w:rsidRPr="00C623FC" w:rsidRDefault="00894DDA" w:rsidP="00510CCF">
            <w:pPr>
              <w:pStyle w:val="COMtbl-textCentred"/>
            </w:pPr>
            <w:r w:rsidRPr="00C623FC">
              <w:t xml:space="preserve">0.84 </w:t>
            </w:r>
          </w:p>
          <w:p w14:paraId="16FC677B" w14:textId="77777777" w:rsidR="00894DDA" w:rsidRPr="00C623FC" w:rsidRDefault="00894DDA" w:rsidP="00510CCF">
            <w:pPr>
              <w:pStyle w:val="COMtbl-textCentred"/>
            </w:pPr>
            <w:r w:rsidRPr="00C623FC">
              <w:t>(0.77, 0.93)</w:t>
            </w:r>
          </w:p>
        </w:tc>
        <w:tc>
          <w:tcPr>
            <w:tcW w:w="360" w:type="pct"/>
            <w:vMerge w:val="restart"/>
            <w:vAlign w:val="center"/>
          </w:tcPr>
          <w:p w14:paraId="6C1A970C" w14:textId="77777777" w:rsidR="00894DDA" w:rsidRPr="00C623FC" w:rsidRDefault="00894DDA" w:rsidP="00510CCF">
            <w:pPr>
              <w:pStyle w:val="COMtbl-textCentred"/>
            </w:pPr>
            <w:r w:rsidRPr="00C623FC">
              <w:t>0.5971</w:t>
            </w:r>
          </w:p>
        </w:tc>
      </w:tr>
      <w:tr w:rsidR="00116C8E" w:rsidRPr="00C623FC" w14:paraId="2F675ACA" w14:textId="77777777" w:rsidTr="00116C8E">
        <w:tc>
          <w:tcPr>
            <w:tcW w:w="455" w:type="pct"/>
            <w:vAlign w:val="center"/>
          </w:tcPr>
          <w:p w14:paraId="4BCA40C8" w14:textId="77777777" w:rsidR="00894DDA" w:rsidRPr="00C623FC" w:rsidRDefault="00894DDA" w:rsidP="00510CCF">
            <w:pPr>
              <w:pStyle w:val="COMtbl-textLeftAligned"/>
            </w:pPr>
            <w:r w:rsidRPr="00C623FC">
              <w:t>Yes</w:t>
            </w:r>
          </w:p>
        </w:tc>
        <w:tc>
          <w:tcPr>
            <w:tcW w:w="394" w:type="pct"/>
            <w:vAlign w:val="center"/>
          </w:tcPr>
          <w:p w14:paraId="29241FE9" w14:textId="77777777" w:rsidR="00894DDA" w:rsidRPr="00C623FC" w:rsidRDefault="00894DDA" w:rsidP="00510CCF">
            <w:pPr>
              <w:pStyle w:val="COMtbl-textCentred"/>
            </w:pPr>
            <w:r w:rsidRPr="00C623FC">
              <w:t>14/124 (4.66)</w:t>
            </w:r>
          </w:p>
        </w:tc>
        <w:tc>
          <w:tcPr>
            <w:tcW w:w="394" w:type="pct"/>
            <w:vAlign w:val="center"/>
          </w:tcPr>
          <w:p w14:paraId="69E8ECA8" w14:textId="77777777" w:rsidR="00894DDA" w:rsidRPr="00C623FC" w:rsidRDefault="00894DDA" w:rsidP="00510CCF">
            <w:pPr>
              <w:pStyle w:val="COMtbl-textCentred"/>
            </w:pPr>
            <w:r w:rsidRPr="00C623FC">
              <w:t>10/135 (3.07)</w:t>
            </w:r>
          </w:p>
        </w:tc>
        <w:tc>
          <w:tcPr>
            <w:tcW w:w="496" w:type="pct"/>
            <w:vAlign w:val="center"/>
          </w:tcPr>
          <w:p w14:paraId="27CBE005" w14:textId="77777777" w:rsidR="00894DDA" w:rsidRPr="00C623FC" w:rsidRDefault="00894DDA" w:rsidP="00510CCF">
            <w:pPr>
              <w:pStyle w:val="COMtbl-textCentred"/>
            </w:pPr>
            <w:r w:rsidRPr="00C623FC">
              <w:t xml:space="preserve">1.38 </w:t>
            </w:r>
          </w:p>
          <w:p w14:paraId="535DE460" w14:textId="77777777" w:rsidR="00894DDA" w:rsidRPr="00C623FC" w:rsidRDefault="00894DDA" w:rsidP="00510CCF">
            <w:pPr>
              <w:pStyle w:val="COMtbl-textCentred"/>
            </w:pPr>
            <w:r w:rsidRPr="00C623FC">
              <w:t>(0.61, 3.10)</w:t>
            </w:r>
          </w:p>
        </w:tc>
        <w:tc>
          <w:tcPr>
            <w:tcW w:w="362" w:type="pct"/>
            <w:vMerge/>
            <w:tcBorders>
              <w:right w:val="double" w:sz="4" w:space="0" w:color="auto"/>
            </w:tcBorders>
            <w:vAlign w:val="center"/>
          </w:tcPr>
          <w:p w14:paraId="540F186E" w14:textId="77777777" w:rsidR="00894DDA" w:rsidRPr="00C623FC" w:rsidRDefault="00894DDA" w:rsidP="00510CCF">
            <w:pPr>
              <w:pStyle w:val="COMtbl-textCentred"/>
            </w:pPr>
          </w:p>
        </w:tc>
        <w:tc>
          <w:tcPr>
            <w:tcW w:w="363" w:type="pct"/>
            <w:tcBorders>
              <w:left w:val="double" w:sz="4" w:space="0" w:color="auto"/>
            </w:tcBorders>
            <w:vAlign w:val="center"/>
          </w:tcPr>
          <w:p w14:paraId="622920D4" w14:textId="77777777" w:rsidR="00894DDA" w:rsidRPr="00C623FC" w:rsidRDefault="00894DDA" w:rsidP="00510CCF">
            <w:pPr>
              <w:pStyle w:val="COMtbl-textCentred"/>
            </w:pPr>
            <w:r w:rsidRPr="00C623FC">
              <w:t>22/314 (2.30)</w:t>
            </w:r>
          </w:p>
        </w:tc>
        <w:tc>
          <w:tcPr>
            <w:tcW w:w="363" w:type="pct"/>
            <w:vAlign w:val="center"/>
          </w:tcPr>
          <w:p w14:paraId="5EDD624B" w14:textId="77777777" w:rsidR="00894DDA" w:rsidRPr="00C623FC" w:rsidRDefault="00894DDA" w:rsidP="00510CCF">
            <w:pPr>
              <w:pStyle w:val="COMtbl-textCentred"/>
            </w:pPr>
            <w:r w:rsidRPr="00C623FC">
              <w:t>24/304 (2.68)</w:t>
            </w:r>
          </w:p>
        </w:tc>
        <w:tc>
          <w:tcPr>
            <w:tcW w:w="362" w:type="pct"/>
            <w:vAlign w:val="center"/>
          </w:tcPr>
          <w:p w14:paraId="6E10CC0F" w14:textId="77777777" w:rsidR="00894DDA" w:rsidRPr="00C623FC" w:rsidRDefault="00894DDA" w:rsidP="00510CCF">
            <w:pPr>
              <w:pStyle w:val="COMtbl-textCentred"/>
            </w:pPr>
            <w:r w:rsidRPr="00C623FC">
              <w:t xml:space="preserve">0.70 </w:t>
            </w:r>
          </w:p>
          <w:p w14:paraId="15713C1C" w14:textId="77777777" w:rsidR="00894DDA" w:rsidRPr="00C623FC" w:rsidRDefault="00894DDA" w:rsidP="00510CCF">
            <w:pPr>
              <w:pStyle w:val="COMtbl-textCentred"/>
            </w:pPr>
            <w:r w:rsidRPr="00C623FC">
              <w:t>(0.37, 1.30)</w:t>
            </w:r>
          </w:p>
        </w:tc>
        <w:tc>
          <w:tcPr>
            <w:tcW w:w="363" w:type="pct"/>
            <w:vMerge/>
            <w:tcBorders>
              <w:right w:val="double" w:sz="4" w:space="0" w:color="auto"/>
            </w:tcBorders>
            <w:vAlign w:val="center"/>
          </w:tcPr>
          <w:p w14:paraId="341BBDF0" w14:textId="77777777" w:rsidR="00894DDA" w:rsidRPr="00C623FC" w:rsidRDefault="00894DDA" w:rsidP="00510CCF">
            <w:pPr>
              <w:pStyle w:val="COMtbl-textCentred"/>
            </w:pPr>
          </w:p>
        </w:tc>
        <w:tc>
          <w:tcPr>
            <w:tcW w:w="363" w:type="pct"/>
            <w:tcBorders>
              <w:left w:val="double" w:sz="4" w:space="0" w:color="auto"/>
            </w:tcBorders>
            <w:vAlign w:val="center"/>
          </w:tcPr>
          <w:p w14:paraId="275269C5" w14:textId="77777777" w:rsidR="00894DDA" w:rsidRPr="00C623FC" w:rsidRDefault="00894DDA" w:rsidP="00510CCF">
            <w:pPr>
              <w:pStyle w:val="COMtbl-textCentred"/>
            </w:pPr>
            <w:r w:rsidRPr="00C623FC">
              <w:t>36/438 (2.87)</w:t>
            </w:r>
          </w:p>
        </w:tc>
        <w:tc>
          <w:tcPr>
            <w:tcW w:w="362" w:type="pct"/>
            <w:vAlign w:val="center"/>
          </w:tcPr>
          <w:p w14:paraId="1FB06C48" w14:textId="77777777" w:rsidR="00894DDA" w:rsidRPr="00C623FC" w:rsidRDefault="00894DDA" w:rsidP="00510CCF">
            <w:pPr>
              <w:pStyle w:val="COMtbl-textCentred"/>
            </w:pPr>
            <w:r w:rsidRPr="00C623FC">
              <w:t>34/439 (2.79)</w:t>
            </w:r>
          </w:p>
        </w:tc>
        <w:tc>
          <w:tcPr>
            <w:tcW w:w="363" w:type="pct"/>
            <w:vAlign w:val="center"/>
          </w:tcPr>
          <w:p w14:paraId="4E36C518" w14:textId="77777777" w:rsidR="00894DDA" w:rsidRPr="00C623FC" w:rsidRDefault="00894DDA" w:rsidP="00510CCF">
            <w:pPr>
              <w:pStyle w:val="COMtbl-textCentred"/>
            </w:pPr>
            <w:r w:rsidRPr="00C623FC">
              <w:t xml:space="preserve">0.71 </w:t>
            </w:r>
          </w:p>
          <w:p w14:paraId="263419BD" w14:textId="77777777" w:rsidR="00894DDA" w:rsidRPr="00C623FC" w:rsidRDefault="00894DDA" w:rsidP="00510CCF">
            <w:pPr>
              <w:pStyle w:val="COMtbl-textCentred"/>
            </w:pPr>
            <w:r w:rsidRPr="00C623FC">
              <w:t>(0.42, 1.20)</w:t>
            </w:r>
          </w:p>
        </w:tc>
        <w:tc>
          <w:tcPr>
            <w:tcW w:w="360" w:type="pct"/>
            <w:vMerge/>
            <w:vAlign w:val="center"/>
          </w:tcPr>
          <w:p w14:paraId="37CC3057" w14:textId="77777777" w:rsidR="00894DDA" w:rsidRPr="00C623FC" w:rsidRDefault="00894DDA" w:rsidP="00510CCF">
            <w:pPr>
              <w:pStyle w:val="COMtbl-textCentred"/>
            </w:pPr>
          </w:p>
        </w:tc>
      </w:tr>
    </w:tbl>
    <w:p w14:paraId="443C33B6" w14:textId="77777777" w:rsidR="00894DDA" w:rsidRPr="00C71487" w:rsidRDefault="00894DDA" w:rsidP="00C71487">
      <w:pPr>
        <w:pStyle w:val="TableFooter"/>
      </w:pPr>
      <w:r w:rsidRPr="00C71487">
        <w:t>Source: Figure 9-21 (p 136), Figure 9-22 (p 137-138) of the FIDELIO-DKD trial report; Figure 9-27 (p 150); Figure 14.2.4/12 (p 732-734) of the FIGARO-DKD trial report; Figure 14.2.6.1/9 (p 40-46) of the FIDELITY pooled analysis ‘bay948862_ia_fidelio_figaro_section_14_2_6_1’</w:t>
      </w:r>
    </w:p>
    <w:p w14:paraId="5498B09F" w14:textId="77777777" w:rsidR="00894DDA" w:rsidRPr="00C71487" w:rsidRDefault="00894DDA" w:rsidP="00C71487">
      <w:pPr>
        <w:pStyle w:val="TableFooter"/>
      </w:pPr>
      <w:r w:rsidRPr="00C71487">
        <w:t>Abbreviations: NC, not calculable; NR, not reported</w:t>
      </w:r>
    </w:p>
    <w:p w14:paraId="22F3CDD5" w14:textId="77777777" w:rsidR="00E44FCC" w:rsidRDefault="00E44FCC" w:rsidP="00E44FCC">
      <w:pPr>
        <w:pStyle w:val="ExecSumBodyText"/>
        <w:ind w:left="709" w:hanging="709"/>
        <w:rPr>
          <w:iCs/>
        </w:rPr>
      </w:pPr>
      <w:bookmarkStart w:id="32" w:name="_Ref110678670"/>
      <w:bookmarkEnd w:id="31"/>
      <w:r w:rsidRPr="00447208">
        <w:rPr>
          <w:iCs/>
        </w:rPr>
        <w:t>The pre-specified subgroup analyses of renal outcomes strongly suggested that baseline BMI was a treatment effect modifier (BMI &lt; 30 kg/m</w:t>
      </w:r>
      <w:r w:rsidRPr="00447208">
        <w:rPr>
          <w:iCs/>
          <w:vertAlign w:val="superscript"/>
        </w:rPr>
        <w:t>2</w:t>
      </w:r>
      <w:r w:rsidRPr="00447208">
        <w:rPr>
          <w:iCs/>
        </w:rPr>
        <w:t>: HR 0.71 95% CI 0.62, 0.82; BMI ≥ 30 kg/m</w:t>
      </w:r>
      <w:r w:rsidRPr="00447208">
        <w:rPr>
          <w:iCs/>
          <w:vertAlign w:val="superscript"/>
        </w:rPr>
        <w:t>2</w:t>
      </w:r>
      <w:r w:rsidRPr="00447208">
        <w:rPr>
          <w:iCs/>
        </w:rPr>
        <w:t xml:space="preserve">: HR 0.99 95% CI 0.88, 1.13; interaction term: p=0.0004). The subgroup analyses also suggested treatment effect interactions by region (larger treatment effects in Asian region), race (larger treatment effects in Asian populations), albuminuria (larger treatment effects in patients with higher albuminuria) and baseline potassium (smaller treatment effects in patients with higher potassium levels). The PBAC particularly noted the </w:t>
      </w:r>
      <w:r>
        <w:rPr>
          <w:iCs/>
        </w:rPr>
        <w:t xml:space="preserve">baseline </w:t>
      </w:r>
      <w:r w:rsidRPr="00447208">
        <w:rPr>
          <w:iCs/>
        </w:rPr>
        <w:t>albuminuria subgroup analyses</w:t>
      </w:r>
      <w:r>
        <w:rPr>
          <w:iCs/>
        </w:rPr>
        <w:t xml:space="preserve"> for the renal endpoint:</w:t>
      </w:r>
      <w:r w:rsidRPr="00447208">
        <w:rPr>
          <w:iCs/>
        </w:rPr>
        <w:t xml:space="preserve"> </w:t>
      </w:r>
      <w:r>
        <w:rPr>
          <w:iCs/>
        </w:rPr>
        <w:t xml:space="preserve">UACR </w:t>
      </w:r>
      <w:r w:rsidRPr="00447208">
        <w:rPr>
          <w:iCs/>
        </w:rPr>
        <w:t>&lt; 30 mg/g: HR 0.58 95% CI 0.09, 3.57; UACR 30 to &lt; 300 mg/g: HR 1.11 95% CI 0.88, 1.39; UACR ≥ 300 mg/g: HR 0.81 (0.73, 0.89): interaction term: p=0.0322).</w:t>
      </w:r>
      <w:bookmarkEnd w:id="32"/>
    </w:p>
    <w:p w14:paraId="61EEBFED" w14:textId="2B5E9998" w:rsidR="00D41812" w:rsidRPr="00CF7D68" w:rsidRDefault="00863695" w:rsidP="00D41812">
      <w:pPr>
        <w:pStyle w:val="ExecSumBodyText"/>
        <w:ind w:left="709" w:hanging="709"/>
      </w:pPr>
      <w:r w:rsidRPr="00CF7D68">
        <w:t>T</w:t>
      </w:r>
      <w:r w:rsidR="00D41812" w:rsidRPr="00CF7D68">
        <w:t xml:space="preserve">reatment with </w:t>
      </w:r>
      <w:proofErr w:type="spellStart"/>
      <w:r w:rsidR="00D41812" w:rsidRPr="00CF7D68">
        <w:t>finerenone</w:t>
      </w:r>
      <w:proofErr w:type="spellEnd"/>
      <w:r w:rsidR="00D41812" w:rsidRPr="00CF7D68">
        <w:t xml:space="preserve"> was associated with an initial reduction in eGFR compared to placebo in the first </w:t>
      </w:r>
      <w:r w:rsidR="003A0B72" w:rsidRPr="00CF7D68">
        <w:t xml:space="preserve">4 </w:t>
      </w:r>
      <w:r w:rsidR="00D41812" w:rsidRPr="00CF7D68">
        <w:t xml:space="preserve">months of treatment but was then associated with a slower decline over time. Treatment with </w:t>
      </w:r>
      <w:proofErr w:type="spellStart"/>
      <w:r w:rsidR="00D41812" w:rsidRPr="00CF7D68">
        <w:t>finerenone</w:t>
      </w:r>
      <w:proofErr w:type="spellEnd"/>
      <w:r w:rsidR="00D41812" w:rsidRPr="00CF7D68">
        <w:t xml:space="preserve"> was also associated with a rapid improvement in urinary albumin-to-creatinine ratio in the first </w:t>
      </w:r>
      <w:r w:rsidR="003A0B72" w:rsidRPr="00CF7D68">
        <w:t xml:space="preserve">4 </w:t>
      </w:r>
      <w:r w:rsidR="00D41812" w:rsidRPr="00CF7D68">
        <w:t>months of treatment that appeared to be maintained over time.</w:t>
      </w:r>
    </w:p>
    <w:p w14:paraId="1CDBB44D" w14:textId="65A99D37" w:rsidR="00F26F61" w:rsidRPr="00CF7D68" w:rsidRDefault="00F26F61" w:rsidP="00F26F61">
      <w:pPr>
        <w:pStyle w:val="ExecSumBodyText"/>
        <w:ind w:left="709" w:hanging="709"/>
      </w:pPr>
      <w:r w:rsidRPr="00CF7D68">
        <w:t xml:space="preserve">There were no major differences in </w:t>
      </w:r>
      <w:proofErr w:type="gramStart"/>
      <w:r w:rsidRPr="00CF7D68">
        <w:t>quality of life</w:t>
      </w:r>
      <w:proofErr w:type="gramEnd"/>
      <w:r w:rsidRPr="00CF7D68">
        <w:t xml:space="preserve"> scores</w:t>
      </w:r>
      <w:r w:rsidR="004713BB" w:rsidRPr="00CF7D68">
        <w:t xml:space="preserve"> (EQ-5D-5L and Kidney Disease Quality of Life, KDQOL-36)</w:t>
      </w:r>
      <w:r w:rsidRPr="00CF7D68">
        <w:t xml:space="preserve"> between </w:t>
      </w:r>
      <w:proofErr w:type="spellStart"/>
      <w:r w:rsidRPr="00CF7D68">
        <w:t>finerenone</w:t>
      </w:r>
      <w:proofErr w:type="spellEnd"/>
      <w:r w:rsidRPr="00CF7D68">
        <w:t xml:space="preserve"> and placebo treatment arms.</w:t>
      </w:r>
    </w:p>
    <w:p w14:paraId="1452C351" w14:textId="76A9D91B" w:rsidR="00B60939" w:rsidRPr="00CF7D68" w:rsidRDefault="00B60939" w:rsidP="00D86231">
      <w:pPr>
        <w:pStyle w:val="3-SubsectionHeading"/>
      </w:pPr>
      <w:bookmarkStart w:id="33" w:name="_Toc22897642"/>
      <w:bookmarkStart w:id="34" w:name="_Toc103772416"/>
      <w:r w:rsidRPr="00CF7D68">
        <w:t>Comparative harms</w:t>
      </w:r>
      <w:bookmarkEnd w:id="33"/>
      <w:bookmarkEnd w:id="34"/>
    </w:p>
    <w:p w14:paraId="0330312C" w14:textId="2FD0EFD1" w:rsidR="004713BB" w:rsidRPr="00CF7D68" w:rsidRDefault="004713BB" w:rsidP="00547AC7">
      <w:pPr>
        <w:pStyle w:val="ExecSumBodyText"/>
        <w:ind w:left="709" w:hanging="709"/>
      </w:pPr>
      <w:r w:rsidRPr="00CF7D68">
        <w:t xml:space="preserve">Key safety outcomes with </w:t>
      </w:r>
      <w:proofErr w:type="spellStart"/>
      <w:r w:rsidRPr="00CF7D68">
        <w:t>finerenone</w:t>
      </w:r>
      <w:proofErr w:type="spellEnd"/>
      <w:r w:rsidRPr="00CF7D68">
        <w:t xml:space="preserve"> and placebo from the FIDELITY pooled analysis of individual patient data are summarised in </w:t>
      </w:r>
      <w:r w:rsidR="00814CE0" w:rsidRPr="00CF7D68">
        <w:fldChar w:fldCharType="begin"/>
      </w:r>
      <w:r w:rsidR="00814CE0" w:rsidRPr="00CF7D68">
        <w:instrText xml:space="preserve"> REF _Ref103267369 \h </w:instrText>
      </w:r>
      <w:r w:rsidR="00814CE0" w:rsidRPr="00CF7D68">
        <w:fldChar w:fldCharType="separate"/>
      </w:r>
      <w:r w:rsidR="00AE5D6E" w:rsidRPr="00CF7D68">
        <w:t xml:space="preserve">Table </w:t>
      </w:r>
      <w:r w:rsidR="00AE5D6E">
        <w:rPr>
          <w:noProof/>
        </w:rPr>
        <w:t>10</w:t>
      </w:r>
      <w:r w:rsidR="00814CE0" w:rsidRPr="00CF7D68">
        <w:fldChar w:fldCharType="end"/>
      </w:r>
      <w:r w:rsidRPr="00CF7D68">
        <w:t>.</w:t>
      </w:r>
    </w:p>
    <w:p w14:paraId="36DD0A3D" w14:textId="63C2CF01" w:rsidR="00547AC7" w:rsidRPr="00CF7D68" w:rsidRDefault="00547AC7" w:rsidP="00A11ED5">
      <w:pPr>
        <w:pStyle w:val="TableHeading"/>
      </w:pPr>
      <w:bookmarkStart w:id="35" w:name="_Ref103267369"/>
      <w:r w:rsidRPr="00CF7D68">
        <w:lastRenderedPageBreak/>
        <w:t xml:space="preserve">Table </w:t>
      </w:r>
      <w:r w:rsidR="00F9376A">
        <w:fldChar w:fldCharType="begin"/>
      </w:r>
      <w:r w:rsidR="00F9376A">
        <w:instrText xml:space="preserve"> SEQ Table \* ARABIC </w:instrText>
      </w:r>
      <w:r w:rsidR="00F9376A">
        <w:fldChar w:fldCharType="separate"/>
      </w:r>
      <w:r w:rsidR="00AE5D6E">
        <w:rPr>
          <w:noProof/>
        </w:rPr>
        <w:t>10</w:t>
      </w:r>
      <w:r w:rsidR="00F9376A">
        <w:rPr>
          <w:noProof/>
        </w:rPr>
        <w:fldChar w:fldCharType="end"/>
      </w:r>
      <w:bookmarkEnd w:id="35"/>
      <w:r w:rsidRPr="00CF7D68">
        <w:t xml:space="preserve">: Safety outcomes with </w:t>
      </w:r>
      <w:proofErr w:type="spellStart"/>
      <w:r w:rsidRPr="00CF7D68">
        <w:t>finerenone</w:t>
      </w:r>
      <w:proofErr w:type="spellEnd"/>
      <w:r w:rsidRPr="00CF7D68">
        <w:t xml:space="preserve"> and placebo from the FIDELITY pooled analysis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871"/>
        <w:gridCol w:w="1872"/>
        <w:gridCol w:w="1872"/>
      </w:tblGrid>
      <w:tr w:rsidR="004713BB" w:rsidRPr="00CF7D68" w14:paraId="11F8F82B" w14:textId="77777777" w:rsidTr="00992111">
        <w:trPr>
          <w:trHeight w:val="58"/>
          <w:tblHeader/>
        </w:trPr>
        <w:tc>
          <w:tcPr>
            <w:tcW w:w="3402" w:type="dxa"/>
            <w:tcBorders>
              <w:top w:val="single" w:sz="4" w:space="0" w:color="auto"/>
              <w:left w:val="single" w:sz="4" w:space="0" w:color="auto"/>
              <w:right w:val="single" w:sz="4" w:space="0" w:color="auto"/>
            </w:tcBorders>
            <w:vAlign w:val="center"/>
          </w:tcPr>
          <w:p w14:paraId="6ADB20A0" w14:textId="77777777" w:rsidR="004713BB" w:rsidRPr="00CF7D68" w:rsidRDefault="004713BB" w:rsidP="00AD4EF9">
            <w:pPr>
              <w:pStyle w:val="TableText"/>
              <w:widowControl w:val="0"/>
              <w:rPr>
                <w:b/>
              </w:rPr>
            </w:pPr>
            <w:r w:rsidRPr="00CF7D68">
              <w:rPr>
                <w:b/>
              </w:rPr>
              <w:t>Outcome</w:t>
            </w:r>
          </w:p>
        </w:tc>
        <w:tc>
          <w:tcPr>
            <w:tcW w:w="1871" w:type="dxa"/>
            <w:tcBorders>
              <w:top w:val="single" w:sz="4" w:space="0" w:color="auto"/>
              <w:left w:val="single" w:sz="4" w:space="0" w:color="auto"/>
              <w:right w:val="single" w:sz="4" w:space="0" w:color="auto"/>
            </w:tcBorders>
            <w:vAlign w:val="center"/>
          </w:tcPr>
          <w:p w14:paraId="737F8A71" w14:textId="77777777" w:rsidR="004713BB" w:rsidRPr="00CF7D68" w:rsidRDefault="004713BB" w:rsidP="00AD4EF9">
            <w:pPr>
              <w:pStyle w:val="TableText"/>
              <w:widowControl w:val="0"/>
              <w:jc w:val="center"/>
              <w:rPr>
                <w:b/>
              </w:rPr>
            </w:pPr>
            <w:proofErr w:type="spellStart"/>
            <w:r w:rsidRPr="00CF7D68">
              <w:rPr>
                <w:b/>
              </w:rPr>
              <w:t>Finerenone</w:t>
            </w:r>
            <w:proofErr w:type="spellEnd"/>
            <w:r w:rsidRPr="00CF7D68">
              <w:rPr>
                <w:b/>
              </w:rPr>
              <w:t xml:space="preserve"> </w:t>
            </w:r>
          </w:p>
          <w:p w14:paraId="7EEF0C9B" w14:textId="77777777" w:rsidR="004713BB" w:rsidRPr="00CF7D68" w:rsidRDefault="004713BB" w:rsidP="00AD4EF9">
            <w:pPr>
              <w:pStyle w:val="TableText"/>
              <w:widowControl w:val="0"/>
              <w:jc w:val="center"/>
              <w:rPr>
                <w:b/>
              </w:rPr>
            </w:pPr>
            <w:r w:rsidRPr="00CF7D68">
              <w:rPr>
                <w:b/>
              </w:rPr>
              <w:t>N = 6,510</w:t>
            </w:r>
          </w:p>
          <w:p w14:paraId="33C38461" w14:textId="77777777" w:rsidR="004713BB" w:rsidRPr="00CF7D68" w:rsidRDefault="004713BB" w:rsidP="00AD4EF9">
            <w:pPr>
              <w:pStyle w:val="TableText"/>
              <w:widowControl w:val="0"/>
              <w:jc w:val="center"/>
              <w:rPr>
                <w:b/>
              </w:rPr>
            </w:pPr>
            <w:r w:rsidRPr="00CF7D68">
              <w:rPr>
                <w:b/>
              </w:rPr>
              <w:t>n (%)</w:t>
            </w:r>
          </w:p>
        </w:tc>
        <w:tc>
          <w:tcPr>
            <w:tcW w:w="1872" w:type="dxa"/>
            <w:tcBorders>
              <w:top w:val="single" w:sz="4" w:space="0" w:color="auto"/>
              <w:left w:val="single" w:sz="4" w:space="0" w:color="auto"/>
              <w:right w:val="single" w:sz="4" w:space="0" w:color="auto"/>
            </w:tcBorders>
            <w:vAlign w:val="center"/>
          </w:tcPr>
          <w:p w14:paraId="6EBA50A2" w14:textId="77777777" w:rsidR="004713BB" w:rsidRPr="00CF7D68" w:rsidRDefault="004713BB" w:rsidP="00AD4EF9">
            <w:pPr>
              <w:pStyle w:val="TableText"/>
              <w:widowControl w:val="0"/>
              <w:jc w:val="center"/>
              <w:rPr>
                <w:b/>
              </w:rPr>
            </w:pPr>
            <w:r w:rsidRPr="00CF7D68">
              <w:rPr>
                <w:b/>
              </w:rPr>
              <w:t>Placebo</w:t>
            </w:r>
          </w:p>
          <w:p w14:paraId="7CB4370E" w14:textId="77777777" w:rsidR="004713BB" w:rsidRPr="00CF7D68" w:rsidRDefault="004713BB" w:rsidP="00AD4EF9">
            <w:pPr>
              <w:pStyle w:val="TableText"/>
              <w:widowControl w:val="0"/>
              <w:jc w:val="center"/>
              <w:rPr>
                <w:b/>
              </w:rPr>
            </w:pPr>
            <w:r w:rsidRPr="00CF7D68">
              <w:rPr>
                <w:b/>
              </w:rPr>
              <w:t xml:space="preserve">N = 6,489 </w:t>
            </w:r>
          </w:p>
          <w:p w14:paraId="28B11CFB" w14:textId="77777777" w:rsidR="004713BB" w:rsidRPr="00CF7D68" w:rsidRDefault="004713BB" w:rsidP="00AD4EF9">
            <w:pPr>
              <w:pStyle w:val="TableText"/>
              <w:widowControl w:val="0"/>
              <w:jc w:val="center"/>
              <w:rPr>
                <w:b/>
              </w:rPr>
            </w:pPr>
            <w:r w:rsidRPr="00CF7D68">
              <w:rPr>
                <w:b/>
              </w:rPr>
              <w:t>n (%)</w:t>
            </w:r>
          </w:p>
        </w:tc>
        <w:tc>
          <w:tcPr>
            <w:tcW w:w="1872" w:type="dxa"/>
            <w:tcBorders>
              <w:top w:val="single" w:sz="4" w:space="0" w:color="auto"/>
              <w:left w:val="single" w:sz="4" w:space="0" w:color="auto"/>
              <w:right w:val="single" w:sz="4" w:space="0" w:color="auto"/>
            </w:tcBorders>
            <w:vAlign w:val="center"/>
          </w:tcPr>
          <w:p w14:paraId="2DB19DA1" w14:textId="77777777" w:rsidR="004713BB" w:rsidRPr="00CF7D68" w:rsidRDefault="004713BB" w:rsidP="00AD4EF9">
            <w:pPr>
              <w:pStyle w:val="TableText"/>
              <w:widowControl w:val="0"/>
              <w:jc w:val="center"/>
              <w:rPr>
                <w:b/>
              </w:rPr>
            </w:pPr>
            <w:r w:rsidRPr="00CF7D68">
              <w:rPr>
                <w:b/>
              </w:rPr>
              <w:t>OR (95% CI)</w:t>
            </w:r>
          </w:p>
        </w:tc>
      </w:tr>
      <w:tr w:rsidR="004713BB" w:rsidRPr="00CF7D68" w14:paraId="52E8C8DC" w14:textId="77777777" w:rsidTr="00992111">
        <w:trPr>
          <w:trHeight w:val="70"/>
        </w:trPr>
        <w:tc>
          <w:tcPr>
            <w:tcW w:w="3402" w:type="dxa"/>
            <w:tcBorders>
              <w:top w:val="single" w:sz="4" w:space="0" w:color="auto"/>
              <w:left w:val="single" w:sz="4" w:space="0" w:color="auto"/>
              <w:bottom w:val="single" w:sz="4" w:space="0" w:color="auto"/>
              <w:right w:val="single" w:sz="4" w:space="0" w:color="auto"/>
            </w:tcBorders>
            <w:vAlign w:val="center"/>
          </w:tcPr>
          <w:p w14:paraId="17553276" w14:textId="77777777" w:rsidR="004713BB" w:rsidRPr="00CF7D68" w:rsidRDefault="004713BB" w:rsidP="00AD4EF9">
            <w:pPr>
              <w:pStyle w:val="TableText"/>
              <w:widowControl w:val="0"/>
            </w:pPr>
            <w:r w:rsidRPr="00CF7D68">
              <w:t>Any adverse event</w:t>
            </w:r>
          </w:p>
        </w:tc>
        <w:tc>
          <w:tcPr>
            <w:tcW w:w="1871" w:type="dxa"/>
            <w:tcBorders>
              <w:top w:val="single" w:sz="4" w:space="0" w:color="auto"/>
              <w:left w:val="single" w:sz="4" w:space="0" w:color="auto"/>
              <w:bottom w:val="single" w:sz="4" w:space="0" w:color="auto"/>
              <w:right w:val="single" w:sz="4" w:space="0" w:color="auto"/>
            </w:tcBorders>
            <w:vAlign w:val="center"/>
          </w:tcPr>
          <w:p w14:paraId="3A7D8C1E" w14:textId="77777777" w:rsidR="004713BB" w:rsidRPr="00CF7D68" w:rsidRDefault="004713BB" w:rsidP="00AD4EF9">
            <w:pPr>
              <w:pStyle w:val="TableText"/>
              <w:widowControl w:val="0"/>
              <w:jc w:val="center"/>
            </w:pPr>
            <w:r w:rsidRPr="00CF7D68">
              <w:t>5,602 (86.1%)</w:t>
            </w:r>
          </w:p>
        </w:tc>
        <w:tc>
          <w:tcPr>
            <w:tcW w:w="1872" w:type="dxa"/>
            <w:tcBorders>
              <w:top w:val="single" w:sz="4" w:space="0" w:color="auto"/>
              <w:left w:val="single" w:sz="4" w:space="0" w:color="auto"/>
              <w:bottom w:val="single" w:sz="4" w:space="0" w:color="auto"/>
              <w:right w:val="single" w:sz="4" w:space="0" w:color="auto"/>
            </w:tcBorders>
            <w:vAlign w:val="center"/>
          </w:tcPr>
          <w:p w14:paraId="7D753E06" w14:textId="0FE69474" w:rsidR="004713BB" w:rsidRPr="00CF7D68" w:rsidRDefault="004713BB" w:rsidP="00AD4EF9">
            <w:pPr>
              <w:pStyle w:val="TableText"/>
              <w:widowControl w:val="0"/>
              <w:jc w:val="center"/>
            </w:pPr>
            <w:r w:rsidRPr="00CF7D68">
              <w:t>5</w:t>
            </w:r>
            <w:r w:rsidR="00B627FF" w:rsidRPr="00CF7D68">
              <w:t>,</w:t>
            </w:r>
            <w:r w:rsidRPr="00CF7D68">
              <w:t>607 (86.4%)</w:t>
            </w:r>
          </w:p>
        </w:tc>
        <w:tc>
          <w:tcPr>
            <w:tcW w:w="1872" w:type="dxa"/>
            <w:tcBorders>
              <w:top w:val="single" w:sz="4" w:space="0" w:color="auto"/>
              <w:left w:val="single" w:sz="4" w:space="0" w:color="auto"/>
              <w:right w:val="single" w:sz="4" w:space="0" w:color="auto"/>
            </w:tcBorders>
            <w:vAlign w:val="center"/>
          </w:tcPr>
          <w:p w14:paraId="15D9784C" w14:textId="77777777" w:rsidR="004713BB" w:rsidRPr="00CF7D68" w:rsidRDefault="004713BB" w:rsidP="00AD4EF9">
            <w:pPr>
              <w:pStyle w:val="TableText"/>
              <w:widowControl w:val="0"/>
              <w:jc w:val="center"/>
            </w:pPr>
            <w:r w:rsidRPr="00CF7D68">
              <w:t>0.97 (0.88, 1.07)</w:t>
            </w:r>
          </w:p>
        </w:tc>
      </w:tr>
      <w:tr w:rsidR="004713BB" w:rsidRPr="00CF7D68" w14:paraId="5FB81C30" w14:textId="77777777" w:rsidTr="00992111">
        <w:trPr>
          <w:trHeight w:val="70"/>
        </w:trPr>
        <w:tc>
          <w:tcPr>
            <w:tcW w:w="3402" w:type="dxa"/>
            <w:tcBorders>
              <w:top w:val="single" w:sz="4" w:space="0" w:color="auto"/>
              <w:left w:val="single" w:sz="4" w:space="0" w:color="auto"/>
              <w:bottom w:val="single" w:sz="4" w:space="0" w:color="auto"/>
              <w:right w:val="single" w:sz="4" w:space="0" w:color="auto"/>
            </w:tcBorders>
            <w:vAlign w:val="center"/>
          </w:tcPr>
          <w:p w14:paraId="476E842D" w14:textId="77777777" w:rsidR="004713BB" w:rsidRPr="00CF7D68" w:rsidRDefault="004713BB" w:rsidP="00AD4EF9">
            <w:pPr>
              <w:pStyle w:val="TableText"/>
              <w:widowControl w:val="0"/>
            </w:pPr>
            <w:r w:rsidRPr="00CF7D68">
              <w:t>Treatment-related adverse event</w:t>
            </w:r>
          </w:p>
        </w:tc>
        <w:tc>
          <w:tcPr>
            <w:tcW w:w="1871" w:type="dxa"/>
            <w:tcBorders>
              <w:top w:val="single" w:sz="4" w:space="0" w:color="auto"/>
              <w:left w:val="single" w:sz="4" w:space="0" w:color="auto"/>
              <w:bottom w:val="single" w:sz="4" w:space="0" w:color="auto"/>
              <w:right w:val="single" w:sz="4" w:space="0" w:color="auto"/>
            </w:tcBorders>
            <w:vAlign w:val="center"/>
          </w:tcPr>
          <w:p w14:paraId="75D18D88" w14:textId="77777777" w:rsidR="004713BB" w:rsidRPr="00CF7D68" w:rsidRDefault="004713BB" w:rsidP="00AD4EF9">
            <w:pPr>
              <w:pStyle w:val="TableText"/>
              <w:widowControl w:val="0"/>
              <w:jc w:val="center"/>
            </w:pPr>
            <w:r w:rsidRPr="00CF7D68">
              <w:t>1,206 (18.5%)</w:t>
            </w:r>
          </w:p>
        </w:tc>
        <w:tc>
          <w:tcPr>
            <w:tcW w:w="1872" w:type="dxa"/>
            <w:tcBorders>
              <w:top w:val="single" w:sz="4" w:space="0" w:color="auto"/>
              <w:left w:val="single" w:sz="4" w:space="0" w:color="auto"/>
              <w:bottom w:val="single" w:sz="4" w:space="0" w:color="auto"/>
              <w:right w:val="single" w:sz="4" w:space="0" w:color="auto"/>
            </w:tcBorders>
            <w:vAlign w:val="center"/>
          </w:tcPr>
          <w:p w14:paraId="032F9CC9" w14:textId="77777777" w:rsidR="004713BB" w:rsidRPr="00CF7D68" w:rsidRDefault="004713BB" w:rsidP="00AD4EF9">
            <w:pPr>
              <w:pStyle w:val="TableText"/>
              <w:widowControl w:val="0"/>
              <w:jc w:val="center"/>
            </w:pPr>
            <w:r w:rsidRPr="00CF7D68">
              <w:t>862 (13.3%)</w:t>
            </w:r>
          </w:p>
        </w:tc>
        <w:tc>
          <w:tcPr>
            <w:tcW w:w="1872" w:type="dxa"/>
            <w:tcBorders>
              <w:top w:val="single" w:sz="4" w:space="0" w:color="auto"/>
              <w:left w:val="single" w:sz="4" w:space="0" w:color="auto"/>
              <w:right w:val="single" w:sz="4" w:space="0" w:color="auto"/>
            </w:tcBorders>
            <w:vAlign w:val="center"/>
          </w:tcPr>
          <w:p w14:paraId="549E8098" w14:textId="77777777" w:rsidR="004713BB" w:rsidRPr="00CF7D68" w:rsidRDefault="004713BB" w:rsidP="00AD4EF9">
            <w:pPr>
              <w:pStyle w:val="TableText"/>
              <w:widowControl w:val="0"/>
              <w:jc w:val="center"/>
              <w:rPr>
                <w:b/>
                <w:bCs w:val="0"/>
              </w:rPr>
            </w:pPr>
            <w:r w:rsidRPr="00CF7D68">
              <w:rPr>
                <w:b/>
                <w:bCs w:val="0"/>
              </w:rPr>
              <w:t>1.48 (1.35, 1.63)</w:t>
            </w:r>
          </w:p>
        </w:tc>
      </w:tr>
      <w:tr w:rsidR="004713BB" w:rsidRPr="00CF7D68" w14:paraId="0B36DD42" w14:textId="77777777" w:rsidTr="00992111">
        <w:trPr>
          <w:trHeight w:val="70"/>
        </w:trPr>
        <w:tc>
          <w:tcPr>
            <w:tcW w:w="3402" w:type="dxa"/>
            <w:tcBorders>
              <w:top w:val="single" w:sz="4" w:space="0" w:color="auto"/>
              <w:left w:val="single" w:sz="4" w:space="0" w:color="auto"/>
              <w:bottom w:val="single" w:sz="4" w:space="0" w:color="auto"/>
              <w:right w:val="single" w:sz="4" w:space="0" w:color="auto"/>
            </w:tcBorders>
            <w:vAlign w:val="center"/>
          </w:tcPr>
          <w:p w14:paraId="351E4D88" w14:textId="77777777" w:rsidR="004713BB" w:rsidRPr="00CF7D68" w:rsidRDefault="004713BB" w:rsidP="00AD4EF9">
            <w:pPr>
              <w:pStyle w:val="TableText"/>
              <w:widowControl w:val="0"/>
            </w:pPr>
            <w:r w:rsidRPr="00CF7D68">
              <w:t>Serious adverse event</w:t>
            </w:r>
          </w:p>
        </w:tc>
        <w:tc>
          <w:tcPr>
            <w:tcW w:w="1871" w:type="dxa"/>
            <w:tcBorders>
              <w:top w:val="single" w:sz="4" w:space="0" w:color="auto"/>
              <w:left w:val="single" w:sz="4" w:space="0" w:color="auto"/>
              <w:bottom w:val="single" w:sz="4" w:space="0" w:color="auto"/>
              <w:right w:val="single" w:sz="4" w:space="0" w:color="auto"/>
            </w:tcBorders>
            <w:vAlign w:val="center"/>
          </w:tcPr>
          <w:p w14:paraId="66912A0E" w14:textId="77777777" w:rsidR="004713BB" w:rsidRPr="00CF7D68" w:rsidRDefault="004713BB" w:rsidP="00AD4EF9">
            <w:pPr>
              <w:pStyle w:val="TableText"/>
              <w:widowControl w:val="0"/>
              <w:jc w:val="center"/>
            </w:pPr>
            <w:r w:rsidRPr="00CF7D68">
              <w:t>2,060 (31.6%)</w:t>
            </w:r>
          </w:p>
        </w:tc>
        <w:tc>
          <w:tcPr>
            <w:tcW w:w="1872" w:type="dxa"/>
            <w:tcBorders>
              <w:top w:val="single" w:sz="4" w:space="0" w:color="auto"/>
              <w:left w:val="single" w:sz="4" w:space="0" w:color="auto"/>
              <w:bottom w:val="single" w:sz="4" w:space="0" w:color="auto"/>
              <w:right w:val="single" w:sz="4" w:space="0" w:color="auto"/>
            </w:tcBorders>
            <w:vAlign w:val="center"/>
          </w:tcPr>
          <w:p w14:paraId="6A073825" w14:textId="77777777" w:rsidR="004713BB" w:rsidRPr="00CF7D68" w:rsidRDefault="004713BB" w:rsidP="00AD4EF9">
            <w:pPr>
              <w:pStyle w:val="TableText"/>
              <w:widowControl w:val="0"/>
              <w:jc w:val="center"/>
            </w:pPr>
            <w:r w:rsidRPr="00CF7D68">
              <w:t>2,186 (33.7%)</w:t>
            </w:r>
          </w:p>
        </w:tc>
        <w:tc>
          <w:tcPr>
            <w:tcW w:w="1872" w:type="dxa"/>
            <w:tcBorders>
              <w:top w:val="single" w:sz="4" w:space="0" w:color="auto"/>
              <w:left w:val="single" w:sz="4" w:space="0" w:color="auto"/>
              <w:right w:val="single" w:sz="4" w:space="0" w:color="auto"/>
            </w:tcBorders>
            <w:vAlign w:val="center"/>
          </w:tcPr>
          <w:p w14:paraId="3201D436" w14:textId="77777777" w:rsidR="004713BB" w:rsidRPr="00CF7D68" w:rsidRDefault="004713BB" w:rsidP="00AD4EF9">
            <w:pPr>
              <w:pStyle w:val="TableText"/>
              <w:widowControl w:val="0"/>
              <w:jc w:val="center"/>
              <w:rPr>
                <w:b/>
                <w:bCs w:val="0"/>
              </w:rPr>
            </w:pPr>
            <w:r w:rsidRPr="00CF7D68">
              <w:rPr>
                <w:b/>
                <w:bCs w:val="0"/>
              </w:rPr>
              <w:t>0.91 (0.85, 0.98)</w:t>
            </w:r>
          </w:p>
        </w:tc>
      </w:tr>
      <w:tr w:rsidR="004713BB" w:rsidRPr="00CF7D68" w14:paraId="4D019369" w14:textId="77777777" w:rsidTr="00992111">
        <w:trPr>
          <w:trHeight w:val="70"/>
        </w:trPr>
        <w:tc>
          <w:tcPr>
            <w:tcW w:w="3402" w:type="dxa"/>
            <w:tcBorders>
              <w:top w:val="single" w:sz="4" w:space="0" w:color="auto"/>
              <w:left w:val="single" w:sz="4" w:space="0" w:color="auto"/>
              <w:bottom w:val="single" w:sz="4" w:space="0" w:color="auto"/>
              <w:right w:val="single" w:sz="4" w:space="0" w:color="auto"/>
            </w:tcBorders>
            <w:vAlign w:val="center"/>
          </w:tcPr>
          <w:p w14:paraId="52D2E4F2" w14:textId="77777777" w:rsidR="004713BB" w:rsidRPr="00CF7D68" w:rsidRDefault="004713BB" w:rsidP="00AD4EF9">
            <w:pPr>
              <w:pStyle w:val="TableText"/>
              <w:widowControl w:val="0"/>
            </w:pPr>
            <w:r w:rsidRPr="00CF7D68">
              <w:t>Adverse events leading to discontinuation</w:t>
            </w:r>
          </w:p>
        </w:tc>
        <w:tc>
          <w:tcPr>
            <w:tcW w:w="1871" w:type="dxa"/>
            <w:tcBorders>
              <w:top w:val="single" w:sz="4" w:space="0" w:color="auto"/>
              <w:left w:val="single" w:sz="4" w:space="0" w:color="auto"/>
              <w:bottom w:val="single" w:sz="4" w:space="0" w:color="auto"/>
              <w:right w:val="single" w:sz="4" w:space="0" w:color="auto"/>
            </w:tcBorders>
            <w:vAlign w:val="center"/>
          </w:tcPr>
          <w:p w14:paraId="7FA60C0D" w14:textId="77777777" w:rsidR="004713BB" w:rsidRPr="00CF7D68" w:rsidRDefault="004713BB" w:rsidP="00AD4EF9">
            <w:pPr>
              <w:pStyle w:val="TableText"/>
              <w:widowControl w:val="0"/>
              <w:jc w:val="center"/>
            </w:pPr>
            <w:r w:rsidRPr="00CF7D68">
              <w:t>414 (6.4%)</w:t>
            </w:r>
          </w:p>
        </w:tc>
        <w:tc>
          <w:tcPr>
            <w:tcW w:w="1872" w:type="dxa"/>
            <w:tcBorders>
              <w:top w:val="single" w:sz="4" w:space="0" w:color="auto"/>
              <w:left w:val="single" w:sz="4" w:space="0" w:color="auto"/>
              <w:bottom w:val="single" w:sz="4" w:space="0" w:color="auto"/>
              <w:right w:val="single" w:sz="4" w:space="0" w:color="auto"/>
            </w:tcBorders>
            <w:vAlign w:val="center"/>
          </w:tcPr>
          <w:p w14:paraId="20293D65" w14:textId="77777777" w:rsidR="004713BB" w:rsidRPr="00CF7D68" w:rsidRDefault="004713BB" w:rsidP="00AD4EF9">
            <w:pPr>
              <w:pStyle w:val="TableText"/>
              <w:widowControl w:val="0"/>
              <w:jc w:val="center"/>
            </w:pPr>
            <w:r w:rsidRPr="00CF7D68">
              <w:t>351 (5.4%)</w:t>
            </w:r>
          </w:p>
        </w:tc>
        <w:tc>
          <w:tcPr>
            <w:tcW w:w="1872" w:type="dxa"/>
            <w:tcBorders>
              <w:top w:val="single" w:sz="4" w:space="0" w:color="auto"/>
              <w:left w:val="single" w:sz="4" w:space="0" w:color="auto"/>
              <w:right w:val="single" w:sz="4" w:space="0" w:color="auto"/>
            </w:tcBorders>
            <w:vAlign w:val="center"/>
          </w:tcPr>
          <w:p w14:paraId="69250A1B" w14:textId="77777777" w:rsidR="004713BB" w:rsidRPr="00CF7D68" w:rsidRDefault="004713BB" w:rsidP="00AD4EF9">
            <w:pPr>
              <w:pStyle w:val="TableText"/>
              <w:widowControl w:val="0"/>
              <w:jc w:val="center"/>
              <w:rPr>
                <w:b/>
                <w:bCs w:val="0"/>
              </w:rPr>
            </w:pPr>
            <w:r w:rsidRPr="00CF7D68">
              <w:rPr>
                <w:b/>
                <w:bCs w:val="0"/>
              </w:rPr>
              <w:t>1.19 (1.03, 1.38)</w:t>
            </w:r>
          </w:p>
        </w:tc>
      </w:tr>
      <w:tr w:rsidR="004713BB" w:rsidRPr="00CF7D68" w14:paraId="06EF8580" w14:textId="77777777" w:rsidTr="00992111">
        <w:trPr>
          <w:trHeight w:val="70"/>
        </w:trPr>
        <w:tc>
          <w:tcPr>
            <w:tcW w:w="3402" w:type="dxa"/>
            <w:tcBorders>
              <w:top w:val="single" w:sz="4" w:space="0" w:color="auto"/>
              <w:left w:val="single" w:sz="4" w:space="0" w:color="auto"/>
              <w:bottom w:val="single" w:sz="4" w:space="0" w:color="auto"/>
              <w:right w:val="single" w:sz="4" w:space="0" w:color="auto"/>
            </w:tcBorders>
            <w:vAlign w:val="center"/>
          </w:tcPr>
          <w:p w14:paraId="508108AC" w14:textId="77777777" w:rsidR="004713BB" w:rsidRPr="00CF7D68" w:rsidRDefault="004713BB" w:rsidP="00AD4EF9">
            <w:pPr>
              <w:pStyle w:val="TableText"/>
              <w:widowControl w:val="0"/>
            </w:pPr>
            <w:r w:rsidRPr="00CF7D68">
              <w:t>Adverse events leading to death</w:t>
            </w:r>
          </w:p>
        </w:tc>
        <w:tc>
          <w:tcPr>
            <w:tcW w:w="1871" w:type="dxa"/>
            <w:tcBorders>
              <w:top w:val="single" w:sz="4" w:space="0" w:color="auto"/>
              <w:left w:val="single" w:sz="4" w:space="0" w:color="auto"/>
              <w:bottom w:val="single" w:sz="4" w:space="0" w:color="auto"/>
              <w:right w:val="single" w:sz="4" w:space="0" w:color="auto"/>
            </w:tcBorders>
            <w:vAlign w:val="center"/>
          </w:tcPr>
          <w:p w14:paraId="01368D0C" w14:textId="77777777" w:rsidR="004713BB" w:rsidRPr="00CF7D68" w:rsidRDefault="004713BB" w:rsidP="00AD4EF9">
            <w:pPr>
              <w:pStyle w:val="TableText"/>
              <w:widowControl w:val="0"/>
              <w:jc w:val="center"/>
            </w:pPr>
            <w:r w:rsidRPr="00CF7D68">
              <w:t>110 (1.7%)</w:t>
            </w:r>
          </w:p>
        </w:tc>
        <w:tc>
          <w:tcPr>
            <w:tcW w:w="1872" w:type="dxa"/>
            <w:tcBorders>
              <w:top w:val="single" w:sz="4" w:space="0" w:color="auto"/>
              <w:left w:val="single" w:sz="4" w:space="0" w:color="auto"/>
              <w:bottom w:val="single" w:sz="4" w:space="0" w:color="auto"/>
              <w:right w:val="single" w:sz="4" w:space="0" w:color="auto"/>
            </w:tcBorders>
            <w:vAlign w:val="center"/>
          </w:tcPr>
          <w:p w14:paraId="24CDC1AE" w14:textId="77777777" w:rsidR="004713BB" w:rsidRPr="00CF7D68" w:rsidRDefault="004713BB" w:rsidP="00AD4EF9">
            <w:pPr>
              <w:pStyle w:val="TableText"/>
              <w:widowControl w:val="0"/>
              <w:jc w:val="center"/>
            </w:pPr>
            <w:r w:rsidRPr="00CF7D68">
              <w:t>151 (2.3%)</w:t>
            </w:r>
          </w:p>
        </w:tc>
        <w:tc>
          <w:tcPr>
            <w:tcW w:w="1872" w:type="dxa"/>
            <w:tcBorders>
              <w:left w:val="single" w:sz="4" w:space="0" w:color="auto"/>
              <w:right w:val="single" w:sz="4" w:space="0" w:color="auto"/>
            </w:tcBorders>
            <w:vAlign w:val="center"/>
          </w:tcPr>
          <w:p w14:paraId="048BEC29" w14:textId="77777777" w:rsidR="004713BB" w:rsidRPr="00CF7D68" w:rsidRDefault="004713BB" w:rsidP="00AD4EF9">
            <w:pPr>
              <w:pStyle w:val="TableText"/>
              <w:widowControl w:val="0"/>
              <w:jc w:val="center"/>
            </w:pPr>
            <w:r w:rsidRPr="00CF7D68">
              <w:t>NR</w:t>
            </w:r>
          </w:p>
        </w:tc>
      </w:tr>
      <w:tr w:rsidR="004713BB" w:rsidRPr="00CF7D68" w14:paraId="34C2132B" w14:textId="77777777" w:rsidTr="00BD693B">
        <w:trPr>
          <w:trHeight w:val="70"/>
        </w:trPr>
        <w:tc>
          <w:tcPr>
            <w:tcW w:w="9017" w:type="dxa"/>
            <w:gridSpan w:val="4"/>
            <w:tcBorders>
              <w:top w:val="single" w:sz="4" w:space="0" w:color="auto"/>
              <w:left w:val="single" w:sz="4" w:space="0" w:color="auto"/>
              <w:bottom w:val="single" w:sz="4" w:space="0" w:color="auto"/>
              <w:right w:val="single" w:sz="4" w:space="0" w:color="auto"/>
            </w:tcBorders>
            <w:vAlign w:val="center"/>
          </w:tcPr>
          <w:p w14:paraId="2DE13BDB" w14:textId="77777777" w:rsidR="004713BB" w:rsidRPr="00CF7D68" w:rsidRDefault="004713BB" w:rsidP="00AD4EF9">
            <w:pPr>
              <w:pStyle w:val="TableText"/>
              <w:widowControl w:val="0"/>
            </w:pPr>
            <w:r w:rsidRPr="00CF7D68">
              <w:rPr>
                <w:b/>
                <w:bCs w:val="0"/>
              </w:rPr>
              <w:t>Adverse events of interest</w:t>
            </w:r>
          </w:p>
        </w:tc>
      </w:tr>
      <w:tr w:rsidR="004713BB" w:rsidRPr="00CF7D68" w14:paraId="21E60D44" w14:textId="77777777" w:rsidTr="00992111">
        <w:trPr>
          <w:trHeight w:val="70"/>
        </w:trPr>
        <w:tc>
          <w:tcPr>
            <w:tcW w:w="3402" w:type="dxa"/>
            <w:tcBorders>
              <w:top w:val="single" w:sz="4" w:space="0" w:color="auto"/>
              <w:left w:val="single" w:sz="4" w:space="0" w:color="auto"/>
              <w:bottom w:val="single" w:sz="4" w:space="0" w:color="auto"/>
              <w:right w:val="single" w:sz="4" w:space="0" w:color="auto"/>
            </w:tcBorders>
            <w:vAlign w:val="center"/>
          </w:tcPr>
          <w:p w14:paraId="14662936" w14:textId="77777777" w:rsidR="004713BB" w:rsidRPr="00CF7D68" w:rsidRDefault="004713BB" w:rsidP="00AD4EF9">
            <w:pPr>
              <w:pStyle w:val="TableText"/>
              <w:widowControl w:val="0"/>
            </w:pPr>
            <w:r w:rsidRPr="00CF7D68">
              <w:t>Hyperkalaemia</w:t>
            </w:r>
          </w:p>
        </w:tc>
        <w:tc>
          <w:tcPr>
            <w:tcW w:w="1871" w:type="dxa"/>
            <w:tcBorders>
              <w:top w:val="single" w:sz="4" w:space="0" w:color="auto"/>
              <w:left w:val="single" w:sz="4" w:space="0" w:color="auto"/>
              <w:bottom w:val="single" w:sz="4" w:space="0" w:color="auto"/>
              <w:right w:val="single" w:sz="4" w:space="0" w:color="auto"/>
            </w:tcBorders>
            <w:vAlign w:val="center"/>
          </w:tcPr>
          <w:p w14:paraId="2E47AA83" w14:textId="77777777" w:rsidR="004713BB" w:rsidRPr="00CF7D68" w:rsidRDefault="004713BB" w:rsidP="00AD4EF9">
            <w:pPr>
              <w:pStyle w:val="TableText"/>
              <w:widowControl w:val="0"/>
              <w:jc w:val="center"/>
            </w:pPr>
            <w:r w:rsidRPr="00CF7D68">
              <w:t>912 (14.0%)</w:t>
            </w:r>
          </w:p>
        </w:tc>
        <w:tc>
          <w:tcPr>
            <w:tcW w:w="1872" w:type="dxa"/>
            <w:tcBorders>
              <w:top w:val="single" w:sz="4" w:space="0" w:color="auto"/>
              <w:left w:val="single" w:sz="4" w:space="0" w:color="auto"/>
              <w:bottom w:val="single" w:sz="4" w:space="0" w:color="auto"/>
              <w:right w:val="single" w:sz="4" w:space="0" w:color="auto"/>
            </w:tcBorders>
            <w:vAlign w:val="center"/>
          </w:tcPr>
          <w:p w14:paraId="0E653407" w14:textId="77777777" w:rsidR="004713BB" w:rsidRPr="00CF7D68" w:rsidRDefault="004713BB" w:rsidP="00AD4EF9">
            <w:pPr>
              <w:pStyle w:val="TableText"/>
              <w:widowControl w:val="0"/>
              <w:jc w:val="center"/>
            </w:pPr>
            <w:r w:rsidRPr="00CF7D68">
              <w:t>448 (6.9%)</w:t>
            </w:r>
          </w:p>
        </w:tc>
        <w:tc>
          <w:tcPr>
            <w:tcW w:w="1872" w:type="dxa"/>
            <w:tcBorders>
              <w:left w:val="single" w:sz="4" w:space="0" w:color="auto"/>
              <w:right w:val="single" w:sz="4" w:space="0" w:color="auto"/>
            </w:tcBorders>
            <w:vAlign w:val="center"/>
          </w:tcPr>
          <w:p w14:paraId="4D3914F6" w14:textId="5E788805" w:rsidR="004713BB" w:rsidRPr="00CF7D68" w:rsidRDefault="004713BB" w:rsidP="00AD4EF9">
            <w:pPr>
              <w:pStyle w:val="TableText"/>
              <w:widowControl w:val="0"/>
              <w:jc w:val="center"/>
              <w:rPr>
                <w:b/>
                <w:bCs w:val="0"/>
              </w:rPr>
            </w:pPr>
            <w:r w:rsidRPr="00CF7D68">
              <w:rPr>
                <w:b/>
                <w:bCs w:val="0"/>
              </w:rPr>
              <w:t>HR: 1.91 (1.72, 2.12)</w:t>
            </w:r>
          </w:p>
        </w:tc>
      </w:tr>
      <w:tr w:rsidR="004713BB" w:rsidRPr="00CF7D68" w14:paraId="747585A5" w14:textId="77777777" w:rsidTr="00992111">
        <w:trPr>
          <w:trHeight w:val="70"/>
        </w:trPr>
        <w:tc>
          <w:tcPr>
            <w:tcW w:w="3402" w:type="dxa"/>
            <w:tcBorders>
              <w:top w:val="single" w:sz="4" w:space="0" w:color="auto"/>
              <w:left w:val="single" w:sz="4" w:space="0" w:color="auto"/>
              <w:bottom w:val="single" w:sz="4" w:space="0" w:color="auto"/>
              <w:right w:val="single" w:sz="4" w:space="0" w:color="auto"/>
            </w:tcBorders>
            <w:vAlign w:val="center"/>
          </w:tcPr>
          <w:p w14:paraId="1197B2C3" w14:textId="77777777" w:rsidR="004713BB" w:rsidRPr="00CF7D68" w:rsidRDefault="004713BB" w:rsidP="00AD4EF9">
            <w:pPr>
              <w:pStyle w:val="TableText"/>
              <w:widowControl w:val="0"/>
            </w:pPr>
            <w:r w:rsidRPr="00CF7D68">
              <w:t>Hyperkalaemia leading to hospitalisation</w:t>
            </w:r>
          </w:p>
        </w:tc>
        <w:tc>
          <w:tcPr>
            <w:tcW w:w="1871" w:type="dxa"/>
            <w:tcBorders>
              <w:top w:val="single" w:sz="4" w:space="0" w:color="auto"/>
              <w:left w:val="single" w:sz="4" w:space="0" w:color="auto"/>
              <w:bottom w:val="single" w:sz="4" w:space="0" w:color="auto"/>
              <w:right w:val="single" w:sz="4" w:space="0" w:color="auto"/>
            </w:tcBorders>
            <w:vAlign w:val="center"/>
          </w:tcPr>
          <w:p w14:paraId="03B19A24" w14:textId="77777777" w:rsidR="004713BB" w:rsidRPr="00CF7D68" w:rsidRDefault="004713BB" w:rsidP="00AD4EF9">
            <w:pPr>
              <w:pStyle w:val="TableText"/>
              <w:widowControl w:val="0"/>
              <w:jc w:val="center"/>
            </w:pPr>
            <w:r w:rsidRPr="00CF7D68">
              <w:t>61 (0.9%)</w:t>
            </w:r>
          </w:p>
        </w:tc>
        <w:tc>
          <w:tcPr>
            <w:tcW w:w="1872" w:type="dxa"/>
            <w:tcBorders>
              <w:top w:val="single" w:sz="4" w:space="0" w:color="auto"/>
              <w:left w:val="single" w:sz="4" w:space="0" w:color="auto"/>
              <w:bottom w:val="single" w:sz="4" w:space="0" w:color="auto"/>
              <w:right w:val="single" w:sz="4" w:space="0" w:color="auto"/>
            </w:tcBorders>
            <w:vAlign w:val="center"/>
          </w:tcPr>
          <w:p w14:paraId="4F730C80" w14:textId="77777777" w:rsidR="004713BB" w:rsidRPr="00CF7D68" w:rsidRDefault="004713BB" w:rsidP="00AD4EF9">
            <w:pPr>
              <w:pStyle w:val="TableText"/>
              <w:widowControl w:val="0"/>
              <w:jc w:val="center"/>
            </w:pPr>
            <w:r w:rsidRPr="00CF7D68">
              <w:t>10 (0.2%)</w:t>
            </w:r>
          </w:p>
        </w:tc>
        <w:tc>
          <w:tcPr>
            <w:tcW w:w="1872" w:type="dxa"/>
            <w:tcBorders>
              <w:left w:val="single" w:sz="4" w:space="0" w:color="auto"/>
              <w:right w:val="single" w:sz="4" w:space="0" w:color="auto"/>
            </w:tcBorders>
            <w:vAlign w:val="center"/>
          </w:tcPr>
          <w:p w14:paraId="7F0B6D85" w14:textId="0C7EB6A1" w:rsidR="004713BB" w:rsidRPr="00CF7D68" w:rsidRDefault="004713BB" w:rsidP="00AD4EF9">
            <w:pPr>
              <w:pStyle w:val="TableText"/>
              <w:widowControl w:val="0"/>
              <w:jc w:val="center"/>
              <w:rPr>
                <w:b/>
                <w:bCs w:val="0"/>
              </w:rPr>
            </w:pPr>
            <w:r w:rsidRPr="00CF7D68">
              <w:rPr>
                <w:b/>
                <w:bCs w:val="0"/>
              </w:rPr>
              <w:t>HR: 2.93 (1.90, 4.54)</w:t>
            </w:r>
          </w:p>
        </w:tc>
      </w:tr>
      <w:tr w:rsidR="004713BB" w:rsidRPr="00CF7D68" w14:paraId="5DAD4D27" w14:textId="77777777" w:rsidTr="00992111">
        <w:trPr>
          <w:trHeight w:val="70"/>
        </w:trPr>
        <w:tc>
          <w:tcPr>
            <w:tcW w:w="3402" w:type="dxa"/>
            <w:tcBorders>
              <w:top w:val="single" w:sz="4" w:space="0" w:color="auto"/>
              <w:left w:val="single" w:sz="4" w:space="0" w:color="auto"/>
              <w:bottom w:val="single" w:sz="4" w:space="0" w:color="auto"/>
              <w:right w:val="single" w:sz="4" w:space="0" w:color="auto"/>
            </w:tcBorders>
            <w:vAlign w:val="center"/>
          </w:tcPr>
          <w:p w14:paraId="5B94EE5F" w14:textId="77777777" w:rsidR="004713BB" w:rsidRPr="00CC7A59" w:rsidRDefault="004713BB" w:rsidP="00AD4EF9">
            <w:pPr>
              <w:pStyle w:val="TableText"/>
              <w:widowControl w:val="0"/>
            </w:pPr>
            <w:r w:rsidRPr="00CC7A59">
              <w:t>Acute kidney injury</w:t>
            </w:r>
          </w:p>
        </w:tc>
        <w:tc>
          <w:tcPr>
            <w:tcW w:w="1871" w:type="dxa"/>
            <w:tcBorders>
              <w:top w:val="single" w:sz="4" w:space="0" w:color="auto"/>
              <w:left w:val="single" w:sz="4" w:space="0" w:color="auto"/>
              <w:bottom w:val="single" w:sz="4" w:space="0" w:color="auto"/>
              <w:right w:val="single" w:sz="4" w:space="0" w:color="auto"/>
            </w:tcBorders>
            <w:vAlign w:val="center"/>
          </w:tcPr>
          <w:p w14:paraId="7B898DD9" w14:textId="77777777" w:rsidR="004713BB" w:rsidRPr="00CC7A59" w:rsidRDefault="004713BB" w:rsidP="00AD4EF9">
            <w:pPr>
              <w:pStyle w:val="TableText"/>
              <w:widowControl w:val="0"/>
              <w:jc w:val="center"/>
            </w:pPr>
            <w:r w:rsidRPr="00CC7A59">
              <w:t>220 (3.4%)</w:t>
            </w:r>
          </w:p>
        </w:tc>
        <w:tc>
          <w:tcPr>
            <w:tcW w:w="1872" w:type="dxa"/>
            <w:tcBorders>
              <w:top w:val="single" w:sz="4" w:space="0" w:color="auto"/>
              <w:left w:val="single" w:sz="4" w:space="0" w:color="auto"/>
              <w:bottom w:val="single" w:sz="4" w:space="0" w:color="auto"/>
              <w:right w:val="single" w:sz="4" w:space="0" w:color="auto"/>
            </w:tcBorders>
            <w:vAlign w:val="center"/>
          </w:tcPr>
          <w:p w14:paraId="6713A7C7" w14:textId="77777777" w:rsidR="004713BB" w:rsidRPr="00CC7A59" w:rsidRDefault="004713BB" w:rsidP="00AD4EF9">
            <w:pPr>
              <w:pStyle w:val="TableText"/>
              <w:widowControl w:val="0"/>
              <w:jc w:val="center"/>
            </w:pPr>
            <w:r w:rsidRPr="00CC7A59">
              <w:t>234 (3.6%)</w:t>
            </w:r>
          </w:p>
        </w:tc>
        <w:tc>
          <w:tcPr>
            <w:tcW w:w="1872" w:type="dxa"/>
            <w:tcBorders>
              <w:left w:val="single" w:sz="4" w:space="0" w:color="auto"/>
              <w:right w:val="single" w:sz="4" w:space="0" w:color="auto"/>
            </w:tcBorders>
            <w:vAlign w:val="center"/>
          </w:tcPr>
          <w:p w14:paraId="7818777F" w14:textId="77777777" w:rsidR="004713BB" w:rsidRPr="00CC7A59" w:rsidRDefault="004713BB" w:rsidP="00AD4EF9">
            <w:pPr>
              <w:pStyle w:val="TableText"/>
              <w:widowControl w:val="0"/>
              <w:jc w:val="center"/>
            </w:pPr>
            <w:r w:rsidRPr="00CC7A59">
              <w:t>NR</w:t>
            </w:r>
          </w:p>
        </w:tc>
      </w:tr>
      <w:tr w:rsidR="004713BB" w:rsidRPr="00CF7D68" w14:paraId="49EF1C07" w14:textId="77777777" w:rsidTr="00992111">
        <w:trPr>
          <w:trHeight w:val="70"/>
        </w:trPr>
        <w:tc>
          <w:tcPr>
            <w:tcW w:w="3402" w:type="dxa"/>
            <w:tcBorders>
              <w:top w:val="single" w:sz="4" w:space="0" w:color="auto"/>
              <w:left w:val="single" w:sz="4" w:space="0" w:color="auto"/>
              <w:bottom w:val="single" w:sz="4" w:space="0" w:color="auto"/>
              <w:right w:val="single" w:sz="4" w:space="0" w:color="auto"/>
            </w:tcBorders>
            <w:vAlign w:val="center"/>
          </w:tcPr>
          <w:p w14:paraId="5C75C17C" w14:textId="77777777" w:rsidR="004713BB" w:rsidRPr="00CC7A59" w:rsidRDefault="004713BB" w:rsidP="00AD4EF9">
            <w:pPr>
              <w:pStyle w:val="TableText"/>
              <w:widowControl w:val="0"/>
            </w:pPr>
            <w:r w:rsidRPr="00CC7A59">
              <w:t>Decreased glomerular filtration rate</w:t>
            </w:r>
          </w:p>
        </w:tc>
        <w:tc>
          <w:tcPr>
            <w:tcW w:w="1871" w:type="dxa"/>
            <w:tcBorders>
              <w:top w:val="single" w:sz="4" w:space="0" w:color="auto"/>
              <w:left w:val="single" w:sz="4" w:space="0" w:color="auto"/>
              <w:bottom w:val="single" w:sz="4" w:space="0" w:color="auto"/>
              <w:right w:val="single" w:sz="4" w:space="0" w:color="auto"/>
            </w:tcBorders>
            <w:vAlign w:val="center"/>
          </w:tcPr>
          <w:p w14:paraId="2C8C969A" w14:textId="77777777" w:rsidR="004713BB" w:rsidRPr="00CC7A59" w:rsidRDefault="004713BB" w:rsidP="00AD4EF9">
            <w:pPr>
              <w:pStyle w:val="TableText"/>
              <w:widowControl w:val="0"/>
              <w:jc w:val="center"/>
            </w:pPr>
            <w:r w:rsidRPr="00CC7A59">
              <w:t>348 (5.3%)</w:t>
            </w:r>
          </w:p>
        </w:tc>
        <w:tc>
          <w:tcPr>
            <w:tcW w:w="1872" w:type="dxa"/>
            <w:tcBorders>
              <w:top w:val="single" w:sz="4" w:space="0" w:color="auto"/>
              <w:left w:val="single" w:sz="4" w:space="0" w:color="auto"/>
              <w:bottom w:val="single" w:sz="4" w:space="0" w:color="auto"/>
              <w:right w:val="single" w:sz="4" w:space="0" w:color="auto"/>
            </w:tcBorders>
            <w:vAlign w:val="center"/>
          </w:tcPr>
          <w:p w14:paraId="287A62A5" w14:textId="77777777" w:rsidR="004713BB" w:rsidRPr="00CC7A59" w:rsidRDefault="004713BB" w:rsidP="00AD4EF9">
            <w:pPr>
              <w:pStyle w:val="TableText"/>
              <w:widowControl w:val="0"/>
              <w:jc w:val="center"/>
            </w:pPr>
            <w:r w:rsidRPr="00CC7A59">
              <w:t>274 (4.2%)</w:t>
            </w:r>
          </w:p>
        </w:tc>
        <w:tc>
          <w:tcPr>
            <w:tcW w:w="1872" w:type="dxa"/>
            <w:tcBorders>
              <w:left w:val="single" w:sz="4" w:space="0" w:color="auto"/>
              <w:right w:val="single" w:sz="4" w:space="0" w:color="auto"/>
            </w:tcBorders>
            <w:vAlign w:val="center"/>
          </w:tcPr>
          <w:p w14:paraId="7A271F77" w14:textId="77777777" w:rsidR="004713BB" w:rsidRPr="00CC7A59" w:rsidRDefault="004713BB" w:rsidP="00AD4EF9">
            <w:pPr>
              <w:pStyle w:val="TableText"/>
              <w:widowControl w:val="0"/>
              <w:jc w:val="center"/>
            </w:pPr>
            <w:r w:rsidRPr="00CC7A59">
              <w:t>NR</w:t>
            </w:r>
          </w:p>
        </w:tc>
      </w:tr>
    </w:tbl>
    <w:p w14:paraId="751325DC" w14:textId="23591F9B" w:rsidR="004713BB" w:rsidRPr="00CF7D68" w:rsidRDefault="004713BB" w:rsidP="00250B01">
      <w:pPr>
        <w:pStyle w:val="TableFooter"/>
      </w:pPr>
      <w:r w:rsidRPr="00CF7D68">
        <w:t>Source: Table 48 (</w:t>
      </w:r>
      <w:r w:rsidR="003073FE">
        <w:t>p</w:t>
      </w:r>
      <w:r w:rsidRPr="00CF7D68">
        <w:t>73), Table 50 (</w:t>
      </w:r>
      <w:r w:rsidR="003073FE">
        <w:t>p</w:t>
      </w:r>
      <w:r w:rsidRPr="00CF7D68">
        <w:t>75), Table 71 (</w:t>
      </w:r>
      <w:r w:rsidR="003073FE">
        <w:t>p</w:t>
      </w:r>
      <w:r w:rsidRPr="00CF7D68">
        <w:t>117) of the submission</w:t>
      </w:r>
      <w:r w:rsidR="00861FCA">
        <w:t xml:space="preserve">; </w:t>
      </w:r>
      <w:r w:rsidR="00861FCA" w:rsidRPr="00861FCA">
        <w:t>Table 3, Agarwal et al 2022 (p</w:t>
      </w:r>
      <w:r w:rsidR="00861FCA">
        <w:t>8</w:t>
      </w:r>
      <w:r w:rsidR="00861FCA" w:rsidRPr="00861FCA">
        <w:t>)</w:t>
      </w:r>
    </w:p>
    <w:p w14:paraId="7AA069A5" w14:textId="77777777" w:rsidR="004713BB" w:rsidRPr="00CF7D68" w:rsidRDefault="004713BB" w:rsidP="00250B01">
      <w:pPr>
        <w:pStyle w:val="TableFooter"/>
      </w:pPr>
      <w:r w:rsidRPr="00CF7D68">
        <w:t xml:space="preserve">Abbreviations: CI, confidence interval; HR, hazard ratio NR, not reported; </w:t>
      </w:r>
      <w:proofErr w:type="gramStart"/>
      <w:r w:rsidRPr="00CF7D68">
        <w:t>OR,</w:t>
      </w:r>
      <w:proofErr w:type="gramEnd"/>
      <w:r w:rsidRPr="00CF7D68">
        <w:t xml:space="preserve"> odds ratio</w:t>
      </w:r>
    </w:p>
    <w:p w14:paraId="1AC142E6" w14:textId="5521AD78" w:rsidR="004713BB" w:rsidRPr="00CF7D68" w:rsidRDefault="004713BB" w:rsidP="00250B01">
      <w:pPr>
        <w:pStyle w:val="TableFooter"/>
      </w:pPr>
      <w:r w:rsidRPr="00CF7D68">
        <w:t>Note: Bolding indicates a statistically significant difference</w:t>
      </w:r>
    </w:p>
    <w:p w14:paraId="7A8B6847" w14:textId="73776EFF" w:rsidR="004713BB" w:rsidRPr="00CF7D68" w:rsidRDefault="004713BB" w:rsidP="004713BB">
      <w:pPr>
        <w:pStyle w:val="ExecSumBodyText"/>
        <w:ind w:left="709" w:hanging="709"/>
      </w:pPr>
      <w:r w:rsidRPr="00CF7D68">
        <w:t xml:space="preserve">Treatment with </w:t>
      </w:r>
      <w:proofErr w:type="spellStart"/>
      <w:r w:rsidRPr="00CF7D68">
        <w:t>finerenone</w:t>
      </w:r>
      <w:proofErr w:type="spellEnd"/>
      <w:r w:rsidRPr="00CF7D68">
        <w:t xml:space="preserve"> was associated with an increased incidence of treatment-related adverse events and adverse events leading to discontinuation compared to placebo. Adverse events occurring more frequently in the </w:t>
      </w:r>
      <w:proofErr w:type="spellStart"/>
      <w:r w:rsidRPr="00CF7D68">
        <w:t>finerenone</w:t>
      </w:r>
      <w:proofErr w:type="spellEnd"/>
      <w:r w:rsidRPr="00CF7D68">
        <w:t xml:space="preserve"> arm included hyperkalaemia, decreased glomerular filtration rate, hypotension, hyperuricaemia, pruritis and increased blood potassium. </w:t>
      </w:r>
      <w:r w:rsidRPr="00CF7D68">
        <w:rPr>
          <w:iCs/>
        </w:rPr>
        <w:t xml:space="preserve">The increased risk of hyperkalaemia leading to hospitalisation with </w:t>
      </w:r>
      <w:proofErr w:type="spellStart"/>
      <w:r w:rsidRPr="00CF7D68">
        <w:rPr>
          <w:iCs/>
        </w:rPr>
        <w:t>finerenone</w:t>
      </w:r>
      <w:proofErr w:type="spellEnd"/>
      <w:r w:rsidRPr="00CF7D68">
        <w:rPr>
          <w:iCs/>
        </w:rPr>
        <w:t xml:space="preserve"> treatment occurred despite careful selection of the patient population, intensive </w:t>
      </w:r>
      <w:proofErr w:type="gramStart"/>
      <w:r w:rsidRPr="00CF7D68">
        <w:rPr>
          <w:iCs/>
        </w:rPr>
        <w:t>monitoring</w:t>
      </w:r>
      <w:proofErr w:type="gramEnd"/>
      <w:r w:rsidRPr="00CF7D68">
        <w:rPr>
          <w:iCs/>
        </w:rPr>
        <w:t xml:space="preserve"> and dose adjustments (down-titrations and dose interruptions) as well as increased use of potassium lowering agents.</w:t>
      </w:r>
      <w:r w:rsidRPr="00CF7D68">
        <w:t xml:space="preserve"> </w:t>
      </w:r>
    </w:p>
    <w:p w14:paraId="5870684A" w14:textId="7FC4D995" w:rsidR="004713BB" w:rsidRPr="00CF7D68" w:rsidRDefault="004713BB" w:rsidP="004713BB">
      <w:pPr>
        <w:pStyle w:val="ExecSumBodyText"/>
        <w:ind w:left="709" w:hanging="709"/>
      </w:pPr>
      <w:proofErr w:type="spellStart"/>
      <w:r w:rsidRPr="00CF7D68">
        <w:t>Finerenone</w:t>
      </w:r>
      <w:proofErr w:type="spellEnd"/>
      <w:r w:rsidRPr="00CF7D68">
        <w:t xml:space="preserve"> treatment was associated with a decreased incidence of serious adverse events compared to placebo primarily due to a reduction in pneumonia and complications associated with underlying </w:t>
      </w:r>
      <w:r w:rsidR="004E1840">
        <w:t xml:space="preserve">diabetic kidney </w:t>
      </w:r>
      <w:r w:rsidRPr="00CF7D68">
        <w:t>disease.</w:t>
      </w:r>
    </w:p>
    <w:p w14:paraId="04908C7F" w14:textId="687D2026" w:rsidR="007F1017" w:rsidRPr="00CF7D68" w:rsidRDefault="007F1017" w:rsidP="00D86231">
      <w:pPr>
        <w:pStyle w:val="3-SubsectionHeading"/>
      </w:pPr>
      <w:bookmarkStart w:id="36" w:name="_Toc22897643"/>
      <w:bookmarkStart w:id="37" w:name="_Toc103772417"/>
      <w:r w:rsidRPr="00CF7D68">
        <w:t>Benefits/harms</w:t>
      </w:r>
      <w:bookmarkEnd w:id="36"/>
      <w:bookmarkEnd w:id="37"/>
    </w:p>
    <w:p w14:paraId="03A8CB40" w14:textId="6AE0DC11" w:rsidR="00737BC5" w:rsidRPr="00CF7D68" w:rsidRDefault="00737BC5" w:rsidP="00410654">
      <w:pPr>
        <w:pStyle w:val="ExecSumBodyText"/>
        <w:ind w:left="709" w:hanging="709"/>
        <w:contextualSpacing/>
      </w:pPr>
      <w:r w:rsidRPr="00CF7D68">
        <w:t>Based on the FIDELITY analysis, for every 1,000 patient</w:t>
      </w:r>
      <w:r w:rsidR="00BF0A39" w:rsidRPr="00CF7D68">
        <w:t>s</w:t>
      </w:r>
      <w:r w:rsidRPr="00CF7D68">
        <w:t xml:space="preserve"> </w:t>
      </w:r>
      <w:r w:rsidR="00BF0A39" w:rsidRPr="00CF7D68">
        <w:t>treated</w:t>
      </w:r>
      <w:r w:rsidRPr="00CF7D68">
        <w:t xml:space="preserve"> with </w:t>
      </w:r>
      <w:proofErr w:type="spellStart"/>
      <w:r w:rsidRPr="00CF7D68">
        <w:t>finerenone</w:t>
      </w:r>
      <w:proofErr w:type="spellEnd"/>
      <w:r w:rsidRPr="00CF7D68">
        <w:t xml:space="preserve"> in comparison with placebo</w:t>
      </w:r>
      <w:r w:rsidR="00BF0A39" w:rsidRPr="00CF7D68">
        <w:t xml:space="preserve"> over 3 years</w:t>
      </w:r>
      <w:r w:rsidRPr="00CF7D68">
        <w:t>:</w:t>
      </w:r>
    </w:p>
    <w:p w14:paraId="0AAD6B05" w14:textId="02A177E4" w:rsidR="00737BC5" w:rsidRPr="00CF7D68" w:rsidRDefault="00737BC5" w:rsidP="00644C08">
      <w:pPr>
        <w:pStyle w:val="ExecSumBodyText"/>
        <w:numPr>
          <w:ilvl w:val="0"/>
          <w:numId w:val="6"/>
        </w:numPr>
        <w:ind w:left="1066" w:hanging="357"/>
        <w:contextualSpacing/>
      </w:pPr>
      <w:r w:rsidRPr="00CF7D68">
        <w:t xml:space="preserve">There would be </w:t>
      </w:r>
      <w:r w:rsidR="00BF0A39" w:rsidRPr="00CF7D68">
        <w:t>1</w:t>
      </w:r>
      <w:r w:rsidRPr="00CF7D68">
        <w:t>7 fewer cardiovascular events (primarily hospitalisation for heart failure)</w:t>
      </w:r>
      <w:r w:rsidR="00410654" w:rsidRPr="00CF7D68">
        <w:t>.</w:t>
      </w:r>
    </w:p>
    <w:p w14:paraId="1E3E434A" w14:textId="0781054D" w:rsidR="00737BC5" w:rsidRPr="00CF7D68" w:rsidRDefault="00737BC5" w:rsidP="00644C08">
      <w:pPr>
        <w:pStyle w:val="ExecSumBodyText"/>
        <w:numPr>
          <w:ilvl w:val="0"/>
          <w:numId w:val="6"/>
        </w:numPr>
        <w:ind w:left="1066" w:hanging="357"/>
        <w:contextualSpacing/>
      </w:pPr>
      <w:r w:rsidRPr="00CF7D68">
        <w:t xml:space="preserve">There would be </w:t>
      </w:r>
      <w:r w:rsidR="00BF0A39" w:rsidRPr="00CF7D68">
        <w:t>22</w:t>
      </w:r>
      <w:r w:rsidRPr="00CF7D68">
        <w:t xml:space="preserve"> fewer renal events (primarily sustained </w:t>
      </w:r>
      <w:r w:rsidR="00A720A4" w:rsidRPr="00CF7D68">
        <w:t>worsening of kidney function)</w:t>
      </w:r>
      <w:r w:rsidR="00410654" w:rsidRPr="00CF7D68">
        <w:t>.</w:t>
      </w:r>
    </w:p>
    <w:p w14:paraId="5938FF28" w14:textId="496ECD8F" w:rsidR="00A720A4" w:rsidRPr="00CF7D68" w:rsidRDefault="00BF0A39" w:rsidP="00644C08">
      <w:pPr>
        <w:pStyle w:val="ExecSumBodyText"/>
        <w:numPr>
          <w:ilvl w:val="0"/>
          <w:numId w:val="6"/>
        </w:numPr>
      </w:pPr>
      <w:r w:rsidRPr="00CF7D68">
        <w:t>There would be 71 additional patients experiencing a hyperkalaemia event with 7 requiring hospitalisation.</w:t>
      </w:r>
    </w:p>
    <w:p w14:paraId="2C318830" w14:textId="3DDC3386" w:rsidR="00F550F0" w:rsidRPr="00CF7D68" w:rsidRDefault="0035425C" w:rsidP="00C067B5">
      <w:pPr>
        <w:pStyle w:val="ExecSumBodyText"/>
        <w:ind w:left="709" w:hanging="709"/>
        <w:contextualSpacing/>
        <w:rPr>
          <w:iCs/>
        </w:rPr>
      </w:pPr>
      <w:r w:rsidRPr="00CF7D68">
        <w:rPr>
          <w:iCs/>
        </w:rPr>
        <w:t>The ESC noted that based on the FIGARO</w:t>
      </w:r>
      <w:r w:rsidR="00C067B5" w:rsidRPr="00CF7D68">
        <w:rPr>
          <w:iCs/>
        </w:rPr>
        <w:t>-DKD</w:t>
      </w:r>
      <w:r w:rsidRPr="00CF7D68">
        <w:rPr>
          <w:iCs/>
        </w:rPr>
        <w:t xml:space="preserve"> analysis</w:t>
      </w:r>
      <w:r w:rsidR="00F550F0" w:rsidRPr="00CF7D68">
        <w:rPr>
          <w:iCs/>
        </w:rPr>
        <w:t xml:space="preserve"> (Pitt, 2021)</w:t>
      </w:r>
      <w:r w:rsidR="00ED569C" w:rsidRPr="00CF7D68">
        <w:rPr>
          <w:iCs/>
        </w:rPr>
        <w:t>,</w:t>
      </w:r>
      <w:r w:rsidRPr="00CF7D68">
        <w:rPr>
          <w:iCs/>
        </w:rPr>
        <w:t xml:space="preserve"> the number needed to treat (NNT) is 47 </w:t>
      </w:r>
      <w:r w:rsidR="00F550F0" w:rsidRPr="00CF7D68">
        <w:rPr>
          <w:iCs/>
        </w:rPr>
        <w:t xml:space="preserve">(95% CI, 26 to 226) </w:t>
      </w:r>
      <w:r w:rsidR="00ED569C" w:rsidRPr="00CF7D68">
        <w:rPr>
          <w:iCs/>
        </w:rPr>
        <w:t xml:space="preserve">patients </w:t>
      </w:r>
      <w:r w:rsidRPr="00CF7D68">
        <w:rPr>
          <w:iCs/>
        </w:rPr>
        <w:t>over 3.</w:t>
      </w:r>
      <w:r w:rsidR="00231BCA" w:rsidRPr="00CF7D68">
        <w:rPr>
          <w:iCs/>
        </w:rPr>
        <w:t>5</w:t>
      </w:r>
      <w:r w:rsidRPr="00CF7D68">
        <w:rPr>
          <w:iCs/>
        </w:rPr>
        <w:t xml:space="preserve"> years to prevent a</w:t>
      </w:r>
      <w:r w:rsidR="00ED569C" w:rsidRPr="00CF7D68">
        <w:rPr>
          <w:iCs/>
        </w:rPr>
        <w:t xml:space="preserve"> single</w:t>
      </w:r>
      <w:r w:rsidRPr="00CF7D68">
        <w:rPr>
          <w:iCs/>
        </w:rPr>
        <w:t xml:space="preserve"> cardiovascular event. </w:t>
      </w:r>
      <w:r w:rsidR="00ED569C" w:rsidRPr="00CF7D68">
        <w:rPr>
          <w:iCs/>
        </w:rPr>
        <w:t>Based on the FIDELIO</w:t>
      </w:r>
      <w:r w:rsidR="00231BCA" w:rsidRPr="00CF7D68">
        <w:rPr>
          <w:iCs/>
        </w:rPr>
        <w:t>-DKD</w:t>
      </w:r>
      <w:r w:rsidR="00ED569C" w:rsidRPr="00CF7D68">
        <w:rPr>
          <w:iCs/>
        </w:rPr>
        <w:t xml:space="preserve"> analysis</w:t>
      </w:r>
      <w:r w:rsidR="00F550F0" w:rsidRPr="00CF7D68">
        <w:rPr>
          <w:iCs/>
        </w:rPr>
        <w:t xml:space="preserve"> (</w:t>
      </w:r>
      <w:proofErr w:type="spellStart"/>
      <w:r w:rsidR="00F550F0" w:rsidRPr="00CF7D68">
        <w:rPr>
          <w:iCs/>
        </w:rPr>
        <w:t>Bakris</w:t>
      </w:r>
      <w:proofErr w:type="spellEnd"/>
      <w:r w:rsidR="00F550F0" w:rsidRPr="00CF7D68">
        <w:rPr>
          <w:iCs/>
        </w:rPr>
        <w:t>, 2020)</w:t>
      </w:r>
      <w:r w:rsidR="00ED569C" w:rsidRPr="00CF7D68">
        <w:rPr>
          <w:iCs/>
        </w:rPr>
        <w:t xml:space="preserve">, the NNT is 29 </w:t>
      </w:r>
      <w:r w:rsidR="00F550F0" w:rsidRPr="00CF7D68">
        <w:rPr>
          <w:iCs/>
        </w:rPr>
        <w:t xml:space="preserve">(95% CI, 16 to 166) </w:t>
      </w:r>
      <w:r w:rsidR="00ED569C" w:rsidRPr="00CF7D68">
        <w:rPr>
          <w:iCs/>
        </w:rPr>
        <w:t xml:space="preserve">patients over </w:t>
      </w:r>
      <w:r w:rsidR="00231BCA" w:rsidRPr="00CF7D68">
        <w:rPr>
          <w:iCs/>
        </w:rPr>
        <w:t xml:space="preserve">3 </w:t>
      </w:r>
      <w:r w:rsidR="00ED569C" w:rsidRPr="00CF7D68">
        <w:rPr>
          <w:iCs/>
        </w:rPr>
        <w:t>years to prevent a single renal event and 42</w:t>
      </w:r>
      <w:r w:rsidR="00AD4EF9">
        <w:rPr>
          <w:iCs/>
        </w:rPr>
        <w:t> </w:t>
      </w:r>
      <w:r w:rsidR="00F550F0" w:rsidRPr="00CF7D68">
        <w:rPr>
          <w:iCs/>
        </w:rPr>
        <w:t>(95% CI, 22 to 397)</w:t>
      </w:r>
      <w:r w:rsidR="00ED569C" w:rsidRPr="00CF7D68">
        <w:rPr>
          <w:iCs/>
        </w:rPr>
        <w:t xml:space="preserve"> patients over </w:t>
      </w:r>
      <w:r w:rsidR="00231BCA" w:rsidRPr="00CF7D68">
        <w:rPr>
          <w:iCs/>
        </w:rPr>
        <w:t>3</w:t>
      </w:r>
      <w:r w:rsidR="00ED569C" w:rsidRPr="00CF7D68">
        <w:rPr>
          <w:iCs/>
        </w:rPr>
        <w:t xml:space="preserve"> years to prevent a single cardiovascular event. </w:t>
      </w:r>
    </w:p>
    <w:p w14:paraId="7A1772B6" w14:textId="760976E8" w:rsidR="00B60939" w:rsidRPr="00CF7D68" w:rsidRDefault="00B60939" w:rsidP="00E9094A">
      <w:pPr>
        <w:pStyle w:val="3-SubsectionHeading"/>
      </w:pPr>
      <w:bookmarkStart w:id="38" w:name="_Toc22897644"/>
      <w:bookmarkStart w:id="39" w:name="_Toc103772418"/>
      <w:r w:rsidRPr="00CF7D68">
        <w:lastRenderedPageBreak/>
        <w:t>Clinical claim</w:t>
      </w:r>
      <w:bookmarkEnd w:id="38"/>
      <w:bookmarkEnd w:id="39"/>
    </w:p>
    <w:p w14:paraId="556C9E9A" w14:textId="40CD78A3" w:rsidR="001D5547" w:rsidRPr="00CF7D68" w:rsidRDefault="001D5547" w:rsidP="001D5547">
      <w:pPr>
        <w:pStyle w:val="ExecSumBodyText"/>
        <w:ind w:left="709" w:hanging="709"/>
        <w:rPr>
          <w:iCs/>
        </w:rPr>
      </w:pPr>
      <w:bookmarkStart w:id="40" w:name="_Ref106092207"/>
      <w:r w:rsidRPr="00CF7D68">
        <w:t xml:space="preserve">The submission described </w:t>
      </w:r>
      <w:proofErr w:type="spellStart"/>
      <w:r w:rsidRPr="00CF7D68">
        <w:t>finerenone</w:t>
      </w:r>
      <w:proofErr w:type="spellEnd"/>
      <w:r w:rsidRPr="00CF7D68">
        <w:t xml:space="preserve"> </w:t>
      </w:r>
      <w:r w:rsidR="00CF463B" w:rsidRPr="00CF7D68">
        <w:rPr>
          <w:snapToGrid/>
        </w:rPr>
        <w:t xml:space="preserve">plus standard of care </w:t>
      </w:r>
      <w:r w:rsidRPr="00CF7D68">
        <w:t xml:space="preserve">as superior in terms of efficacy and </w:t>
      </w:r>
      <w:r w:rsidR="00DF4EFB" w:rsidRPr="00CF7D68">
        <w:t xml:space="preserve">comparable </w:t>
      </w:r>
      <w:r w:rsidRPr="00CF7D68">
        <w:t>in terms of safety compared to placebo</w:t>
      </w:r>
      <w:r w:rsidR="00CF463B" w:rsidRPr="00CF7D68">
        <w:t xml:space="preserve"> </w:t>
      </w:r>
      <w:r w:rsidR="00CF463B" w:rsidRPr="00CF7D68">
        <w:rPr>
          <w:snapToGrid/>
        </w:rPr>
        <w:t>plus standard of care</w:t>
      </w:r>
      <w:r w:rsidRPr="00CF7D68">
        <w:t xml:space="preserve">. </w:t>
      </w:r>
      <w:r w:rsidR="001202E0" w:rsidRPr="00CF7D68">
        <w:rPr>
          <w:iCs/>
        </w:rPr>
        <w:t>The ESC considered that t</w:t>
      </w:r>
      <w:r w:rsidRPr="00CF7D68">
        <w:rPr>
          <w:iCs/>
        </w:rPr>
        <w:t>his claim was reasonable in the context of the clinical trials</w:t>
      </w:r>
      <w:r w:rsidR="001202E0" w:rsidRPr="00CF7D68">
        <w:rPr>
          <w:iCs/>
        </w:rPr>
        <w:t xml:space="preserve">, </w:t>
      </w:r>
      <w:r w:rsidR="001202E0" w:rsidRPr="00CF7D68">
        <w:t xml:space="preserve">although based on the NNT analyses noted above, the added benefit of </w:t>
      </w:r>
      <w:proofErr w:type="spellStart"/>
      <w:r w:rsidR="001202E0" w:rsidRPr="00CF7D68">
        <w:t>finerenone</w:t>
      </w:r>
      <w:proofErr w:type="spellEnd"/>
      <w:r w:rsidR="001202E0" w:rsidRPr="00CF7D68">
        <w:t xml:space="preserve"> is modest. Furthermore, the trial data was of uncertain applicability to Australian clinical practice, particularly in the context of a rapidly evolving treatment landscape.</w:t>
      </w:r>
      <w:bookmarkEnd w:id="40"/>
    </w:p>
    <w:p w14:paraId="3326DE92" w14:textId="677FBA17" w:rsidR="003B126F" w:rsidRPr="00CF7D68" w:rsidRDefault="003B126F" w:rsidP="003B126F">
      <w:pPr>
        <w:pStyle w:val="ExecSumBodyText"/>
        <w:ind w:left="709" w:hanging="709"/>
      </w:pPr>
      <w:bookmarkStart w:id="41" w:name="_Hlk76376200"/>
      <w:r w:rsidRPr="00CF7D68">
        <w:t xml:space="preserve">The PBAC considered that </w:t>
      </w:r>
      <w:r w:rsidR="00AD4EF9">
        <w:t>a</w:t>
      </w:r>
      <w:r w:rsidR="00AD4EF9" w:rsidRPr="00CF7D68">
        <w:t xml:space="preserve"> </w:t>
      </w:r>
      <w:r w:rsidRPr="00CF7D68">
        <w:t xml:space="preserve">claim of </w:t>
      </w:r>
      <w:r w:rsidR="00AD4EF9">
        <w:t xml:space="preserve">modestly </w:t>
      </w:r>
      <w:r w:rsidRPr="00CF7D68">
        <w:t xml:space="preserve">superior comparative </w:t>
      </w:r>
      <w:r w:rsidR="00C71487">
        <w:t>efficacy</w:t>
      </w:r>
      <w:r w:rsidR="00C71487" w:rsidRPr="00CF7D68">
        <w:t xml:space="preserve"> </w:t>
      </w:r>
      <w:r w:rsidRPr="00CF7D68">
        <w:t>was reasonable</w:t>
      </w:r>
      <w:r w:rsidR="00C71487">
        <w:t xml:space="preserve"> for the </w:t>
      </w:r>
      <w:r w:rsidR="00E816E2">
        <w:t xml:space="preserve">duration of the trials in the </w:t>
      </w:r>
      <w:r w:rsidR="00C71487">
        <w:t xml:space="preserve">broader trial populations </w:t>
      </w:r>
      <w:r w:rsidR="003808B1">
        <w:t>but was concerned that the subgroup analyses suggested little to no treatment benefit in patients with less than very high albuminuria at baseline</w:t>
      </w:r>
      <w:r w:rsidR="007B1152" w:rsidRPr="00CF7D68">
        <w:t>.</w:t>
      </w:r>
      <w:r w:rsidR="003808B1">
        <w:t xml:space="preserve"> It further noted that the size of the comparative gain in patients treated with an SGLT2 inhibitor was highly uncertain. </w:t>
      </w:r>
    </w:p>
    <w:p w14:paraId="3EB6C5BD" w14:textId="58D6B91B" w:rsidR="003B126F" w:rsidRPr="00CF7D68" w:rsidRDefault="003B126F" w:rsidP="00644C08">
      <w:pPr>
        <w:pStyle w:val="ExecSumBodyText"/>
        <w:ind w:left="709" w:hanging="709"/>
      </w:pPr>
      <w:r w:rsidRPr="00CF7D68">
        <w:t xml:space="preserve">The PBAC considered that </w:t>
      </w:r>
      <w:r w:rsidR="00607DEC">
        <w:t>a</w:t>
      </w:r>
      <w:r w:rsidR="00607DEC" w:rsidRPr="00CF7D68">
        <w:t xml:space="preserve"> </w:t>
      </w:r>
      <w:r w:rsidRPr="00CF7D68">
        <w:t xml:space="preserve">claim of </w:t>
      </w:r>
      <w:r w:rsidR="00C71487">
        <w:t>comparable</w:t>
      </w:r>
      <w:r w:rsidR="00DF4EFB" w:rsidRPr="00CF7D68">
        <w:t xml:space="preserve"> </w:t>
      </w:r>
      <w:r w:rsidRPr="00CF7D68">
        <w:t xml:space="preserve">safety was </w:t>
      </w:r>
      <w:r w:rsidR="00C71487">
        <w:t>not adequately supported by the data</w:t>
      </w:r>
      <w:r w:rsidR="003808B1">
        <w:t>, g</w:t>
      </w:r>
      <w:r w:rsidR="003808B1" w:rsidRPr="003808B1">
        <w:t xml:space="preserve">iven that the reduction in serious adverse events was partly driven by a reduction in complications associated with </w:t>
      </w:r>
      <w:r w:rsidR="00E816E2">
        <w:t xml:space="preserve">diabetic </w:t>
      </w:r>
      <w:r w:rsidR="003808B1" w:rsidRPr="003808B1">
        <w:t>kidney disease, and that the risk of hyperkalaemia was likely to be greater outside the tightly controlled environment of a clinical trial</w:t>
      </w:r>
      <w:r w:rsidRPr="00CF7D68">
        <w:t>.</w:t>
      </w:r>
      <w:bookmarkEnd w:id="41"/>
    </w:p>
    <w:p w14:paraId="74A1172E" w14:textId="5B779D01" w:rsidR="00B60939" w:rsidRPr="00CF7D68" w:rsidRDefault="00B60939" w:rsidP="00E9094A">
      <w:pPr>
        <w:pStyle w:val="3-SubsectionHeading"/>
      </w:pPr>
      <w:bookmarkStart w:id="42" w:name="_Toc22897645"/>
      <w:bookmarkStart w:id="43" w:name="_Toc103772419"/>
      <w:r w:rsidRPr="00CF7D68">
        <w:t>Economic analysis</w:t>
      </w:r>
      <w:bookmarkEnd w:id="42"/>
      <w:bookmarkEnd w:id="43"/>
      <w:r w:rsidR="00491B3A" w:rsidRPr="00CF7D68">
        <w:t xml:space="preserve"> </w:t>
      </w:r>
    </w:p>
    <w:p w14:paraId="2E36F25E" w14:textId="17B23425" w:rsidR="00EF1EF4" w:rsidRPr="00CF7D68" w:rsidRDefault="00EF1EF4" w:rsidP="00EF1EF4">
      <w:pPr>
        <w:pStyle w:val="ExecSumBodyText"/>
        <w:ind w:left="709" w:hanging="709"/>
      </w:pPr>
      <w:r w:rsidRPr="00CF7D68">
        <w:t xml:space="preserve">The submission presented a stepped economic evaluation of </w:t>
      </w:r>
      <w:proofErr w:type="spellStart"/>
      <w:r w:rsidRPr="00CF7D68">
        <w:t>finerenone</w:t>
      </w:r>
      <w:proofErr w:type="spellEnd"/>
      <w:r w:rsidR="005255D2" w:rsidRPr="00CF7D68">
        <w:t xml:space="preserve"> </w:t>
      </w:r>
      <w:r w:rsidR="005255D2" w:rsidRPr="00CF7D68">
        <w:rPr>
          <w:snapToGrid/>
        </w:rPr>
        <w:t>plus standard of care</w:t>
      </w:r>
      <w:r w:rsidRPr="00CF7D68">
        <w:t xml:space="preserve"> compared to placebo </w:t>
      </w:r>
      <w:r w:rsidR="005255D2" w:rsidRPr="00CF7D68">
        <w:rPr>
          <w:snapToGrid/>
        </w:rPr>
        <w:t xml:space="preserve">plus standard of care </w:t>
      </w:r>
      <w:r w:rsidRPr="00CF7D68">
        <w:t>for the treatment of diabetic kidney disease. The economic evaluation was based on the pooled FIDELITY analysis with additional modelled data. The economic evaluation was presented as a cost-effectiveness/cost-utility analysis.</w:t>
      </w:r>
    </w:p>
    <w:p w14:paraId="1968347A" w14:textId="3B8EB50A" w:rsidR="00CD1B39" w:rsidRPr="00CF7D68" w:rsidRDefault="00EF1EF4" w:rsidP="00AC5893">
      <w:pPr>
        <w:pStyle w:val="ExecSumBodyText"/>
        <w:ind w:left="709" w:hanging="709"/>
      </w:pPr>
      <w:r w:rsidRPr="00CF7D68">
        <w:rPr>
          <w:iCs/>
        </w:rPr>
        <w:t xml:space="preserve">The economic analysis did not capture the costs, </w:t>
      </w:r>
      <w:proofErr w:type="gramStart"/>
      <w:r w:rsidRPr="00CF7D68">
        <w:rPr>
          <w:iCs/>
        </w:rPr>
        <w:t>benefits</w:t>
      </w:r>
      <w:proofErr w:type="gramEnd"/>
      <w:r w:rsidRPr="00CF7D68">
        <w:rPr>
          <w:iCs/>
        </w:rPr>
        <w:t xml:space="preserve"> and harms of </w:t>
      </w:r>
      <w:proofErr w:type="spellStart"/>
      <w:r w:rsidRPr="00CF7D68">
        <w:rPr>
          <w:iCs/>
        </w:rPr>
        <w:t>finerenone</w:t>
      </w:r>
      <w:proofErr w:type="spellEnd"/>
      <w:r w:rsidRPr="00CF7D68">
        <w:rPr>
          <w:iCs/>
        </w:rPr>
        <w:t xml:space="preserve"> displacing existing </w:t>
      </w:r>
      <w:r w:rsidR="00520515" w:rsidRPr="00CF7D68">
        <w:rPr>
          <w:iCs/>
        </w:rPr>
        <w:t>MRAs</w:t>
      </w:r>
      <w:r w:rsidRPr="00CF7D68">
        <w:rPr>
          <w:iCs/>
        </w:rPr>
        <w:t xml:space="preserve"> for patients with comorbid conditions such as heart failure and treatment-resistant essential hypertension.</w:t>
      </w:r>
      <w:r w:rsidR="00520515" w:rsidRPr="00CF7D68">
        <w:rPr>
          <w:iCs/>
        </w:rPr>
        <w:t xml:space="preserve"> </w:t>
      </w:r>
      <w:r w:rsidR="00520515" w:rsidRPr="00CF7D68">
        <w:t xml:space="preserve">However, the ESC advised that </w:t>
      </w:r>
      <w:r w:rsidR="00682D14" w:rsidRPr="00CF7D68">
        <w:t xml:space="preserve">the restriction should explicitly exclude patients on other MRAs or patients with established </w:t>
      </w:r>
      <w:proofErr w:type="spellStart"/>
      <w:r w:rsidR="00682D14" w:rsidRPr="00CF7D68">
        <w:t>HFrEF</w:t>
      </w:r>
      <w:proofErr w:type="spellEnd"/>
      <w:r w:rsidR="00682D14" w:rsidRPr="00CF7D68">
        <w:t xml:space="preserve"> and an indication for an MRA, which would prevent switching between these agents</w:t>
      </w:r>
      <w:r w:rsidR="00520515" w:rsidRPr="00CF7D68">
        <w:t>.</w:t>
      </w:r>
    </w:p>
    <w:p w14:paraId="6CC42183" w14:textId="77777777" w:rsidR="00CD1B39" w:rsidRPr="00CF7D68" w:rsidRDefault="00CD1B39">
      <w:pPr>
        <w:jc w:val="left"/>
        <w:rPr>
          <w:rFonts w:asciiTheme="minorHAnsi" w:hAnsiTheme="minorHAnsi"/>
          <w:snapToGrid w:val="0"/>
        </w:rPr>
      </w:pPr>
      <w:r w:rsidRPr="00CF7D68">
        <w:br w:type="page"/>
      </w:r>
    </w:p>
    <w:p w14:paraId="4DA725B1" w14:textId="141C7AE4" w:rsidR="00AC5893" w:rsidRPr="00CF7D68" w:rsidRDefault="00AC5893" w:rsidP="00A11ED5">
      <w:pPr>
        <w:pStyle w:val="TableHeading"/>
      </w:pPr>
      <w:r w:rsidRPr="00CF7D68">
        <w:lastRenderedPageBreak/>
        <w:t xml:space="preserve">Table </w:t>
      </w:r>
      <w:r w:rsidR="00F9376A">
        <w:fldChar w:fldCharType="begin"/>
      </w:r>
      <w:r w:rsidR="00F9376A">
        <w:instrText xml:space="preserve"> SEQ Table \* ARABIC </w:instrText>
      </w:r>
      <w:r w:rsidR="00F9376A">
        <w:fldChar w:fldCharType="separate"/>
      </w:r>
      <w:r w:rsidR="00AE5D6E">
        <w:rPr>
          <w:noProof/>
        </w:rPr>
        <w:t>11</w:t>
      </w:r>
      <w:r w:rsidR="00F9376A">
        <w:rPr>
          <w:noProof/>
        </w:rPr>
        <w:fldChar w:fldCharType="end"/>
      </w:r>
      <w:r w:rsidRPr="00CF7D68">
        <w:t>: Key components of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34"/>
        <w:gridCol w:w="7181"/>
      </w:tblGrid>
      <w:tr w:rsidR="008F3F3F" w:rsidRPr="00CF7D68" w14:paraId="086381D0" w14:textId="77777777" w:rsidTr="00B12156">
        <w:trPr>
          <w:tblHeader/>
        </w:trPr>
        <w:tc>
          <w:tcPr>
            <w:tcW w:w="1017" w:type="pct"/>
            <w:shd w:val="clear" w:color="auto" w:fill="auto"/>
          </w:tcPr>
          <w:p w14:paraId="4DB1DA7A" w14:textId="77777777" w:rsidR="008F3F3F" w:rsidRPr="00CF7D68" w:rsidRDefault="008F3F3F" w:rsidP="00851E67">
            <w:pPr>
              <w:pStyle w:val="TableText"/>
              <w:keepNext w:val="0"/>
              <w:keepLines/>
              <w:rPr>
                <w:b/>
              </w:rPr>
            </w:pPr>
            <w:r w:rsidRPr="00CF7D68">
              <w:rPr>
                <w:b/>
              </w:rPr>
              <w:t xml:space="preserve">Component </w:t>
            </w:r>
          </w:p>
        </w:tc>
        <w:tc>
          <w:tcPr>
            <w:tcW w:w="3983" w:type="pct"/>
            <w:shd w:val="clear" w:color="auto" w:fill="auto"/>
          </w:tcPr>
          <w:p w14:paraId="3B174FF7" w14:textId="77777777" w:rsidR="008F3F3F" w:rsidRPr="00CF7D68" w:rsidRDefault="008F3F3F" w:rsidP="00851E67">
            <w:pPr>
              <w:pStyle w:val="TableText"/>
              <w:keepNext w:val="0"/>
              <w:keepLines/>
              <w:rPr>
                <w:b/>
              </w:rPr>
            </w:pPr>
            <w:r w:rsidRPr="00CF7D68">
              <w:rPr>
                <w:b/>
              </w:rPr>
              <w:t>Description</w:t>
            </w:r>
          </w:p>
        </w:tc>
      </w:tr>
      <w:tr w:rsidR="008F3F3F" w:rsidRPr="00CF7D68" w14:paraId="3FAD6682" w14:textId="77777777" w:rsidTr="00DA52FC">
        <w:tc>
          <w:tcPr>
            <w:tcW w:w="1017" w:type="pct"/>
            <w:shd w:val="clear" w:color="auto" w:fill="auto"/>
            <w:vAlign w:val="center"/>
          </w:tcPr>
          <w:p w14:paraId="6C77BC30" w14:textId="77777777" w:rsidR="008F3F3F" w:rsidRPr="00CF7D68" w:rsidRDefault="008F3F3F" w:rsidP="00851E67">
            <w:pPr>
              <w:pStyle w:val="TableText"/>
              <w:keepNext w:val="0"/>
              <w:keepLines/>
            </w:pPr>
            <w:r w:rsidRPr="00CF7D68">
              <w:t xml:space="preserve">Type of analysis </w:t>
            </w:r>
          </w:p>
        </w:tc>
        <w:tc>
          <w:tcPr>
            <w:tcW w:w="3983" w:type="pct"/>
            <w:shd w:val="clear" w:color="auto" w:fill="auto"/>
            <w:vAlign w:val="center"/>
          </w:tcPr>
          <w:p w14:paraId="487B5D0C" w14:textId="77777777" w:rsidR="008F3F3F" w:rsidRPr="00CF7D68" w:rsidRDefault="008F3F3F" w:rsidP="00851E67">
            <w:pPr>
              <w:pStyle w:val="TableText"/>
              <w:keepNext w:val="0"/>
              <w:keepLines/>
              <w:rPr>
                <w:rFonts w:ascii="Times" w:eastAsia="Times New Roman" w:hAnsi="Times" w:cs="Times New Roman"/>
                <w:szCs w:val="20"/>
              </w:rPr>
            </w:pPr>
            <w:r w:rsidRPr="00CF7D68">
              <w:t>Cost-effectiveness/cost-utility analysis</w:t>
            </w:r>
          </w:p>
        </w:tc>
      </w:tr>
      <w:tr w:rsidR="008F3F3F" w:rsidRPr="00CF7D68" w14:paraId="1FE4E827" w14:textId="77777777" w:rsidTr="00DA52FC">
        <w:tc>
          <w:tcPr>
            <w:tcW w:w="1017" w:type="pct"/>
            <w:shd w:val="clear" w:color="auto" w:fill="auto"/>
            <w:vAlign w:val="center"/>
          </w:tcPr>
          <w:p w14:paraId="7A425833" w14:textId="77777777" w:rsidR="008F3F3F" w:rsidRPr="00CF7D68" w:rsidRDefault="008F3F3F" w:rsidP="00851E67">
            <w:pPr>
              <w:pStyle w:val="TableText"/>
              <w:keepNext w:val="0"/>
              <w:keepLines/>
              <w:rPr>
                <w:rFonts w:ascii="Times" w:eastAsia="Times New Roman" w:hAnsi="Times" w:cs="Times New Roman"/>
                <w:szCs w:val="20"/>
              </w:rPr>
            </w:pPr>
            <w:r w:rsidRPr="00CF7D68">
              <w:t>Outcomes</w:t>
            </w:r>
          </w:p>
        </w:tc>
        <w:tc>
          <w:tcPr>
            <w:tcW w:w="3983" w:type="pct"/>
            <w:shd w:val="clear" w:color="auto" w:fill="auto"/>
            <w:vAlign w:val="center"/>
          </w:tcPr>
          <w:p w14:paraId="5E3E8799" w14:textId="77777777" w:rsidR="008F3F3F" w:rsidRPr="00CF7D68" w:rsidRDefault="008F3F3F" w:rsidP="00851E67">
            <w:pPr>
              <w:pStyle w:val="TableText"/>
              <w:keepNext w:val="0"/>
              <w:keepLines/>
            </w:pPr>
            <w:r w:rsidRPr="00CF7D68">
              <w:t>Patients free of renal failure and/or cardiovascular events; quality adjusted life years</w:t>
            </w:r>
          </w:p>
        </w:tc>
      </w:tr>
      <w:tr w:rsidR="008F3F3F" w:rsidRPr="00CF7D68" w14:paraId="75809282" w14:textId="77777777" w:rsidTr="00DA52FC">
        <w:tc>
          <w:tcPr>
            <w:tcW w:w="1017" w:type="pct"/>
            <w:shd w:val="clear" w:color="auto" w:fill="auto"/>
            <w:vAlign w:val="center"/>
          </w:tcPr>
          <w:p w14:paraId="2BAAE567" w14:textId="77777777" w:rsidR="008F3F3F" w:rsidRPr="00CF7D68" w:rsidRDefault="008F3F3F" w:rsidP="00851E67">
            <w:pPr>
              <w:pStyle w:val="TableText"/>
              <w:keepNext w:val="0"/>
              <w:keepLines/>
              <w:rPr>
                <w:rFonts w:ascii="Times" w:eastAsia="Times New Roman" w:hAnsi="Times" w:cs="Times New Roman"/>
                <w:szCs w:val="20"/>
              </w:rPr>
            </w:pPr>
            <w:r w:rsidRPr="00CF7D68">
              <w:t>Time horizon</w:t>
            </w:r>
          </w:p>
        </w:tc>
        <w:tc>
          <w:tcPr>
            <w:tcW w:w="3983" w:type="pct"/>
            <w:shd w:val="clear" w:color="auto" w:fill="auto"/>
            <w:vAlign w:val="center"/>
          </w:tcPr>
          <w:p w14:paraId="562F73F6" w14:textId="6216AE6E" w:rsidR="008F3F3F" w:rsidRPr="00CF7D68" w:rsidRDefault="008F3F3F" w:rsidP="00851E67">
            <w:pPr>
              <w:pStyle w:val="TableText"/>
              <w:keepNext w:val="0"/>
              <w:keepLines/>
              <w:rPr>
                <w:rFonts w:ascii="Times" w:eastAsia="Times New Roman" w:hAnsi="Times" w:cs="Times New Roman"/>
                <w:szCs w:val="20"/>
              </w:rPr>
            </w:pPr>
            <w:r w:rsidRPr="00CF7D68">
              <w:t>15 years</w:t>
            </w:r>
            <w:r w:rsidR="00E150DD" w:rsidRPr="00CF7D68">
              <w:t xml:space="preserve"> in the model base case versus</w:t>
            </w:r>
            <w:r w:rsidR="00777F5E" w:rsidRPr="00CF7D68">
              <w:t xml:space="preserve"> 3 years</w:t>
            </w:r>
            <w:r w:rsidR="00E150DD" w:rsidRPr="00CF7D68">
              <w:t xml:space="preserve"> in the clinical trials</w:t>
            </w:r>
          </w:p>
        </w:tc>
      </w:tr>
      <w:tr w:rsidR="008F3F3F" w:rsidRPr="00CF7D68" w14:paraId="03C3E176" w14:textId="77777777" w:rsidTr="00DA52FC">
        <w:tc>
          <w:tcPr>
            <w:tcW w:w="1017" w:type="pct"/>
            <w:shd w:val="clear" w:color="auto" w:fill="auto"/>
            <w:vAlign w:val="center"/>
          </w:tcPr>
          <w:p w14:paraId="608185E0" w14:textId="77777777" w:rsidR="008F3F3F" w:rsidRPr="00CF7D68" w:rsidRDefault="008F3F3F" w:rsidP="00851E67">
            <w:pPr>
              <w:pStyle w:val="TableText"/>
              <w:keepNext w:val="0"/>
              <w:keepLines/>
              <w:rPr>
                <w:rFonts w:ascii="Times" w:eastAsia="Times New Roman" w:hAnsi="Times" w:cs="Times New Roman"/>
                <w:szCs w:val="20"/>
              </w:rPr>
            </w:pPr>
            <w:r w:rsidRPr="00CF7D68">
              <w:t>Methods used to generate results</w:t>
            </w:r>
          </w:p>
        </w:tc>
        <w:tc>
          <w:tcPr>
            <w:tcW w:w="3983" w:type="pct"/>
            <w:shd w:val="clear" w:color="auto" w:fill="auto"/>
            <w:vAlign w:val="center"/>
          </w:tcPr>
          <w:p w14:paraId="63F9DDEE" w14:textId="77777777" w:rsidR="008F3F3F" w:rsidRPr="00CF7D68" w:rsidRDefault="008F3F3F" w:rsidP="00851E67">
            <w:pPr>
              <w:pStyle w:val="TableText"/>
              <w:keepNext w:val="0"/>
              <w:keepLines/>
            </w:pPr>
            <w:r w:rsidRPr="00CF7D68">
              <w:t>Markov state-transition cohort model</w:t>
            </w:r>
          </w:p>
        </w:tc>
      </w:tr>
      <w:tr w:rsidR="008F3F3F" w:rsidRPr="00CF7D68" w14:paraId="2B0BACA6" w14:textId="77777777" w:rsidTr="00DA52FC">
        <w:tc>
          <w:tcPr>
            <w:tcW w:w="1017" w:type="pct"/>
            <w:shd w:val="clear" w:color="auto" w:fill="auto"/>
            <w:vAlign w:val="center"/>
          </w:tcPr>
          <w:p w14:paraId="0CAD11DC" w14:textId="77777777" w:rsidR="008F3F3F" w:rsidRPr="00CF7D68" w:rsidRDefault="008F3F3F" w:rsidP="00851E67">
            <w:pPr>
              <w:pStyle w:val="TableText"/>
              <w:keepNext w:val="0"/>
              <w:keepLines/>
            </w:pPr>
            <w:r w:rsidRPr="00CF7D68">
              <w:t>Treatments</w:t>
            </w:r>
          </w:p>
        </w:tc>
        <w:tc>
          <w:tcPr>
            <w:tcW w:w="3983" w:type="pct"/>
            <w:shd w:val="clear" w:color="auto" w:fill="auto"/>
            <w:vAlign w:val="center"/>
          </w:tcPr>
          <w:p w14:paraId="6692DBEB" w14:textId="77777777" w:rsidR="008F3F3F" w:rsidRPr="00CF7D68" w:rsidRDefault="008F3F3F" w:rsidP="00851E67">
            <w:pPr>
              <w:pStyle w:val="TableText"/>
              <w:keepNext w:val="0"/>
              <w:keepLines/>
            </w:pPr>
            <w:proofErr w:type="spellStart"/>
            <w:r w:rsidRPr="00CF7D68">
              <w:t>Finerenone</w:t>
            </w:r>
            <w:proofErr w:type="spellEnd"/>
            <w:r w:rsidRPr="00CF7D68">
              <w:t>; placebo</w:t>
            </w:r>
          </w:p>
        </w:tc>
      </w:tr>
      <w:tr w:rsidR="008F3F3F" w:rsidRPr="00CF7D68" w14:paraId="7A8F8E63" w14:textId="77777777" w:rsidTr="00DA52FC">
        <w:tc>
          <w:tcPr>
            <w:tcW w:w="1017" w:type="pct"/>
            <w:shd w:val="clear" w:color="auto" w:fill="auto"/>
            <w:vAlign w:val="center"/>
          </w:tcPr>
          <w:p w14:paraId="79EB33D1" w14:textId="77777777" w:rsidR="008F3F3F" w:rsidRPr="00CF7D68" w:rsidRDefault="008F3F3F" w:rsidP="00851E67">
            <w:pPr>
              <w:pStyle w:val="TableText"/>
              <w:keepNext w:val="0"/>
              <w:keepLines/>
              <w:rPr>
                <w:rFonts w:ascii="Times" w:eastAsia="Times New Roman" w:hAnsi="Times" w:cs="Times New Roman"/>
                <w:szCs w:val="20"/>
              </w:rPr>
            </w:pPr>
            <w:r w:rsidRPr="00CF7D68">
              <w:t>Health states</w:t>
            </w:r>
          </w:p>
        </w:tc>
        <w:tc>
          <w:tcPr>
            <w:tcW w:w="3983" w:type="pct"/>
            <w:shd w:val="clear" w:color="auto" w:fill="auto"/>
            <w:vAlign w:val="center"/>
          </w:tcPr>
          <w:p w14:paraId="4F2FDF1F" w14:textId="6C5EE7C2" w:rsidR="008F3F3F" w:rsidRPr="00CF7D68" w:rsidRDefault="008F3F3F" w:rsidP="00851E67">
            <w:pPr>
              <w:pStyle w:val="TableText"/>
              <w:keepLines/>
            </w:pPr>
            <w:r w:rsidRPr="00CF7D68">
              <w:t>24 health states based on severity of kidney disease (CKD 1/2, CKD 3, CKD 4, CKD 5, acute/chronic dialysis, acute/chronic transplantation), the presence or absence of an acute cardiovascular event and the presence or absence of a history of cardiovascular events. The model also include</w:t>
            </w:r>
            <w:r w:rsidR="00D57306">
              <w:t>d</w:t>
            </w:r>
            <w:r w:rsidRPr="00CF7D68">
              <w:t xml:space="preserve"> </w:t>
            </w:r>
            <w:r w:rsidR="002F3EEE" w:rsidRPr="00CF7D68">
              <w:t xml:space="preserve">2 </w:t>
            </w:r>
            <w:r w:rsidRPr="00CF7D68">
              <w:t>death states; cardiovascular death and background mortality</w:t>
            </w:r>
            <w:r w:rsidR="002F3EEE" w:rsidRPr="00CF7D68">
              <w:t>.</w:t>
            </w:r>
          </w:p>
        </w:tc>
      </w:tr>
      <w:tr w:rsidR="008F3F3F" w:rsidRPr="00CF7D68" w14:paraId="68F6372D" w14:textId="77777777" w:rsidTr="00DA52FC">
        <w:tc>
          <w:tcPr>
            <w:tcW w:w="1017" w:type="pct"/>
            <w:shd w:val="clear" w:color="auto" w:fill="auto"/>
            <w:vAlign w:val="center"/>
          </w:tcPr>
          <w:p w14:paraId="70565BE8" w14:textId="77777777" w:rsidR="008F3F3F" w:rsidRPr="00CF7D68" w:rsidRDefault="008F3F3F" w:rsidP="00851E67">
            <w:pPr>
              <w:pStyle w:val="TableText"/>
              <w:keepNext w:val="0"/>
              <w:keepLines/>
              <w:rPr>
                <w:rFonts w:ascii="Times" w:eastAsia="Times New Roman" w:hAnsi="Times" w:cs="Times New Roman"/>
                <w:szCs w:val="20"/>
              </w:rPr>
            </w:pPr>
            <w:r w:rsidRPr="00CF7D68">
              <w:t>Cycle length</w:t>
            </w:r>
          </w:p>
        </w:tc>
        <w:tc>
          <w:tcPr>
            <w:tcW w:w="3983" w:type="pct"/>
            <w:shd w:val="clear" w:color="auto" w:fill="auto"/>
            <w:vAlign w:val="center"/>
          </w:tcPr>
          <w:p w14:paraId="3C10BB82" w14:textId="331FD1FC" w:rsidR="008F3F3F" w:rsidRPr="00CF7D68" w:rsidRDefault="008F3F3F" w:rsidP="00851E67">
            <w:pPr>
              <w:pStyle w:val="TableText"/>
              <w:keepNext w:val="0"/>
              <w:keepLines/>
            </w:pPr>
            <w:r w:rsidRPr="00CF7D68">
              <w:t>4 months</w:t>
            </w:r>
            <w:r w:rsidR="00777F5E" w:rsidRPr="00CF7D68">
              <w:t xml:space="preserve"> with half-cycle corrections</w:t>
            </w:r>
          </w:p>
        </w:tc>
      </w:tr>
      <w:tr w:rsidR="008F3F3F" w:rsidRPr="00CF7D68" w14:paraId="17544B51" w14:textId="77777777" w:rsidTr="00DA52FC">
        <w:tc>
          <w:tcPr>
            <w:tcW w:w="1017" w:type="pct"/>
            <w:shd w:val="clear" w:color="auto" w:fill="auto"/>
            <w:vAlign w:val="center"/>
          </w:tcPr>
          <w:p w14:paraId="62C93677" w14:textId="77777777" w:rsidR="008F3F3F" w:rsidRPr="00CF7D68" w:rsidRDefault="008F3F3F" w:rsidP="00851E67">
            <w:pPr>
              <w:pStyle w:val="TableText"/>
              <w:keepNext w:val="0"/>
              <w:keepLines/>
            </w:pPr>
            <w:r w:rsidRPr="00CF7D68">
              <w:t>Patient characteristics</w:t>
            </w:r>
          </w:p>
          <w:p w14:paraId="295D6036" w14:textId="5C3B5F47" w:rsidR="008F3F3F" w:rsidRPr="00CF7D68" w:rsidRDefault="008F3F3F" w:rsidP="00851E67">
            <w:pPr>
              <w:pStyle w:val="TableText"/>
              <w:keepNext w:val="0"/>
              <w:keepLines/>
            </w:pPr>
            <w:r w:rsidRPr="00CF7D68">
              <w:t>and circumstances of use</w:t>
            </w:r>
          </w:p>
        </w:tc>
        <w:tc>
          <w:tcPr>
            <w:tcW w:w="3983" w:type="pct"/>
            <w:shd w:val="clear" w:color="auto" w:fill="auto"/>
            <w:vAlign w:val="center"/>
          </w:tcPr>
          <w:p w14:paraId="0F8EDD71" w14:textId="3E20E540" w:rsidR="008F3F3F" w:rsidRPr="00CF7D68" w:rsidRDefault="008F3F3F" w:rsidP="00851E67">
            <w:pPr>
              <w:pStyle w:val="TableText"/>
              <w:keepLines/>
              <w:spacing w:after="120"/>
            </w:pPr>
            <w:r w:rsidRPr="00CF7D68">
              <w:t>Mean age, gender and baseline distribution across CKD stages was estimated based on the pooled FIDELITY patient population. The model assumed that patients had no prior history of cardiovascular events.</w:t>
            </w:r>
          </w:p>
          <w:p w14:paraId="7E40CF0E" w14:textId="76D1EE39" w:rsidR="008F3F3F" w:rsidRPr="00CF7D68" w:rsidRDefault="008F3F3F" w:rsidP="00851E67">
            <w:pPr>
              <w:pStyle w:val="TableText"/>
              <w:keepNext w:val="0"/>
              <w:keepLines/>
              <w:widowControl w:val="0"/>
              <w:rPr>
                <w:szCs w:val="20"/>
              </w:rPr>
            </w:pPr>
            <w:r w:rsidRPr="00CF7D68">
              <w:t xml:space="preserve">The submission assumed perfect adherence to treatment until discontinuation, with treatment persistence estimates based on the pooled FIDELITY analysis. The model did not explicitly capture </w:t>
            </w:r>
            <w:proofErr w:type="spellStart"/>
            <w:r w:rsidRPr="00CF7D68">
              <w:t>finerenone</w:t>
            </w:r>
            <w:proofErr w:type="spellEnd"/>
            <w:r w:rsidRPr="00CF7D68">
              <w:t xml:space="preserve"> dose titrations. The use of background therapies was estimated based on the baseline use of medications from the pooled FIDELITY analysis.</w:t>
            </w:r>
          </w:p>
        </w:tc>
      </w:tr>
      <w:tr w:rsidR="008F3F3F" w:rsidRPr="00CF7D68" w14:paraId="532E80E9" w14:textId="77777777" w:rsidTr="00DA52FC">
        <w:tc>
          <w:tcPr>
            <w:tcW w:w="1017" w:type="pct"/>
            <w:shd w:val="clear" w:color="auto" w:fill="auto"/>
            <w:vAlign w:val="center"/>
          </w:tcPr>
          <w:p w14:paraId="48AFA817" w14:textId="77777777" w:rsidR="008F3F3F" w:rsidRPr="00CF7D68" w:rsidRDefault="008F3F3F" w:rsidP="00851E67">
            <w:pPr>
              <w:pStyle w:val="TableText"/>
              <w:keepNext w:val="0"/>
              <w:keepLines/>
            </w:pPr>
            <w:r w:rsidRPr="00CF7D68">
              <w:t xml:space="preserve">Transition probabilities </w:t>
            </w:r>
          </w:p>
        </w:tc>
        <w:tc>
          <w:tcPr>
            <w:tcW w:w="3983" w:type="pct"/>
            <w:shd w:val="clear" w:color="auto" w:fill="auto"/>
            <w:vAlign w:val="center"/>
          </w:tcPr>
          <w:p w14:paraId="76E6F50E" w14:textId="29FCA173" w:rsidR="008F3F3F" w:rsidRPr="00CF7D68" w:rsidRDefault="008F3F3F" w:rsidP="00851E67">
            <w:pPr>
              <w:pStyle w:val="TableText"/>
              <w:keepNext w:val="0"/>
              <w:keepLines/>
              <w:widowControl w:val="0"/>
              <w:spacing w:after="120"/>
              <w:rPr>
                <w:szCs w:val="20"/>
              </w:rPr>
            </w:pPr>
            <w:r w:rsidRPr="00CF7D68">
              <w:rPr>
                <w:szCs w:val="20"/>
              </w:rPr>
              <w:t>Placebo health state transitions and event risks were based on individual patient data from the pooled FIDELITY analysis. The risk of cardiovascular death was also based on the pooled FIDELITY analysis. The risk of background mortality was based on Australian life tables adjusted to exclude cardiovascular and renal causes of death with additional mortality multipliers applied from the published literature</w:t>
            </w:r>
            <w:r w:rsidR="00777F5E" w:rsidRPr="00CF7D68">
              <w:rPr>
                <w:szCs w:val="20"/>
              </w:rPr>
              <w:t xml:space="preserve"> (</w:t>
            </w:r>
            <w:r w:rsidR="005A18B3" w:rsidRPr="00CF7D68">
              <w:rPr>
                <w:szCs w:val="20"/>
              </w:rPr>
              <w:t>Darlington 2021, Erickson 2013, 22nd Annual UK Renal Registry data report</w:t>
            </w:r>
            <w:r w:rsidR="00777F5E" w:rsidRPr="00CF7D68">
              <w:rPr>
                <w:szCs w:val="20"/>
              </w:rPr>
              <w:t>)</w:t>
            </w:r>
            <w:r w:rsidRPr="00CF7D68">
              <w:rPr>
                <w:szCs w:val="20"/>
              </w:rPr>
              <w:t>.</w:t>
            </w:r>
          </w:p>
          <w:p w14:paraId="1554041D" w14:textId="4192DE42" w:rsidR="008F3F3F" w:rsidRPr="00CF7D68" w:rsidRDefault="008F3F3F" w:rsidP="00851E67">
            <w:pPr>
              <w:pStyle w:val="TableText"/>
              <w:keepNext w:val="0"/>
              <w:keepLines/>
              <w:widowControl w:val="0"/>
              <w:rPr>
                <w:szCs w:val="20"/>
              </w:rPr>
            </w:pPr>
            <w:proofErr w:type="spellStart"/>
            <w:r w:rsidRPr="00CF7D68">
              <w:rPr>
                <w:szCs w:val="20"/>
              </w:rPr>
              <w:t>Finerenone</w:t>
            </w:r>
            <w:proofErr w:type="spellEnd"/>
            <w:r w:rsidRPr="00CF7D68">
              <w:rPr>
                <w:szCs w:val="20"/>
              </w:rPr>
              <w:t xml:space="preserve"> treatment effects </w:t>
            </w:r>
            <w:r w:rsidR="005A18B3" w:rsidRPr="00CF7D68">
              <w:rPr>
                <w:szCs w:val="20"/>
              </w:rPr>
              <w:t>(</w:t>
            </w:r>
            <w:r w:rsidR="000D4376" w:rsidRPr="00CF7D68">
              <w:rPr>
                <w:szCs w:val="20"/>
              </w:rPr>
              <w:t xml:space="preserve">time to dialysis, time to CKD 5 without dialysis/transplantation, first non-fatal cardiovascular event, cardiovascular death, subsequent cardiovascular events, </w:t>
            </w:r>
            <w:r w:rsidR="00000CB1" w:rsidRPr="00CF7D68">
              <w:rPr>
                <w:szCs w:val="20"/>
              </w:rPr>
              <w:t>hyperkalaemia</w:t>
            </w:r>
            <w:r w:rsidR="000D4376" w:rsidRPr="00CF7D68">
              <w:rPr>
                <w:szCs w:val="20"/>
              </w:rPr>
              <w:t xml:space="preserve"> with or without hospitalisation) </w:t>
            </w:r>
            <w:r w:rsidRPr="00CF7D68">
              <w:rPr>
                <w:szCs w:val="20"/>
              </w:rPr>
              <w:t xml:space="preserve">were estimated based on pre-specified and </w:t>
            </w:r>
            <w:r w:rsidR="00504B15" w:rsidRPr="00CF7D68">
              <w:rPr>
                <w:szCs w:val="20"/>
              </w:rPr>
              <w:t>post</w:t>
            </w:r>
            <w:r w:rsidR="006B23A6">
              <w:rPr>
                <w:szCs w:val="20"/>
              </w:rPr>
              <w:t> </w:t>
            </w:r>
            <w:r w:rsidR="00504B15" w:rsidRPr="00CF7D68">
              <w:rPr>
                <w:szCs w:val="20"/>
              </w:rPr>
              <w:t>hoc</w:t>
            </w:r>
            <w:r w:rsidRPr="00CF7D68">
              <w:rPr>
                <w:szCs w:val="20"/>
              </w:rPr>
              <w:t xml:space="preserve"> analyses of the pooled FIDELITY data with additional assumptions. Treatment effects were assumed to remain constant over time while on treatment. The risk of treatment discontinuation was also based on the pooled FIDELITY analysis assuming that the rate of discontinuation remains constant over time. Patients discontinuing </w:t>
            </w:r>
            <w:proofErr w:type="spellStart"/>
            <w:r w:rsidRPr="00CF7D68">
              <w:rPr>
                <w:szCs w:val="20"/>
              </w:rPr>
              <w:t>finerenone</w:t>
            </w:r>
            <w:proofErr w:type="spellEnd"/>
            <w:r w:rsidRPr="00CF7D68">
              <w:rPr>
                <w:szCs w:val="20"/>
              </w:rPr>
              <w:t xml:space="preserve"> treatment were assumed to have the same risk as placebo patients.</w:t>
            </w:r>
            <w:r w:rsidR="002650C6" w:rsidRPr="00CF7D68">
              <w:rPr>
                <w:szCs w:val="20"/>
              </w:rPr>
              <w:t xml:space="preserve"> </w:t>
            </w:r>
          </w:p>
        </w:tc>
      </w:tr>
      <w:tr w:rsidR="008F3F3F" w:rsidRPr="00CF7D68" w14:paraId="5D17E95D" w14:textId="77777777" w:rsidTr="00DA52FC">
        <w:tc>
          <w:tcPr>
            <w:tcW w:w="1017" w:type="pct"/>
            <w:shd w:val="clear" w:color="auto" w:fill="auto"/>
            <w:vAlign w:val="center"/>
          </w:tcPr>
          <w:p w14:paraId="5DBCA4A9" w14:textId="2876ABE6" w:rsidR="008F3F3F" w:rsidRPr="00CF7D68" w:rsidRDefault="008F3F3F" w:rsidP="00851E67">
            <w:pPr>
              <w:pStyle w:val="TableText"/>
              <w:keepNext w:val="0"/>
              <w:keepLines/>
            </w:pPr>
            <w:r w:rsidRPr="00CF7D68">
              <w:t>Utility values</w:t>
            </w:r>
          </w:p>
        </w:tc>
        <w:tc>
          <w:tcPr>
            <w:tcW w:w="3983" w:type="pct"/>
            <w:shd w:val="clear" w:color="auto" w:fill="auto"/>
            <w:vAlign w:val="center"/>
          </w:tcPr>
          <w:p w14:paraId="2905C309" w14:textId="7BB28210" w:rsidR="00F209C6" w:rsidRPr="00CF7D68" w:rsidRDefault="008F3F3F" w:rsidP="00851E67">
            <w:pPr>
              <w:pStyle w:val="TableText"/>
              <w:keepLines/>
              <w:widowControl w:val="0"/>
              <w:rPr>
                <w:rFonts w:eastAsia="Calibri"/>
              </w:rPr>
            </w:pPr>
            <w:r w:rsidRPr="00CF7D68">
              <w:rPr>
                <w:rFonts w:eastAsia="Calibri"/>
              </w:rPr>
              <w:t xml:space="preserve">All utility/disutility values were derived from a </w:t>
            </w:r>
            <w:r w:rsidR="00504B15" w:rsidRPr="00CF7D68">
              <w:rPr>
                <w:rFonts w:eastAsia="Calibri"/>
              </w:rPr>
              <w:t>post hoc</w:t>
            </w:r>
            <w:r w:rsidRPr="00CF7D68">
              <w:rPr>
                <w:rFonts w:eastAsia="Calibri"/>
              </w:rPr>
              <w:t xml:space="preserve"> analysis of EQ-5D-5L utility data from the pooled FIDELITY analysis</w:t>
            </w:r>
            <w:r w:rsidR="00E1294E" w:rsidRPr="00CF7D68">
              <w:rPr>
                <w:rFonts w:eastAsia="Calibri"/>
              </w:rPr>
              <w:t>.</w:t>
            </w:r>
            <w:r w:rsidR="00F209C6" w:rsidRPr="00CF7D68">
              <w:rPr>
                <w:rFonts w:eastAsia="Calibri"/>
              </w:rPr>
              <w:t xml:space="preserve"> Utility data were collected at scheduled visits (on an annual basis) and at treatment/study discontinuation using the EQ-5D-5L instrument with UK tariffs. The submission mapped the visit data to health states and events by identifying utility values reported within 4</w:t>
            </w:r>
            <w:r w:rsidR="00553191" w:rsidRPr="00CF7D68">
              <w:rPr>
                <w:rFonts w:eastAsia="Calibri"/>
              </w:rPr>
              <w:t> </w:t>
            </w:r>
            <w:r w:rsidR="00F209C6" w:rsidRPr="00CF7D68">
              <w:rPr>
                <w:rFonts w:eastAsia="Calibri"/>
              </w:rPr>
              <w:t xml:space="preserve">months of an event (acute), reported after an event but not within 4 months (chronic) or reported after an event at any time. The utility data were analysed based on a multilevel repeated measurement model using a generalised estimating equation with various demographic and disease characteristics as covariates. </w:t>
            </w:r>
          </w:p>
        </w:tc>
      </w:tr>
      <w:tr w:rsidR="008F3F3F" w:rsidRPr="00CF7D68" w14:paraId="1881AAF7" w14:textId="77777777" w:rsidTr="00DA52FC">
        <w:tc>
          <w:tcPr>
            <w:tcW w:w="1017" w:type="pct"/>
            <w:shd w:val="clear" w:color="auto" w:fill="auto"/>
            <w:vAlign w:val="center"/>
          </w:tcPr>
          <w:p w14:paraId="735A6589" w14:textId="731D59A5" w:rsidR="008F3F3F" w:rsidRPr="00CF7D68" w:rsidRDefault="008F3F3F" w:rsidP="00851E67">
            <w:pPr>
              <w:pStyle w:val="TableText"/>
              <w:keepNext w:val="0"/>
              <w:keepLines/>
            </w:pPr>
            <w:r w:rsidRPr="00CF7D68">
              <w:lastRenderedPageBreak/>
              <w:t>Costs</w:t>
            </w:r>
          </w:p>
        </w:tc>
        <w:tc>
          <w:tcPr>
            <w:tcW w:w="3983" w:type="pct"/>
            <w:shd w:val="clear" w:color="auto" w:fill="auto"/>
            <w:vAlign w:val="center"/>
          </w:tcPr>
          <w:p w14:paraId="00D301DA" w14:textId="33F897DD" w:rsidR="008F3F3F" w:rsidRPr="00CF7D68" w:rsidRDefault="008F3F3F" w:rsidP="00851E67">
            <w:pPr>
              <w:pStyle w:val="TableText"/>
              <w:keepLines/>
              <w:spacing w:after="120"/>
            </w:pPr>
            <w:proofErr w:type="spellStart"/>
            <w:r w:rsidRPr="00CF7D68">
              <w:t>Finerenone</w:t>
            </w:r>
            <w:proofErr w:type="spellEnd"/>
            <w:r w:rsidRPr="00CF7D68">
              <w:t xml:space="preserve"> drugs costs were estimated based on the proposed price.</w:t>
            </w:r>
          </w:p>
          <w:p w14:paraId="65688B5A" w14:textId="37352D0A" w:rsidR="008F3F3F" w:rsidRPr="00CF7D68" w:rsidRDefault="008F3F3F" w:rsidP="00851E67">
            <w:pPr>
              <w:pStyle w:val="TableText"/>
              <w:keepLines/>
              <w:spacing w:after="120"/>
            </w:pPr>
            <w:r w:rsidRPr="00CF7D68">
              <w:t>Background therapy costs were estimated based on the utilisation of different drug classes in the pooled FIDELITY analysis with costs estimated for a representative member of each drug class using published PBS prices.</w:t>
            </w:r>
          </w:p>
          <w:p w14:paraId="60446DC4" w14:textId="101871AF" w:rsidR="008F3F3F" w:rsidRPr="00CF7D68" w:rsidRDefault="008F3F3F" w:rsidP="00851E67">
            <w:pPr>
              <w:pStyle w:val="TableText"/>
              <w:keepLines/>
              <w:spacing w:after="120"/>
            </w:pPr>
            <w:r w:rsidRPr="00CF7D68">
              <w:t>The cost</w:t>
            </w:r>
            <w:r w:rsidR="00E1294E" w:rsidRPr="00CF7D68">
              <w:t>s</w:t>
            </w:r>
            <w:r w:rsidRPr="00CF7D68">
              <w:t xml:space="preserve"> of hyperkalaemia without hospitalisation </w:t>
            </w:r>
            <w:r w:rsidR="002C3939" w:rsidRPr="00CF7D68">
              <w:t>were</w:t>
            </w:r>
            <w:r w:rsidRPr="00CF7D68">
              <w:t xml:space="preserve"> based </w:t>
            </w:r>
            <w:r w:rsidR="0069510B" w:rsidRPr="00CF7D68">
              <w:t xml:space="preserve">on </w:t>
            </w:r>
            <w:r w:rsidRPr="00CF7D68">
              <w:t>MBS costs assuming that patients would require a specialist visit and a serum potassium test. The cost of hyperkalaemia with hospitalisation was based on AR-DRG cost weights.</w:t>
            </w:r>
          </w:p>
          <w:p w14:paraId="2DB42326" w14:textId="6120E409" w:rsidR="008F3F3F" w:rsidRPr="00CF7D68" w:rsidRDefault="008F3F3F" w:rsidP="00851E67">
            <w:pPr>
              <w:pStyle w:val="TableText"/>
              <w:keepLines/>
              <w:spacing w:after="120"/>
            </w:pPr>
            <w:r w:rsidRPr="00CF7D68">
              <w:t>The cost</w:t>
            </w:r>
            <w:r w:rsidR="00E1294E" w:rsidRPr="00CF7D68">
              <w:t>s</w:t>
            </w:r>
            <w:r w:rsidRPr="00CF7D68">
              <w:t xml:space="preserve"> of acute non-fatal myocardial infarction and heart failure were based on AR-DRG cost weights. The submission assumed no chronic costs for myocardial infarction or heart failure patients. The costs of acute/chronic non-fatal stroke were based on published estimates from an Australian stroke study (</w:t>
            </w:r>
            <w:proofErr w:type="spellStart"/>
            <w:r w:rsidRPr="00CF7D68">
              <w:t>Cadilhac</w:t>
            </w:r>
            <w:proofErr w:type="spellEnd"/>
            <w:r w:rsidRPr="00CF7D68">
              <w:t xml:space="preserve"> 2009).</w:t>
            </w:r>
          </w:p>
          <w:p w14:paraId="2CB3DDAB" w14:textId="3BD4E06D" w:rsidR="008F3F3F" w:rsidRPr="00CF7D68" w:rsidRDefault="008F3F3F" w:rsidP="00851E67">
            <w:pPr>
              <w:pStyle w:val="TableText"/>
              <w:keepLines/>
              <w:spacing w:after="120"/>
            </w:pPr>
            <w:r w:rsidRPr="00CF7D68">
              <w:t>The cost</w:t>
            </w:r>
            <w:r w:rsidR="00B56376" w:rsidRPr="00CF7D68">
              <w:t>s</w:t>
            </w:r>
            <w:r w:rsidRPr="00CF7D68">
              <w:t xml:space="preserve"> of CKD health states (CKD 1/2,</w:t>
            </w:r>
            <w:r w:rsidR="00553191" w:rsidRPr="00CF7D68">
              <w:t xml:space="preserve"> </w:t>
            </w:r>
            <w:r w:rsidRPr="00CF7D68">
              <w:t>3,</w:t>
            </w:r>
            <w:r w:rsidR="00553191" w:rsidRPr="00CF7D68">
              <w:t xml:space="preserve"> </w:t>
            </w:r>
            <w:r w:rsidRPr="00CF7D68">
              <w:t>4,</w:t>
            </w:r>
            <w:r w:rsidR="00553191" w:rsidRPr="00CF7D68">
              <w:t xml:space="preserve"> </w:t>
            </w:r>
            <w:r w:rsidRPr="00CF7D68">
              <w:t>5) were based on published estimates for diabetic kidney disease from an Australian costing study (</w:t>
            </w:r>
            <w:proofErr w:type="spellStart"/>
            <w:r w:rsidRPr="00CF7D68">
              <w:t>Wyld</w:t>
            </w:r>
            <w:proofErr w:type="spellEnd"/>
            <w:r w:rsidRPr="00CF7D68">
              <w:t xml:space="preserve"> 2015). The costs of acute/chronic dialysis were estimated based on previously published data from NSW Health (NSW Dialysis Costing Studies, 2009) with additional costs for initial access based on AR-DRG costs weights. The costs of transplantation were </w:t>
            </w:r>
            <w:r w:rsidR="00000CB1" w:rsidRPr="00CF7D68">
              <w:t>estimated from</w:t>
            </w:r>
            <w:r w:rsidRPr="00CF7D68">
              <w:t xml:space="preserve"> a modelled economic analysis of diabetes, hypertension, and chronic kidney disease management in Australia (Howard 2010) and a published comparative modelled analysis of dialysis and transplantation in Australia (Wong 2012). </w:t>
            </w:r>
          </w:p>
          <w:p w14:paraId="74552B1B" w14:textId="47C316A6" w:rsidR="008F3F3F" w:rsidRPr="00CF7D68" w:rsidRDefault="008F3F3F" w:rsidP="00851E67">
            <w:pPr>
              <w:pStyle w:val="TableText"/>
              <w:keepLines/>
              <w:spacing w:after="120"/>
            </w:pPr>
            <w:r w:rsidRPr="00CF7D68">
              <w:t>The cost of cardiovascular death was assumed to be the same as a non-fatal cardiovascular event. The submission assumed no costs associated with background mortality.</w:t>
            </w:r>
          </w:p>
          <w:p w14:paraId="6DF62F4E" w14:textId="6399BE92" w:rsidR="008F3F3F" w:rsidRPr="00CF7D68" w:rsidRDefault="008F3F3F" w:rsidP="00851E67">
            <w:pPr>
              <w:pStyle w:val="TableText"/>
              <w:keepLines/>
              <w:widowControl w:val="0"/>
              <w:spacing w:after="120"/>
              <w:rPr>
                <w:i/>
                <w:iCs/>
              </w:rPr>
            </w:pPr>
            <w:r w:rsidRPr="00CF7D68">
              <w:t>Costs estimated in the submission were inflated to 2021 values using the health sub-category of the consumer price index (CPI)</w:t>
            </w:r>
            <w:r w:rsidR="00E1294E" w:rsidRPr="00CF7D68">
              <w:t>.</w:t>
            </w:r>
            <w:r w:rsidR="0019605F" w:rsidRPr="00CF7D68">
              <w:t xml:space="preserve"> </w:t>
            </w:r>
            <w:r w:rsidR="00851E67" w:rsidRPr="00CF7D68">
              <w:rPr>
                <w:iCs/>
              </w:rPr>
              <w:t>The ESC considered it</w:t>
            </w:r>
            <w:r w:rsidR="0019605F" w:rsidRPr="00CF7D68">
              <w:rPr>
                <w:iCs/>
              </w:rPr>
              <w:t xml:space="preserve"> unclear why the submission had not used more recent AR-DRG costs </w:t>
            </w:r>
            <w:r w:rsidR="00851E67" w:rsidRPr="00CF7D68">
              <w:rPr>
                <w:iCs/>
              </w:rPr>
              <w:t xml:space="preserve">where available </w:t>
            </w:r>
            <w:r w:rsidR="0019605F" w:rsidRPr="00CF7D68">
              <w:rPr>
                <w:iCs/>
              </w:rPr>
              <w:t>rather than relying on</w:t>
            </w:r>
            <w:r w:rsidR="00851E67" w:rsidRPr="00CF7D68">
              <w:rPr>
                <w:iCs/>
              </w:rPr>
              <w:t xml:space="preserve"> large</w:t>
            </w:r>
            <w:r w:rsidR="0019605F" w:rsidRPr="00CF7D68">
              <w:rPr>
                <w:iCs/>
              </w:rPr>
              <w:t xml:space="preserve"> inflation factors.</w:t>
            </w:r>
          </w:p>
        </w:tc>
      </w:tr>
      <w:tr w:rsidR="008F3F3F" w:rsidRPr="00CF7D68" w14:paraId="1824D618" w14:textId="77777777" w:rsidTr="00DA52FC">
        <w:tc>
          <w:tcPr>
            <w:tcW w:w="1017" w:type="pct"/>
            <w:shd w:val="clear" w:color="auto" w:fill="auto"/>
            <w:vAlign w:val="center"/>
          </w:tcPr>
          <w:p w14:paraId="3A144336" w14:textId="77777777" w:rsidR="008F3F3F" w:rsidRPr="00CF7D68" w:rsidRDefault="008F3F3F" w:rsidP="00851E67">
            <w:pPr>
              <w:pStyle w:val="TableText"/>
              <w:keepNext w:val="0"/>
              <w:keepLines/>
            </w:pPr>
            <w:r w:rsidRPr="00CF7D68">
              <w:t>Discount rate</w:t>
            </w:r>
          </w:p>
        </w:tc>
        <w:tc>
          <w:tcPr>
            <w:tcW w:w="3983" w:type="pct"/>
            <w:shd w:val="clear" w:color="auto" w:fill="auto"/>
            <w:vAlign w:val="center"/>
          </w:tcPr>
          <w:p w14:paraId="36633CEB" w14:textId="77777777" w:rsidR="008F3F3F" w:rsidRPr="00CF7D68" w:rsidRDefault="008F3F3F" w:rsidP="00851E67">
            <w:pPr>
              <w:pStyle w:val="TableText"/>
              <w:keepNext w:val="0"/>
              <w:keepLines/>
            </w:pPr>
            <w:r w:rsidRPr="00CF7D68">
              <w:t>5% for costs and outcomes</w:t>
            </w:r>
          </w:p>
        </w:tc>
      </w:tr>
      <w:tr w:rsidR="008F3F3F" w:rsidRPr="00CF7D68" w14:paraId="3DE7FA64" w14:textId="77777777" w:rsidTr="00DA52FC">
        <w:tc>
          <w:tcPr>
            <w:tcW w:w="1017" w:type="pct"/>
            <w:shd w:val="clear" w:color="auto" w:fill="auto"/>
            <w:vAlign w:val="center"/>
          </w:tcPr>
          <w:p w14:paraId="58361E93" w14:textId="77777777" w:rsidR="008F3F3F" w:rsidRPr="00CF7D68" w:rsidRDefault="008F3F3F" w:rsidP="00851E67">
            <w:pPr>
              <w:pStyle w:val="TableText"/>
              <w:keepNext w:val="0"/>
              <w:keepLines/>
              <w:rPr>
                <w:rFonts w:ascii="Times" w:eastAsia="Times New Roman" w:hAnsi="Times" w:cs="Times New Roman"/>
                <w:szCs w:val="20"/>
              </w:rPr>
            </w:pPr>
            <w:r w:rsidRPr="00CF7D68">
              <w:t>Software package</w:t>
            </w:r>
          </w:p>
        </w:tc>
        <w:tc>
          <w:tcPr>
            <w:tcW w:w="3983" w:type="pct"/>
            <w:shd w:val="clear" w:color="auto" w:fill="auto"/>
            <w:vAlign w:val="center"/>
          </w:tcPr>
          <w:p w14:paraId="2F3FCEA9" w14:textId="77777777" w:rsidR="008F3F3F" w:rsidRPr="00CF7D68" w:rsidRDefault="008F3F3F" w:rsidP="00851E67">
            <w:pPr>
              <w:pStyle w:val="TableText"/>
              <w:keepNext w:val="0"/>
              <w:keepLines/>
            </w:pPr>
            <w:r w:rsidRPr="00CF7D68">
              <w:t>Microsoft Excel</w:t>
            </w:r>
          </w:p>
        </w:tc>
      </w:tr>
    </w:tbl>
    <w:p w14:paraId="2292DA7B" w14:textId="6118D1C5" w:rsidR="008F3F3F" w:rsidRPr="00CF7D68" w:rsidRDefault="008F3F3F" w:rsidP="00250B01">
      <w:pPr>
        <w:pStyle w:val="TableFooter"/>
      </w:pPr>
      <w:r w:rsidRPr="00CF7D68">
        <w:t>Source: Table 56 (p</w:t>
      </w:r>
      <w:r w:rsidR="003073FE">
        <w:t>p</w:t>
      </w:r>
      <w:r w:rsidRPr="00CF7D68">
        <w:t>89-91); Section 3.2-3.6 (p</w:t>
      </w:r>
      <w:r w:rsidR="003073FE">
        <w:t>p</w:t>
      </w:r>
      <w:r w:rsidRPr="00CF7D68">
        <w:t>93-133) of the submission</w:t>
      </w:r>
    </w:p>
    <w:p w14:paraId="5D65373D" w14:textId="13DA6C83" w:rsidR="000B52B4" w:rsidRPr="00CF7D68" w:rsidRDefault="000B52B4" w:rsidP="00250B01">
      <w:pPr>
        <w:pStyle w:val="TableFooter"/>
      </w:pPr>
      <w:r w:rsidRPr="00CF7D68">
        <w:t>Abbreviations: AR-DRG, Australian Refined Diagnosis Related Groups; CKD, chronic kidney disease; CPI, consumer price index; MBS, Medicare Benefit Schedule</w:t>
      </w:r>
    </w:p>
    <w:p w14:paraId="0202DA6A" w14:textId="41B851AA" w:rsidR="0076013C" w:rsidRPr="00CF7D68" w:rsidRDefault="0076013C" w:rsidP="0076013C">
      <w:pPr>
        <w:pStyle w:val="ExecSumBodyText"/>
        <w:ind w:left="709" w:hanging="709"/>
      </w:pPr>
      <w:r w:rsidRPr="00CF7D68">
        <w:t xml:space="preserve">All patients began the model with various levels of renal impairment (CKD 1/2, CKD 3, CKD 4) with the assumption of no prior history of cardiovascular events. During each cycle of the Markov model, patients could remain in their current health state, experience progression/regression of renal impairment, initiate </w:t>
      </w:r>
      <w:proofErr w:type="gramStart"/>
      <w:r w:rsidRPr="00CF7D68">
        <w:t>dialysis</w:t>
      </w:r>
      <w:proofErr w:type="gramEnd"/>
      <w:r w:rsidRPr="00CF7D68">
        <w:t xml:space="preserve"> or transplantation, experience an acute non-fatal cardiovascular event, or die from cardiovascular or background mortality. Patients experiencing an acute non-fatal cardiovascular event or initiating dialysis/transplantation transition to a corresponding chronic disease state in the next cycle. Patients in both treatment arms could also experience hyperkalaemia events with or without hospitalisation in any cycle. Patients in the </w:t>
      </w:r>
      <w:proofErr w:type="spellStart"/>
      <w:r w:rsidRPr="00CF7D68">
        <w:t>finerenone</w:t>
      </w:r>
      <w:proofErr w:type="spellEnd"/>
      <w:r w:rsidRPr="00CF7D68">
        <w:t xml:space="preserve"> arm could discontinue treatment in any cycle and adopt the same risks as the placebo arm.</w:t>
      </w:r>
    </w:p>
    <w:p w14:paraId="76D62B05" w14:textId="22CEF121" w:rsidR="00236F01" w:rsidRPr="00CF7D68" w:rsidRDefault="00236F01" w:rsidP="00F674BF">
      <w:pPr>
        <w:pStyle w:val="ExecSumBodyText"/>
        <w:ind w:left="709" w:hanging="851"/>
      </w:pPr>
      <w:r w:rsidRPr="00CF7D68">
        <w:t xml:space="preserve">The submission estimated </w:t>
      </w:r>
      <w:proofErr w:type="spellStart"/>
      <w:r w:rsidRPr="00CF7D68">
        <w:t>finerenone</w:t>
      </w:r>
      <w:proofErr w:type="spellEnd"/>
      <w:r w:rsidRPr="00CF7D68">
        <w:t xml:space="preserve"> treatment effects based on aggregate-level data from the FIDELITY pooled analysis. The submission stated that key cardiovascular and renal outcomes from the FIDELITY analysis were not used in the economic model as composite outcomes are difficult to incorporate into an economic evaluation given that each component has a different impact on costs, </w:t>
      </w:r>
      <w:proofErr w:type="gramStart"/>
      <w:r w:rsidRPr="00CF7D68">
        <w:t>utilities</w:t>
      </w:r>
      <w:proofErr w:type="gramEnd"/>
      <w:r w:rsidRPr="00CF7D68">
        <w:t xml:space="preserve"> and risk of future events. </w:t>
      </w:r>
      <w:r w:rsidRPr="00CF7D68">
        <w:lastRenderedPageBreak/>
        <w:t xml:space="preserve">Instead, the submission used various pre-specified and post hoc exploratory analyses to populate the economic model (summarised in </w:t>
      </w:r>
      <w:r w:rsidR="00E047CF" w:rsidRPr="00CF7D68">
        <w:fldChar w:fldCharType="begin"/>
      </w:r>
      <w:r w:rsidR="00E047CF" w:rsidRPr="00CF7D68">
        <w:instrText xml:space="preserve"> REF _Ref103602447 \h </w:instrText>
      </w:r>
      <w:r w:rsidR="00E047CF" w:rsidRPr="00CF7D68">
        <w:fldChar w:fldCharType="separate"/>
      </w:r>
      <w:r w:rsidR="00AE5D6E" w:rsidRPr="00CF7D68">
        <w:t xml:space="preserve">Table </w:t>
      </w:r>
      <w:r w:rsidR="00AE5D6E">
        <w:rPr>
          <w:noProof/>
        </w:rPr>
        <w:t>12</w:t>
      </w:r>
      <w:r w:rsidR="00E047CF" w:rsidRPr="00CF7D68">
        <w:fldChar w:fldCharType="end"/>
      </w:r>
      <w:r w:rsidRPr="00CF7D68">
        <w:t>).</w:t>
      </w:r>
    </w:p>
    <w:p w14:paraId="63514EC5" w14:textId="701412B6" w:rsidR="00236F01" w:rsidRPr="00CF7D68" w:rsidRDefault="00236F01" w:rsidP="00F674BF">
      <w:pPr>
        <w:pStyle w:val="ExecSumBodyText"/>
        <w:ind w:left="709" w:hanging="709"/>
      </w:pPr>
      <w:r w:rsidRPr="00CF7D68">
        <w:t xml:space="preserve">Treatment effects were applied to placebo arm transition probabilities to derive transition probabilities for the </w:t>
      </w:r>
      <w:proofErr w:type="spellStart"/>
      <w:r w:rsidRPr="00CF7D68">
        <w:t>finerenone</w:t>
      </w:r>
      <w:proofErr w:type="spellEnd"/>
      <w:r w:rsidRPr="00CF7D68">
        <w:t xml:space="preserve"> arm. </w:t>
      </w:r>
      <w:r w:rsidR="00553191" w:rsidRPr="00CF7D68">
        <w:t>T</w:t>
      </w:r>
      <w:r w:rsidRPr="00CF7D68">
        <w:t xml:space="preserve">he application of a decreased risk of CKD progression in the </w:t>
      </w:r>
      <w:proofErr w:type="spellStart"/>
      <w:r w:rsidRPr="00CF7D68">
        <w:t>finerenone</w:t>
      </w:r>
      <w:proofErr w:type="spellEnd"/>
      <w:r w:rsidRPr="00CF7D68">
        <w:t xml:space="preserve"> arm resulted in a series of adjustments that increased the probabilities of both disease stabilisation and disease regression for this treatment arm.</w:t>
      </w:r>
      <w:r w:rsidR="005405A0" w:rsidRPr="00CF7D68">
        <w:t xml:space="preserve"> </w:t>
      </w:r>
      <w:r w:rsidR="00553191" w:rsidRPr="00CF7D68">
        <w:rPr>
          <w:iCs/>
        </w:rPr>
        <w:t>The</w:t>
      </w:r>
      <w:r w:rsidR="005405A0" w:rsidRPr="00CF7D68">
        <w:rPr>
          <w:iCs/>
        </w:rPr>
        <w:t xml:space="preserve"> ESC </w:t>
      </w:r>
      <w:r w:rsidR="00553191" w:rsidRPr="00CF7D68">
        <w:rPr>
          <w:iCs/>
        </w:rPr>
        <w:t xml:space="preserve">noted </w:t>
      </w:r>
      <w:r w:rsidR="005405A0" w:rsidRPr="00CF7D68">
        <w:rPr>
          <w:iCs/>
        </w:rPr>
        <w:t>that</w:t>
      </w:r>
      <w:r w:rsidR="00C84CD5" w:rsidRPr="00CF7D68">
        <w:rPr>
          <w:iCs/>
        </w:rPr>
        <w:t>,</w:t>
      </w:r>
      <w:r w:rsidR="005405A0" w:rsidRPr="00CF7D68">
        <w:rPr>
          <w:iCs/>
        </w:rPr>
        <w:t xml:space="preserve"> with the exception of the progression to CKD 5 without dialysis or transplantation, all treatment effects included in economic model were no</w:t>
      </w:r>
      <w:r w:rsidR="00851E67" w:rsidRPr="00CF7D68">
        <w:rPr>
          <w:iCs/>
        </w:rPr>
        <w:t>t</w:t>
      </w:r>
      <w:r w:rsidR="005405A0" w:rsidRPr="00CF7D68">
        <w:rPr>
          <w:iCs/>
        </w:rPr>
        <w:t xml:space="preserve"> statistically significant.</w:t>
      </w:r>
    </w:p>
    <w:p w14:paraId="6DC7995B" w14:textId="3715A87B" w:rsidR="004675AC" w:rsidRPr="00CF7D68" w:rsidRDefault="004675AC" w:rsidP="00F674BF">
      <w:pPr>
        <w:pStyle w:val="TableHeading"/>
      </w:pPr>
      <w:bookmarkStart w:id="44" w:name="_Ref103602447"/>
      <w:r w:rsidRPr="00CF7D68">
        <w:t xml:space="preserve">Table </w:t>
      </w:r>
      <w:r w:rsidR="00F9376A">
        <w:fldChar w:fldCharType="begin"/>
      </w:r>
      <w:r w:rsidR="00F9376A">
        <w:instrText xml:space="preserve"> SEQ Table \* ARABIC </w:instrText>
      </w:r>
      <w:r w:rsidR="00F9376A">
        <w:fldChar w:fldCharType="separate"/>
      </w:r>
      <w:r w:rsidR="00AE5D6E">
        <w:rPr>
          <w:noProof/>
        </w:rPr>
        <w:t>12</w:t>
      </w:r>
      <w:r w:rsidR="00F9376A">
        <w:rPr>
          <w:noProof/>
        </w:rPr>
        <w:fldChar w:fldCharType="end"/>
      </w:r>
      <w:bookmarkEnd w:id="44"/>
      <w:r w:rsidRPr="00CF7D68">
        <w:t xml:space="preserve">: </w:t>
      </w:r>
      <w:proofErr w:type="spellStart"/>
      <w:r w:rsidRPr="00CF7D68">
        <w:t>Finerenone</w:t>
      </w:r>
      <w:proofErr w:type="spellEnd"/>
      <w:r w:rsidRPr="00CF7D68">
        <w:t xml:space="preserve"> treatment effects included in the model</w:t>
      </w:r>
    </w:p>
    <w:tbl>
      <w:tblPr>
        <w:tblW w:w="49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61"/>
        <w:gridCol w:w="1702"/>
        <w:gridCol w:w="4643"/>
      </w:tblGrid>
      <w:tr w:rsidR="005E7356" w:rsidRPr="00CF7D68" w14:paraId="3B5C049A" w14:textId="77777777" w:rsidTr="009D6E97">
        <w:trPr>
          <w:trHeight w:val="40"/>
        </w:trPr>
        <w:tc>
          <w:tcPr>
            <w:tcW w:w="1477" w:type="pct"/>
            <w:vAlign w:val="center"/>
          </w:tcPr>
          <w:p w14:paraId="4147D793" w14:textId="77777777" w:rsidR="00236F01" w:rsidRPr="00CF7D68" w:rsidRDefault="00236F01" w:rsidP="00625C2A">
            <w:pPr>
              <w:pStyle w:val="TableText"/>
              <w:keepNext w:val="0"/>
              <w:widowControl w:val="0"/>
              <w:rPr>
                <w:b/>
              </w:rPr>
            </w:pPr>
            <w:r w:rsidRPr="00CF7D68">
              <w:rPr>
                <w:b/>
              </w:rPr>
              <w:t>Variable</w:t>
            </w:r>
          </w:p>
        </w:tc>
        <w:tc>
          <w:tcPr>
            <w:tcW w:w="945" w:type="pct"/>
            <w:vAlign w:val="center"/>
          </w:tcPr>
          <w:p w14:paraId="7C25ED7A" w14:textId="77777777" w:rsidR="00236F01" w:rsidRPr="00CF7D68" w:rsidRDefault="00236F01" w:rsidP="00625C2A">
            <w:pPr>
              <w:pStyle w:val="TableText"/>
              <w:keepNext w:val="0"/>
              <w:widowControl w:val="0"/>
              <w:jc w:val="center"/>
              <w:rPr>
                <w:b/>
              </w:rPr>
            </w:pPr>
            <w:r w:rsidRPr="00CF7D68">
              <w:rPr>
                <w:b/>
              </w:rPr>
              <w:t>Hazard ratio (95% CI)</w:t>
            </w:r>
          </w:p>
        </w:tc>
        <w:tc>
          <w:tcPr>
            <w:tcW w:w="2578" w:type="pct"/>
            <w:vAlign w:val="center"/>
          </w:tcPr>
          <w:p w14:paraId="561461AC" w14:textId="77777777" w:rsidR="00236F01" w:rsidRPr="00CF7D68" w:rsidRDefault="00236F01" w:rsidP="00625C2A">
            <w:pPr>
              <w:pStyle w:val="TableText"/>
              <w:keepNext w:val="0"/>
              <w:widowControl w:val="0"/>
              <w:jc w:val="center"/>
              <w:rPr>
                <w:b/>
              </w:rPr>
            </w:pPr>
            <w:r w:rsidRPr="00CF7D68">
              <w:rPr>
                <w:b/>
              </w:rPr>
              <w:t>Source</w:t>
            </w:r>
          </w:p>
        </w:tc>
      </w:tr>
      <w:tr w:rsidR="005E7356" w:rsidRPr="00CF7D68" w14:paraId="39ABE1A6" w14:textId="77777777" w:rsidTr="009D6E97">
        <w:tc>
          <w:tcPr>
            <w:tcW w:w="1477" w:type="pct"/>
            <w:vAlign w:val="center"/>
          </w:tcPr>
          <w:p w14:paraId="355EC0BD" w14:textId="77777777" w:rsidR="00236F01" w:rsidRPr="00CF7D68" w:rsidRDefault="00236F01" w:rsidP="00625C2A">
            <w:pPr>
              <w:pStyle w:val="TableText"/>
              <w:keepNext w:val="0"/>
              <w:widowControl w:val="0"/>
            </w:pPr>
            <w:r w:rsidRPr="00CF7D68">
              <w:t>Progression to CKD 5 without dialysis or transplantation</w:t>
            </w:r>
          </w:p>
        </w:tc>
        <w:tc>
          <w:tcPr>
            <w:tcW w:w="945" w:type="pct"/>
            <w:vAlign w:val="center"/>
          </w:tcPr>
          <w:p w14:paraId="0F14DD84" w14:textId="77777777" w:rsidR="00236F01" w:rsidRPr="00CF7D68" w:rsidRDefault="00236F01" w:rsidP="00625C2A">
            <w:pPr>
              <w:pStyle w:val="TableText"/>
              <w:keepNext w:val="0"/>
              <w:widowControl w:val="0"/>
              <w:jc w:val="center"/>
              <w:rPr>
                <w:b/>
                <w:bCs w:val="0"/>
              </w:rPr>
            </w:pPr>
            <w:r w:rsidRPr="00CF7D68">
              <w:rPr>
                <w:b/>
                <w:bCs w:val="0"/>
              </w:rPr>
              <w:t xml:space="preserve">0.81 </w:t>
            </w:r>
          </w:p>
          <w:p w14:paraId="2E82D60A" w14:textId="77777777" w:rsidR="00236F01" w:rsidRPr="00CF7D68" w:rsidRDefault="00236F01" w:rsidP="00625C2A">
            <w:pPr>
              <w:pStyle w:val="TableText"/>
              <w:keepNext w:val="0"/>
              <w:widowControl w:val="0"/>
              <w:jc w:val="center"/>
            </w:pPr>
            <w:r w:rsidRPr="00CF7D68">
              <w:rPr>
                <w:b/>
                <w:bCs w:val="0"/>
              </w:rPr>
              <w:t>(0.67, 0.98)</w:t>
            </w:r>
          </w:p>
        </w:tc>
        <w:tc>
          <w:tcPr>
            <w:tcW w:w="2578" w:type="pct"/>
            <w:vAlign w:val="center"/>
          </w:tcPr>
          <w:p w14:paraId="6C5A033D" w14:textId="7FCA03D4" w:rsidR="00236F01" w:rsidRPr="00CF7D68" w:rsidRDefault="00236F01" w:rsidP="00625C2A">
            <w:pPr>
              <w:pStyle w:val="TableText"/>
              <w:keepNext w:val="0"/>
              <w:widowControl w:val="0"/>
            </w:pPr>
            <w:r w:rsidRPr="00CF7D68">
              <w:t>Pre-specified analysis of the time to a sustained decrease in eGFR to &lt;</w:t>
            </w:r>
            <w:r w:rsidR="00553191" w:rsidRPr="00CF7D68">
              <w:t> </w:t>
            </w:r>
            <w:r w:rsidRPr="00CF7D68">
              <w:t>15 mL/min from the pooled FIDELITY data which included patients with and without progression to dialysis/transplantation</w:t>
            </w:r>
          </w:p>
        </w:tc>
      </w:tr>
      <w:tr w:rsidR="005E7356" w:rsidRPr="00CF7D68" w14:paraId="4ED23A54" w14:textId="77777777" w:rsidTr="009D6E97">
        <w:tc>
          <w:tcPr>
            <w:tcW w:w="1477" w:type="pct"/>
            <w:vAlign w:val="center"/>
          </w:tcPr>
          <w:p w14:paraId="7DE8A165" w14:textId="77777777" w:rsidR="00236F01" w:rsidRPr="00CF7D68" w:rsidRDefault="00236F01" w:rsidP="00625C2A">
            <w:pPr>
              <w:pStyle w:val="TableText"/>
              <w:keepNext w:val="0"/>
              <w:widowControl w:val="0"/>
            </w:pPr>
            <w:r w:rsidRPr="00CF7D68">
              <w:t>Progression to dialysis</w:t>
            </w:r>
          </w:p>
        </w:tc>
        <w:tc>
          <w:tcPr>
            <w:tcW w:w="945" w:type="pct"/>
            <w:vAlign w:val="center"/>
          </w:tcPr>
          <w:p w14:paraId="6084A237" w14:textId="77777777" w:rsidR="00236F01" w:rsidRPr="00CF7D68" w:rsidRDefault="00236F01" w:rsidP="00625C2A">
            <w:pPr>
              <w:pStyle w:val="TableText"/>
              <w:keepNext w:val="0"/>
              <w:widowControl w:val="0"/>
              <w:jc w:val="center"/>
            </w:pPr>
            <w:r w:rsidRPr="00CF7D68">
              <w:t xml:space="preserve">0.82 </w:t>
            </w:r>
          </w:p>
          <w:p w14:paraId="5B500201" w14:textId="77777777" w:rsidR="00236F01" w:rsidRPr="00CF7D68" w:rsidRDefault="00236F01" w:rsidP="00625C2A">
            <w:pPr>
              <w:pStyle w:val="TableText"/>
              <w:keepNext w:val="0"/>
              <w:widowControl w:val="0"/>
              <w:jc w:val="center"/>
            </w:pPr>
            <w:r w:rsidRPr="00CF7D68">
              <w:t>(0.65, 1.03)</w:t>
            </w:r>
          </w:p>
        </w:tc>
        <w:tc>
          <w:tcPr>
            <w:tcW w:w="2578" w:type="pct"/>
            <w:vAlign w:val="center"/>
          </w:tcPr>
          <w:p w14:paraId="2769BB07" w14:textId="6FA36E8C" w:rsidR="00236F01" w:rsidRPr="00CF7D68" w:rsidRDefault="00236F01" w:rsidP="00625C2A">
            <w:pPr>
              <w:pStyle w:val="TableText"/>
              <w:keepNext w:val="0"/>
              <w:widowControl w:val="0"/>
            </w:pPr>
            <w:r w:rsidRPr="00CF7D68">
              <w:t>Post hoc analysis of the pooled FIDELITY data which included patients with and without a sustained decrease in eGFR to &lt;</w:t>
            </w:r>
            <w:r w:rsidR="00553191" w:rsidRPr="00CF7D68">
              <w:t> </w:t>
            </w:r>
            <w:r w:rsidRPr="00CF7D68">
              <w:t>15</w:t>
            </w:r>
            <w:r w:rsidR="00553191" w:rsidRPr="00CF7D68">
              <w:t> </w:t>
            </w:r>
            <w:r w:rsidRPr="00CF7D68">
              <w:t>mL/min</w:t>
            </w:r>
          </w:p>
        </w:tc>
      </w:tr>
      <w:tr w:rsidR="005E7356" w:rsidRPr="00CF7D68" w14:paraId="4C0EF728" w14:textId="77777777" w:rsidTr="009D6E97">
        <w:tc>
          <w:tcPr>
            <w:tcW w:w="1477" w:type="pct"/>
            <w:vAlign w:val="center"/>
          </w:tcPr>
          <w:p w14:paraId="0422B081" w14:textId="77777777" w:rsidR="00236F01" w:rsidRPr="00CF7D68" w:rsidRDefault="00236F01" w:rsidP="00625C2A">
            <w:pPr>
              <w:pStyle w:val="TableText"/>
              <w:keepNext w:val="0"/>
              <w:widowControl w:val="0"/>
            </w:pPr>
            <w:r w:rsidRPr="00CF7D68">
              <w:t>Progression to kidney transplant</w:t>
            </w:r>
          </w:p>
        </w:tc>
        <w:tc>
          <w:tcPr>
            <w:tcW w:w="945" w:type="pct"/>
            <w:vAlign w:val="center"/>
          </w:tcPr>
          <w:p w14:paraId="41D9F0D9" w14:textId="77777777" w:rsidR="00236F01" w:rsidRPr="00CF7D68" w:rsidRDefault="00236F01" w:rsidP="00625C2A">
            <w:pPr>
              <w:pStyle w:val="TableText"/>
              <w:keepNext w:val="0"/>
              <w:widowControl w:val="0"/>
              <w:jc w:val="center"/>
            </w:pPr>
            <w:r w:rsidRPr="00CF7D68">
              <w:t>1.00</w:t>
            </w:r>
          </w:p>
        </w:tc>
        <w:tc>
          <w:tcPr>
            <w:tcW w:w="2578" w:type="pct"/>
            <w:vAlign w:val="center"/>
          </w:tcPr>
          <w:p w14:paraId="60F98035" w14:textId="77777777" w:rsidR="00236F01" w:rsidRPr="00CF7D68" w:rsidRDefault="00236F01" w:rsidP="00625C2A">
            <w:pPr>
              <w:pStyle w:val="TableText"/>
              <w:keepNext w:val="0"/>
              <w:widowControl w:val="0"/>
            </w:pPr>
            <w:r w:rsidRPr="00CF7D68">
              <w:t>Assumption (no justification stated)</w:t>
            </w:r>
          </w:p>
        </w:tc>
      </w:tr>
      <w:tr w:rsidR="005E7356" w:rsidRPr="00CF7D68" w14:paraId="5F591DDB" w14:textId="77777777" w:rsidTr="009D6E97">
        <w:tc>
          <w:tcPr>
            <w:tcW w:w="1477" w:type="pct"/>
            <w:vAlign w:val="center"/>
          </w:tcPr>
          <w:p w14:paraId="6358B905" w14:textId="77777777" w:rsidR="00236F01" w:rsidRPr="00CF7D68" w:rsidRDefault="00236F01" w:rsidP="00625C2A">
            <w:pPr>
              <w:pStyle w:val="TableText"/>
              <w:keepNext w:val="0"/>
              <w:widowControl w:val="0"/>
            </w:pPr>
            <w:r w:rsidRPr="00CF7D68">
              <w:t>First non-fatal cardiovascular event</w:t>
            </w:r>
          </w:p>
        </w:tc>
        <w:tc>
          <w:tcPr>
            <w:tcW w:w="945" w:type="pct"/>
            <w:vAlign w:val="center"/>
          </w:tcPr>
          <w:p w14:paraId="5DBEEDD3" w14:textId="77777777" w:rsidR="00236F01" w:rsidRPr="00CF7D68" w:rsidRDefault="00236F01" w:rsidP="00625C2A">
            <w:pPr>
              <w:pStyle w:val="TableText"/>
              <w:keepNext w:val="0"/>
              <w:widowControl w:val="0"/>
              <w:jc w:val="center"/>
            </w:pPr>
            <w:r w:rsidRPr="00CF7D68">
              <w:t xml:space="preserve">0.88 </w:t>
            </w:r>
          </w:p>
          <w:p w14:paraId="00B69EE8" w14:textId="77777777" w:rsidR="00236F01" w:rsidRPr="00CF7D68" w:rsidRDefault="00236F01" w:rsidP="00625C2A">
            <w:pPr>
              <w:pStyle w:val="TableText"/>
              <w:keepNext w:val="0"/>
              <w:widowControl w:val="0"/>
              <w:jc w:val="center"/>
            </w:pPr>
            <w:r w:rsidRPr="00CF7D68">
              <w:t>(0.76, 1.03)</w:t>
            </w:r>
          </w:p>
        </w:tc>
        <w:tc>
          <w:tcPr>
            <w:tcW w:w="2578" w:type="pct"/>
            <w:vAlign w:val="center"/>
          </w:tcPr>
          <w:p w14:paraId="78FAE94B" w14:textId="77777777" w:rsidR="00236F01" w:rsidRPr="00CF7D68" w:rsidRDefault="00236F01" w:rsidP="00625C2A">
            <w:pPr>
              <w:pStyle w:val="TableText"/>
              <w:keepNext w:val="0"/>
              <w:widowControl w:val="0"/>
            </w:pPr>
            <w:r w:rsidRPr="00CF7D68">
              <w:t xml:space="preserve">Post hoc analysis of the pooled FIDELITY data which was a composite outcome consisting of non-fatal myocardial infarction, non-fatal </w:t>
            </w:r>
            <w:proofErr w:type="gramStart"/>
            <w:r w:rsidRPr="00CF7D68">
              <w:t>stroke</w:t>
            </w:r>
            <w:proofErr w:type="gramEnd"/>
            <w:r w:rsidRPr="00CF7D68">
              <w:t xml:space="preserve"> and non-fatal heart failure</w:t>
            </w:r>
          </w:p>
        </w:tc>
      </w:tr>
      <w:tr w:rsidR="005E7356" w:rsidRPr="00CF7D68" w14:paraId="0F1D62AA" w14:textId="77777777" w:rsidTr="009D6E97">
        <w:tc>
          <w:tcPr>
            <w:tcW w:w="1477" w:type="pct"/>
            <w:vAlign w:val="center"/>
          </w:tcPr>
          <w:p w14:paraId="1C9EA2E6" w14:textId="77777777" w:rsidR="00236F01" w:rsidRPr="00CF7D68" w:rsidRDefault="00236F01" w:rsidP="00625C2A">
            <w:pPr>
              <w:pStyle w:val="TableText"/>
              <w:keepNext w:val="0"/>
              <w:widowControl w:val="0"/>
            </w:pPr>
            <w:r w:rsidRPr="00CF7D68">
              <w:t>Subsequent cardiovascular event</w:t>
            </w:r>
          </w:p>
        </w:tc>
        <w:tc>
          <w:tcPr>
            <w:tcW w:w="945" w:type="pct"/>
            <w:vAlign w:val="center"/>
          </w:tcPr>
          <w:p w14:paraId="0CDC0BB4" w14:textId="77777777" w:rsidR="00236F01" w:rsidRPr="00CF7D68" w:rsidRDefault="00236F01" w:rsidP="00625C2A">
            <w:pPr>
              <w:pStyle w:val="TableText"/>
              <w:keepNext w:val="0"/>
              <w:widowControl w:val="0"/>
              <w:jc w:val="center"/>
            </w:pPr>
            <w:r w:rsidRPr="00CF7D68">
              <w:t xml:space="preserve">0.84 </w:t>
            </w:r>
          </w:p>
          <w:p w14:paraId="70B9AA11" w14:textId="77777777" w:rsidR="00236F01" w:rsidRPr="00CF7D68" w:rsidRDefault="00236F01" w:rsidP="00625C2A">
            <w:pPr>
              <w:pStyle w:val="TableText"/>
              <w:keepNext w:val="0"/>
              <w:widowControl w:val="0"/>
              <w:jc w:val="center"/>
            </w:pPr>
            <w:r w:rsidRPr="00CF7D68">
              <w:t>(0.68, 1.05)</w:t>
            </w:r>
          </w:p>
        </w:tc>
        <w:tc>
          <w:tcPr>
            <w:tcW w:w="2578" w:type="pct"/>
            <w:vAlign w:val="center"/>
          </w:tcPr>
          <w:p w14:paraId="1DBE386D" w14:textId="77777777" w:rsidR="00236F01" w:rsidRPr="00CF7D68" w:rsidRDefault="00236F01" w:rsidP="00625C2A">
            <w:pPr>
              <w:pStyle w:val="TableText"/>
              <w:keepNext w:val="0"/>
              <w:widowControl w:val="0"/>
            </w:pPr>
            <w:r w:rsidRPr="00CF7D68">
              <w:t xml:space="preserve">Post hoc analysis of the pooled FIDELITY </w:t>
            </w:r>
            <w:proofErr w:type="gramStart"/>
            <w:r w:rsidRPr="00CF7D68">
              <w:t>data</w:t>
            </w:r>
            <w:proofErr w:type="gramEnd"/>
            <w:r w:rsidRPr="00CF7D68">
              <w:t xml:space="preserve"> which was a composite outcome consisting of cardiovascular death, non-fatal myocardial infarction, non-fatal stroke and non-fatal heart failure</w:t>
            </w:r>
          </w:p>
        </w:tc>
      </w:tr>
      <w:tr w:rsidR="005E7356" w:rsidRPr="00CF7D68" w14:paraId="18713B0C" w14:textId="77777777" w:rsidTr="009D6E97">
        <w:tc>
          <w:tcPr>
            <w:tcW w:w="1477" w:type="pct"/>
            <w:vAlign w:val="center"/>
          </w:tcPr>
          <w:p w14:paraId="58EB41CF" w14:textId="77777777" w:rsidR="00236F01" w:rsidRPr="00CF7D68" w:rsidRDefault="00236F01" w:rsidP="00625C2A">
            <w:pPr>
              <w:pStyle w:val="TableText"/>
              <w:keepNext w:val="0"/>
              <w:widowControl w:val="0"/>
            </w:pPr>
            <w:r w:rsidRPr="00CF7D68">
              <w:t>Cardiovascular death</w:t>
            </w:r>
          </w:p>
        </w:tc>
        <w:tc>
          <w:tcPr>
            <w:tcW w:w="945" w:type="pct"/>
            <w:vAlign w:val="center"/>
          </w:tcPr>
          <w:p w14:paraId="544893DD" w14:textId="77777777" w:rsidR="00236F01" w:rsidRPr="00CF7D68" w:rsidRDefault="00236F01" w:rsidP="00625C2A">
            <w:pPr>
              <w:pStyle w:val="TableText"/>
              <w:keepNext w:val="0"/>
              <w:widowControl w:val="0"/>
              <w:jc w:val="center"/>
            </w:pPr>
            <w:r w:rsidRPr="00CF7D68">
              <w:t xml:space="preserve">0.88 </w:t>
            </w:r>
          </w:p>
          <w:p w14:paraId="7F5D742D" w14:textId="77777777" w:rsidR="00236F01" w:rsidRPr="00CF7D68" w:rsidRDefault="00236F01" w:rsidP="00625C2A">
            <w:pPr>
              <w:pStyle w:val="TableText"/>
              <w:keepNext w:val="0"/>
              <w:widowControl w:val="0"/>
              <w:jc w:val="center"/>
            </w:pPr>
            <w:r w:rsidRPr="00CF7D68">
              <w:t>(0.76, 1.02)</w:t>
            </w:r>
          </w:p>
        </w:tc>
        <w:tc>
          <w:tcPr>
            <w:tcW w:w="2578" w:type="pct"/>
            <w:vAlign w:val="center"/>
          </w:tcPr>
          <w:p w14:paraId="3F3EDBF5" w14:textId="77777777" w:rsidR="00236F01" w:rsidRPr="00CF7D68" w:rsidRDefault="00236F01" w:rsidP="00625C2A">
            <w:pPr>
              <w:pStyle w:val="TableText"/>
              <w:keepNext w:val="0"/>
              <w:widowControl w:val="0"/>
            </w:pPr>
            <w:r w:rsidRPr="00CF7D68">
              <w:t>Pre-specified analysis of the pooled FIDELITY data which includes both first and subsequent cardiovascular events</w:t>
            </w:r>
          </w:p>
        </w:tc>
      </w:tr>
      <w:tr w:rsidR="005E7356" w:rsidRPr="00CF7D68" w14:paraId="0FF5AE34" w14:textId="77777777" w:rsidTr="009D6E97">
        <w:tc>
          <w:tcPr>
            <w:tcW w:w="1477" w:type="pct"/>
            <w:vAlign w:val="center"/>
          </w:tcPr>
          <w:p w14:paraId="4B780013" w14:textId="77777777" w:rsidR="00236F01" w:rsidRPr="00CF7D68" w:rsidRDefault="00236F01" w:rsidP="00625C2A">
            <w:pPr>
              <w:pStyle w:val="TableText"/>
              <w:keepNext w:val="0"/>
              <w:widowControl w:val="0"/>
            </w:pPr>
            <w:r w:rsidRPr="00CF7D68">
              <w:t>Hyperkalaemia without hospitalisation</w:t>
            </w:r>
          </w:p>
        </w:tc>
        <w:tc>
          <w:tcPr>
            <w:tcW w:w="945" w:type="pct"/>
            <w:vAlign w:val="center"/>
          </w:tcPr>
          <w:p w14:paraId="55A7A866" w14:textId="77777777" w:rsidR="00236F01" w:rsidRPr="00CF7D68" w:rsidRDefault="00236F01" w:rsidP="00625C2A">
            <w:pPr>
              <w:pStyle w:val="TableText"/>
              <w:keepNext w:val="0"/>
              <w:widowControl w:val="0"/>
              <w:jc w:val="center"/>
            </w:pPr>
            <w:r w:rsidRPr="00CF7D68">
              <w:t xml:space="preserve">1.91 </w:t>
            </w:r>
          </w:p>
          <w:p w14:paraId="1BF4468B" w14:textId="77777777" w:rsidR="00236F01" w:rsidRPr="00CF7D68" w:rsidRDefault="00236F01" w:rsidP="00625C2A">
            <w:pPr>
              <w:pStyle w:val="TableText"/>
              <w:keepNext w:val="0"/>
              <w:widowControl w:val="0"/>
              <w:jc w:val="center"/>
            </w:pPr>
            <w:r w:rsidRPr="00CF7D68">
              <w:t>(1.72, 2.12)</w:t>
            </w:r>
          </w:p>
        </w:tc>
        <w:tc>
          <w:tcPr>
            <w:tcW w:w="2578" w:type="pct"/>
            <w:vAlign w:val="center"/>
          </w:tcPr>
          <w:p w14:paraId="05431525" w14:textId="77777777" w:rsidR="00236F01" w:rsidRPr="00CF7D68" w:rsidRDefault="00236F01" w:rsidP="00625C2A">
            <w:pPr>
              <w:pStyle w:val="TableText"/>
              <w:keepNext w:val="0"/>
              <w:widowControl w:val="0"/>
            </w:pPr>
            <w:r w:rsidRPr="00CF7D68">
              <w:t>Post hoc analysis of the pooled FIDELITY data</w:t>
            </w:r>
          </w:p>
        </w:tc>
      </w:tr>
      <w:tr w:rsidR="005E7356" w:rsidRPr="00CF7D68" w14:paraId="72F82061" w14:textId="77777777" w:rsidTr="009D6E97">
        <w:tc>
          <w:tcPr>
            <w:tcW w:w="1477" w:type="pct"/>
            <w:vAlign w:val="center"/>
          </w:tcPr>
          <w:p w14:paraId="7B3394E4" w14:textId="77777777" w:rsidR="00236F01" w:rsidRPr="00CF7D68" w:rsidRDefault="00236F01" w:rsidP="00625C2A">
            <w:pPr>
              <w:pStyle w:val="TableText"/>
              <w:keepNext w:val="0"/>
              <w:widowControl w:val="0"/>
            </w:pPr>
            <w:r w:rsidRPr="00CF7D68">
              <w:t>Hyperkalaemia with hospitalisation</w:t>
            </w:r>
          </w:p>
        </w:tc>
        <w:tc>
          <w:tcPr>
            <w:tcW w:w="945" w:type="pct"/>
            <w:vAlign w:val="center"/>
          </w:tcPr>
          <w:p w14:paraId="04E3E5E5" w14:textId="77777777" w:rsidR="00236F01" w:rsidRPr="00CF7D68" w:rsidRDefault="00236F01" w:rsidP="00625C2A">
            <w:pPr>
              <w:pStyle w:val="TableText"/>
              <w:keepNext w:val="0"/>
              <w:widowControl w:val="0"/>
              <w:jc w:val="center"/>
            </w:pPr>
            <w:r w:rsidRPr="00CF7D68">
              <w:t xml:space="preserve">2.93 </w:t>
            </w:r>
          </w:p>
          <w:p w14:paraId="35F7276F" w14:textId="77777777" w:rsidR="00236F01" w:rsidRPr="00CF7D68" w:rsidRDefault="00236F01" w:rsidP="00625C2A">
            <w:pPr>
              <w:pStyle w:val="TableText"/>
              <w:keepNext w:val="0"/>
              <w:widowControl w:val="0"/>
              <w:jc w:val="center"/>
            </w:pPr>
            <w:r w:rsidRPr="00CF7D68">
              <w:t>(1.90, 4.54)</w:t>
            </w:r>
          </w:p>
        </w:tc>
        <w:tc>
          <w:tcPr>
            <w:tcW w:w="2578" w:type="pct"/>
            <w:vAlign w:val="center"/>
          </w:tcPr>
          <w:p w14:paraId="65B08B5D" w14:textId="77777777" w:rsidR="00236F01" w:rsidRPr="00CF7D68" w:rsidRDefault="00236F01" w:rsidP="00625C2A">
            <w:pPr>
              <w:pStyle w:val="TableText"/>
              <w:keepNext w:val="0"/>
              <w:widowControl w:val="0"/>
            </w:pPr>
            <w:r w:rsidRPr="00CF7D68">
              <w:t>Post hoc analysis of the pooled FIDELITY data</w:t>
            </w:r>
          </w:p>
        </w:tc>
      </w:tr>
    </w:tbl>
    <w:p w14:paraId="533C596A" w14:textId="74D42018" w:rsidR="00236F01" w:rsidRPr="00CF7D68" w:rsidRDefault="00236F01" w:rsidP="00F674BF">
      <w:pPr>
        <w:pStyle w:val="TableFooter"/>
      </w:pPr>
      <w:r w:rsidRPr="00CF7D68">
        <w:t>Source: Table 60 (</w:t>
      </w:r>
      <w:r w:rsidR="003073FE">
        <w:t>p</w:t>
      </w:r>
      <w:r w:rsidRPr="00CF7D68">
        <w:t>110), Table 64 (</w:t>
      </w:r>
      <w:r w:rsidR="003073FE">
        <w:t>p</w:t>
      </w:r>
      <w:r w:rsidRPr="00CF7D68">
        <w:t>114), Table 66 (</w:t>
      </w:r>
      <w:r w:rsidR="003073FE">
        <w:t>p</w:t>
      </w:r>
      <w:r w:rsidRPr="00CF7D68">
        <w:t>114), Table 71 (</w:t>
      </w:r>
      <w:r w:rsidR="003073FE">
        <w:t>p</w:t>
      </w:r>
      <w:r w:rsidRPr="00CF7D68">
        <w:t>117) of the submission</w:t>
      </w:r>
    </w:p>
    <w:p w14:paraId="11F3C3F1" w14:textId="77777777" w:rsidR="00F674BF" w:rsidRPr="00CF7D68" w:rsidRDefault="00F674BF" w:rsidP="00F674BF">
      <w:pPr>
        <w:pStyle w:val="TableFooter"/>
      </w:pPr>
      <w:r w:rsidRPr="00CF7D68">
        <w:t>Note: Bolding indicates a statistically significant difference</w:t>
      </w:r>
    </w:p>
    <w:p w14:paraId="409999E2" w14:textId="7F029C22" w:rsidR="0076013C" w:rsidRPr="00CF7D68" w:rsidRDefault="0076013C" w:rsidP="00AC5893">
      <w:pPr>
        <w:pStyle w:val="ExecSumBodyText"/>
      </w:pPr>
      <w:r w:rsidRPr="00CF7D68">
        <w:t xml:space="preserve">Key drivers of the economic model are summarised in </w:t>
      </w:r>
      <w:r w:rsidR="004915A6" w:rsidRPr="00CF7D68">
        <w:fldChar w:fldCharType="begin"/>
      </w:r>
      <w:r w:rsidR="004915A6" w:rsidRPr="00CF7D68">
        <w:instrText xml:space="preserve"> REF _Ref103270297 \h </w:instrText>
      </w:r>
      <w:r w:rsidR="004915A6" w:rsidRPr="00CF7D68">
        <w:fldChar w:fldCharType="separate"/>
      </w:r>
      <w:r w:rsidR="00AE5D6E" w:rsidRPr="00CF7D68">
        <w:t xml:space="preserve">Table </w:t>
      </w:r>
      <w:r w:rsidR="00AE5D6E">
        <w:rPr>
          <w:noProof/>
        </w:rPr>
        <w:t>13</w:t>
      </w:r>
      <w:r w:rsidR="004915A6" w:rsidRPr="00CF7D68">
        <w:fldChar w:fldCharType="end"/>
      </w:r>
      <w:r w:rsidRPr="00CF7D68">
        <w:t>.</w:t>
      </w:r>
    </w:p>
    <w:p w14:paraId="260942F0" w14:textId="6318597A" w:rsidR="00AC5893" w:rsidRPr="00CF7D68" w:rsidRDefault="00AC5893" w:rsidP="00A11ED5">
      <w:pPr>
        <w:pStyle w:val="TableHeading"/>
      </w:pPr>
      <w:bookmarkStart w:id="45" w:name="_Ref103270297"/>
      <w:bookmarkStart w:id="46" w:name="_Ref105770398"/>
      <w:r w:rsidRPr="00CF7D68">
        <w:t xml:space="preserve">Table </w:t>
      </w:r>
      <w:fldSimple w:instr=" SEQ Table \* ARABIC ">
        <w:r w:rsidR="00AE5D6E">
          <w:rPr>
            <w:noProof/>
          </w:rPr>
          <w:t>13</w:t>
        </w:r>
      </w:fldSimple>
      <w:bookmarkEnd w:id="45"/>
      <w:r w:rsidRPr="00CF7D68">
        <w:t>: Key drivers of the model</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2"/>
        <w:gridCol w:w="6510"/>
        <w:gridCol w:w="1225"/>
      </w:tblGrid>
      <w:tr w:rsidR="0076013C" w:rsidRPr="00CF7D68" w14:paraId="5B6DEA6D" w14:textId="77777777" w:rsidTr="007028C5">
        <w:trPr>
          <w:tblHeader/>
        </w:trPr>
        <w:tc>
          <w:tcPr>
            <w:tcW w:w="711" w:type="pct"/>
            <w:shd w:val="clear" w:color="auto" w:fill="auto"/>
            <w:vAlign w:val="center"/>
          </w:tcPr>
          <w:p w14:paraId="5FB15B07" w14:textId="77777777" w:rsidR="0076013C" w:rsidRPr="00CF7D68" w:rsidRDefault="0076013C" w:rsidP="007028C5">
            <w:pPr>
              <w:pStyle w:val="Tableheadingrow"/>
              <w:keepNext w:val="0"/>
              <w:widowControl w:val="0"/>
              <w:jc w:val="center"/>
              <w:rPr>
                <w:lang w:val="en-AU"/>
              </w:rPr>
            </w:pPr>
            <w:r w:rsidRPr="00CF7D68">
              <w:rPr>
                <w:lang w:val="en-AU"/>
              </w:rPr>
              <w:t>Description</w:t>
            </w:r>
          </w:p>
        </w:tc>
        <w:tc>
          <w:tcPr>
            <w:tcW w:w="3610" w:type="pct"/>
            <w:shd w:val="clear" w:color="auto" w:fill="auto"/>
            <w:vAlign w:val="center"/>
          </w:tcPr>
          <w:p w14:paraId="31FDF2E9" w14:textId="77777777" w:rsidR="0076013C" w:rsidRPr="00CF7D68" w:rsidRDefault="0076013C" w:rsidP="007028C5">
            <w:pPr>
              <w:pStyle w:val="Tableheadingrow"/>
              <w:keepNext w:val="0"/>
              <w:widowControl w:val="0"/>
              <w:jc w:val="center"/>
              <w:rPr>
                <w:lang w:val="en-AU"/>
              </w:rPr>
            </w:pPr>
            <w:r w:rsidRPr="00CF7D68">
              <w:rPr>
                <w:lang w:val="en-AU"/>
              </w:rPr>
              <w:t>Method/Value</w:t>
            </w:r>
          </w:p>
        </w:tc>
        <w:tc>
          <w:tcPr>
            <w:tcW w:w="679" w:type="pct"/>
            <w:shd w:val="clear" w:color="auto" w:fill="auto"/>
            <w:vAlign w:val="center"/>
          </w:tcPr>
          <w:p w14:paraId="765CA68A" w14:textId="77777777" w:rsidR="0076013C" w:rsidRPr="00CF7D68" w:rsidRDefault="0076013C" w:rsidP="007028C5">
            <w:pPr>
              <w:pStyle w:val="Tableheadingrow"/>
              <w:keepNext w:val="0"/>
              <w:widowControl w:val="0"/>
              <w:jc w:val="center"/>
              <w:rPr>
                <w:lang w:val="en-AU"/>
              </w:rPr>
            </w:pPr>
            <w:r w:rsidRPr="00CF7D68">
              <w:rPr>
                <w:lang w:val="en-AU"/>
              </w:rPr>
              <w:t>Impact</w:t>
            </w:r>
          </w:p>
        </w:tc>
      </w:tr>
      <w:tr w:rsidR="0076013C" w:rsidRPr="00CF7D68" w14:paraId="4A5FF6C4" w14:textId="77777777" w:rsidTr="007028C5">
        <w:tc>
          <w:tcPr>
            <w:tcW w:w="711" w:type="pct"/>
            <w:shd w:val="clear" w:color="auto" w:fill="auto"/>
            <w:vAlign w:val="center"/>
          </w:tcPr>
          <w:p w14:paraId="43438219" w14:textId="456CB257" w:rsidR="0076013C" w:rsidRPr="00CF7D68" w:rsidRDefault="0076013C" w:rsidP="007028C5">
            <w:pPr>
              <w:pStyle w:val="TableText"/>
              <w:keepNext w:val="0"/>
              <w:widowControl w:val="0"/>
              <w:jc w:val="center"/>
            </w:pPr>
            <w:r w:rsidRPr="00CF7D68">
              <w:t>Baseline risk</w:t>
            </w:r>
          </w:p>
        </w:tc>
        <w:tc>
          <w:tcPr>
            <w:tcW w:w="3610" w:type="pct"/>
            <w:shd w:val="clear" w:color="auto" w:fill="auto"/>
            <w:vAlign w:val="center"/>
          </w:tcPr>
          <w:p w14:paraId="7020F2F6" w14:textId="30C2D478" w:rsidR="0076013C" w:rsidRPr="00CF7D68" w:rsidRDefault="0076013C" w:rsidP="007028C5">
            <w:pPr>
              <w:pStyle w:val="TableText"/>
              <w:keepNext w:val="0"/>
              <w:widowControl w:val="0"/>
              <w:spacing w:after="120"/>
            </w:pPr>
            <w:r w:rsidRPr="00CF7D68">
              <w:t>The baseline risk for the majority of modelled events (with the exception of background mortality) was derived from individual patient data for placebo patients in the pooled FIDELITY analysis.</w:t>
            </w:r>
          </w:p>
          <w:p w14:paraId="6D419A7B" w14:textId="53005509" w:rsidR="0076013C" w:rsidRPr="00CF7D68" w:rsidRDefault="0076013C" w:rsidP="007028C5">
            <w:pPr>
              <w:pStyle w:val="TableText"/>
              <w:keepNext w:val="0"/>
              <w:widowControl w:val="0"/>
              <w:spacing w:after="120"/>
            </w:pPr>
            <w:r w:rsidRPr="00CF7D68">
              <w:rPr>
                <w:iCs/>
              </w:rPr>
              <w:t xml:space="preserve">The submission </w:t>
            </w:r>
            <w:r w:rsidR="004915A6" w:rsidRPr="00CF7D68">
              <w:rPr>
                <w:iCs/>
              </w:rPr>
              <w:t>did</w:t>
            </w:r>
            <w:r w:rsidRPr="00CF7D68">
              <w:rPr>
                <w:iCs/>
              </w:rPr>
              <w:t xml:space="preserve"> not adequately address how the use of quota-sampling, limited use of SGLT2 inhibitors/GLP1 analogues, exclusion of </w:t>
            </w:r>
            <w:r w:rsidR="0037603D" w:rsidRPr="00CF7D68">
              <w:rPr>
                <w:iCs/>
              </w:rPr>
              <w:t>mineralocorticoid receptor</w:t>
            </w:r>
            <w:r w:rsidRPr="00CF7D68">
              <w:rPr>
                <w:iCs/>
              </w:rPr>
              <w:t xml:space="preserve"> antagonists and intensive hyperkalaemia management in the clinical trials would affect the underlying risk of events compared to the proposed target population.</w:t>
            </w:r>
          </w:p>
          <w:p w14:paraId="0CB05D67" w14:textId="3C56113E" w:rsidR="0076013C" w:rsidRPr="00CF7D68" w:rsidRDefault="0076013C" w:rsidP="007028C5">
            <w:pPr>
              <w:pStyle w:val="TableText"/>
              <w:widowControl w:val="0"/>
              <w:spacing w:after="120"/>
              <w:rPr>
                <w:iCs/>
              </w:rPr>
            </w:pPr>
            <w:r w:rsidRPr="00CF7D68">
              <w:rPr>
                <w:iCs/>
              </w:rPr>
              <w:t xml:space="preserve">The allocation of patients to baseline health states assumed that patients had no prior history of cardiovascular events which was inconsistent with the clinical data from the FIDELITY pooled analysis which indicated that 45.6% of trial participants had a prior history of cardiovascular events. The impact of the misallocation of patients to baseline </w:t>
            </w:r>
            <w:r w:rsidRPr="00CF7D68">
              <w:rPr>
                <w:iCs/>
              </w:rPr>
              <w:lastRenderedPageBreak/>
              <w:t>health states was unclear.</w:t>
            </w:r>
          </w:p>
          <w:p w14:paraId="47D5E0D6" w14:textId="77777777" w:rsidR="0076013C" w:rsidRPr="00CF7D68" w:rsidRDefault="0076013C" w:rsidP="007028C5">
            <w:pPr>
              <w:pStyle w:val="TableText"/>
              <w:keepNext w:val="0"/>
              <w:widowControl w:val="0"/>
              <w:rPr>
                <w:iCs/>
              </w:rPr>
            </w:pPr>
            <w:r w:rsidRPr="00CF7D68">
              <w:rPr>
                <w:iCs/>
              </w:rPr>
              <w:t>The submission assumed that the proportions of patients using conservative care (CKD</w:t>
            </w:r>
            <w:r w:rsidR="004915A6" w:rsidRPr="00CF7D68">
              <w:rPr>
                <w:iCs/>
              </w:rPr>
              <w:t> </w:t>
            </w:r>
            <w:r w:rsidRPr="00CF7D68">
              <w:rPr>
                <w:iCs/>
              </w:rPr>
              <w:t>5), dialysis or transplantation for kidney failure in the clinical trials would be representative of the Australian setting. However, use of these therapies in clinical practice is highly dependent on local circumstances in each healthcare setting and the submission did not provide any data to support the applicability of these estimates.</w:t>
            </w:r>
          </w:p>
          <w:p w14:paraId="303D06CB" w14:textId="77777777" w:rsidR="006E57FA" w:rsidRPr="00CF7D68" w:rsidRDefault="006E57FA" w:rsidP="007028C5">
            <w:pPr>
              <w:pStyle w:val="TableText"/>
              <w:keepNext w:val="0"/>
              <w:widowControl w:val="0"/>
              <w:rPr>
                <w:iCs/>
              </w:rPr>
            </w:pPr>
          </w:p>
          <w:p w14:paraId="0FE2D95E" w14:textId="5BEF5C0C" w:rsidR="006E57FA" w:rsidRPr="00CF7D68" w:rsidRDefault="006E57FA" w:rsidP="007028C5">
            <w:pPr>
              <w:pStyle w:val="TableText"/>
              <w:keepNext w:val="0"/>
              <w:widowControl w:val="0"/>
              <w:rPr>
                <w:iCs/>
              </w:rPr>
            </w:pPr>
            <w:r w:rsidRPr="00CF7D68">
              <w:t xml:space="preserve">The ESC agreed with the evaluation that </w:t>
            </w:r>
            <w:r w:rsidR="00B22F9D" w:rsidRPr="00CF7D68">
              <w:t xml:space="preserve">the trial data had </w:t>
            </w:r>
            <w:r w:rsidRPr="00CF7D68">
              <w:t>a number of applicability issues</w:t>
            </w:r>
            <w:r w:rsidR="00B22F9D" w:rsidRPr="00CF7D68">
              <w:t xml:space="preserve"> (discussed in more detail under ‘Clinical trials’)</w:t>
            </w:r>
            <w:r w:rsidRPr="00CF7D68">
              <w:t xml:space="preserve">. </w:t>
            </w:r>
            <w:r w:rsidR="003A0CB2" w:rsidRPr="00CF7D68">
              <w:rPr>
                <w:bCs w:val="0"/>
              </w:rPr>
              <w:t xml:space="preserve">The ESC advised that </w:t>
            </w:r>
            <w:r w:rsidR="003A0CB2" w:rsidRPr="00CF7D68">
              <w:t>the baseline risk</w:t>
            </w:r>
            <w:r w:rsidR="00012561" w:rsidRPr="00CF7D68">
              <w:t xml:space="preserve"> in the economic model </w:t>
            </w:r>
            <w:r w:rsidR="00B22F9D" w:rsidRPr="00CF7D68">
              <w:t xml:space="preserve">should </w:t>
            </w:r>
            <w:r w:rsidR="00012561" w:rsidRPr="00CF7D68">
              <w:t>be adjusted</w:t>
            </w:r>
            <w:r w:rsidR="003A0CB2" w:rsidRPr="00CF7D68">
              <w:t xml:space="preserve"> for</w:t>
            </w:r>
            <w:r w:rsidR="00012561" w:rsidRPr="00CF7D68">
              <w:t xml:space="preserve"> </w:t>
            </w:r>
            <w:r w:rsidR="003A0CB2" w:rsidRPr="00CF7D68">
              <w:t>subgroup</w:t>
            </w:r>
            <w:r w:rsidR="00012561" w:rsidRPr="00CF7D68">
              <w:t>s of patients with and without</w:t>
            </w:r>
            <w:r w:rsidR="003A0CB2" w:rsidRPr="00CF7D68">
              <w:t xml:space="preserve"> high albuminuria</w:t>
            </w:r>
            <w:r w:rsidR="00012561" w:rsidRPr="00CF7D68">
              <w:t>,</w:t>
            </w:r>
            <w:r w:rsidR="003A0CB2" w:rsidRPr="00CF7D68">
              <w:t xml:space="preserve"> prior cardiovascular disease,</w:t>
            </w:r>
            <w:r w:rsidR="008F15D4" w:rsidRPr="00CF7D68">
              <w:t xml:space="preserve"> </w:t>
            </w:r>
            <w:r w:rsidR="003A0CB2" w:rsidRPr="00CF7D68">
              <w:t xml:space="preserve">and concomitant SGLT2 </w:t>
            </w:r>
            <w:r w:rsidR="00012561" w:rsidRPr="00CF7D68">
              <w:t xml:space="preserve">inhibitor </w:t>
            </w:r>
            <w:r w:rsidR="003A0CB2" w:rsidRPr="00CF7D68">
              <w:t>use</w:t>
            </w:r>
            <w:r w:rsidR="00012561" w:rsidRPr="00CF7D68">
              <w:t>.</w:t>
            </w:r>
            <w:r w:rsidR="005D4266" w:rsidRPr="00CF7D68">
              <w:t xml:space="preserve"> Th</w:t>
            </w:r>
            <w:r w:rsidR="00025611" w:rsidRPr="00CF7D68">
              <w:t>e</w:t>
            </w:r>
            <w:r w:rsidR="005D4266" w:rsidRPr="00CF7D68">
              <w:t xml:space="preserve"> pre-PBAC response provided </w:t>
            </w:r>
            <w:r w:rsidR="00F03FDA">
              <w:t>a</w:t>
            </w:r>
            <w:r w:rsidR="005D4266" w:rsidRPr="00CF7D68">
              <w:t xml:space="preserve"> sensitivity analysis</w:t>
            </w:r>
            <w:r w:rsidR="00025611" w:rsidRPr="00CF7D68">
              <w:t xml:space="preserve"> for </w:t>
            </w:r>
            <w:r w:rsidR="005D4266" w:rsidRPr="00CF7D68">
              <w:t xml:space="preserve">CKD </w:t>
            </w:r>
            <w:r w:rsidR="00C07FC3" w:rsidRPr="00CF7D68">
              <w:t>severity</w:t>
            </w:r>
            <w:r w:rsidR="00F03FDA">
              <w:t>, which</w:t>
            </w:r>
            <w:r w:rsidR="00E2132A" w:rsidRPr="00CF7D68">
              <w:t xml:space="preserve"> applied</w:t>
            </w:r>
            <w:r w:rsidR="00D209C7" w:rsidRPr="00CF7D68">
              <w:t xml:space="preserve"> </w:t>
            </w:r>
            <w:r w:rsidR="005D4266" w:rsidRPr="00CF7D68">
              <w:t xml:space="preserve">the </w:t>
            </w:r>
            <w:proofErr w:type="spellStart"/>
            <w:r w:rsidR="005D4266" w:rsidRPr="00CF7D68">
              <w:t>OneNil</w:t>
            </w:r>
            <w:proofErr w:type="spellEnd"/>
            <w:r w:rsidR="005D4266" w:rsidRPr="00CF7D68">
              <w:t xml:space="preserve"> dataset</w:t>
            </w:r>
            <w:r w:rsidR="00025611" w:rsidRPr="00CF7D68">
              <w:t xml:space="preserve"> baseline CKD stage distribution</w:t>
            </w:r>
            <w:r w:rsidR="005D4266" w:rsidRPr="00CF7D68">
              <w:t xml:space="preserve"> (CKD 1/2: </w:t>
            </w:r>
            <w:r w:rsidR="005D4266" w:rsidRPr="005235A4">
              <w:t>56.3%; CKD 3: 39.6</w:t>
            </w:r>
            <w:r w:rsidR="005D4266" w:rsidRPr="00F924C2">
              <w:t xml:space="preserve">%; CKD 4: 4.1%) rather than the FIDELITY </w:t>
            </w:r>
            <w:r w:rsidR="00F03FDA" w:rsidRPr="00F924C2">
              <w:t>pooled analysis</w:t>
            </w:r>
            <w:r w:rsidR="005D4266" w:rsidRPr="00F924C2">
              <w:t xml:space="preserve"> (CKD 1/2: 39.9%; CKD 3: 53.3%; CKD 4: 6.8%)</w:t>
            </w:r>
            <w:r w:rsidR="00025611" w:rsidRPr="00F924C2">
              <w:t xml:space="preserve"> </w:t>
            </w:r>
            <w:r w:rsidR="00E2132A" w:rsidRPr="00F924C2">
              <w:t>increasing</w:t>
            </w:r>
            <w:r w:rsidR="00025611" w:rsidRPr="00F924C2">
              <w:t xml:space="preserve"> the ‘alternative base case’ </w:t>
            </w:r>
            <w:r w:rsidR="00E2132A" w:rsidRPr="00F924C2">
              <w:t xml:space="preserve">ICER </w:t>
            </w:r>
            <w:r w:rsidR="005D4266" w:rsidRPr="00F924C2">
              <w:t>from</w:t>
            </w:r>
            <w:r w:rsidR="00F924C2" w:rsidRPr="00F924C2">
              <w:t xml:space="preserve"> $55,000 to &lt; $75,000</w:t>
            </w:r>
            <w:r w:rsidR="005D4266" w:rsidRPr="00F924C2">
              <w:t xml:space="preserve"> to</w:t>
            </w:r>
            <w:r w:rsidR="00F924C2" w:rsidRPr="00F924C2">
              <w:t xml:space="preserve"> $55,000 to &lt; $75,000</w:t>
            </w:r>
            <w:r w:rsidR="005D4266" w:rsidRPr="00F924C2">
              <w:t>.</w:t>
            </w:r>
            <w:r w:rsidR="008F15D4" w:rsidRPr="00CF7D68">
              <w:t xml:space="preserve"> </w:t>
            </w:r>
          </w:p>
        </w:tc>
        <w:tc>
          <w:tcPr>
            <w:tcW w:w="679" w:type="pct"/>
            <w:shd w:val="clear" w:color="auto" w:fill="auto"/>
            <w:vAlign w:val="center"/>
          </w:tcPr>
          <w:p w14:paraId="0CB9AE4A" w14:textId="5D5AC758" w:rsidR="0076013C" w:rsidRPr="00CF7D68" w:rsidRDefault="0076013C" w:rsidP="007028C5">
            <w:pPr>
              <w:pStyle w:val="TableText"/>
              <w:keepNext w:val="0"/>
              <w:widowControl w:val="0"/>
              <w:jc w:val="center"/>
            </w:pPr>
            <w:r w:rsidRPr="00CF7D68">
              <w:lastRenderedPageBreak/>
              <w:t xml:space="preserve">High, favours </w:t>
            </w:r>
            <w:proofErr w:type="spellStart"/>
            <w:r w:rsidRPr="00CF7D68">
              <w:t>finerenone</w:t>
            </w:r>
            <w:proofErr w:type="spellEnd"/>
          </w:p>
        </w:tc>
      </w:tr>
      <w:tr w:rsidR="0076013C" w:rsidRPr="00CF7D68" w14:paraId="7BEDF1C2" w14:textId="77777777" w:rsidTr="007028C5">
        <w:tc>
          <w:tcPr>
            <w:tcW w:w="711" w:type="pct"/>
            <w:shd w:val="clear" w:color="auto" w:fill="auto"/>
            <w:vAlign w:val="center"/>
          </w:tcPr>
          <w:p w14:paraId="1C4C64E9" w14:textId="4F129F58" w:rsidR="0076013C" w:rsidRPr="00CF7D68" w:rsidRDefault="0076013C" w:rsidP="007028C5">
            <w:pPr>
              <w:pStyle w:val="TableText"/>
              <w:keepNext w:val="0"/>
              <w:widowControl w:val="0"/>
              <w:jc w:val="center"/>
            </w:pPr>
            <w:proofErr w:type="spellStart"/>
            <w:r w:rsidRPr="00CF7D68">
              <w:t>Finerenone</w:t>
            </w:r>
            <w:proofErr w:type="spellEnd"/>
            <w:r w:rsidRPr="00CF7D68">
              <w:t xml:space="preserve"> treatment effects</w:t>
            </w:r>
          </w:p>
        </w:tc>
        <w:tc>
          <w:tcPr>
            <w:tcW w:w="3610" w:type="pct"/>
            <w:shd w:val="clear" w:color="auto" w:fill="auto"/>
            <w:vAlign w:val="center"/>
          </w:tcPr>
          <w:p w14:paraId="5C423C35" w14:textId="702358D0" w:rsidR="00F40913" w:rsidRPr="00CF7D68" w:rsidRDefault="00F40913" w:rsidP="007028C5">
            <w:pPr>
              <w:pStyle w:val="TableText"/>
              <w:keepNext w:val="0"/>
              <w:widowControl w:val="0"/>
              <w:spacing w:after="120"/>
            </w:pPr>
            <w:r w:rsidRPr="00CF7D68">
              <w:t xml:space="preserve">The submission estimated </w:t>
            </w:r>
            <w:proofErr w:type="spellStart"/>
            <w:r w:rsidRPr="00CF7D68">
              <w:t>finerenone</w:t>
            </w:r>
            <w:proofErr w:type="spellEnd"/>
            <w:r w:rsidRPr="00CF7D68">
              <w:t xml:space="preserve"> treatment effects based on various pre-specified and </w:t>
            </w:r>
            <w:r w:rsidR="00504B15" w:rsidRPr="00CF7D68">
              <w:t>post hoc</w:t>
            </w:r>
            <w:r w:rsidRPr="00CF7D68">
              <w:t xml:space="preserve"> exploratory analyses using aggregate-level data from the FIDELITY pooled analysis. Treatment effects were applied to placebo arm transition probabilities to derive transition probabilities for the </w:t>
            </w:r>
            <w:proofErr w:type="spellStart"/>
            <w:r w:rsidRPr="00CF7D68">
              <w:t>finerenone</w:t>
            </w:r>
            <w:proofErr w:type="spellEnd"/>
            <w:r w:rsidRPr="00CF7D68">
              <w:t xml:space="preserve"> arm.</w:t>
            </w:r>
          </w:p>
          <w:p w14:paraId="2F4B0F6C" w14:textId="6120A581" w:rsidR="00F40913" w:rsidRPr="00CF7D68" w:rsidRDefault="00F40913" w:rsidP="007028C5">
            <w:pPr>
              <w:pStyle w:val="TableText"/>
              <w:keepNext w:val="0"/>
              <w:widowControl w:val="0"/>
              <w:spacing w:after="120"/>
            </w:pPr>
            <w:r w:rsidRPr="00CF7D68">
              <w:rPr>
                <w:iCs/>
              </w:rPr>
              <w:t xml:space="preserve">The separate modelling of treatment effects for </w:t>
            </w:r>
            <w:r w:rsidR="0054697B" w:rsidRPr="00CF7D68">
              <w:rPr>
                <w:iCs/>
              </w:rPr>
              <w:t>‘</w:t>
            </w:r>
            <w:r w:rsidRPr="00CF7D68">
              <w:rPr>
                <w:iCs/>
              </w:rPr>
              <w:t>progression to CKD 5 without dialysis or transplantation</w:t>
            </w:r>
            <w:r w:rsidR="0054697B" w:rsidRPr="00CF7D68">
              <w:rPr>
                <w:iCs/>
              </w:rPr>
              <w:t>’</w:t>
            </w:r>
            <w:r w:rsidRPr="00CF7D68">
              <w:rPr>
                <w:iCs/>
              </w:rPr>
              <w:t xml:space="preserve"> and </w:t>
            </w:r>
            <w:r w:rsidR="0054697B" w:rsidRPr="00CF7D68">
              <w:rPr>
                <w:iCs/>
              </w:rPr>
              <w:t>’</w:t>
            </w:r>
            <w:r w:rsidRPr="00CF7D68">
              <w:rPr>
                <w:iCs/>
              </w:rPr>
              <w:t>progression to dialysis</w:t>
            </w:r>
            <w:r w:rsidR="0054697B" w:rsidRPr="00CF7D68">
              <w:rPr>
                <w:iCs/>
              </w:rPr>
              <w:t>’</w:t>
            </w:r>
            <w:r w:rsidRPr="00CF7D68">
              <w:rPr>
                <w:iCs/>
              </w:rPr>
              <w:t xml:space="preserve"> implicitly assumed that these treatment effects are completely independent of each other. </w:t>
            </w:r>
            <w:r w:rsidR="005220CD" w:rsidRPr="00CF7D68">
              <w:rPr>
                <w:iCs/>
              </w:rPr>
              <w:t>The evaluation considered that t</w:t>
            </w:r>
            <w:r w:rsidRPr="00CF7D68">
              <w:rPr>
                <w:iCs/>
              </w:rPr>
              <w:t xml:space="preserve">his assumption </w:t>
            </w:r>
            <w:r w:rsidR="005220CD" w:rsidRPr="00CF7D68">
              <w:rPr>
                <w:iCs/>
              </w:rPr>
              <w:t xml:space="preserve">was </w:t>
            </w:r>
            <w:r w:rsidRPr="00CF7D68">
              <w:rPr>
                <w:iCs/>
              </w:rPr>
              <w:t xml:space="preserve">not reasonable as a delay in the time to CKD progression with </w:t>
            </w:r>
            <w:proofErr w:type="spellStart"/>
            <w:r w:rsidRPr="00CF7D68">
              <w:rPr>
                <w:iCs/>
              </w:rPr>
              <w:t>finerenone</w:t>
            </w:r>
            <w:proofErr w:type="spellEnd"/>
            <w:r w:rsidRPr="00CF7D68">
              <w:rPr>
                <w:iCs/>
              </w:rPr>
              <w:t xml:space="preserve"> treatment would be expected to also delay dialysis, resulting in substantial overlap of estimated treatment effects. In the absence of any data demonstrating independent treatment effects (such as a delay in dialysis progression for patients already in CKD 5) it would be more appropriate to only include one of the renal treatment effects in the economic model.</w:t>
            </w:r>
            <w:r w:rsidR="003C3381" w:rsidRPr="00CF7D68">
              <w:rPr>
                <w:iCs/>
              </w:rPr>
              <w:t xml:space="preserve"> </w:t>
            </w:r>
            <w:r w:rsidR="003C3381" w:rsidRPr="00CF7D68">
              <w:t xml:space="preserve">The PSCR argued that </w:t>
            </w:r>
            <w:r w:rsidR="005220CD" w:rsidRPr="00CF7D68">
              <w:t>‘</w:t>
            </w:r>
            <w:r w:rsidR="009772F7" w:rsidRPr="00CF7D68">
              <w:t>progression to CKD 5 without dialysis or transplantation’ and</w:t>
            </w:r>
            <w:r w:rsidR="00BB1498" w:rsidRPr="00CF7D68">
              <w:t xml:space="preserve"> ‘</w:t>
            </w:r>
            <w:r w:rsidR="009772F7" w:rsidRPr="00CF7D68">
              <w:t xml:space="preserve">progression to dialysis’ was modelled separately in order to account for the </w:t>
            </w:r>
            <w:proofErr w:type="spellStart"/>
            <w:r w:rsidR="009772F7" w:rsidRPr="00CF7D68">
              <w:t>finerenone</w:t>
            </w:r>
            <w:proofErr w:type="spellEnd"/>
            <w:r w:rsidR="009772F7" w:rsidRPr="00CF7D68">
              <w:t xml:space="preserve"> treatment benefit of prolonged delay to dialysis despite progression to CKD 5 compared with placebo</w:t>
            </w:r>
            <w:r w:rsidR="00711609" w:rsidRPr="00CF7D68">
              <w:t xml:space="preserve">. </w:t>
            </w:r>
            <w:r w:rsidR="005220CD" w:rsidRPr="00CF7D68">
              <w:t xml:space="preserve">The PSCR </w:t>
            </w:r>
            <w:r w:rsidR="00144567" w:rsidRPr="00CF7D68">
              <w:t xml:space="preserve">also </w:t>
            </w:r>
            <w:r w:rsidR="00743CDB" w:rsidRPr="00CF7D68">
              <w:t xml:space="preserve">stated that the annual probability of transitioning from ‘CKD5 – without dialysis’ to ‘dialysis’ in the clinical trials was 15.61% and 18.72% in the </w:t>
            </w:r>
            <w:proofErr w:type="spellStart"/>
            <w:r w:rsidR="00743CDB" w:rsidRPr="00CF7D68">
              <w:t>finerenone</w:t>
            </w:r>
            <w:proofErr w:type="spellEnd"/>
            <w:r w:rsidR="00743CDB" w:rsidRPr="00CF7D68">
              <w:t xml:space="preserve"> and placebo arms, respectively, which meant that the model structure reflected the trial evidence. </w:t>
            </w:r>
            <w:r w:rsidR="00144567" w:rsidRPr="00CF7D68">
              <w:rPr>
                <w:iCs/>
              </w:rPr>
              <w:t xml:space="preserve">The PSCR </w:t>
            </w:r>
            <w:r w:rsidR="008D0DAD" w:rsidRPr="00CF7D68">
              <w:rPr>
                <w:iCs/>
              </w:rPr>
              <w:t>plotted</w:t>
            </w:r>
            <w:r w:rsidR="00144567" w:rsidRPr="00CF7D68">
              <w:rPr>
                <w:iCs/>
              </w:rPr>
              <w:t xml:space="preserve"> the </w:t>
            </w:r>
            <w:r w:rsidR="008D0DAD" w:rsidRPr="00CF7D68">
              <w:rPr>
                <w:iCs/>
              </w:rPr>
              <w:t>time to</w:t>
            </w:r>
            <w:r w:rsidR="00144567" w:rsidRPr="00CF7D68">
              <w:rPr>
                <w:iCs/>
              </w:rPr>
              <w:t xml:space="preserve"> dialysis </w:t>
            </w:r>
            <w:r w:rsidR="00530BFC" w:rsidRPr="00CF7D68">
              <w:rPr>
                <w:iCs/>
              </w:rPr>
              <w:t>i</w:t>
            </w:r>
            <w:r w:rsidR="00144567" w:rsidRPr="00CF7D68">
              <w:rPr>
                <w:iCs/>
              </w:rPr>
              <w:t>n the model v</w:t>
            </w:r>
            <w:r w:rsidR="00EF468D">
              <w:rPr>
                <w:iCs/>
              </w:rPr>
              <w:t>er</w:t>
            </w:r>
            <w:r w:rsidR="00144567" w:rsidRPr="00CF7D68">
              <w:rPr>
                <w:iCs/>
              </w:rPr>
              <w:t>s</w:t>
            </w:r>
            <w:r w:rsidR="00EF468D">
              <w:rPr>
                <w:iCs/>
              </w:rPr>
              <w:t>us</w:t>
            </w:r>
            <w:r w:rsidR="00144567" w:rsidRPr="00CF7D68">
              <w:rPr>
                <w:iCs/>
              </w:rPr>
              <w:t xml:space="preserve"> the FIDEL</w:t>
            </w:r>
            <w:r w:rsidR="00530BFC" w:rsidRPr="00CF7D68">
              <w:rPr>
                <w:iCs/>
              </w:rPr>
              <w:t>I</w:t>
            </w:r>
            <w:r w:rsidR="00144567" w:rsidRPr="00CF7D68">
              <w:rPr>
                <w:iCs/>
              </w:rPr>
              <w:t>TY trial results (</w:t>
            </w:r>
            <w:r w:rsidR="006705A0" w:rsidRPr="00CF7D68">
              <w:rPr>
                <w:iCs/>
              </w:rPr>
              <w:t>F</w:t>
            </w:r>
            <w:r w:rsidR="00144567" w:rsidRPr="00CF7D68">
              <w:rPr>
                <w:iCs/>
              </w:rPr>
              <w:t xml:space="preserve">igure 1, p6) to </w:t>
            </w:r>
            <w:r w:rsidR="00EF468D">
              <w:rPr>
                <w:iCs/>
              </w:rPr>
              <w:t>support its claim</w:t>
            </w:r>
            <w:r w:rsidR="00EF468D" w:rsidRPr="00CF7D68">
              <w:rPr>
                <w:iCs/>
              </w:rPr>
              <w:t xml:space="preserve"> </w:t>
            </w:r>
            <w:r w:rsidR="00144567" w:rsidRPr="00CF7D68">
              <w:rPr>
                <w:iCs/>
              </w:rPr>
              <w:t xml:space="preserve">that progression to dialysis </w:t>
            </w:r>
            <w:r w:rsidR="00EF468D">
              <w:rPr>
                <w:iCs/>
              </w:rPr>
              <w:t>was</w:t>
            </w:r>
            <w:r w:rsidR="00144567" w:rsidRPr="00CF7D68">
              <w:rPr>
                <w:iCs/>
              </w:rPr>
              <w:t xml:space="preserve"> consistent between the trial and economic evaluation.</w:t>
            </w:r>
            <w:r w:rsidR="00144567" w:rsidRPr="00CF7D68">
              <w:t xml:space="preserve"> </w:t>
            </w:r>
            <w:r w:rsidR="008F34DE" w:rsidRPr="00CF7D68">
              <w:t xml:space="preserve">The time to event data for these transitions were not provided and therefore </w:t>
            </w:r>
            <w:r w:rsidR="00743CDB" w:rsidRPr="00CF7D68">
              <w:t>the</w:t>
            </w:r>
            <w:r w:rsidR="008F34DE" w:rsidRPr="00CF7D68">
              <w:t xml:space="preserve"> estimates could not be validated</w:t>
            </w:r>
            <w:r w:rsidR="00144567" w:rsidRPr="00CF7D68">
              <w:t>.</w:t>
            </w:r>
            <w:r w:rsidR="00210BA5" w:rsidRPr="00CF7D68">
              <w:t xml:space="preserve"> </w:t>
            </w:r>
            <w:r w:rsidR="00EF468D">
              <w:t>T</w:t>
            </w:r>
            <w:r w:rsidR="009772F7" w:rsidRPr="00CF7D68">
              <w:t>he ESC agreed with the evaluation that the separation of these treatment effects in the economic model was not appropriate</w:t>
            </w:r>
            <w:r w:rsidR="008F34DE" w:rsidRPr="00CF7D68">
              <w:t xml:space="preserve"> and considered that </w:t>
            </w:r>
            <w:r w:rsidR="00664BA3" w:rsidRPr="00CF7D68">
              <w:t xml:space="preserve">once CKD 5 </w:t>
            </w:r>
            <w:r w:rsidR="00932653">
              <w:t xml:space="preserve">is </w:t>
            </w:r>
            <w:r w:rsidR="00664BA3" w:rsidRPr="00CF7D68">
              <w:t xml:space="preserve">reached, </w:t>
            </w:r>
            <w:r w:rsidR="00EC7827" w:rsidRPr="00CF7D68">
              <w:t xml:space="preserve">the decision to commence </w:t>
            </w:r>
            <w:r w:rsidR="008F34DE" w:rsidRPr="00CF7D68">
              <w:t xml:space="preserve">dialysis is often a patient decision or related to access and is unlikely to </w:t>
            </w:r>
            <w:r w:rsidR="00743CDB" w:rsidRPr="00CF7D68">
              <w:t xml:space="preserve">be influenced by </w:t>
            </w:r>
            <w:proofErr w:type="spellStart"/>
            <w:r w:rsidR="00743CDB" w:rsidRPr="00CF7D68">
              <w:t>finerenone</w:t>
            </w:r>
            <w:proofErr w:type="spellEnd"/>
            <w:r w:rsidR="00743CDB" w:rsidRPr="00CF7D68">
              <w:t xml:space="preserve"> use in practice</w:t>
            </w:r>
            <w:r w:rsidR="008F34DE" w:rsidRPr="00CF7D68">
              <w:t xml:space="preserve">. </w:t>
            </w:r>
            <w:r w:rsidR="00EC3D40" w:rsidRPr="00CF7D68">
              <w:t>The pre-PBAC response maintained that the modelled</w:t>
            </w:r>
            <w:r w:rsidR="008837C8" w:rsidRPr="00CF7D68">
              <w:t xml:space="preserve"> </w:t>
            </w:r>
            <w:proofErr w:type="spellStart"/>
            <w:r w:rsidR="008837C8" w:rsidRPr="00CF7D68">
              <w:t>finerenone</w:t>
            </w:r>
            <w:proofErr w:type="spellEnd"/>
            <w:r w:rsidR="008837C8" w:rsidRPr="00CF7D68">
              <w:t xml:space="preserve"> treatment benefit of prolonged delay to dialysis</w:t>
            </w:r>
            <w:r w:rsidR="00EC3D40" w:rsidRPr="00CF7D68">
              <w:t xml:space="preserve"> was </w:t>
            </w:r>
            <w:r w:rsidR="008837C8" w:rsidRPr="00CF7D68">
              <w:t>appropriate and</w:t>
            </w:r>
            <w:r w:rsidR="004527B2" w:rsidRPr="00CF7D68">
              <w:t xml:space="preserve"> considered</w:t>
            </w:r>
            <w:r w:rsidR="00EC3D40" w:rsidRPr="00CF7D68">
              <w:t xml:space="preserve"> its removal in the alternative base case highly conservative.</w:t>
            </w:r>
          </w:p>
          <w:p w14:paraId="49B7CECA" w14:textId="31A6311F" w:rsidR="00F40913" w:rsidRPr="00CF7D68" w:rsidRDefault="00F40913" w:rsidP="007028C5">
            <w:pPr>
              <w:pStyle w:val="TableText"/>
              <w:keepNext w:val="0"/>
              <w:widowControl w:val="0"/>
              <w:spacing w:after="120"/>
              <w:rPr>
                <w:iCs/>
              </w:rPr>
            </w:pPr>
            <w:r w:rsidRPr="00CF7D68">
              <w:rPr>
                <w:iCs/>
              </w:rPr>
              <w:t xml:space="preserve">The submission did not adequately justify the construction of new composite endpoints for first non-fatal cardiovascular event and subsequent cardiovascular event particularly given the acknowledged limitations of composite endpoints. Data on individual cardiovascular outcomes from the pooled FIDELITY analysis suggest a reduction in heart failure events with </w:t>
            </w:r>
            <w:proofErr w:type="spellStart"/>
            <w:r w:rsidRPr="00CF7D68">
              <w:rPr>
                <w:iCs/>
              </w:rPr>
              <w:t>finerenone</w:t>
            </w:r>
            <w:proofErr w:type="spellEnd"/>
            <w:r w:rsidRPr="00CF7D68">
              <w:rPr>
                <w:iCs/>
              </w:rPr>
              <w:t xml:space="preserve"> treatment but do not clearly support reductions in myocardial infarction and stroke events. Additionally, the estimation of a larger treatment effect for subsequent cardiovascular events compared to initial cardiovascular events </w:t>
            </w:r>
            <w:r w:rsidRPr="00CF7D68">
              <w:rPr>
                <w:iCs/>
              </w:rPr>
              <w:lastRenderedPageBreak/>
              <w:t>was inconsistent with subgroup analyses which indicated that history of cardiovascular disease was not a treatment effect modifier for cardiovascular outcomes.</w:t>
            </w:r>
          </w:p>
          <w:p w14:paraId="55C2C57B" w14:textId="6E737DCB" w:rsidR="00F40913" w:rsidRPr="00CF7D68" w:rsidRDefault="00F40913" w:rsidP="007028C5">
            <w:pPr>
              <w:pStyle w:val="TableText"/>
              <w:keepNext w:val="0"/>
              <w:widowControl w:val="0"/>
              <w:spacing w:after="120"/>
              <w:rPr>
                <w:iCs/>
              </w:rPr>
            </w:pPr>
            <w:r w:rsidRPr="00CF7D68">
              <w:rPr>
                <w:iCs/>
              </w:rPr>
              <w:t xml:space="preserve">The subgroup analyses of the </w:t>
            </w:r>
            <w:proofErr w:type="spellStart"/>
            <w:r w:rsidRPr="00CF7D68">
              <w:rPr>
                <w:iCs/>
              </w:rPr>
              <w:t>finerenone</w:t>
            </w:r>
            <w:proofErr w:type="spellEnd"/>
            <w:r w:rsidRPr="00CF7D68">
              <w:rPr>
                <w:iCs/>
              </w:rPr>
              <w:t xml:space="preserve"> trials strongly suggested that baseline BMI was a treatment effect modifier for renal events. The subgroup analyses also suggested treatment effect interactions by region, race, </w:t>
            </w:r>
            <w:proofErr w:type="gramStart"/>
            <w:r w:rsidRPr="00CF7D68">
              <w:rPr>
                <w:iCs/>
              </w:rPr>
              <w:t>albuminuria</w:t>
            </w:r>
            <w:proofErr w:type="gramEnd"/>
            <w:r w:rsidRPr="00CF7D68">
              <w:rPr>
                <w:iCs/>
              </w:rPr>
              <w:t xml:space="preserve"> and baseline potassium levels. Differences in any of these characteristics between the trial populations and the proposed PBS population </w:t>
            </w:r>
            <w:r w:rsidR="00B02FEF" w:rsidRPr="00CF7D68">
              <w:rPr>
                <w:iCs/>
              </w:rPr>
              <w:t>are</w:t>
            </w:r>
            <w:r w:rsidRPr="00CF7D68">
              <w:rPr>
                <w:iCs/>
              </w:rPr>
              <w:t xml:space="preserve"> likely to affect the modelled effectiveness of </w:t>
            </w:r>
            <w:proofErr w:type="spellStart"/>
            <w:r w:rsidRPr="00CF7D68">
              <w:rPr>
                <w:iCs/>
              </w:rPr>
              <w:t>finerenone</w:t>
            </w:r>
            <w:proofErr w:type="spellEnd"/>
            <w:r w:rsidRPr="00CF7D68">
              <w:rPr>
                <w:iCs/>
              </w:rPr>
              <w:t xml:space="preserve"> treatment.</w:t>
            </w:r>
          </w:p>
          <w:p w14:paraId="39C7F68B" w14:textId="6220B834" w:rsidR="00F40913" w:rsidRPr="00CF7D68" w:rsidRDefault="00F40913" w:rsidP="007028C5">
            <w:pPr>
              <w:pStyle w:val="TableText"/>
              <w:keepNext w:val="0"/>
              <w:widowControl w:val="0"/>
              <w:rPr>
                <w:iCs/>
              </w:rPr>
            </w:pPr>
            <w:r w:rsidRPr="00CF7D68">
              <w:rPr>
                <w:iCs/>
              </w:rPr>
              <w:t xml:space="preserve">The assumption that treatment effects are maintained </w:t>
            </w:r>
            <w:r w:rsidR="00FF440F" w:rsidRPr="00CF7D68">
              <w:rPr>
                <w:iCs/>
              </w:rPr>
              <w:t xml:space="preserve">while on </w:t>
            </w:r>
            <w:r w:rsidR="00000CB1" w:rsidRPr="00CF7D68">
              <w:rPr>
                <w:iCs/>
              </w:rPr>
              <w:t>treatment was</w:t>
            </w:r>
            <w:r w:rsidRPr="00CF7D68">
              <w:rPr>
                <w:iCs/>
              </w:rPr>
              <w:t xml:space="preserve"> not adequately supported for the modelled outcomes of progression to dialysis, progression to CKD 5 without dialysis/transplantation, cardiovascular death, first non-fatal cardiovascular event, subsequent cardiovascular </w:t>
            </w:r>
            <w:proofErr w:type="gramStart"/>
            <w:r w:rsidRPr="00CF7D68">
              <w:rPr>
                <w:iCs/>
              </w:rPr>
              <w:t>event</w:t>
            </w:r>
            <w:proofErr w:type="gramEnd"/>
            <w:r w:rsidRPr="00CF7D68">
              <w:rPr>
                <w:iCs/>
              </w:rPr>
              <w:t xml:space="preserve"> and hyperkal</w:t>
            </w:r>
            <w:r w:rsidR="00B01F62" w:rsidRPr="00CF7D68">
              <w:rPr>
                <w:iCs/>
              </w:rPr>
              <w:t>a</w:t>
            </w:r>
            <w:r w:rsidRPr="00CF7D68">
              <w:rPr>
                <w:iCs/>
              </w:rPr>
              <w:t>emia events.</w:t>
            </w:r>
          </w:p>
        </w:tc>
        <w:tc>
          <w:tcPr>
            <w:tcW w:w="679" w:type="pct"/>
            <w:shd w:val="clear" w:color="auto" w:fill="auto"/>
            <w:vAlign w:val="center"/>
          </w:tcPr>
          <w:p w14:paraId="4749F94E" w14:textId="1807052D" w:rsidR="0076013C" w:rsidRPr="00CF7D68" w:rsidRDefault="00F40913" w:rsidP="007028C5">
            <w:pPr>
              <w:pStyle w:val="TableText"/>
              <w:keepNext w:val="0"/>
              <w:widowControl w:val="0"/>
              <w:jc w:val="center"/>
            </w:pPr>
            <w:r w:rsidRPr="00CF7D68">
              <w:lastRenderedPageBreak/>
              <w:t xml:space="preserve">High, favours </w:t>
            </w:r>
            <w:proofErr w:type="spellStart"/>
            <w:r w:rsidRPr="00CF7D68">
              <w:t>finerenone</w:t>
            </w:r>
            <w:proofErr w:type="spellEnd"/>
          </w:p>
        </w:tc>
      </w:tr>
      <w:tr w:rsidR="00F40913" w:rsidRPr="00CF7D68" w14:paraId="29E1C31B" w14:textId="77777777" w:rsidTr="007028C5">
        <w:tc>
          <w:tcPr>
            <w:tcW w:w="711" w:type="pct"/>
            <w:shd w:val="clear" w:color="auto" w:fill="auto"/>
            <w:vAlign w:val="center"/>
          </w:tcPr>
          <w:p w14:paraId="0EB9C68E" w14:textId="5B9C224F" w:rsidR="00F40913" w:rsidRPr="00CF7D68" w:rsidRDefault="00F40913" w:rsidP="007028C5">
            <w:pPr>
              <w:pStyle w:val="TableText"/>
              <w:keepNext w:val="0"/>
              <w:widowControl w:val="0"/>
              <w:jc w:val="center"/>
            </w:pPr>
            <w:r w:rsidRPr="00CF7D68">
              <w:t>Dialysis</w:t>
            </w:r>
            <w:r w:rsidR="00E047CF" w:rsidRPr="00CF7D68">
              <w:t xml:space="preserve"> health state</w:t>
            </w:r>
            <w:r w:rsidRPr="00CF7D68">
              <w:t xml:space="preserve"> costs</w:t>
            </w:r>
          </w:p>
        </w:tc>
        <w:tc>
          <w:tcPr>
            <w:tcW w:w="3610" w:type="pct"/>
            <w:shd w:val="clear" w:color="auto" w:fill="auto"/>
            <w:vAlign w:val="center"/>
          </w:tcPr>
          <w:p w14:paraId="47DC0337" w14:textId="721E86CA" w:rsidR="00885847" w:rsidRPr="00CF7D68" w:rsidRDefault="00885847" w:rsidP="007028C5">
            <w:pPr>
              <w:pStyle w:val="TableText"/>
              <w:widowControl w:val="0"/>
              <w:spacing w:after="120"/>
              <w:rPr>
                <w:iCs/>
              </w:rPr>
            </w:pPr>
            <w:r w:rsidRPr="00CF7D68">
              <w:t xml:space="preserve">The submission estimated the costs for dialysis health states based on the </w:t>
            </w:r>
            <w:r w:rsidR="00E047CF" w:rsidRPr="00CF7D68">
              <w:t xml:space="preserve">2009 </w:t>
            </w:r>
            <w:r w:rsidRPr="00CF7D68">
              <w:t xml:space="preserve">NSW </w:t>
            </w:r>
            <w:r w:rsidR="00172B3B" w:rsidRPr="00CF7D68">
              <w:t>D</w:t>
            </w:r>
            <w:r w:rsidRPr="00CF7D68">
              <w:t xml:space="preserve">ialysis </w:t>
            </w:r>
            <w:r w:rsidR="00172B3B" w:rsidRPr="00CF7D68">
              <w:t>C</w:t>
            </w:r>
            <w:r w:rsidRPr="00CF7D68">
              <w:t xml:space="preserve">osting </w:t>
            </w:r>
            <w:r w:rsidR="00172B3B" w:rsidRPr="00CF7D68">
              <w:t>S</w:t>
            </w:r>
            <w:r w:rsidRPr="00CF7D68">
              <w:t xml:space="preserve">tudy. The submission also included an additional cost for dialysis access surgery based on unspecified AR-DRG cost weights reported in a modelled economic analysis of diabetes, hypertension, and chronic kidney disease management in Australia (Howard 2010). The submission also included an additional cost for disease management based on chronic kidney disease estimates (CKD 3, 4, 5) from the </w:t>
            </w:r>
            <w:proofErr w:type="spellStart"/>
            <w:r w:rsidRPr="00CF7D68">
              <w:t>Wyld</w:t>
            </w:r>
            <w:proofErr w:type="spellEnd"/>
            <w:r w:rsidRPr="00CF7D68">
              <w:t xml:space="preserve"> 2015 publication. Dialysis costs were inflated to 2021 values using the health sub-category of the consumer price index.</w:t>
            </w:r>
            <w:r w:rsidR="00474A88" w:rsidRPr="00CF7D68">
              <w:t xml:space="preserve"> Total estimated costs were $</w:t>
            </w:r>
            <w:r w:rsidR="00A973A1" w:rsidRPr="00A973A1">
              <w:rPr>
                <w:color w:val="000000"/>
                <w:spacing w:val="51"/>
                <w:shd w:val="solid" w:color="000000" w:fill="000000"/>
                <w:fitText w:val="326" w:id="-1435844606"/>
                <w14:textFill>
                  <w14:solidFill>
                    <w14:srgbClr w14:val="000000">
                      <w14:alpha w14:val="100000"/>
                    </w14:srgbClr>
                  </w14:solidFill>
                </w14:textFill>
              </w:rPr>
              <w:t>|||</w:t>
            </w:r>
            <w:r w:rsidR="00A973A1" w:rsidRPr="00A973A1">
              <w:rPr>
                <w:color w:val="000000"/>
                <w:spacing w:val="3"/>
                <w:shd w:val="solid" w:color="000000" w:fill="000000"/>
                <w:fitText w:val="326" w:id="-1435844606"/>
                <w14:textFill>
                  <w14:solidFill>
                    <w14:srgbClr w14:val="000000">
                      <w14:alpha w14:val="100000"/>
                    </w14:srgbClr>
                  </w14:solidFill>
                </w14:textFill>
              </w:rPr>
              <w:t>|</w:t>
            </w:r>
            <w:r w:rsidR="00474A88" w:rsidRPr="00CF7D68">
              <w:t xml:space="preserve"> in first cycle and $</w:t>
            </w:r>
            <w:r w:rsidR="00A973A1" w:rsidRPr="00A973A1">
              <w:rPr>
                <w:color w:val="000000"/>
                <w:spacing w:val="51"/>
                <w:shd w:val="solid" w:color="000000" w:fill="000000"/>
                <w:fitText w:val="326" w:id="-1435844605"/>
                <w14:textFill>
                  <w14:solidFill>
                    <w14:srgbClr w14:val="000000">
                      <w14:alpha w14:val="100000"/>
                    </w14:srgbClr>
                  </w14:solidFill>
                </w14:textFill>
              </w:rPr>
              <w:t>|||</w:t>
            </w:r>
            <w:r w:rsidR="00A973A1" w:rsidRPr="00A973A1">
              <w:rPr>
                <w:color w:val="000000"/>
                <w:spacing w:val="3"/>
                <w:shd w:val="solid" w:color="000000" w:fill="000000"/>
                <w:fitText w:val="326" w:id="-1435844605"/>
                <w14:textFill>
                  <w14:solidFill>
                    <w14:srgbClr w14:val="000000">
                      <w14:alpha w14:val="100000"/>
                    </w14:srgbClr>
                  </w14:solidFill>
                </w14:textFill>
              </w:rPr>
              <w:t>|</w:t>
            </w:r>
            <w:r w:rsidR="00474A88" w:rsidRPr="00CF7D68">
              <w:t xml:space="preserve"> in subsequent cycles</w:t>
            </w:r>
            <w:r w:rsidR="00E105B1" w:rsidRPr="00CF7D68">
              <w:t xml:space="preserve">, </w:t>
            </w:r>
            <w:r w:rsidR="00E105B1" w:rsidRPr="00CF7D68">
              <w:rPr>
                <w:iCs/>
              </w:rPr>
              <w:t>which the ESC considered to be implausibly high for a 4-month cycle.</w:t>
            </w:r>
          </w:p>
          <w:p w14:paraId="66CD47D4" w14:textId="5EB7FE9E" w:rsidR="00206350" w:rsidRPr="00CF7D68" w:rsidRDefault="00206350" w:rsidP="007028C5">
            <w:pPr>
              <w:pStyle w:val="TableText"/>
              <w:widowControl w:val="0"/>
              <w:spacing w:after="120"/>
              <w:rPr>
                <w:iCs/>
              </w:rPr>
            </w:pPr>
            <w:r w:rsidRPr="00CF7D68">
              <w:rPr>
                <w:iCs/>
              </w:rPr>
              <w:t xml:space="preserve">The inflation of costs using the CPI index (measures inflation to households) was inadequately justified. The PBAC Guidelines v5.0 recommend the use of </w:t>
            </w:r>
            <w:r w:rsidR="002B5543">
              <w:rPr>
                <w:iCs/>
              </w:rPr>
              <w:t xml:space="preserve">the </w:t>
            </w:r>
            <w:r w:rsidRPr="00CF7D68">
              <w:rPr>
                <w:iCs/>
              </w:rPr>
              <w:t>AIHW health inflation index</w:t>
            </w:r>
            <w:r w:rsidR="002B5543">
              <w:rPr>
                <w:iCs/>
              </w:rPr>
              <w:t xml:space="preserve">, which </w:t>
            </w:r>
            <w:r w:rsidRPr="00CF7D68">
              <w:rPr>
                <w:iCs/>
              </w:rPr>
              <w:t>measures inflation across the health sector</w:t>
            </w:r>
            <w:r w:rsidR="002B5543">
              <w:rPr>
                <w:iCs/>
              </w:rPr>
              <w:t>,</w:t>
            </w:r>
            <w:r w:rsidRPr="00CF7D68">
              <w:rPr>
                <w:iCs/>
              </w:rPr>
              <w:t xml:space="preserve"> to adjust costs over time. The PSCR used AIHW inflation factors to adjust cost inputs in the model, which increased the ICER to </w:t>
            </w:r>
            <w:r w:rsidR="00F05081" w:rsidRPr="00F05081">
              <w:rPr>
                <w:iCs/>
              </w:rPr>
              <w:t>$25,000 to &lt; $35,000</w:t>
            </w:r>
            <w:r w:rsidRPr="00CF7D68">
              <w:rPr>
                <w:iCs/>
              </w:rPr>
              <w:t xml:space="preserve"> per QALY gained, compared with </w:t>
            </w:r>
            <w:r w:rsidR="00F05081" w:rsidRPr="00F05081">
              <w:rPr>
                <w:iCs/>
              </w:rPr>
              <w:t>$5,000 to &lt; $15,000</w:t>
            </w:r>
            <w:r w:rsidRPr="00CF7D68">
              <w:rPr>
                <w:iCs/>
              </w:rPr>
              <w:t xml:space="preserve"> per QALY gained in the base case. </w:t>
            </w:r>
          </w:p>
          <w:p w14:paraId="168F0F65" w14:textId="53AFDC13" w:rsidR="00885847" w:rsidRPr="00CF7D68" w:rsidRDefault="00885847" w:rsidP="007028C5">
            <w:pPr>
              <w:pStyle w:val="TableText"/>
              <w:widowControl w:val="0"/>
              <w:spacing w:after="120"/>
              <w:rPr>
                <w:iCs/>
              </w:rPr>
            </w:pPr>
            <w:r w:rsidRPr="00CF7D68">
              <w:rPr>
                <w:iCs/>
              </w:rPr>
              <w:t xml:space="preserve">The </w:t>
            </w:r>
            <w:r w:rsidR="00206350" w:rsidRPr="00CF7D68">
              <w:t>evaluation considered</w:t>
            </w:r>
            <w:r w:rsidR="00206350" w:rsidRPr="00CF7D68">
              <w:rPr>
                <w:iCs/>
              </w:rPr>
              <w:t xml:space="preserve"> </w:t>
            </w:r>
            <w:r w:rsidRPr="00CF7D68">
              <w:rPr>
                <w:iCs/>
              </w:rPr>
              <w:t>inclusion of additional costs for dialysis surgery was inappropriate as these costs were already captured in the dialysis treatment costs reported in the NSW Health study.</w:t>
            </w:r>
            <w:r w:rsidR="00970616" w:rsidRPr="00CF7D68">
              <w:rPr>
                <w:iCs/>
              </w:rPr>
              <w:t xml:space="preserve"> </w:t>
            </w:r>
            <w:r w:rsidR="00970616" w:rsidRPr="00CF7D68">
              <w:t>The</w:t>
            </w:r>
            <w:r w:rsidR="00E105B1" w:rsidRPr="00CF7D68">
              <w:t xml:space="preserve"> </w:t>
            </w:r>
            <w:r w:rsidR="00C51708" w:rsidRPr="00CF7D68">
              <w:t xml:space="preserve">ESC </w:t>
            </w:r>
            <w:r w:rsidR="00B70E57" w:rsidRPr="00CF7D68">
              <w:t xml:space="preserve">noted the </w:t>
            </w:r>
            <w:r w:rsidR="00E105B1" w:rsidRPr="00CF7D68">
              <w:t xml:space="preserve">PSCR </w:t>
            </w:r>
            <w:r w:rsidR="00B70E57" w:rsidRPr="00CF7D68">
              <w:t xml:space="preserve">suggestion that </w:t>
            </w:r>
            <w:r w:rsidR="00E105B1" w:rsidRPr="00CF7D68">
              <w:t xml:space="preserve">that the likelihood of double counting </w:t>
            </w:r>
            <w:r w:rsidR="00C51708" w:rsidRPr="00CF7D68">
              <w:t>surgery costs was low</w:t>
            </w:r>
            <w:r w:rsidR="00097619" w:rsidRPr="00CF7D68">
              <w:t xml:space="preserve"> because</w:t>
            </w:r>
            <w:r w:rsidR="00B70E57" w:rsidRPr="00CF7D68">
              <w:t xml:space="preserve"> the NSW Health survey </w:t>
            </w:r>
            <w:r w:rsidR="009F3DA0" w:rsidRPr="00CF7D68">
              <w:t xml:space="preserve">reported </w:t>
            </w:r>
            <w:r w:rsidR="009F3DA0" w:rsidRPr="00CF7D68">
              <w:rPr>
                <w:iCs/>
              </w:rPr>
              <w:t>pre</w:t>
            </w:r>
            <w:r w:rsidR="00B70E57" w:rsidRPr="00CF7D68">
              <w:t xml:space="preserve">-dialysis admitted hospital costs to be ‘partially in scope’ of the study, with acute expenditures presented independently of dialysis costs by modality, and given data was cross-sectional the initial costs would be diluted. However, the ESC considered the risk of double counting remained and </w:t>
            </w:r>
            <w:r w:rsidR="00D12D2E" w:rsidRPr="00CF7D68">
              <w:t>not including</w:t>
            </w:r>
            <w:r w:rsidR="00B70E57" w:rsidRPr="00CF7D68">
              <w:t xml:space="preserve"> </w:t>
            </w:r>
            <w:r w:rsidR="00D12D2E" w:rsidRPr="00CF7D68">
              <w:t>this additional cost</w:t>
            </w:r>
            <w:r w:rsidR="00B70E57" w:rsidRPr="00CF7D68">
              <w:t xml:space="preserve"> </w:t>
            </w:r>
            <w:r w:rsidR="00D12D2E" w:rsidRPr="00CF7D68">
              <w:t>was more</w:t>
            </w:r>
            <w:r w:rsidR="00206350" w:rsidRPr="00CF7D68">
              <w:t xml:space="preserve"> </w:t>
            </w:r>
            <w:r w:rsidR="00D12D2E" w:rsidRPr="00CF7D68">
              <w:t>appropriate</w:t>
            </w:r>
            <w:r w:rsidR="00970616" w:rsidRPr="00CF7D68">
              <w:t>.</w:t>
            </w:r>
          </w:p>
          <w:p w14:paraId="0802FBCC" w14:textId="4767EE8A" w:rsidR="00885847" w:rsidRPr="00CF7D68" w:rsidRDefault="00885847" w:rsidP="007028C5">
            <w:pPr>
              <w:pStyle w:val="TableText"/>
              <w:widowControl w:val="0"/>
              <w:rPr>
                <w:i/>
              </w:rPr>
            </w:pPr>
            <w:r w:rsidRPr="00CF7D68">
              <w:rPr>
                <w:iCs/>
              </w:rPr>
              <w:t>During the evaluation, alternative dialysis health state costs were estimated by using the AIHW health inflation index and removing the cost of dialysis access surgery which resulted in substantially lower costs for dialysis.</w:t>
            </w:r>
            <w:r w:rsidR="00474A88" w:rsidRPr="00CF7D68">
              <w:rPr>
                <w:iCs/>
              </w:rPr>
              <w:t xml:space="preserve"> Total estimated costs were $</w:t>
            </w:r>
            <w:r w:rsidR="00A973A1" w:rsidRPr="00A973A1">
              <w:rPr>
                <w:iCs/>
                <w:color w:val="000000"/>
                <w:spacing w:val="50"/>
                <w:shd w:val="solid" w:color="000000" w:fill="000000"/>
                <w:fitText w:val="325" w:id="-1435844604"/>
                <w14:textFill>
                  <w14:solidFill>
                    <w14:srgbClr w14:val="000000">
                      <w14:alpha w14:val="100000"/>
                    </w14:srgbClr>
                  </w14:solidFill>
                </w14:textFill>
              </w:rPr>
              <w:t>|||</w:t>
            </w:r>
            <w:r w:rsidR="00A973A1" w:rsidRPr="00A973A1">
              <w:rPr>
                <w:iCs/>
                <w:color w:val="000000"/>
                <w:spacing w:val="13"/>
                <w:shd w:val="solid" w:color="000000" w:fill="000000"/>
                <w:fitText w:val="325" w:id="-1435844604"/>
                <w14:textFill>
                  <w14:solidFill>
                    <w14:srgbClr w14:val="000000">
                      <w14:alpha w14:val="100000"/>
                    </w14:srgbClr>
                  </w14:solidFill>
                </w14:textFill>
              </w:rPr>
              <w:t>|</w:t>
            </w:r>
            <w:r w:rsidR="00474A88" w:rsidRPr="00CF7D68">
              <w:rPr>
                <w:iCs/>
              </w:rPr>
              <w:t xml:space="preserve"> in first and subsequent cycles</w:t>
            </w:r>
            <w:r w:rsidR="0019605F" w:rsidRPr="00CF7D68">
              <w:rPr>
                <w:iCs/>
              </w:rPr>
              <w:t xml:space="preserve">, </w:t>
            </w:r>
            <w:r w:rsidR="0019605F" w:rsidRPr="00CF7D68">
              <w:t xml:space="preserve">and the resulting ICER was </w:t>
            </w:r>
            <w:r w:rsidR="00F05081" w:rsidRPr="00F05081">
              <w:t>$25,000 to &lt; $35,000</w:t>
            </w:r>
            <w:r w:rsidR="0019605F" w:rsidRPr="00CF7D68">
              <w:rPr>
                <w:iCs/>
              </w:rPr>
              <w:t xml:space="preserve"> per QALY gained</w:t>
            </w:r>
            <w:r w:rsidR="00474A88" w:rsidRPr="00CF7D68">
              <w:rPr>
                <w:iCs/>
              </w:rPr>
              <w:t>.</w:t>
            </w:r>
            <w:r w:rsidR="005405A0" w:rsidRPr="00CF7D68">
              <w:rPr>
                <w:iCs/>
              </w:rPr>
              <w:t xml:space="preserve"> </w:t>
            </w:r>
            <w:r w:rsidR="005405A0" w:rsidRPr="00CF7D68">
              <w:t xml:space="preserve">The ESC </w:t>
            </w:r>
            <w:r w:rsidR="00F9012B" w:rsidRPr="00CF7D68">
              <w:t xml:space="preserve">advised </w:t>
            </w:r>
            <w:r w:rsidR="003E1991" w:rsidRPr="00CF7D68">
              <w:t>that</w:t>
            </w:r>
            <w:r w:rsidR="005405A0" w:rsidRPr="00CF7D68">
              <w:t xml:space="preserve"> the cost for dialysis estimated </w:t>
            </w:r>
            <w:r w:rsidR="00C846A0" w:rsidRPr="00CF7D68">
              <w:t>by</w:t>
            </w:r>
            <w:r w:rsidR="005405A0" w:rsidRPr="00CF7D68">
              <w:t xml:space="preserve"> the evaluation</w:t>
            </w:r>
            <w:r w:rsidR="003E1991" w:rsidRPr="00CF7D68">
              <w:t xml:space="preserve"> more accurately reflected current Australian </w:t>
            </w:r>
            <w:r w:rsidR="00491DA8" w:rsidRPr="00CF7D68">
              <w:t>medical costs</w:t>
            </w:r>
            <w:r w:rsidR="003E1991" w:rsidRPr="00CF7D68">
              <w:t xml:space="preserve"> than that estimated in the submission.</w:t>
            </w:r>
          </w:p>
        </w:tc>
        <w:tc>
          <w:tcPr>
            <w:tcW w:w="679" w:type="pct"/>
            <w:shd w:val="clear" w:color="auto" w:fill="auto"/>
            <w:vAlign w:val="center"/>
          </w:tcPr>
          <w:p w14:paraId="75827C26" w14:textId="13B52073" w:rsidR="00F40913" w:rsidRPr="00CF7D68" w:rsidRDefault="00885847" w:rsidP="007028C5">
            <w:pPr>
              <w:pStyle w:val="TableText"/>
              <w:keepNext w:val="0"/>
              <w:widowControl w:val="0"/>
              <w:jc w:val="center"/>
            </w:pPr>
            <w:r w:rsidRPr="00CF7D68">
              <w:t xml:space="preserve">High, favours </w:t>
            </w:r>
            <w:proofErr w:type="spellStart"/>
            <w:r w:rsidRPr="00CF7D68">
              <w:t>finerenone</w:t>
            </w:r>
            <w:proofErr w:type="spellEnd"/>
          </w:p>
        </w:tc>
      </w:tr>
      <w:tr w:rsidR="0076013C" w:rsidRPr="00CF7D68" w14:paraId="204A7CD5" w14:textId="77777777" w:rsidTr="007028C5">
        <w:tc>
          <w:tcPr>
            <w:tcW w:w="711" w:type="pct"/>
            <w:shd w:val="clear" w:color="auto" w:fill="auto"/>
            <w:vAlign w:val="center"/>
          </w:tcPr>
          <w:p w14:paraId="22C73FD3" w14:textId="1EB391E6" w:rsidR="0076013C" w:rsidRPr="00CF7D68" w:rsidRDefault="00885847" w:rsidP="007028C5">
            <w:pPr>
              <w:pStyle w:val="TableText"/>
              <w:keepNext w:val="0"/>
              <w:widowControl w:val="0"/>
              <w:jc w:val="center"/>
            </w:pPr>
            <w:r w:rsidRPr="00CF7D68">
              <w:t>Model structure</w:t>
            </w:r>
          </w:p>
        </w:tc>
        <w:tc>
          <w:tcPr>
            <w:tcW w:w="3610" w:type="pct"/>
            <w:shd w:val="clear" w:color="auto" w:fill="auto"/>
            <w:vAlign w:val="center"/>
          </w:tcPr>
          <w:p w14:paraId="257032A1" w14:textId="7BA3CCAF" w:rsidR="00885847" w:rsidRPr="00CF7D68" w:rsidRDefault="00885847" w:rsidP="007028C5">
            <w:pPr>
              <w:pStyle w:val="TableText"/>
              <w:keepNext w:val="0"/>
              <w:widowControl w:val="0"/>
              <w:spacing w:after="120"/>
            </w:pPr>
            <w:r w:rsidRPr="00CF7D68">
              <w:t xml:space="preserve">The structure of the economic model was largely built around renal impairment/kidney failure health states with the exception of </w:t>
            </w:r>
            <w:r w:rsidR="00375F79" w:rsidRPr="00CF7D68">
              <w:t xml:space="preserve">3 </w:t>
            </w:r>
            <w:r w:rsidRPr="00CF7D68">
              <w:t>modelled variables</w:t>
            </w:r>
            <w:r w:rsidR="00195173">
              <w:t>:</w:t>
            </w:r>
            <w:r w:rsidRPr="00CF7D68">
              <w:t xml:space="preserve"> subsequent cardiovascular events</w:t>
            </w:r>
            <w:r w:rsidR="0037603D" w:rsidRPr="00CF7D68">
              <w:t>,</w:t>
            </w:r>
            <w:r w:rsidRPr="00CF7D68">
              <w:t xml:space="preserve"> hyperkalaemia events and treatment discontinuations.</w:t>
            </w:r>
          </w:p>
          <w:p w14:paraId="1B3CD9B9" w14:textId="197D40A2" w:rsidR="00885847" w:rsidRPr="00CF7D68" w:rsidRDefault="00885847" w:rsidP="007028C5">
            <w:pPr>
              <w:pStyle w:val="TableText"/>
              <w:keepNext w:val="0"/>
              <w:widowControl w:val="0"/>
              <w:rPr>
                <w:iCs/>
              </w:rPr>
            </w:pPr>
            <w:r w:rsidRPr="00CF7D68">
              <w:rPr>
                <w:iCs/>
              </w:rPr>
              <w:t>The decision not to link hyperkalaemia events and treatment discontinuations with renal impairment/kidney failure health states prevent</w:t>
            </w:r>
            <w:r w:rsidR="00195173">
              <w:rPr>
                <w:iCs/>
              </w:rPr>
              <w:t>ed</w:t>
            </w:r>
            <w:r w:rsidRPr="00CF7D68">
              <w:rPr>
                <w:iCs/>
              </w:rPr>
              <w:t xml:space="preserve"> an important interaction between these variables. Based on the natural history of chronic kidney disease it would be expected that as renal disease progresses, it becomes more difficult to maintain electrolyte </w:t>
            </w:r>
            <w:r w:rsidRPr="00CF7D68">
              <w:rPr>
                <w:iCs/>
              </w:rPr>
              <w:lastRenderedPageBreak/>
              <w:t xml:space="preserve">balances and therefore events such as hyperkalaemia become more </w:t>
            </w:r>
            <w:proofErr w:type="gramStart"/>
            <w:r w:rsidRPr="00CF7D68">
              <w:rPr>
                <w:iCs/>
              </w:rPr>
              <w:t>frequent</w:t>
            </w:r>
            <w:proofErr w:type="gramEnd"/>
            <w:r w:rsidRPr="00CF7D68">
              <w:rPr>
                <w:iCs/>
              </w:rPr>
              <w:t xml:space="preserve"> and it becomes more difficult for a patient to remain on therapy with a potassium-sparing diuretic. This pattern appears to be consistent with data from the FIDELITY pooled analyses which indicated that both hyperkalaemia events and discontinuations were more frequent in patients with lower renal function.</w:t>
            </w:r>
            <w:r w:rsidR="00C90533" w:rsidRPr="00CF7D68">
              <w:rPr>
                <w:iCs/>
              </w:rPr>
              <w:t xml:space="preserve"> </w:t>
            </w:r>
            <w:r w:rsidR="00FA68AE" w:rsidRPr="00CF7D68">
              <w:t>The PSCR argued that as most patients in the FIDELITY trial had poor renal function at baseline</w:t>
            </w:r>
            <w:r w:rsidR="002E0A75" w:rsidRPr="00CF7D68">
              <w:t xml:space="preserve"> (approx</w:t>
            </w:r>
            <w:r w:rsidR="004A190B" w:rsidRPr="00CF7D68">
              <w:t>imately</w:t>
            </w:r>
            <w:r w:rsidR="002E0A75" w:rsidRPr="00CF7D68">
              <w:t xml:space="preserve"> 60% with CKD 3 or worse)</w:t>
            </w:r>
            <w:r w:rsidR="00FA68AE" w:rsidRPr="00CF7D68">
              <w:t xml:space="preserve">, the </w:t>
            </w:r>
            <w:r w:rsidR="002E0A75" w:rsidRPr="00CF7D68">
              <w:t xml:space="preserve">unadjusted </w:t>
            </w:r>
            <w:r w:rsidR="00FA68AE" w:rsidRPr="00CF7D68">
              <w:t xml:space="preserve">trial data </w:t>
            </w:r>
            <w:r w:rsidR="002E0A75" w:rsidRPr="00CF7D68">
              <w:t xml:space="preserve">adequately </w:t>
            </w:r>
            <w:r w:rsidR="00FA68AE" w:rsidRPr="00CF7D68">
              <w:t>captured the risk of hyperkalaemia and risk of treatment discontinuation in these patients.</w:t>
            </w:r>
            <w:r w:rsidR="002E0A75" w:rsidRPr="00CF7D68">
              <w:t xml:space="preserve"> The ESC noted that trial-based treatment compliance </w:t>
            </w:r>
            <w:r w:rsidR="00AA79E2" w:rsidRPr="00CF7D68">
              <w:t>and hyperkalaemia events may not reflect treatment experience in the extrapolated period as disease progresses.</w:t>
            </w:r>
            <w:r w:rsidR="002E0A75" w:rsidRPr="00CF7D68">
              <w:t xml:space="preserve"> </w:t>
            </w:r>
            <w:r w:rsidR="00515CA1" w:rsidRPr="00CF7D68">
              <w:t>The pre-PBAC response argued that subgroup analysis of the FIDELITY data show</w:t>
            </w:r>
            <w:r w:rsidR="00F41DFA" w:rsidRPr="00CF7D68">
              <w:t>ed</w:t>
            </w:r>
            <w:r w:rsidR="00515CA1" w:rsidRPr="00CF7D68">
              <w:t xml:space="preserve"> </w:t>
            </w:r>
            <w:r w:rsidR="00F41DFA" w:rsidRPr="00CF7D68">
              <w:t xml:space="preserve">no </w:t>
            </w:r>
            <w:r w:rsidR="00515CA1" w:rsidRPr="00CF7D68">
              <w:t>difference in the relative risk of hyperkal</w:t>
            </w:r>
            <w:r w:rsidR="00FB38AB" w:rsidRPr="00CF7D68">
              <w:t>a</w:t>
            </w:r>
            <w:r w:rsidR="00515CA1" w:rsidRPr="00CF7D68">
              <w:t>emia by eGFR stage</w:t>
            </w:r>
            <w:r w:rsidR="00F41DFA" w:rsidRPr="00CF7D68">
              <w:t xml:space="preserve"> and</w:t>
            </w:r>
            <w:r w:rsidR="00FB38AB" w:rsidRPr="00CF7D68">
              <w:t xml:space="preserve"> therefore</w:t>
            </w:r>
            <w:r w:rsidR="00F41DFA" w:rsidRPr="00CF7D68">
              <w:t xml:space="preserve"> the linking of </w:t>
            </w:r>
            <w:r w:rsidR="00F41DFA" w:rsidRPr="00CF7D68">
              <w:rPr>
                <w:iCs/>
              </w:rPr>
              <w:t>hyperkalaemia events and treatment discontinuations with renal impairment/kidney failure health states</w:t>
            </w:r>
            <w:r w:rsidR="00FB38AB" w:rsidRPr="00CF7D68">
              <w:rPr>
                <w:iCs/>
              </w:rPr>
              <w:t xml:space="preserve"> would have minimal impact on the results and would over complicate the model.</w:t>
            </w:r>
          </w:p>
        </w:tc>
        <w:tc>
          <w:tcPr>
            <w:tcW w:w="679" w:type="pct"/>
            <w:shd w:val="clear" w:color="auto" w:fill="auto"/>
            <w:vAlign w:val="center"/>
          </w:tcPr>
          <w:p w14:paraId="2831F9D7" w14:textId="0084E801" w:rsidR="0076013C" w:rsidRPr="00CF7D68" w:rsidRDefault="0076013C" w:rsidP="007028C5">
            <w:pPr>
              <w:pStyle w:val="TableText"/>
              <w:keepNext w:val="0"/>
              <w:widowControl w:val="0"/>
              <w:jc w:val="center"/>
            </w:pPr>
            <w:r w:rsidRPr="00CF7D68">
              <w:lastRenderedPageBreak/>
              <w:t>High,</w:t>
            </w:r>
            <w:r w:rsidR="00885847" w:rsidRPr="00CF7D68">
              <w:t xml:space="preserve"> favours </w:t>
            </w:r>
            <w:proofErr w:type="spellStart"/>
            <w:r w:rsidR="00885847" w:rsidRPr="00CF7D68">
              <w:t>finerenone</w:t>
            </w:r>
            <w:proofErr w:type="spellEnd"/>
          </w:p>
        </w:tc>
      </w:tr>
    </w:tbl>
    <w:p w14:paraId="7DAD320B" w14:textId="717BFFD0" w:rsidR="0076013C" w:rsidRPr="00CF7D68" w:rsidRDefault="0076013C" w:rsidP="00250B01">
      <w:pPr>
        <w:pStyle w:val="TableFooter"/>
      </w:pPr>
      <w:r w:rsidRPr="00CF7D68">
        <w:t>Source: Constructed during the evaluation</w:t>
      </w:r>
    </w:p>
    <w:p w14:paraId="3D11D06A" w14:textId="6D9BD0A4" w:rsidR="0037603D" w:rsidRPr="00CF7D68" w:rsidRDefault="0037603D" w:rsidP="00250B01">
      <w:pPr>
        <w:pStyle w:val="TableFooter"/>
      </w:pPr>
      <w:r w:rsidRPr="00CF7D68">
        <w:t xml:space="preserve">Abbreviations: AIHW, Australian Institute of Health and Welfare; AR-DRG, Australian Refined Diagnosis Related Groups; CKD, chronic kidney disease; CPI, consumer price index; </w:t>
      </w:r>
      <w:r w:rsidR="00EE3B7C">
        <w:t>eGFR, e</w:t>
      </w:r>
      <w:r w:rsidR="00EE3B7C" w:rsidRPr="00EE3B7C">
        <w:t xml:space="preserve">stimated </w:t>
      </w:r>
      <w:r w:rsidR="00EE3B7C">
        <w:t>g</w:t>
      </w:r>
      <w:r w:rsidR="00EE3B7C" w:rsidRPr="00EE3B7C">
        <w:t xml:space="preserve">lomerular </w:t>
      </w:r>
      <w:r w:rsidR="00EE3B7C">
        <w:t>f</w:t>
      </w:r>
      <w:r w:rsidR="00EE3B7C" w:rsidRPr="00EE3B7C">
        <w:t xml:space="preserve">iltration </w:t>
      </w:r>
      <w:r w:rsidR="00EE3B7C">
        <w:t>r</w:t>
      </w:r>
      <w:r w:rsidR="00EE3B7C" w:rsidRPr="00EE3B7C">
        <w:t>ate</w:t>
      </w:r>
      <w:r w:rsidR="00EE3B7C">
        <w:t xml:space="preserve">; </w:t>
      </w:r>
      <w:r w:rsidRPr="00CF7D68">
        <w:t>PBAC, Pharmaceutical Benefits Advisory Committee; PBS, Pharmaceutical Benefits Scheme</w:t>
      </w:r>
    </w:p>
    <w:p w14:paraId="398BE5DD" w14:textId="05E769A4" w:rsidR="00C846A0" w:rsidRPr="00CF7D68" w:rsidRDefault="004B2293" w:rsidP="0019605F">
      <w:pPr>
        <w:pStyle w:val="ExecSumBodyText"/>
        <w:ind w:left="709" w:hanging="709"/>
        <w:rPr>
          <w:iCs/>
        </w:rPr>
      </w:pPr>
      <w:r w:rsidRPr="00CF7D68">
        <w:rPr>
          <w:iCs/>
        </w:rPr>
        <w:t>Although not a key driver of the model, t</w:t>
      </w:r>
      <w:r w:rsidR="00C846A0" w:rsidRPr="00CF7D68">
        <w:rPr>
          <w:iCs/>
        </w:rPr>
        <w:t>he ESC considered the utility values of the health states to be high compared to other reported literature values and in some cases considered the relativities between the trial</w:t>
      </w:r>
      <w:r w:rsidRPr="00CF7D68">
        <w:rPr>
          <w:iCs/>
        </w:rPr>
        <w:t>-</w:t>
      </w:r>
      <w:r w:rsidR="00C846A0" w:rsidRPr="00CF7D68">
        <w:rPr>
          <w:iCs/>
        </w:rPr>
        <w:t>based utilities to be implausible. For example, the CKD 1/2 health state was associated with a utility value of 0.782, which represents a health state that is predominately asymptomatic</w:t>
      </w:r>
      <w:r w:rsidR="00573371" w:rsidRPr="00CF7D68">
        <w:rPr>
          <w:iCs/>
        </w:rPr>
        <w:t xml:space="preserve"> for many patients</w:t>
      </w:r>
      <w:r w:rsidR="00C846A0" w:rsidRPr="00CF7D68">
        <w:rPr>
          <w:iCs/>
        </w:rPr>
        <w:t>. However, the chronic transplant health state was associated with a utility of 0.885</w:t>
      </w:r>
      <w:r w:rsidR="00A32FE4" w:rsidRPr="00CF7D68">
        <w:rPr>
          <w:iCs/>
        </w:rPr>
        <w:t xml:space="preserve">, despite the health </w:t>
      </w:r>
      <w:r w:rsidR="00386FAB" w:rsidRPr="00CF7D68">
        <w:rPr>
          <w:iCs/>
        </w:rPr>
        <w:t>and quality of life implications</w:t>
      </w:r>
      <w:r w:rsidR="00A32FE4" w:rsidRPr="00CF7D68">
        <w:rPr>
          <w:iCs/>
        </w:rPr>
        <w:t xml:space="preserve"> associated with</w:t>
      </w:r>
      <w:r w:rsidR="00DD35D0" w:rsidRPr="00CF7D68">
        <w:rPr>
          <w:iCs/>
        </w:rPr>
        <w:t xml:space="preserve"> </w:t>
      </w:r>
      <w:r w:rsidR="00A32FE4" w:rsidRPr="00CF7D68">
        <w:rPr>
          <w:iCs/>
        </w:rPr>
        <w:t>transplant</w:t>
      </w:r>
      <w:r w:rsidR="00386FAB" w:rsidRPr="00CF7D68">
        <w:rPr>
          <w:iCs/>
        </w:rPr>
        <w:t>,</w:t>
      </w:r>
      <w:r w:rsidR="00A32FE4" w:rsidRPr="00CF7D68">
        <w:rPr>
          <w:iCs/>
        </w:rPr>
        <w:t xml:space="preserve"> such as immunosuppression</w:t>
      </w:r>
      <w:r w:rsidR="00573371" w:rsidRPr="00CF7D68">
        <w:rPr>
          <w:iCs/>
        </w:rPr>
        <w:t xml:space="preserve"> and its adverse effects </w:t>
      </w:r>
      <w:r w:rsidR="00A32FE4" w:rsidRPr="00CF7D68">
        <w:rPr>
          <w:iCs/>
        </w:rPr>
        <w:t xml:space="preserve">and </w:t>
      </w:r>
      <w:r w:rsidR="00573371" w:rsidRPr="00CF7D68">
        <w:rPr>
          <w:iCs/>
        </w:rPr>
        <w:t>fear of graft loss and return to dialysis</w:t>
      </w:r>
      <w:r w:rsidR="00C846A0" w:rsidRPr="00CF7D68">
        <w:rPr>
          <w:iCs/>
        </w:rPr>
        <w:t xml:space="preserve">. The ESC considered the </w:t>
      </w:r>
      <w:r w:rsidR="00386FAB" w:rsidRPr="00CF7D68">
        <w:rPr>
          <w:iCs/>
        </w:rPr>
        <w:t>utility</w:t>
      </w:r>
      <w:r w:rsidR="00C846A0" w:rsidRPr="00CF7D68">
        <w:rPr>
          <w:iCs/>
        </w:rPr>
        <w:t xml:space="preserve"> values lacked face validity and advised they be replaced by values obtained from the literature. </w:t>
      </w:r>
    </w:p>
    <w:p w14:paraId="427B0B8A" w14:textId="2B6EC279" w:rsidR="002616ED" w:rsidRPr="00CF7D68" w:rsidRDefault="002616ED" w:rsidP="00AC5893">
      <w:pPr>
        <w:pStyle w:val="ExecSumBodyText"/>
      </w:pPr>
      <w:r w:rsidRPr="00CF7D68">
        <w:t xml:space="preserve">The results of the stepped economic evaluation are summarised in </w:t>
      </w:r>
      <w:r w:rsidR="00375F79" w:rsidRPr="00CF7D68">
        <w:fldChar w:fldCharType="begin"/>
      </w:r>
      <w:r w:rsidR="00375F79" w:rsidRPr="00CF7D68">
        <w:instrText xml:space="preserve"> REF _Ref103274429 \h </w:instrText>
      </w:r>
      <w:r w:rsidR="00375F79" w:rsidRPr="00CF7D68">
        <w:fldChar w:fldCharType="separate"/>
      </w:r>
      <w:r w:rsidR="00AE5D6E" w:rsidRPr="00CF7D68">
        <w:t xml:space="preserve">Table </w:t>
      </w:r>
      <w:r w:rsidR="00AE5D6E">
        <w:rPr>
          <w:noProof/>
        </w:rPr>
        <w:t>14</w:t>
      </w:r>
      <w:r w:rsidR="00375F79" w:rsidRPr="00CF7D68">
        <w:fldChar w:fldCharType="end"/>
      </w:r>
      <w:r w:rsidR="00375F79" w:rsidRPr="00CF7D68">
        <w:t xml:space="preserve"> </w:t>
      </w:r>
      <w:r w:rsidRPr="00CF7D68">
        <w:t>below.</w:t>
      </w:r>
    </w:p>
    <w:p w14:paraId="256380A6" w14:textId="08489555" w:rsidR="00AC5893" w:rsidRPr="00CF7D68" w:rsidRDefault="00AC5893" w:rsidP="00CD1B39">
      <w:pPr>
        <w:pStyle w:val="TableHeading"/>
        <w:keepLines/>
        <w:widowControl w:val="0"/>
      </w:pPr>
      <w:bookmarkStart w:id="47" w:name="_Ref103274429"/>
      <w:r w:rsidRPr="00CF7D68">
        <w:lastRenderedPageBreak/>
        <w:t xml:space="preserve">Table </w:t>
      </w:r>
      <w:r w:rsidR="00F9376A">
        <w:fldChar w:fldCharType="begin"/>
      </w:r>
      <w:r w:rsidR="00F9376A">
        <w:instrText xml:space="preserve"> SEQ Table \* ARABIC </w:instrText>
      </w:r>
      <w:r w:rsidR="00F9376A">
        <w:fldChar w:fldCharType="separate"/>
      </w:r>
      <w:r w:rsidR="00AE5D6E">
        <w:rPr>
          <w:noProof/>
        </w:rPr>
        <w:t>14</w:t>
      </w:r>
      <w:r w:rsidR="00F9376A">
        <w:rPr>
          <w:noProof/>
        </w:rPr>
        <w:fldChar w:fldCharType="end"/>
      </w:r>
      <w:bookmarkEnd w:id="47"/>
      <w:r w:rsidRPr="00CF7D68">
        <w:t xml:space="preserve">: Stepped economic evaluation of </w:t>
      </w:r>
      <w:proofErr w:type="spellStart"/>
      <w:r w:rsidRPr="00CF7D68">
        <w:t>finerenone</w:t>
      </w:r>
      <w:proofErr w:type="spellEnd"/>
      <w:r w:rsidRPr="00CF7D68">
        <w:t xml:space="preserve"> compared to placebo for the treatment of diabetic kidney disease</w:t>
      </w:r>
    </w:p>
    <w:tbl>
      <w:tblPr>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3"/>
        <w:gridCol w:w="1944"/>
        <w:gridCol w:w="1946"/>
        <w:gridCol w:w="2585"/>
      </w:tblGrid>
      <w:tr w:rsidR="002616ED" w:rsidRPr="00CF7D68" w14:paraId="79F46034" w14:textId="77777777" w:rsidTr="0018683B">
        <w:trPr>
          <w:trHeight w:val="469"/>
          <w:tblHeader/>
        </w:trPr>
        <w:tc>
          <w:tcPr>
            <w:tcW w:w="1406" w:type="pct"/>
            <w:vAlign w:val="center"/>
          </w:tcPr>
          <w:p w14:paraId="057678D0" w14:textId="77777777" w:rsidR="002616ED" w:rsidRPr="00CF7D68" w:rsidRDefault="002616ED" w:rsidP="00CD1B39">
            <w:pPr>
              <w:pStyle w:val="TableText"/>
              <w:keepLines/>
              <w:widowControl w:val="0"/>
              <w:jc w:val="center"/>
              <w:rPr>
                <w:b/>
              </w:rPr>
            </w:pPr>
            <w:r w:rsidRPr="00CF7D68">
              <w:rPr>
                <w:b/>
              </w:rPr>
              <w:t>Type of resource item</w:t>
            </w:r>
          </w:p>
        </w:tc>
        <w:tc>
          <w:tcPr>
            <w:tcW w:w="1079" w:type="pct"/>
            <w:vAlign w:val="center"/>
          </w:tcPr>
          <w:p w14:paraId="2D058893" w14:textId="77777777" w:rsidR="002616ED" w:rsidRPr="00CF7D68" w:rsidRDefault="002616ED" w:rsidP="00CD1B39">
            <w:pPr>
              <w:pStyle w:val="TableText"/>
              <w:keepLines/>
              <w:widowControl w:val="0"/>
              <w:jc w:val="center"/>
              <w:rPr>
                <w:b/>
              </w:rPr>
            </w:pPr>
            <w:proofErr w:type="spellStart"/>
            <w:r w:rsidRPr="00CF7D68">
              <w:rPr>
                <w:b/>
              </w:rPr>
              <w:t>Finerenone</w:t>
            </w:r>
            <w:proofErr w:type="spellEnd"/>
          </w:p>
        </w:tc>
        <w:tc>
          <w:tcPr>
            <w:tcW w:w="1080" w:type="pct"/>
            <w:vAlign w:val="center"/>
          </w:tcPr>
          <w:p w14:paraId="48552E0B" w14:textId="77777777" w:rsidR="002616ED" w:rsidRPr="00CF7D68" w:rsidRDefault="002616ED" w:rsidP="00CD1B39">
            <w:pPr>
              <w:pStyle w:val="TableText"/>
              <w:keepLines/>
              <w:widowControl w:val="0"/>
              <w:jc w:val="center"/>
              <w:rPr>
                <w:b/>
              </w:rPr>
            </w:pPr>
            <w:r w:rsidRPr="00CF7D68">
              <w:rPr>
                <w:b/>
              </w:rPr>
              <w:t>Placebo</w:t>
            </w:r>
          </w:p>
        </w:tc>
        <w:tc>
          <w:tcPr>
            <w:tcW w:w="1435" w:type="pct"/>
          </w:tcPr>
          <w:p w14:paraId="06D43025" w14:textId="77777777" w:rsidR="002616ED" w:rsidRPr="00CF7D68" w:rsidRDefault="002616ED" w:rsidP="00CD1B39">
            <w:pPr>
              <w:pStyle w:val="TableText"/>
              <w:keepLines/>
              <w:widowControl w:val="0"/>
              <w:jc w:val="center"/>
              <w:rPr>
                <w:b/>
              </w:rPr>
            </w:pPr>
            <w:r w:rsidRPr="00CF7D68">
              <w:rPr>
                <w:b/>
              </w:rPr>
              <w:t xml:space="preserve">Incremental </w:t>
            </w:r>
          </w:p>
          <w:p w14:paraId="1547AE3F" w14:textId="77777777" w:rsidR="002616ED" w:rsidRPr="00CF7D68" w:rsidRDefault="002616ED" w:rsidP="00CD1B39">
            <w:pPr>
              <w:pStyle w:val="TableText"/>
              <w:keepLines/>
              <w:widowControl w:val="0"/>
              <w:jc w:val="center"/>
              <w:rPr>
                <w:b/>
              </w:rPr>
            </w:pPr>
            <w:r w:rsidRPr="00CF7D68">
              <w:rPr>
                <w:b/>
              </w:rPr>
              <w:t>difference</w:t>
            </w:r>
          </w:p>
        </w:tc>
      </w:tr>
      <w:tr w:rsidR="002616ED" w:rsidRPr="00CF7D68" w14:paraId="533D6C5D" w14:textId="77777777" w:rsidTr="00BD693B">
        <w:tc>
          <w:tcPr>
            <w:tcW w:w="5000" w:type="pct"/>
            <w:gridSpan w:val="4"/>
          </w:tcPr>
          <w:p w14:paraId="2F1BA95F" w14:textId="77777777" w:rsidR="002616ED" w:rsidRPr="00CF7D68" w:rsidRDefault="002616ED" w:rsidP="00CD1B39">
            <w:pPr>
              <w:pStyle w:val="TableText"/>
              <w:keepLines/>
              <w:widowControl w:val="0"/>
              <w:jc w:val="both"/>
              <w:rPr>
                <w:b/>
              </w:rPr>
            </w:pPr>
            <w:r w:rsidRPr="00CF7D68">
              <w:rPr>
                <w:b/>
              </w:rPr>
              <w:t xml:space="preserve">Step 1: Trial-based analysis (3 years) using </w:t>
            </w:r>
            <w:proofErr w:type="spellStart"/>
            <w:r w:rsidRPr="00CF7D68">
              <w:rPr>
                <w:b/>
              </w:rPr>
              <w:t>finerenone</w:t>
            </w:r>
            <w:proofErr w:type="spellEnd"/>
            <w:r w:rsidRPr="00CF7D68">
              <w:rPr>
                <w:b/>
              </w:rPr>
              <w:t xml:space="preserve"> drug costs only with no discounting, discontinuations, or mortality</w:t>
            </w:r>
          </w:p>
        </w:tc>
      </w:tr>
      <w:tr w:rsidR="002616ED" w:rsidRPr="00CF7D68" w14:paraId="236B63EE" w14:textId="77777777" w:rsidTr="00BD693B">
        <w:tc>
          <w:tcPr>
            <w:tcW w:w="1406" w:type="pct"/>
          </w:tcPr>
          <w:p w14:paraId="7673173B" w14:textId="77777777" w:rsidR="002616ED" w:rsidRPr="00CF7D68" w:rsidRDefault="002616ED" w:rsidP="00CD1B39">
            <w:pPr>
              <w:pStyle w:val="TableText"/>
              <w:keepLines/>
              <w:widowControl w:val="0"/>
            </w:pPr>
            <w:r w:rsidRPr="00CF7D68">
              <w:t>Costs</w:t>
            </w:r>
          </w:p>
        </w:tc>
        <w:tc>
          <w:tcPr>
            <w:tcW w:w="1079" w:type="pct"/>
            <w:vAlign w:val="bottom"/>
          </w:tcPr>
          <w:p w14:paraId="384F1E68" w14:textId="5382A8A6" w:rsidR="002616ED" w:rsidRPr="00CF7D68" w:rsidRDefault="002616ED" w:rsidP="00CD1B39">
            <w:pPr>
              <w:pStyle w:val="TableText"/>
              <w:keepLines/>
              <w:widowControl w:val="0"/>
              <w:jc w:val="center"/>
            </w:pPr>
            <w:r w:rsidRPr="00CF7D68">
              <w:t>$</w:t>
            </w:r>
            <w:r w:rsidR="00A973A1" w:rsidRPr="00A973A1">
              <w:rPr>
                <w:color w:val="000000"/>
                <w:shd w:val="solid" w:color="000000" w:fill="000000"/>
                <w14:textFill>
                  <w14:solidFill>
                    <w14:srgbClr w14:val="000000">
                      <w14:alpha w14:val="100000"/>
                    </w14:srgbClr>
                  </w14:solidFill>
                </w14:textFill>
              </w:rPr>
              <w:t>|</w:t>
            </w:r>
          </w:p>
        </w:tc>
        <w:tc>
          <w:tcPr>
            <w:tcW w:w="1080" w:type="pct"/>
            <w:vAlign w:val="bottom"/>
          </w:tcPr>
          <w:p w14:paraId="4E4E4BE1" w14:textId="77777777" w:rsidR="002616ED" w:rsidRPr="00CF7D68" w:rsidRDefault="002616ED" w:rsidP="00CD1B39">
            <w:pPr>
              <w:pStyle w:val="TableText"/>
              <w:keepLines/>
              <w:widowControl w:val="0"/>
              <w:jc w:val="center"/>
            </w:pPr>
            <w:r w:rsidRPr="00CF7D68">
              <w:t>$0</w:t>
            </w:r>
          </w:p>
        </w:tc>
        <w:tc>
          <w:tcPr>
            <w:tcW w:w="1435" w:type="pct"/>
            <w:vAlign w:val="center"/>
          </w:tcPr>
          <w:p w14:paraId="2CC1D73F" w14:textId="6E847F74" w:rsidR="002616ED" w:rsidRPr="00CF7D68" w:rsidRDefault="002616ED" w:rsidP="00CD1B39">
            <w:pPr>
              <w:pStyle w:val="TableText"/>
              <w:keepLines/>
              <w:widowControl w:val="0"/>
              <w:jc w:val="center"/>
            </w:pPr>
            <w:r w:rsidRPr="00CF7D68">
              <w:t>$</w:t>
            </w:r>
            <w:r w:rsidR="00A973A1" w:rsidRPr="00A973A1">
              <w:rPr>
                <w:color w:val="000000"/>
                <w:shd w:val="solid" w:color="000000" w:fill="000000"/>
                <w14:textFill>
                  <w14:solidFill>
                    <w14:srgbClr w14:val="000000">
                      <w14:alpha w14:val="100000"/>
                    </w14:srgbClr>
                  </w14:solidFill>
                </w14:textFill>
              </w:rPr>
              <w:t>|</w:t>
            </w:r>
          </w:p>
        </w:tc>
      </w:tr>
      <w:tr w:rsidR="002616ED" w:rsidRPr="00CF7D68" w14:paraId="1B537473" w14:textId="77777777" w:rsidTr="00BD693B">
        <w:tc>
          <w:tcPr>
            <w:tcW w:w="1406" w:type="pct"/>
          </w:tcPr>
          <w:p w14:paraId="69E56558" w14:textId="02C163E9" w:rsidR="002616ED" w:rsidRPr="00CF7D68" w:rsidRDefault="002616ED" w:rsidP="00CD1B39">
            <w:pPr>
              <w:pStyle w:val="TableText"/>
              <w:keepLines/>
              <w:widowControl w:val="0"/>
            </w:pPr>
            <w:r w:rsidRPr="00CF7D68">
              <w:t>Patients with renal failure</w:t>
            </w:r>
          </w:p>
        </w:tc>
        <w:tc>
          <w:tcPr>
            <w:tcW w:w="1079" w:type="pct"/>
            <w:vAlign w:val="center"/>
          </w:tcPr>
          <w:p w14:paraId="206DD08A" w14:textId="77777777" w:rsidR="002616ED" w:rsidRPr="005C681F" w:rsidRDefault="002616ED" w:rsidP="00CD1B39">
            <w:pPr>
              <w:pStyle w:val="TableText"/>
              <w:keepLines/>
              <w:widowControl w:val="0"/>
              <w:jc w:val="center"/>
            </w:pPr>
            <w:r w:rsidRPr="005C681F">
              <w:t>0.030</w:t>
            </w:r>
          </w:p>
        </w:tc>
        <w:tc>
          <w:tcPr>
            <w:tcW w:w="1080" w:type="pct"/>
            <w:vAlign w:val="center"/>
          </w:tcPr>
          <w:p w14:paraId="2FE6035E" w14:textId="77777777" w:rsidR="002616ED" w:rsidRPr="00CF7D68" w:rsidRDefault="002616ED" w:rsidP="00CD1B39">
            <w:pPr>
              <w:pStyle w:val="TableText"/>
              <w:keepLines/>
              <w:widowControl w:val="0"/>
              <w:jc w:val="center"/>
            </w:pPr>
            <w:r w:rsidRPr="00CF7D68">
              <w:t>0.036</w:t>
            </w:r>
          </w:p>
        </w:tc>
        <w:tc>
          <w:tcPr>
            <w:tcW w:w="1435" w:type="pct"/>
            <w:vAlign w:val="center"/>
          </w:tcPr>
          <w:p w14:paraId="261C00B2" w14:textId="77777777" w:rsidR="002616ED" w:rsidRPr="00CF7D68" w:rsidRDefault="002616ED" w:rsidP="00CD1B39">
            <w:pPr>
              <w:pStyle w:val="TableText"/>
              <w:keepLines/>
              <w:widowControl w:val="0"/>
              <w:jc w:val="center"/>
            </w:pPr>
            <w:r w:rsidRPr="00CF7D68">
              <w:t>-0.006</w:t>
            </w:r>
          </w:p>
        </w:tc>
      </w:tr>
      <w:tr w:rsidR="002616ED" w:rsidRPr="00CF7D68" w14:paraId="04DF3A22" w14:textId="77777777" w:rsidTr="00BD693B">
        <w:tc>
          <w:tcPr>
            <w:tcW w:w="1406" w:type="pct"/>
          </w:tcPr>
          <w:p w14:paraId="6BA713B3" w14:textId="77777777" w:rsidR="002616ED" w:rsidRPr="00CF7D68" w:rsidRDefault="002616ED" w:rsidP="00CD1B39">
            <w:pPr>
              <w:pStyle w:val="TableText"/>
              <w:keepLines/>
              <w:widowControl w:val="0"/>
            </w:pPr>
            <w:r w:rsidRPr="00CF7D68">
              <w:t>Number of cardiovascular events</w:t>
            </w:r>
          </w:p>
        </w:tc>
        <w:tc>
          <w:tcPr>
            <w:tcW w:w="1079" w:type="pct"/>
            <w:vAlign w:val="center"/>
          </w:tcPr>
          <w:p w14:paraId="03ABB583" w14:textId="77777777" w:rsidR="002616ED" w:rsidRPr="005C681F" w:rsidRDefault="002616ED" w:rsidP="00CD1B39">
            <w:pPr>
              <w:pStyle w:val="TableText"/>
              <w:keepLines/>
              <w:widowControl w:val="0"/>
              <w:jc w:val="center"/>
            </w:pPr>
            <w:r w:rsidRPr="005C681F">
              <w:t>0.095</w:t>
            </w:r>
          </w:p>
        </w:tc>
        <w:tc>
          <w:tcPr>
            <w:tcW w:w="1080" w:type="pct"/>
            <w:vAlign w:val="center"/>
          </w:tcPr>
          <w:p w14:paraId="6D5F2340" w14:textId="77777777" w:rsidR="002616ED" w:rsidRPr="00CF7D68" w:rsidRDefault="002616ED" w:rsidP="00CD1B39">
            <w:pPr>
              <w:pStyle w:val="TableText"/>
              <w:keepLines/>
              <w:widowControl w:val="0"/>
              <w:jc w:val="center"/>
            </w:pPr>
            <w:r w:rsidRPr="00CF7D68">
              <w:t>0.116</w:t>
            </w:r>
          </w:p>
        </w:tc>
        <w:tc>
          <w:tcPr>
            <w:tcW w:w="1435" w:type="pct"/>
            <w:vAlign w:val="center"/>
          </w:tcPr>
          <w:p w14:paraId="75D84515" w14:textId="77777777" w:rsidR="002616ED" w:rsidRPr="00CF7D68" w:rsidRDefault="002616ED" w:rsidP="00CD1B39">
            <w:pPr>
              <w:pStyle w:val="TableText"/>
              <w:keepLines/>
              <w:widowControl w:val="0"/>
              <w:jc w:val="center"/>
            </w:pPr>
            <w:r w:rsidRPr="00CF7D68">
              <w:t>-0.021</w:t>
            </w:r>
          </w:p>
        </w:tc>
      </w:tr>
      <w:tr w:rsidR="002616ED" w:rsidRPr="00CF7D68" w14:paraId="7E52E892" w14:textId="77777777" w:rsidTr="00BD693B">
        <w:tc>
          <w:tcPr>
            <w:tcW w:w="3565" w:type="pct"/>
            <w:gridSpan w:val="3"/>
          </w:tcPr>
          <w:p w14:paraId="02C5D570" w14:textId="77777777" w:rsidR="002616ED" w:rsidRPr="00CF7D68" w:rsidRDefault="002616ED" w:rsidP="00CD1B39">
            <w:pPr>
              <w:pStyle w:val="TableText"/>
              <w:keepLines/>
              <w:widowControl w:val="0"/>
              <w:jc w:val="right"/>
              <w:rPr>
                <w:b/>
              </w:rPr>
            </w:pPr>
            <w:r w:rsidRPr="00CF7D68">
              <w:rPr>
                <w:b/>
              </w:rPr>
              <w:t>Incremental cost per patient free of renal failure</w:t>
            </w:r>
          </w:p>
        </w:tc>
        <w:tc>
          <w:tcPr>
            <w:tcW w:w="1435" w:type="pct"/>
            <w:vAlign w:val="center"/>
          </w:tcPr>
          <w:p w14:paraId="7A99EE2B" w14:textId="2D495865" w:rsidR="002616ED" w:rsidRPr="00C856F6" w:rsidRDefault="002616ED" w:rsidP="00CD1B39">
            <w:pPr>
              <w:pStyle w:val="TableText"/>
              <w:keepLines/>
              <w:widowControl w:val="0"/>
              <w:jc w:val="center"/>
              <w:rPr>
                <w:vertAlign w:val="superscript"/>
              </w:rPr>
            </w:pPr>
            <w:r w:rsidRPr="00CF7D68">
              <w:t>$</w:t>
            </w:r>
            <w:r w:rsidR="00A973A1" w:rsidRPr="00A973A1">
              <w:rPr>
                <w:color w:val="000000"/>
                <w:shd w:val="solid" w:color="000000" w:fill="000000"/>
                <w14:textFill>
                  <w14:solidFill>
                    <w14:srgbClr w14:val="000000">
                      <w14:alpha w14:val="100000"/>
                    </w14:srgbClr>
                  </w14:solidFill>
                </w14:textFill>
              </w:rPr>
              <w:t>|</w:t>
            </w:r>
            <w:r w:rsidR="009D674A">
              <w:rPr>
                <w:vertAlign w:val="superscript"/>
              </w:rPr>
              <w:t>1</w:t>
            </w:r>
          </w:p>
        </w:tc>
      </w:tr>
      <w:tr w:rsidR="002616ED" w:rsidRPr="00CF7D68" w14:paraId="6940990D" w14:textId="77777777" w:rsidTr="00BD693B">
        <w:tc>
          <w:tcPr>
            <w:tcW w:w="3565" w:type="pct"/>
            <w:gridSpan w:val="3"/>
          </w:tcPr>
          <w:p w14:paraId="4DB13109" w14:textId="77777777" w:rsidR="002616ED" w:rsidRPr="00CF7D68" w:rsidRDefault="002616ED" w:rsidP="00CD1B39">
            <w:pPr>
              <w:pStyle w:val="TableText"/>
              <w:keepLines/>
              <w:widowControl w:val="0"/>
              <w:jc w:val="right"/>
              <w:rPr>
                <w:b/>
              </w:rPr>
            </w:pPr>
            <w:r w:rsidRPr="00CF7D68">
              <w:rPr>
                <w:b/>
              </w:rPr>
              <w:t>Incremental cost per cardiovascular event avoided</w:t>
            </w:r>
          </w:p>
        </w:tc>
        <w:tc>
          <w:tcPr>
            <w:tcW w:w="1435" w:type="pct"/>
            <w:vAlign w:val="center"/>
          </w:tcPr>
          <w:p w14:paraId="21B2F3D3" w14:textId="337EB150" w:rsidR="002616ED" w:rsidRPr="00C856F6" w:rsidRDefault="002616ED" w:rsidP="00CD1B39">
            <w:pPr>
              <w:pStyle w:val="TableText"/>
              <w:keepLines/>
              <w:widowControl w:val="0"/>
              <w:jc w:val="center"/>
              <w:rPr>
                <w:vertAlign w:val="superscript"/>
              </w:rPr>
            </w:pPr>
            <w:r w:rsidRPr="00CF7D68">
              <w:t>$</w:t>
            </w:r>
            <w:r w:rsidR="00A973A1" w:rsidRPr="00A973A1">
              <w:rPr>
                <w:color w:val="000000"/>
                <w:shd w:val="solid" w:color="000000" w:fill="000000"/>
                <w14:textFill>
                  <w14:solidFill>
                    <w14:srgbClr w14:val="000000">
                      <w14:alpha w14:val="100000"/>
                    </w14:srgbClr>
                  </w14:solidFill>
                </w14:textFill>
              </w:rPr>
              <w:t>|</w:t>
            </w:r>
            <w:r w:rsidR="009D674A">
              <w:rPr>
                <w:vertAlign w:val="superscript"/>
              </w:rPr>
              <w:t>2</w:t>
            </w:r>
          </w:p>
        </w:tc>
      </w:tr>
      <w:tr w:rsidR="002616ED" w:rsidRPr="00CF7D68" w14:paraId="20F2BAE5" w14:textId="77777777" w:rsidTr="00BD693B">
        <w:tc>
          <w:tcPr>
            <w:tcW w:w="5000" w:type="pct"/>
            <w:gridSpan w:val="4"/>
          </w:tcPr>
          <w:p w14:paraId="6E3C78C9" w14:textId="77777777" w:rsidR="002616ED" w:rsidRPr="00CF7D68" w:rsidRDefault="002616ED" w:rsidP="00CD1B39">
            <w:pPr>
              <w:pStyle w:val="TableText"/>
              <w:keepLines/>
              <w:widowControl w:val="0"/>
              <w:jc w:val="both"/>
              <w:rPr>
                <w:b/>
              </w:rPr>
            </w:pPr>
            <w:r w:rsidRPr="00CF7D68">
              <w:rPr>
                <w:b/>
              </w:rPr>
              <w:t xml:space="preserve">Step 2a: Model-based analysis (3 years) with </w:t>
            </w:r>
            <w:proofErr w:type="spellStart"/>
            <w:r w:rsidRPr="00CF7D68">
              <w:rPr>
                <w:b/>
              </w:rPr>
              <w:t>finerenone</w:t>
            </w:r>
            <w:proofErr w:type="spellEnd"/>
            <w:r w:rsidRPr="00CF7D68">
              <w:rPr>
                <w:b/>
              </w:rPr>
              <w:t xml:space="preserve"> treatment effects applied to renal and hyperkalaemia outcomes; health state and event utility values </w:t>
            </w:r>
            <w:proofErr w:type="gramStart"/>
            <w:r w:rsidRPr="00CF7D68">
              <w:rPr>
                <w:b/>
              </w:rPr>
              <w:t>included;</w:t>
            </w:r>
            <w:proofErr w:type="gramEnd"/>
            <w:r w:rsidRPr="00CF7D68">
              <w:rPr>
                <w:b/>
              </w:rPr>
              <w:t xml:space="preserve"> treatment discontinuations included; </w:t>
            </w:r>
            <w:proofErr w:type="spellStart"/>
            <w:r w:rsidRPr="00CF7D68">
              <w:rPr>
                <w:b/>
              </w:rPr>
              <w:t>finerenone</w:t>
            </w:r>
            <w:proofErr w:type="spellEnd"/>
            <w:r w:rsidRPr="00CF7D68">
              <w:rPr>
                <w:b/>
              </w:rPr>
              <w:t xml:space="preserve"> drug costs only; discounting applied</w:t>
            </w:r>
          </w:p>
        </w:tc>
      </w:tr>
      <w:tr w:rsidR="002616ED" w:rsidRPr="00CF7D68" w14:paraId="79EE3F30" w14:textId="77777777" w:rsidTr="00BD693B">
        <w:tc>
          <w:tcPr>
            <w:tcW w:w="1406" w:type="pct"/>
          </w:tcPr>
          <w:p w14:paraId="1AF8B10B" w14:textId="77777777" w:rsidR="002616ED" w:rsidRPr="00CF7D68" w:rsidRDefault="002616ED" w:rsidP="00CD1B39">
            <w:pPr>
              <w:pStyle w:val="TableText"/>
              <w:keepLines/>
              <w:widowControl w:val="0"/>
            </w:pPr>
            <w:r w:rsidRPr="00CF7D68">
              <w:t>Costs</w:t>
            </w:r>
          </w:p>
        </w:tc>
        <w:tc>
          <w:tcPr>
            <w:tcW w:w="1079" w:type="pct"/>
            <w:vAlign w:val="bottom"/>
          </w:tcPr>
          <w:p w14:paraId="51ACC245" w14:textId="489578EE" w:rsidR="002616ED" w:rsidRPr="00CF7D68" w:rsidRDefault="002616ED" w:rsidP="00CD1B39">
            <w:pPr>
              <w:pStyle w:val="TableText"/>
              <w:keepLines/>
              <w:widowControl w:val="0"/>
              <w:jc w:val="center"/>
            </w:pPr>
            <w:r w:rsidRPr="00CF7D68">
              <w:t>$</w:t>
            </w:r>
            <w:r w:rsidR="00A973A1" w:rsidRPr="00A973A1">
              <w:rPr>
                <w:color w:val="000000"/>
                <w:shd w:val="solid" w:color="000000" w:fill="000000"/>
                <w14:textFill>
                  <w14:solidFill>
                    <w14:srgbClr w14:val="000000">
                      <w14:alpha w14:val="100000"/>
                    </w14:srgbClr>
                  </w14:solidFill>
                </w14:textFill>
              </w:rPr>
              <w:t>|</w:t>
            </w:r>
          </w:p>
        </w:tc>
        <w:tc>
          <w:tcPr>
            <w:tcW w:w="1080" w:type="pct"/>
            <w:vAlign w:val="bottom"/>
          </w:tcPr>
          <w:p w14:paraId="6BA5B1A6" w14:textId="77777777" w:rsidR="002616ED" w:rsidRPr="00CF7D68" w:rsidRDefault="002616ED" w:rsidP="00CD1B39">
            <w:pPr>
              <w:pStyle w:val="TableText"/>
              <w:keepLines/>
              <w:widowControl w:val="0"/>
              <w:jc w:val="center"/>
            </w:pPr>
            <w:r w:rsidRPr="00CF7D68">
              <w:t>$0</w:t>
            </w:r>
          </w:p>
        </w:tc>
        <w:tc>
          <w:tcPr>
            <w:tcW w:w="1435" w:type="pct"/>
            <w:vAlign w:val="center"/>
          </w:tcPr>
          <w:p w14:paraId="4E9D0C50" w14:textId="73854EBD" w:rsidR="002616ED" w:rsidRPr="00CF7D68" w:rsidRDefault="002616ED" w:rsidP="00CD1B39">
            <w:pPr>
              <w:pStyle w:val="TableText"/>
              <w:keepLines/>
              <w:widowControl w:val="0"/>
              <w:jc w:val="center"/>
            </w:pPr>
            <w:r w:rsidRPr="00CF7D68">
              <w:t>$</w:t>
            </w:r>
            <w:r w:rsidR="00A973A1" w:rsidRPr="00A973A1">
              <w:rPr>
                <w:color w:val="000000"/>
                <w:shd w:val="solid" w:color="000000" w:fill="000000"/>
                <w14:textFill>
                  <w14:solidFill>
                    <w14:srgbClr w14:val="000000">
                      <w14:alpha w14:val="100000"/>
                    </w14:srgbClr>
                  </w14:solidFill>
                </w14:textFill>
              </w:rPr>
              <w:t>|</w:t>
            </w:r>
          </w:p>
        </w:tc>
      </w:tr>
      <w:tr w:rsidR="002616ED" w:rsidRPr="00CF7D68" w14:paraId="546035EC" w14:textId="77777777" w:rsidTr="00BD693B">
        <w:tc>
          <w:tcPr>
            <w:tcW w:w="1406" w:type="pct"/>
          </w:tcPr>
          <w:p w14:paraId="43FB0461" w14:textId="77777777" w:rsidR="002616ED" w:rsidRPr="00CF7D68" w:rsidRDefault="002616ED" w:rsidP="00CD1B39">
            <w:pPr>
              <w:pStyle w:val="TableText"/>
              <w:keepLines/>
              <w:widowControl w:val="0"/>
            </w:pPr>
            <w:r w:rsidRPr="00CF7D68">
              <w:t>QALYs</w:t>
            </w:r>
          </w:p>
        </w:tc>
        <w:tc>
          <w:tcPr>
            <w:tcW w:w="1079" w:type="pct"/>
            <w:vAlign w:val="bottom"/>
          </w:tcPr>
          <w:p w14:paraId="0FE3E577" w14:textId="77777777" w:rsidR="002616ED" w:rsidRPr="00CF7D68" w:rsidRDefault="002616ED" w:rsidP="00CD1B39">
            <w:pPr>
              <w:pStyle w:val="TableText"/>
              <w:keepLines/>
              <w:widowControl w:val="0"/>
              <w:jc w:val="center"/>
            </w:pPr>
            <w:r w:rsidRPr="005C681F">
              <w:t>2.0721</w:t>
            </w:r>
          </w:p>
        </w:tc>
        <w:tc>
          <w:tcPr>
            <w:tcW w:w="1080" w:type="pct"/>
            <w:vAlign w:val="bottom"/>
          </w:tcPr>
          <w:p w14:paraId="34E6D31C" w14:textId="77777777" w:rsidR="002616ED" w:rsidRPr="00CF7D68" w:rsidRDefault="002616ED" w:rsidP="00CD1B39">
            <w:pPr>
              <w:pStyle w:val="TableText"/>
              <w:keepLines/>
              <w:widowControl w:val="0"/>
              <w:jc w:val="center"/>
            </w:pPr>
            <w:r w:rsidRPr="00CF7D68">
              <w:t>2.0715</w:t>
            </w:r>
          </w:p>
        </w:tc>
        <w:tc>
          <w:tcPr>
            <w:tcW w:w="1435" w:type="pct"/>
            <w:vAlign w:val="center"/>
          </w:tcPr>
          <w:p w14:paraId="163D9A96" w14:textId="77777777" w:rsidR="002616ED" w:rsidRPr="00CF7D68" w:rsidRDefault="002616ED" w:rsidP="00CD1B39">
            <w:pPr>
              <w:pStyle w:val="TableText"/>
              <w:keepLines/>
              <w:widowControl w:val="0"/>
              <w:jc w:val="center"/>
            </w:pPr>
            <w:r w:rsidRPr="00CF7D68">
              <w:t>0.0007</w:t>
            </w:r>
          </w:p>
        </w:tc>
      </w:tr>
      <w:tr w:rsidR="002616ED" w:rsidRPr="00CF7D68" w14:paraId="54C766DA" w14:textId="77777777" w:rsidTr="00BD693B">
        <w:tc>
          <w:tcPr>
            <w:tcW w:w="3565" w:type="pct"/>
            <w:gridSpan w:val="3"/>
          </w:tcPr>
          <w:p w14:paraId="0A0178E0" w14:textId="77777777" w:rsidR="002616ED" w:rsidRPr="00CF7D68" w:rsidRDefault="002616ED" w:rsidP="00CD1B39">
            <w:pPr>
              <w:pStyle w:val="TableText"/>
              <w:keepLines/>
              <w:widowControl w:val="0"/>
              <w:jc w:val="right"/>
              <w:rPr>
                <w:b/>
              </w:rPr>
            </w:pPr>
            <w:r w:rsidRPr="00CF7D68">
              <w:rPr>
                <w:b/>
              </w:rPr>
              <w:t>Incremental cost per QALY gained</w:t>
            </w:r>
          </w:p>
        </w:tc>
        <w:tc>
          <w:tcPr>
            <w:tcW w:w="1435" w:type="pct"/>
            <w:vAlign w:val="center"/>
          </w:tcPr>
          <w:p w14:paraId="7586F08E" w14:textId="17147C70" w:rsidR="002616ED" w:rsidRPr="00C856F6" w:rsidRDefault="002616ED" w:rsidP="00CD1B39">
            <w:pPr>
              <w:pStyle w:val="TableText"/>
              <w:keepLines/>
              <w:widowControl w:val="0"/>
              <w:jc w:val="center"/>
              <w:rPr>
                <w:vertAlign w:val="superscript"/>
              </w:rPr>
            </w:pPr>
            <w:r w:rsidRPr="00CF7D68">
              <w:t>$</w:t>
            </w:r>
            <w:r w:rsidR="00A973A1" w:rsidRPr="00A973A1">
              <w:rPr>
                <w:color w:val="000000"/>
                <w:shd w:val="solid" w:color="000000" w:fill="000000"/>
                <w14:textFill>
                  <w14:solidFill>
                    <w14:srgbClr w14:val="000000">
                      <w14:alpha w14:val="100000"/>
                    </w14:srgbClr>
                  </w14:solidFill>
                </w14:textFill>
              </w:rPr>
              <w:t>|</w:t>
            </w:r>
            <w:r w:rsidR="00752474">
              <w:rPr>
                <w:vertAlign w:val="superscript"/>
              </w:rPr>
              <w:t>3</w:t>
            </w:r>
          </w:p>
        </w:tc>
      </w:tr>
      <w:tr w:rsidR="002616ED" w:rsidRPr="00CF7D68" w14:paraId="2171210F" w14:textId="77777777" w:rsidTr="00BD693B">
        <w:tc>
          <w:tcPr>
            <w:tcW w:w="5000" w:type="pct"/>
            <w:gridSpan w:val="4"/>
          </w:tcPr>
          <w:p w14:paraId="00C1AF5D" w14:textId="77777777" w:rsidR="002616ED" w:rsidRPr="00CF7D68" w:rsidRDefault="002616ED" w:rsidP="00CD1B39">
            <w:pPr>
              <w:pStyle w:val="TableText"/>
              <w:keepLines/>
              <w:widowControl w:val="0"/>
              <w:jc w:val="both"/>
              <w:rPr>
                <w:b/>
              </w:rPr>
            </w:pPr>
            <w:r w:rsidRPr="00CF7D68">
              <w:rPr>
                <w:b/>
              </w:rPr>
              <w:t xml:space="preserve">Step 2b: Model-based analysis (3 years) with </w:t>
            </w:r>
            <w:proofErr w:type="spellStart"/>
            <w:r w:rsidRPr="00CF7D68">
              <w:rPr>
                <w:b/>
              </w:rPr>
              <w:t>finerenone</w:t>
            </w:r>
            <w:proofErr w:type="spellEnd"/>
            <w:r w:rsidRPr="00CF7D68">
              <w:rPr>
                <w:b/>
              </w:rPr>
              <w:t xml:space="preserve"> treatment effects applied to cardiovascular and hyperkalaemia outcomes; health state and event utility values </w:t>
            </w:r>
            <w:proofErr w:type="gramStart"/>
            <w:r w:rsidRPr="00CF7D68">
              <w:rPr>
                <w:b/>
              </w:rPr>
              <w:t>included;</w:t>
            </w:r>
            <w:proofErr w:type="gramEnd"/>
            <w:r w:rsidRPr="00CF7D68">
              <w:rPr>
                <w:b/>
              </w:rPr>
              <w:t xml:space="preserve"> treatment discontinuations included; </w:t>
            </w:r>
            <w:proofErr w:type="spellStart"/>
            <w:r w:rsidRPr="00CF7D68">
              <w:rPr>
                <w:b/>
              </w:rPr>
              <w:t>finerenone</w:t>
            </w:r>
            <w:proofErr w:type="spellEnd"/>
            <w:r w:rsidRPr="00CF7D68">
              <w:rPr>
                <w:b/>
              </w:rPr>
              <w:t xml:space="preserve"> drug costs only; discounting applied</w:t>
            </w:r>
          </w:p>
        </w:tc>
      </w:tr>
      <w:tr w:rsidR="002616ED" w:rsidRPr="00CF7D68" w14:paraId="0CC485A3" w14:textId="77777777" w:rsidTr="00BD693B">
        <w:tc>
          <w:tcPr>
            <w:tcW w:w="1406" w:type="pct"/>
          </w:tcPr>
          <w:p w14:paraId="0C0DFE9E" w14:textId="77777777" w:rsidR="002616ED" w:rsidRPr="00CF7D68" w:rsidRDefault="002616ED" w:rsidP="00CD1B39">
            <w:pPr>
              <w:pStyle w:val="TableText"/>
              <w:keepLines/>
              <w:widowControl w:val="0"/>
            </w:pPr>
            <w:r w:rsidRPr="00CF7D68">
              <w:t>Costs</w:t>
            </w:r>
          </w:p>
        </w:tc>
        <w:tc>
          <w:tcPr>
            <w:tcW w:w="1079" w:type="pct"/>
            <w:vAlign w:val="bottom"/>
          </w:tcPr>
          <w:p w14:paraId="0FED9AED" w14:textId="59CD69ED" w:rsidR="002616ED" w:rsidRPr="00CF7D68" w:rsidRDefault="002616ED" w:rsidP="00CD1B39">
            <w:pPr>
              <w:pStyle w:val="TableText"/>
              <w:keepLines/>
              <w:widowControl w:val="0"/>
              <w:jc w:val="center"/>
            </w:pPr>
            <w:r w:rsidRPr="00CF7D68">
              <w:t>$</w:t>
            </w:r>
            <w:r w:rsidR="00A973A1" w:rsidRPr="00A973A1">
              <w:rPr>
                <w:color w:val="000000"/>
                <w:shd w:val="solid" w:color="000000" w:fill="000000"/>
                <w14:textFill>
                  <w14:solidFill>
                    <w14:srgbClr w14:val="000000">
                      <w14:alpha w14:val="100000"/>
                    </w14:srgbClr>
                  </w14:solidFill>
                </w14:textFill>
              </w:rPr>
              <w:t>|</w:t>
            </w:r>
          </w:p>
        </w:tc>
        <w:tc>
          <w:tcPr>
            <w:tcW w:w="1080" w:type="pct"/>
            <w:vAlign w:val="bottom"/>
          </w:tcPr>
          <w:p w14:paraId="295D35AD" w14:textId="77777777" w:rsidR="002616ED" w:rsidRPr="00CF7D68" w:rsidRDefault="002616ED" w:rsidP="00CD1B39">
            <w:pPr>
              <w:pStyle w:val="TableText"/>
              <w:keepLines/>
              <w:widowControl w:val="0"/>
              <w:jc w:val="center"/>
            </w:pPr>
            <w:r w:rsidRPr="00CF7D68">
              <w:t>$0</w:t>
            </w:r>
          </w:p>
        </w:tc>
        <w:tc>
          <w:tcPr>
            <w:tcW w:w="1435" w:type="pct"/>
            <w:vAlign w:val="center"/>
          </w:tcPr>
          <w:p w14:paraId="77E0F92F" w14:textId="02D9B540" w:rsidR="002616ED" w:rsidRPr="00CF7D68" w:rsidRDefault="002616ED" w:rsidP="00CD1B39">
            <w:pPr>
              <w:pStyle w:val="TableText"/>
              <w:keepLines/>
              <w:widowControl w:val="0"/>
              <w:jc w:val="center"/>
            </w:pPr>
            <w:r w:rsidRPr="00CF7D68">
              <w:t>$</w:t>
            </w:r>
            <w:r w:rsidR="00A973A1" w:rsidRPr="00A973A1">
              <w:rPr>
                <w:color w:val="000000"/>
                <w:shd w:val="solid" w:color="000000" w:fill="000000"/>
                <w14:textFill>
                  <w14:solidFill>
                    <w14:srgbClr w14:val="000000">
                      <w14:alpha w14:val="100000"/>
                    </w14:srgbClr>
                  </w14:solidFill>
                </w14:textFill>
              </w:rPr>
              <w:t>|</w:t>
            </w:r>
          </w:p>
        </w:tc>
      </w:tr>
      <w:tr w:rsidR="002616ED" w:rsidRPr="00CF7D68" w14:paraId="773DCDBF" w14:textId="77777777" w:rsidTr="00BD693B">
        <w:tc>
          <w:tcPr>
            <w:tcW w:w="1406" w:type="pct"/>
          </w:tcPr>
          <w:p w14:paraId="6A477C54" w14:textId="77777777" w:rsidR="002616ED" w:rsidRPr="00CF7D68" w:rsidRDefault="002616ED" w:rsidP="00CD1B39">
            <w:pPr>
              <w:pStyle w:val="TableText"/>
              <w:keepLines/>
              <w:widowControl w:val="0"/>
            </w:pPr>
            <w:r w:rsidRPr="00CF7D68">
              <w:t>QALYs</w:t>
            </w:r>
          </w:p>
        </w:tc>
        <w:tc>
          <w:tcPr>
            <w:tcW w:w="1079" w:type="pct"/>
            <w:vAlign w:val="bottom"/>
          </w:tcPr>
          <w:p w14:paraId="5379929C" w14:textId="77777777" w:rsidR="002616ED" w:rsidRPr="00CF7D68" w:rsidRDefault="002616ED" w:rsidP="00CD1B39">
            <w:pPr>
              <w:pStyle w:val="TableText"/>
              <w:keepLines/>
              <w:widowControl w:val="0"/>
              <w:jc w:val="center"/>
            </w:pPr>
            <w:r w:rsidRPr="005C681F">
              <w:t>2.0776</w:t>
            </w:r>
          </w:p>
        </w:tc>
        <w:tc>
          <w:tcPr>
            <w:tcW w:w="1080" w:type="pct"/>
            <w:vAlign w:val="bottom"/>
          </w:tcPr>
          <w:p w14:paraId="79FA3A51" w14:textId="77777777" w:rsidR="002616ED" w:rsidRPr="00CF7D68" w:rsidRDefault="002616ED" w:rsidP="00CD1B39">
            <w:pPr>
              <w:pStyle w:val="TableText"/>
              <w:keepLines/>
              <w:widowControl w:val="0"/>
              <w:jc w:val="center"/>
            </w:pPr>
            <w:r w:rsidRPr="00CF7D68">
              <w:t>2.0715</w:t>
            </w:r>
          </w:p>
        </w:tc>
        <w:tc>
          <w:tcPr>
            <w:tcW w:w="1435" w:type="pct"/>
            <w:vAlign w:val="center"/>
          </w:tcPr>
          <w:p w14:paraId="0F9C38DA" w14:textId="77777777" w:rsidR="002616ED" w:rsidRPr="00CF7D68" w:rsidRDefault="002616ED" w:rsidP="00CD1B39">
            <w:pPr>
              <w:pStyle w:val="TableText"/>
              <w:keepLines/>
              <w:widowControl w:val="0"/>
              <w:jc w:val="center"/>
            </w:pPr>
            <w:r w:rsidRPr="00CF7D68">
              <w:t>0.0061</w:t>
            </w:r>
          </w:p>
        </w:tc>
      </w:tr>
      <w:tr w:rsidR="002616ED" w:rsidRPr="00CF7D68" w14:paraId="78B26B26" w14:textId="77777777" w:rsidTr="00BD693B">
        <w:tc>
          <w:tcPr>
            <w:tcW w:w="3565" w:type="pct"/>
            <w:gridSpan w:val="3"/>
          </w:tcPr>
          <w:p w14:paraId="190B0E54" w14:textId="77777777" w:rsidR="002616ED" w:rsidRPr="00CF7D68" w:rsidRDefault="002616ED" w:rsidP="00CD1B39">
            <w:pPr>
              <w:pStyle w:val="TableText"/>
              <w:keepLines/>
              <w:widowControl w:val="0"/>
              <w:jc w:val="right"/>
              <w:rPr>
                <w:b/>
              </w:rPr>
            </w:pPr>
            <w:r w:rsidRPr="00CF7D68">
              <w:rPr>
                <w:b/>
              </w:rPr>
              <w:t>Incremental cost per QALY gained</w:t>
            </w:r>
          </w:p>
        </w:tc>
        <w:tc>
          <w:tcPr>
            <w:tcW w:w="1435" w:type="pct"/>
            <w:vAlign w:val="center"/>
          </w:tcPr>
          <w:p w14:paraId="58315C65" w14:textId="3D68C844" w:rsidR="002616ED" w:rsidRPr="00C856F6" w:rsidRDefault="002616ED" w:rsidP="00CD1B39">
            <w:pPr>
              <w:pStyle w:val="TableText"/>
              <w:keepLines/>
              <w:widowControl w:val="0"/>
              <w:jc w:val="center"/>
              <w:rPr>
                <w:vertAlign w:val="superscript"/>
              </w:rPr>
            </w:pPr>
            <w:r w:rsidRPr="00CF7D68">
              <w:t>$</w:t>
            </w:r>
            <w:r w:rsidR="00A973A1" w:rsidRPr="00A973A1">
              <w:rPr>
                <w:color w:val="000000"/>
                <w:shd w:val="solid" w:color="000000" w:fill="000000"/>
                <w14:textFill>
                  <w14:solidFill>
                    <w14:srgbClr w14:val="000000">
                      <w14:alpha w14:val="100000"/>
                    </w14:srgbClr>
                  </w14:solidFill>
                </w14:textFill>
              </w:rPr>
              <w:t>|</w:t>
            </w:r>
            <w:r w:rsidR="00752474">
              <w:rPr>
                <w:vertAlign w:val="superscript"/>
              </w:rPr>
              <w:t>4</w:t>
            </w:r>
          </w:p>
        </w:tc>
      </w:tr>
      <w:tr w:rsidR="002616ED" w:rsidRPr="00CF7D68" w14:paraId="0A2D81E8" w14:textId="77777777" w:rsidTr="00BD693B">
        <w:tc>
          <w:tcPr>
            <w:tcW w:w="5000" w:type="pct"/>
            <w:gridSpan w:val="4"/>
          </w:tcPr>
          <w:p w14:paraId="6FC5968D" w14:textId="77777777" w:rsidR="002616ED" w:rsidRPr="00CF7D68" w:rsidRDefault="002616ED" w:rsidP="00CD1B39">
            <w:pPr>
              <w:pStyle w:val="TableText"/>
              <w:keepLines/>
              <w:widowControl w:val="0"/>
              <w:jc w:val="both"/>
              <w:rPr>
                <w:b/>
              </w:rPr>
            </w:pPr>
            <w:r w:rsidRPr="00CF7D68">
              <w:rPr>
                <w:b/>
              </w:rPr>
              <w:t xml:space="preserve">Step 2c: Model-based analysis (3 years) with </w:t>
            </w:r>
            <w:proofErr w:type="spellStart"/>
            <w:r w:rsidRPr="00CF7D68">
              <w:rPr>
                <w:b/>
              </w:rPr>
              <w:t>finerenone</w:t>
            </w:r>
            <w:proofErr w:type="spellEnd"/>
            <w:r w:rsidRPr="00CF7D68">
              <w:rPr>
                <w:b/>
              </w:rPr>
              <w:t xml:space="preserve"> treatment effects applied to renal, cardiovascular and hyperkalaemia outcomes; health state and event utility values </w:t>
            </w:r>
            <w:proofErr w:type="gramStart"/>
            <w:r w:rsidRPr="00CF7D68">
              <w:rPr>
                <w:b/>
              </w:rPr>
              <w:t>included;</w:t>
            </w:r>
            <w:proofErr w:type="gramEnd"/>
            <w:r w:rsidRPr="00CF7D68">
              <w:rPr>
                <w:b/>
              </w:rPr>
              <w:t xml:space="preserve"> treatment discontinuations included; </w:t>
            </w:r>
            <w:proofErr w:type="spellStart"/>
            <w:r w:rsidRPr="00CF7D68">
              <w:rPr>
                <w:b/>
              </w:rPr>
              <w:t>finerenone</w:t>
            </w:r>
            <w:proofErr w:type="spellEnd"/>
            <w:r w:rsidRPr="00CF7D68">
              <w:rPr>
                <w:b/>
              </w:rPr>
              <w:t xml:space="preserve"> drug costs only; discounting applied</w:t>
            </w:r>
          </w:p>
        </w:tc>
      </w:tr>
      <w:tr w:rsidR="002616ED" w:rsidRPr="00CF7D68" w14:paraId="6D007725" w14:textId="77777777" w:rsidTr="00BD693B">
        <w:tc>
          <w:tcPr>
            <w:tcW w:w="1406" w:type="pct"/>
          </w:tcPr>
          <w:p w14:paraId="0EDD5D4D" w14:textId="77777777" w:rsidR="002616ED" w:rsidRPr="00CF7D68" w:rsidRDefault="002616ED" w:rsidP="00CD1B39">
            <w:pPr>
              <w:pStyle w:val="TableText"/>
              <w:keepLines/>
              <w:widowControl w:val="0"/>
            </w:pPr>
            <w:r w:rsidRPr="00CF7D68">
              <w:t>Costs</w:t>
            </w:r>
          </w:p>
        </w:tc>
        <w:tc>
          <w:tcPr>
            <w:tcW w:w="1079" w:type="pct"/>
            <w:vAlign w:val="bottom"/>
          </w:tcPr>
          <w:p w14:paraId="5D511967" w14:textId="2326C534" w:rsidR="002616ED" w:rsidRPr="00CF7D68" w:rsidRDefault="002616ED" w:rsidP="00CD1B39">
            <w:pPr>
              <w:pStyle w:val="TableText"/>
              <w:keepLines/>
              <w:widowControl w:val="0"/>
              <w:jc w:val="center"/>
            </w:pPr>
            <w:r w:rsidRPr="00CF7D68">
              <w:t>$</w:t>
            </w:r>
            <w:r w:rsidR="00A973A1" w:rsidRPr="00A973A1">
              <w:rPr>
                <w:color w:val="000000"/>
                <w:shd w:val="solid" w:color="000000" w:fill="000000"/>
                <w14:textFill>
                  <w14:solidFill>
                    <w14:srgbClr w14:val="000000">
                      <w14:alpha w14:val="100000"/>
                    </w14:srgbClr>
                  </w14:solidFill>
                </w14:textFill>
              </w:rPr>
              <w:t>|</w:t>
            </w:r>
          </w:p>
        </w:tc>
        <w:tc>
          <w:tcPr>
            <w:tcW w:w="1080" w:type="pct"/>
            <w:vAlign w:val="bottom"/>
          </w:tcPr>
          <w:p w14:paraId="0B487ABC" w14:textId="77777777" w:rsidR="002616ED" w:rsidRPr="00CF7D68" w:rsidRDefault="002616ED" w:rsidP="00CD1B39">
            <w:pPr>
              <w:pStyle w:val="TableText"/>
              <w:keepLines/>
              <w:widowControl w:val="0"/>
              <w:jc w:val="center"/>
            </w:pPr>
            <w:r w:rsidRPr="00CF7D68">
              <w:t>$0</w:t>
            </w:r>
          </w:p>
        </w:tc>
        <w:tc>
          <w:tcPr>
            <w:tcW w:w="1435" w:type="pct"/>
            <w:vAlign w:val="center"/>
          </w:tcPr>
          <w:p w14:paraId="76992A80" w14:textId="2CAC6E4F" w:rsidR="002616ED" w:rsidRPr="00CF7D68" w:rsidRDefault="002616ED" w:rsidP="00CD1B39">
            <w:pPr>
              <w:pStyle w:val="TableText"/>
              <w:keepLines/>
              <w:widowControl w:val="0"/>
              <w:jc w:val="center"/>
            </w:pPr>
            <w:r w:rsidRPr="00CF7D68">
              <w:t>$</w:t>
            </w:r>
            <w:r w:rsidR="00A973A1" w:rsidRPr="00A973A1">
              <w:rPr>
                <w:color w:val="000000"/>
                <w:shd w:val="solid" w:color="000000" w:fill="000000"/>
                <w14:textFill>
                  <w14:solidFill>
                    <w14:srgbClr w14:val="000000">
                      <w14:alpha w14:val="100000"/>
                    </w14:srgbClr>
                  </w14:solidFill>
                </w14:textFill>
              </w:rPr>
              <w:t>|</w:t>
            </w:r>
          </w:p>
        </w:tc>
      </w:tr>
      <w:tr w:rsidR="002616ED" w:rsidRPr="00CF7D68" w14:paraId="44281D2C" w14:textId="77777777" w:rsidTr="00BD693B">
        <w:tc>
          <w:tcPr>
            <w:tcW w:w="1406" w:type="pct"/>
          </w:tcPr>
          <w:p w14:paraId="45E7B004" w14:textId="77777777" w:rsidR="002616ED" w:rsidRPr="00CF7D68" w:rsidRDefault="002616ED" w:rsidP="00CD1B39">
            <w:pPr>
              <w:pStyle w:val="TableText"/>
              <w:keepLines/>
              <w:widowControl w:val="0"/>
            </w:pPr>
            <w:r w:rsidRPr="00CF7D68">
              <w:t>QALYs</w:t>
            </w:r>
          </w:p>
        </w:tc>
        <w:tc>
          <w:tcPr>
            <w:tcW w:w="1079" w:type="pct"/>
            <w:vAlign w:val="bottom"/>
          </w:tcPr>
          <w:p w14:paraId="645860BE" w14:textId="77777777" w:rsidR="002616ED" w:rsidRPr="00CF7D68" w:rsidRDefault="002616ED" w:rsidP="00CD1B39">
            <w:pPr>
              <w:pStyle w:val="TableText"/>
              <w:keepLines/>
              <w:widowControl w:val="0"/>
              <w:jc w:val="center"/>
            </w:pPr>
            <w:r w:rsidRPr="005C681F">
              <w:t>2.0783</w:t>
            </w:r>
          </w:p>
        </w:tc>
        <w:tc>
          <w:tcPr>
            <w:tcW w:w="1080" w:type="pct"/>
            <w:vAlign w:val="bottom"/>
          </w:tcPr>
          <w:p w14:paraId="2D844A51" w14:textId="77777777" w:rsidR="002616ED" w:rsidRPr="00CF7D68" w:rsidRDefault="002616ED" w:rsidP="00CD1B39">
            <w:pPr>
              <w:pStyle w:val="TableText"/>
              <w:keepLines/>
              <w:widowControl w:val="0"/>
              <w:jc w:val="center"/>
            </w:pPr>
            <w:r w:rsidRPr="00CF7D68">
              <w:t>2.0715</w:t>
            </w:r>
          </w:p>
        </w:tc>
        <w:tc>
          <w:tcPr>
            <w:tcW w:w="1435" w:type="pct"/>
            <w:vAlign w:val="center"/>
          </w:tcPr>
          <w:p w14:paraId="4723D17A" w14:textId="77777777" w:rsidR="002616ED" w:rsidRPr="00CF7D68" w:rsidRDefault="002616ED" w:rsidP="00CD1B39">
            <w:pPr>
              <w:pStyle w:val="TableText"/>
              <w:keepLines/>
              <w:widowControl w:val="0"/>
              <w:jc w:val="center"/>
            </w:pPr>
            <w:r w:rsidRPr="00CF7D68">
              <w:t>0.0068</w:t>
            </w:r>
          </w:p>
        </w:tc>
      </w:tr>
      <w:tr w:rsidR="002616ED" w:rsidRPr="00CF7D68" w14:paraId="4A572551" w14:textId="77777777" w:rsidTr="00BD693B">
        <w:tc>
          <w:tcPr>
            <w:tcW w:w="3565" w:type="pct"/>
            <w:gridSpan w:val="3"/>
          </w:tcPr>
          <w:p w14:paraId="51F3F162" w14:textId="77777777" w:rsidR="002616ED" w:rsidRPr="00CF7D68" w:rsidRDefault="002616ED" w:rsidP="00CD1B39">
            <w:pPr>
              <w:pStyle w:val="TableText"/>
              <w:keepLines/>
              <w:widowControl w:val="0"/>
              <w:jc w:val="right"/>
              <w:rPr>
                <w:b/>
              </w:rPr>
            </w:pPr>
            <w:r w:rsidRPr="00CF7D68">
              <w:rPr>
                <w:b/>
              </w:rPr>
              <w:t>Incremental cost per QALY gained</w:t>
            </w:r>
          </w:p>
        </w:tc>
        <w:tc>
          <w:tcPr>
            <w:tcW w:w="1435" w:type="pct"/>
            <w:vAlign w:val="center"/>
          </w:tcPr>
          <w:p w14:paraId="1680129F" w14:textId="1BC2C244" w:rsidR="002616ED" w:rsidRPr="00C856F6" w:rsidRDefault="002616ED" w:rsidP="00CD1B39">
            <w:pPr>
              <w:pStyle w:val="TableText"/>
              <w:keepLines/>
              <w:widowControl w:val="0"/>
              <w:jc w:val="center"/>
              <w:rPr>
                <w:vertAlign w:val="superscript"/>
              </w:rPr>
            </w:pPr>
            <w:r w:rsidRPr="00CF7D68">
              <w:t>$</w:t>
            </w:r>
            <w:r w:rsidR="00A973A1" w:rsidRPr="00A973A1">
              <w:rPr>
                <w:color w:val="000000"/>
                <w:shd w:val="solid" w:color="000000" w:fill="000000"/>
                <w14:textFill>
                  <w14:solidFill>
                    <w14:srgbClr w14:val="000000">
                      <w14:alpha w14:val="100000"/>
                    </w14:srgbClr>
                  </w14:solidFill>
                </w14:textFill>
              </w:rPr>
              <w:t>|</w:t>
            </w:r>
            <w:r w:rsidR="00752474">
              <w:rPr>
                <w:vertAlign w:val="superscript"/>
              </w:rPr>
              <w:t>4</w:t>
            </w:r>
          </w:p>
        </w:tc>
      </w:tr>
      <w:tr w:rsidR="002616ED" w:rsidRPr="00CF7D68" w14:paraId="7B24F976" w14:textId="77777777" w:rsidTr="00BD693B">
        <w:tc>
          <w:tcPr>
            <w:tcW w:w="5000" w:type="pct"/>
            <w:gridSpan w:val="4"/>
          </w:tcPr>
          <w:p w14:paraId="0C3F802D" w14:textId="77777777" w:rsidR="002616ED" w:rsidRPr="00CF7D68" w:rsidRDefault="002616ED" w:rsidP="00CD1B39">
            <w:pPr>
              <w:pStyle w:val="TableText"/>
              <w:keepLines/>
              <w:widowControl w:val="0"/>
              <w:jc w:val="both"/>
              <w:rPr>
                <w:b/>
              </w:rPr>
            </w:pPr>
            <w:r w:rsidRPr="00CF7D68">
              <w:rPr>
                <w:b/>
              </w:rPr>
              <w:t xml:space="preserve">Step 3: Model-based analysis (3 years) with </w:t>
            </w:r>
            <w:proofErr w:type="spellStart"/>
            <w:r w:rsidRPr="00CF7D68">
              <w:rPr>
                <w:b/>
              </w:rPr>
              <w:t>finerenone</w:t>
            </w:r>
            <w:proofErr w:type="spellEnd"/>
            <w:r w:rsidRPr="00CF7D68">
              <w:rPr>
                <w:b/>
              </w:rPr>
              <w:t xml:space="preserve"> treatment effects applied to renal, cardiovascular and hyperkalaemia outcomes; health state and event utility values </w:t>
            </w:r>
            <w:proofErr w:type="gramStart"/>
            <w:r w:rsidRPr="00CF7D68">
              <w:rPr>
                <w:b/>
              </w:rPr>
              <w:t>included;</w:t>
            </w:r>
            <w:proofErr w:type="gramEnd"/>
            <w:r w:rsidRPr="00CF7D68">
              <w:rPr>
                <w:b/>
              </w:rPr>
              <w:t xml:space="preserve"> treatment discontinuations included; drug costs, event costs and health state costs included; discounting applied</w:t>
            </w:r>
          </w:p>
        </w:tc>
      </w:tr>
      <w:tr w:rsidR="002616ED" w:rsidRPr="00CF7D68" w14:paraId="494F71CD" w14:textId="77777777" w:rsidTr="00BD693B">
        <w:tc>
          <w:tcPr>
            <w:tcW w:w="1406" w:type="pct"/>
          </w:tcPr>
          <w:p w14:paraId="54833022" w14:textId="77777777" w:rsidR="002616ED" w:rsidRPr="00CF7D68" w:rsidRDefault="002616ED" w:rsidP="00CD1B39">
            <w:pPr>
              <w:pStyle w:val="TableText"/>
              <w:keepLines/>
              <w:widowControl w:val="0"/>
            </w:pPr>
            <w:r w:rsidRPr="00CF7D68">
              <w:t>Costs</w:t>
            </w:r>
          </w:p>
        </w:tc>
        <w:tc>
          <w:tcPr>
            <w:tcW w:w="1079" w:type="pct"/>
            <w:vAlign w:val="bottom"/>
          </w:tcPr>
          <w:p w14:paraId="47DA6364" w14:textId="652CD8F4" w:rsidR="002616ED" w:rsidRPr="00CF7D68" w:rsidRDefault="002616ED" w:rsidP="00CD1B39">
            <w:pPr>
              <w:pStyle w:val="TableText"/>
              <w:keepLines/>
              <w:widowControl w:val="0"/>
              <w:jc w:val="center"/>
            </w:pPr>
            <w:r w:rsidRPr="00CF7D68">
              <w:t>$</w:t>
            </w:r>
            <w:r w:rsidR="00A973A1" w:rsidRPr="00A973A1">
              <w:rPr>
                <w:color w:val="000000"/>
                <w:shd w:val="solid" w:color="000000" w:fill="000000"/>
                <w14:textFill>
                  <w14:solidFill>
                    <w14:srgbClr w14:val="000000">
                      <w14:alpha w14:val="100000"/>
                    </w14:srgbClr>
                  </w14:solidFill>
                </w14:textFill>
              </w:rPr>
              <w:t>|</w:t>
            </w:r>
          </w:p>
        </w:tc>
        <w:tc>
          <w:tcPr>
            <w:tcW w:w="1080" w:type="pct"/>
            <w:vAlign w:val="bottom"/>
          </w:tcPr>
          <w:p w14:paraId="2023C168" w14:textId="77777777" w:rsidR="002616ED" w:rsidRPr="00CF7D68" w:rsidRDefault="002616ED" w:rsidP="00CD1B39">
            <w:pPr>
              <w:pStyle w:val="TableText"/>
              <w:keepLines/>
              <w:widowControl w:val="0"/>
              <w:jc w:val="center"/>
            </w:pPr>
            <w:r w:rsidRPr="00CF7D68">
              <w:t>$29,095</w:t>
            </w:r>
          </w:p>
        </w:tc>
        <w:tc>
          <w:tcPr>
            <w:tcW w:w="1435" w:type="pct"/>
            <w:vAlign w:val="center"/>
          </w:tcPr>
          <w:p w14:paraId="16BF709A" w14:textId="4B5388AC" w:rsidR="002616ED" w:rsidRPr="00CF7D68" w:rsidRDefault="002616ED" w:rsidP="00CD1B39">
            <w:pPr>
              <w:pStyle w:val="TableText"/>
              <w:keepLines/>
              <w:widowControl w:val="0"/>
              <w:jc w:val="center"/>
            </w:pPr>
            <w:r w:rsidRPr="00CF7D68">
              <w:t>$</w:t>
            </w:r>
            <w:r w:rsidR="00A973A1" w:rsidRPr="00A973A1">
              <w:rPr>
                <w:color w:val="000000"/>
                <w:shd w:val="solid" w:color="000000" w:fill="000000"/>
                <w14:textFill>
                  <w14:solidFill>
                    <w14:srgbClr w14:val="000000">
                      <w14:alpha w14:val="100000"/>
                    </w14:srgbClr>
                  </w14:solidFill>
                </w14:textFill>
              </w:rPr>
              <w:t>|</w:t>
            </w:r>
          </w:p>
        </w:tc>
      </w:tr>
      <w:tr w:rsidR="002616ED" w:rsidRPr="00CF7D68" w14:paraId="791619E0" w14:textId="77777777" w:rsidTr="00BD693B">
        <w:tc>
          <w:tcPr>
            <w:tcW w:w="1406" w:type="pct"/>
          </w:tcPr>
          <w:p w14:paraId="07CDA59C" w14:textId="77777777" w:rsidR="002616ED" w:rsidRPr="00CF7D68" w:rsidRDefault="002616ED" w:rsidP="00CD1B39">
            <w:pPr>
              <w:pStyle w:val="TableText"/>
              <w:keepLines/>
              <w:widowControl w:val="0"/>
            </w:pPr>
            <w:r w:rsidRPr="00CF7D68">
              <w:t>QALYs</w:t>
            </w:r>
          </w:p>
        </w:tc>
        <w:tc>
          <w:tcPr>
            <w:tcW w:w="1079" w:type="pct"/>
            <w:vAlign w:val="bottom"/>
          </w:tcPr>
          <w:p w14:paraId="775706DE" w14:textId="77777777" w:rsidR="002616ED" w:rsidRPr="00CF7D68" w:rsidRDefault="002616ED" w:rsidP="00CD1B39">
            <w:pPr>
              <w:pStyle w:val="TableText"/>
              <w:keepLines/>
              <w:widowControl w:val="0"/>
              <w:jc w:val="center"/>
            </w:pPr>
            <w:r w:rsidRPr="005C681F">
              <w:t>2.0783</w:t>
            </w:r>
          </w:p>
        </w:tc>
        <w:tc>
          <w:tcPr>
            <w:tcW w:w="1080" w:type="pct"/>
            <w:vAlign w:val="bottom"/>
          </w:tcPr>
          <w:p w14:paraId="60AF7180" w14:textId="77777777" w:rsidR="002616ED" w:rsidRPr="00CF7D68" w:rsidRDefault="002616ED" w:rsidP="00CD1B39">
            <w:pPr>
              <w:pStyle w:val="TableText"/>
              <w:keepLines/>
              <w:widowControl w:val="0"/>
              <w:jc w:val="center"/>
            </w:pPr>
            <w:r w:rsidRPr="00CF7D68">
              <w:t>2.0715</w:t>
            </w:r>
          </w:p>
        </w:tc>
        <w:tc>
          <w:tcPr>
            <w:tcW w:w="1435" w:type="pct"/>
            <w:vAlign w:val="center"/>
          </w:tcPr>
          <w:p w14:paraId="45A22945" w14:textId="77777777" w:rsidR="002616ED" w:rsidRPr="00CF7D68" w:rsidRDefault="002616ED" w:rsidP="00CD1B39">
            <w:pPr>
              <w:pStyle w:val="TableText"/>
              <w:keepLines/>
              <w:widowControl w:val="0"/>
              <w:jc w:val="center"/>
            </w:pPr>
            <w:r w:rsidRPr="00CF7D68">
              <w:t>0.0068</w:t>
            </w:r>
          </w:p>
        </w:tc>
      </w:tr>
      <w:tr w:rsidR="002616ED" w:rsidRPr="00CF7D68" w14:paraId="11C063C0" w14:textId="77777777" w:rsidTr="00BD693B">
        <w:tc>
          <w:tcPr>
            <w:tcW w:w="3565" w:type="pct"/>
            <w:gridSpan w:val="3"/>
          </w:tcPr>
          <w:p w14:paraId="5FEB9019" w14:textId="77777777" w:rsidR="002616ED" w:rsidRPr="00CF7D68" w:rsidRDefault="002616ED" w:rsidP="00CD1B39">
            <w:pPr>
              <w:pStyle w:val="TableText"/>
              <w:keepLines/>
              <w:widowControl w:val="0"/>
              <w:jc w:val="right"/>
              <w:rPr>
                <w:b/>
              </w:rPr>
            </w:pPr>
            <w:r w:rsidRPr="00CF7D68">
              <w:rPr>
                <w:b/>
              </w:rPr>
              <w:t>Incremental cost per QALY gained</w:t>
            </w:r>
          </w:p>
        </w:tc>
        <w:tc>
          <w:tcPr>
            <w:tcW w:w="1435" w:type="pct"/>
            <w:vAlign w:val="center"/>
          </w:tcPr>
          <w:p w14:paraId="6B03F44F" w14:textId="591A85AE" w:rsidR="002616ED" w:rsidRPr="00C856F6" w:rsidRDefault="002616ED" w:rsidP="00CD1B39">
            <w:pPr>
              <w:pStyle w:val="TableText"/>
              <w:keepLines/>
              <w:widowControl w:val="0"/>
              <w:jc w:val="center"/>
              <w:rPr>
                <w:vertAlign w:val="superscript"/>
              </w:rPr>
            </w:pPr>
            <w:r w:rsidRPr="00CF7D68">
              <w:t>$</w:t>
            </w:r>
            <w:r w:rsidR="00A973A1" w:rsidRPr="00A973A1">
              <w:rPr>
                <w:color w:val="000000"/>
                <w:shd w:val="solid" w:color="000000" w:fill="000000"/>
                <w14:textFill>
                  <w14:solidFill>
                    <w14:srgbClr w14:val="000000">
                      <w14:alpha w14:val="100000"/>
                    </w14:srgbClr>
                  </w14:solidFill>
                </w14:textFill>
              </w:rPr>
              <w:t>|</w:t>
            </w:r>
            <w:r w:rsidR="00752474">
              <w:rPr>
                <w:vertAlign w:val="superscript"/>
              </w:rPr>
              <w:t>5</w:t>
            </w:r>
          </w:p>
        </w:tc>
      </w:tr>
      <w:tr w:rsidR="002616ED" w:rsidRPr="00CF7D68" w14:paraId="7B1286C5" w14:textId="77777777" w:rsidTr="00BD693B">
        <w:tc>
          <w:tcPr>
            <w:tcW w:w="5000" w:type="pct"/>
            <w:gridSpan w:val="4"/>
          </w:tcPr>
          <w:p w14:paraId="1CBF89B4" w14:textId="77777777" w:rsidR="002616ED" w:rsidRPr="00CF7D68" w:rsidRDefault="002616ED" w:rsidP="00CD1B39">
            <w:pPr>
              <w:pStyle w:val="TableText"/>
              <w:keepLines/>
              <w:widowControl w:val="0"/>
              <w:jc w:val="both"/>
              <w:rPr>
                <w:b/>
                <w:iCs/>
              </w:rPr>
            </w:pPr>
            <w:r w:rsidRPr="00CF7D68">
              <w:rPr>
                <w:b/>
                <w:iCs/>
              </w:rPr>
              <w:t xml:space="preserve">Step 4: </w:t>
            </w:r>
            <w:r w:rsidRPr="00CF7D68">
              <w:rPr>
                <w:b/>
              </w:rPr>
              <w:t xml:space="preserve">Model-based analysis (15 years) with </w:t>
            </w:r>
            <w:proofErr w:type="spellStart"/>
            <w:r w:rsidRPr="00CF7D68">
              <w:rPr>
                <w:b/>
              </w:rPr>
              <w:t>finerenone</w:t>
            </w:r>
            <w:proofErr w:type="spellEnd"/>
            <w:r w:rsidRPr="00CF7D68">
              <w:rPr>
                <w:b/>
              </w:rPr>
              <w:t xml:space="preserve"> treatment effects applied to renal, cardiovascular and hyperkalaemia outcomes; health state and event utility values </w:t>
            </w:r>
            <w:proofErr w:type="gramStart"/>
            <w:r w:rsidRPr="00CF7D68">
              <w:rPr>
                <w:b/>
              </w:rPr>
              <w:t>included;</w:t>
            </w:r>
            <w:proofErr w:type="gramEnd"/>
            <w:r w:rsidRPr="00CF7D68">
              <w:rPr>
                <w:b/>
              </w:rPr>
              <w:t xml:space="preserve"> treatment discontinuations included; drug costs, event costs and health state costs included; discounting applied</w:t>
            </w:r>
          </w:p>
        </w:tc>
      </w:tr>
      <w:tr w:rsidR="002616ED" w:rsidRPr="00CF7D68" w14:paraId="06B1A2A2" w14:textId="77777777" w:rsidTr="00BD693B">
        <w:tc>
          <w:tcPr>
            <w:tcW w:w="1406" w:type="pct"/>
          </w:tcPr>
          <w:p w14:paraId="10C91F3E" w14:textId="77777777" w:rsidR="002616ED" w:rsidRPr="00CF7D68" w:rsidRDefault="002616ED" w:rsidP="00CD1B39">
            <w:pPr>
              <w:pStyle w:val="TableText"/>
              <w:keepLines/>
              <w:widowControl w:val="0"/>
              <w:rPr>
                <w:i/>
              </w:rPr>
            </w:pPr>
            <w:r w:rsidRPr="00CF7D68">
              <w:t>Costs</w:t>
            </w:r>
          </w:p>
        </w:tc>
        <w:tc>
          <w:tcPr>
            <w:tcW w:w="1079" w:type="pct"/>
            <w:vAlign w:val="bottom"/>
          </w:tcPr>
          <w:p w14:paraId="0EC041C0" w14:textId="19F983A0" w:rsidR="002616ED" w:rsidRPr="00CF7D68" w:rsidRDefault="002616ED" w:rsidP="00CD1B39">
            <w:pPr>
              <w:pStyle w:val="TableText"/>
              <w:keepLines/>
              <w:widowControl w:val="0"/>
              <w:jc w:val="center"/>
              <w:rPr>
                <w:iCs/>
              </w:rPr>
            </w:pPr>
            <w:r w:rsidRPr="00CF7D68">
              <w:rPr>
                <w:iCs/>
              </w:rPr>
              <w:t>$</w:t>
            </w:r>
            <w:r w:rsidR="00A973A1" w:rsidRPr="00A973A1">
              <w:rPr>
                <w:iCs/>
                <w:color w:val="000000"/>
                <w:shd w:val="solid" w:color="000000" w:fill="000000"/>
                <w14:textFill>
                  <w14:solidFill>
                    <w14:srgbClr w14:val="000000">
                      <w14:alpha w14:val="100000"/>
                    </w14:srgbClr>
                  </w14:solidFill>
                </w14:textFill>
              </w:rPr>
              <w:t>|</w:t>
            </w:r>
          </w:p>
        </w:tc>
        <w:tc>
          <w:tcPr>
            <w:tcW w:w="1080" w:type="pct"/>
            <w:vAlign w:val="bottom"/>
          </w:tcPr>
          <w:p w14:paraId="00A72D62" w14:textId="77777777" w:rsidR="002616ED" w:rsidRPr="00CF7D68" w:rsidRDefault="002616ED" w:rsidP="00CD1B39">
            <w:pPr>
              <w:pStyle w:val="TableText"/>
              <w:keepLines/>
              <w:widowControl w:val="0"/>
              <w:jc w:val="center"/>
              <w:rPr>
                <w:iCs/>
              </w:rPr>
            </w:pPr>
            <w:r w:rsidRPr="00CF7D68">
              <w:rPr>
                <w:iCs/>
              </w:rPr>
              <w:t>$121,913</w:t>
            </w:r>
          </w:p>
        </w:tc>
        <w:tc>
          <w:tcPr>
            <w:tcW w:w="1435" w:type="pct"/>
            <w:vAlign w:val="center"/>
          </w:tcPr>
          <w:p w14:paraId="2884B8C8" w14:textId="4A1F2CDF" w:rsidR="002616ED" w:rsidRPr="00CF7D68" w:rsidRDefault="002616ED" w:rsidP="00CD1B39">
            <w:pPr>
              <w:pStyle w:val="TableText"/>
              <w:keepLines/>
              <w:widowControl w:val="0"/>
              <w:jc w:val="center"/>
              <w:rPr>
                <w:iCs/>
              </w:rPr>
            </w:pPr>
            <w:r w:rsidRPr="00CF7D68">
              <w:rPr>
                <w:iCs/>
              </w:rPr>
              <w:t>$</w:t>
            </w:r>
            <w:r w:rsidR="00A973A1" w:rsidRPr="00A973A1">
              <w:rPr>
                <w:iCs/>
                <w:color w:val="000000"/>
                <w:shd w:val="solid" w:color="000000" w:fill="000000"/>
                <w14:textFill>
                  <w14:solidFill>
                    <w14:srgbClr w14:val="000000">
                      <w14:alpha w14:val="100000"/>
                    </w14:srgbClr>
                  </w14:solidFill>
                </w14:textFill>
              </w:rPr>
              <w:t>|</w:t>
            </w:r>
          </w:p>
        </w:tc>
      </w:tr>
      <w:tr w:rsidR="002616ED" w:rsidRPr="00CF7D68" w14:paraId="3ABA8D99" w14:textId="77777777" w:rsidTr="00BD693B">
        <w:tc>
          <w:tcPr>
            <w:tcW w:w="1406" w:type="pct"/>
          </w:tcPr>
          <w:p w14:paraId="67B8D4E3" w14:textId="77777777" w:rsidR="002616ED" w:rsidRPr="00CF7D68" w:rsidRDefault="002616ED" w:rsidP="00CD1B39">
            <w:pPr>
              <w:pStyle w:val="TableText"/>
              <w:keepLines/>
              <w:widowControl w:val="0"/>
              <w:rPr>
                <w:i/>
                <w:vertAlign w:val="superscript"/>
              </w:rPr>
            </w:pPr>
            <w:r w:rsidRPr="00CF7D68">
              <w:t>QALYs</w:t>
            </w:r>
          </w:p>
        </w:tc>
        <w:tc>
          <w:tcPr>
            <w:tcW w:w="1079" w:type="pct"/>
            <w:vAlign w:val="bottom"/>
          </w:tcPr>
          <w:p w14:paraId="38CBFB38" w14:textId="77777777" w:rsidR="002616ED" w:rsidRPr="00CF7D68" w:rsidRDefault="002616ED" w:rsidP="00CD1B39">
            <w:pPr>
              <w:pStyle w:val="TableText"/>
              <w:keepLines/>
              <w:widowControl w:val="0"/>
              <w:jc w:val="center"/>
              <w:rPr>
                <w:iCs/>
              </w:rPr>
            </w:pPr>
            <w:r w:rsidRPr="005C681F">
              <w:rPr>
                <w:iCs/>
              </w:rPr>
              <w:t>6.2549</w:t>
            </w:r>
          </w:p>
        </w:tc>
        <w:tc>
          <w:tcPr>
            <w:tcW w:w="1080" w:type="pct"/>
            <w:vAlign w:val="bottom"/>
          </w:tcPr>
          <w:p w14:paraId="047160F9" w14:textId="77777777" w:rsidR="002616ED" w:rsidRPr="00CF7D68" w:rsidRDefault="002616ED" w:rsidP="00CD1B39">
            <w:pPr>
              <w:pStyle w:val="TableText"/>
              <w:keepLines/>
              <w:widowControl w:val="0"/>
              <w:jc w:val="center"/>
              <w:rPr>
                <w:iCs/>
              </w:rPr>
            </w:pPr>
            <w:r w:rsidRPr="00CF7D68">
              <w:rPr>
                <w:iCs/>
              </w:rPr>
              <w:t>6.1774</w:t>
            </w:r>
          </w:p>
        </w:tc>
        <w:tc>
          <w:tcPr>
            <w:tcW w:w="1435" w:type="pct"/>
            <w:vAlign w:val="center"/>
          </w:tcPr>
          <w:p w14:paraId="0CA1EAD4" w14:textId="77777777" w:rsidR="002616ED" w:rsidRPr="00CF7D68" w:rsidRDefault="002616ED" w:rsidP="00CD1B39">
            <w:pPr>
              <w:pStyle w:val="TableText"/>
              <w:keepLines/>
              <w:widowControl w:val="0"/>
              <w:jc w:val="center"/>
              <w:rPr>
                <w:iCs/>
              </w:rPr>
            </w:pPr>
            <w:r w:rsidRPr="00CF7D68">
              <w:rPr>
                <w:iCs/>
              </w:rPr>
              <w:t>0.0775</w:t>
            </w:r>
          </w:p>
        </w:tc>
      </w:tr>
      <w:tr w:rsidR="002616ED" w:rsidRPr="00CF7D68" w14:paraId="5261F3C4" w14:textId="77777777" w:rsidTr="00BD693B">
        <w:tc>
          <w:tcPr>
            <w:tcW w:w="3565" w:type="pct"/>
            <w:gridSpan w:val="3"/>
          </w:tcPr>
          <w:p w14:paraId="21D70478" w14:textId="77777777" w:rsidR="002616ED" w:rsidRPr="00CF7D68" w:rsidRDefault="002616ED" w:rsidP="00CD1B39">
            <w:pPr>
              <w:pStyle w:val="TableText"/>
              <w:keepLines/>
              <w:widowControl w:val="0"/>
              <w:jc w:val="right"/>
              <w:rPr>
                <w:b/>
                <w:i/>
              </w:rPr>
            </w:pPr>
            <w:r w:rsidRPr="00CF7D68">
              <w:rPr>
                <w:b/>
              </w:rPr>
              <w:t>Incremental cost per QALY gained</w:t>
            </w:r>
          </w:p>
        </w:tc>
        <w:tc>
          <w:tcPr>
            <w:tcW w:w="1435" w:type="pct"/>
            <w:vAlign w:val="center"/>
          </w:tcPr>
          <w:p w14:paraId="50D339EC" w14:textId="616B44DD" w:rsidR="002616ED" w:rsidRPr="00C856F6" w:rsidRDefault="002616ED" w:rsidP="00CD1B39">
            <w:pPr>
              <w:pStyle w:val="TableText"/>
              <w:keepLines/>
              <w:widowControl w:val="0"/>
              <w:jc w:val="center"/>
              <w:rPr>
                <w:iCs/>
                <w:vertAlign w:val="superscript"/>
              </w:rPr>
            </w:pPr>
            <w:r w:rsidRPr="00CF7D68">
              <w:rPr>
                <w:iCs/>
              </w:rPr>
              <w:t>$</w:t>
            </w:r>
            <w:r w:rsidR="00A973A1" w:rsidRPr="00A973A1">
              <w:rPr>
                <w:iCs/>
                <w:color w:val="000000"/>
                <w:shd w:val="solid" w:color="000000" w:fill="000000"/>
                <w14:textFill>
                  <w14:solidFill>
                    <w14:srgbClr w14:val="000000">
                      <w14:alpha w14:val="100000"/>
                    </w14:srgbClr>
                  </w14:solidFill>
                </w14:textFill>
              </w:rPr>
              <w:t>|</w:t>
            </w:r>
            <w:r w:rsidR="00752474">
              <w:rPr>
                <w:iCs/>
                <w:vertAlign w:val="superscript"/>
              </w:rPr>
              <w:t>6</w:t>
            </w:r>
          </w:p>
        </w:tc>
      </w:tr>
    </w:tbl>
    <w:p w14:paraId="12D188A9" w14:textId="1A09291C" w:rsidR="002616ED" w:rsidRPr="00CF7D68" w:rsidRDefault="002616ED" w:rsidP="00CD1B39">
      <w:pPr>
        <w:pStyle w:val="TableFooter"/>
        <w:keepNext/>
        <w:keepLines/>
      </w:pPr>
      <w:r w:rsidRPr="00CF7D68">
        <w:t>Source: Table 87 (</w:t>
      </w:r>
      <w:r w:rsidR="003073FE">
        <w:t>p</w:t>
      </w:r>
      <w:r w:rsidRPr="00CF7D68">
        <w:t>137) of the submission</w:t>
      </w:r>
    </w:p>
    <w:p w14:paraId="1345EB1B" w14:textId="79E5B059" w:rsidR="009D674A" w:rsidRDefault="002616ED" w:rsidP="00C856F6">
      <w:pPr>
        <w:pStyle w:val="TableFooter"/>
        <w:keepNext/>
        <w:keepLines/>
        <w:jc w:val="left"/>
      </w:pPr>
      <w:r w:rsidRPr="00CF7D68">
        <w:t>Abbreviations: QALY, quality-adjusted life year</w:t>
      </w:r>
      <w:r w:rsidR="005C681F">
        <w:br/>
      </w:r>
      <w:r w:rsidR="005C681F" w:rsidRPr="00725DA3">
        <w:t>The redacted values correspond to the following ranges:</w:t>
      </w:r>
    </w:p>
    <w:p w14:paraId="0341B8CE" w14:textId="588B0940" w:rsidR="009D674A" w:rsidRPr="00C856F6" w:rsidRDefault="009D674A" w:rsidP="00C856F6">
      <w:pPr>
        <w:pStyle w:val="TableFooter"/>
        <w:keepNext/>
        <w:keepLines/>
        <w:jc w:val="left"/>
        <w:rPr>
          <w:i/>
          <w:iCs/>
          <w:szCs w:val="18"/>
        </w:rPr>
      </w:pPr>
      <w:r w:rsidRPr="00C856F6">
        <w:rPr>
          <w:i/>
          <w:iCs/>
          <w:szCs w:val="18"/>
          <w:vertAlign w:val="superscript"/>
        </w:rPr>
        <w:t xml:space="preserve">1 </w:t>
      </w:r>
      <w:r w:rsidRPr="00C856F6">
        <w:rPr>
          <w:i/>
          <w:iCs/>
          <w:szCs w:val="18"/>
        </w:rPr>
        <w:t>$555,000 to &lt; $655,000</w:t>
      </w:r>
    </w:p>
    <w:p w14:paraId="71F37EAA" w14:textId="7BAB44BC" w:rsidR="005C681F" w:rsidRPr="00C856F6" w:rsidRDefault="009D674A" w:rsidP="00C856F6">
      <w:pPr>
        <w:pStyle w:val="TableFooter"/>
        <w:keepNext/>
        <w:keepLines/>
        <w:jc w:val="left"/>
        <w:rPr>
          <w:i/>
          <w:iCs/>
          <w:szCs w:val="18"/>
        </w:rPr>
      </w:pPr>
      <w:r w:rsidRPr="00C856F6">
        <w:rPr>
          <w:i/>
          <w:iCs/>
          <w:szCs w:val="18"/>
          <w:vertAlign w:val="superscript"/>
        </w:rPr>
        <w:t>2</w:t>
      </w:r>
      <w:r w:rsidRPr="00C856F6">
        <w:rPr>
          <w:i/>
          <w:iCs/>
          <w:szCs w:val="18"/>
        </w:rPr>
        <w:t xml:space="preserve"> $155,000 to &lt; $255,000</w:t>
      </w:r>
    </w:p>
    <w:p w14:paraId="6A392A6D" w14:textId="7478CA9E" w:rsidR="005C681F" w:rsidRPr="00C856F6" w:rsidRDefault="00752474" w:rsidP="00C856F6">
      <w:pPr>
        <w:pStyle w:val="TableFooter"/>
        <w:keepNext/>
        <w:keepLines/>
        <w:jc w:val="left"/>
        <w:rPr>
          <w:i/>
          <w:iCs/>
        </w:rPr>
      </w:pPr>
      <w:r w:rsidRPr="00C856F6">
        <w:rPr>
          <w:i/>
          <w:iCs/>
          <w:vertAlign w:val="superscript"/>
        </w:rPr>
        <w:t>3</w:t>
      </w:r>
      <w:r w:rsidRPr="00C856F6">
        <w:rPr>
          <w:i/>
          <w:iCs/>
        </w:rPr>
        <w:t xml:space="preserve"> &gt; $1,055,000</w:t>
      </w:r>
      <w:r w:rsidRPr="00C856F6">
        <w:rPr>
          <w:i/>
          <w:iCs/>
        </w:rPr>
        <w:br/>
      </w:r>
      <w:r w:rsidRPr="00C856F6">
        <w:rPr>
          <w:i/>
          <w:iCs/>
          <w:vertAlign w:val="superscript"/>
        </w:rPr>
        <w:t>4</w:t>
      </w:r>
      <w:r w:rsidRPr="00C856F6">
        <w:rPr>
          <w:i/>
          <w:iCs/>
        </w:rPr>
        <w:t xml:space="preserve"> $355,000 to &lt; $455,000</w:t>
      </w:r>
    </w:p>
    <w:p w14:paraId="3CAF2F2D" w14:textId="59020602" w:rsidR="005C681F" w:rsidRPr="00C856F6" w:rsidRDefault="00752474" w:rsidP="00C856F6">
      <w:pPr>
        <w:pStyle w:val="TableFooter"/>
        <w:keepNext/>
        <w:keepLines/>
        <w:jc w:val="left"/>
        <w:rPr>
          <w:i/>
          <w:iCs/>
        </w:rPr>
      </w:pPr>
      <w:r w:rsidRPr="00C856F6">
        <w:rPr>
          <w:i/>
          <w:iCs/>
          <w:vertAlign w:val="superscript"/>
        </w:rPr>
        <w:t>5</w:t>
      </w:r>
      <w:r w:rsidRPr="00C856F6">
        <w:rPr>
          <w:i/>
          <w:iCs/>
        </w:rPr>
        <w:t xml:space="preserve"> $255,000 to &lt; $355,000</w:t>
      </w:r>
    </w:p>
    <w:p w14:paraId="551EF785" w14:textId="6C780F9F" w:rsidR="00752474" w:rsidRDefault="00752474" w:rsidP="005C681F">
      <w:pPr>
        <w:pStyle w:val="TableFooter"/>
        <w:keepNext/>
        <w:keepLines/>
        <w:jc w:val="left"/>
        <w:rPr>
          <w:i/>
          <w:iCs/>
        </w:rPr>
      </w:pPr>
      <w:r w:rsidRPr="00C856F6">
        <w:rPr>
          <w:i/>
          <w:iCs/>
          <w:vertAlign w:val="superscript"/>
        </w:rPr>
        <w:t>6</w:t>
      </w:r>
      <w:r w:rsidRPr="00C856F6">
        <w:rPr>
          <w:i/>
          <w:iCs/>
        </w:rPr>
        <w:t xml:space="preserve"> $5,000 to &lt; $15,000 </w:t>
      </w:r>
    </w:p>
    <w:p w14:paraId="54FC3CD9" w14:textId="77777777" w:rsidR="00125F18" w:rsidRPr="00C856F6" w:rsidRDefault="00125F18" w:rsidP="00C856F6">
      <w:pPr>
        <w:pStyle w:val="TableFooter"/>
        <w:keepNext/>
        <w:keepLines/>
        <w:jc w:val="left"/>
      </w:pPr>
    </w:p>
    <w:p w14:paraId="7F3C2E9F" w14:textId="637DF2B9" w:rsidR="002616ED" w:rsidRPr="00CF7D68" w:rsidRDefault="002616ED" w:rsidP="002616ED">
      <w:pPr>
        <w:pStyle w:val="ExecSumBodyText"/>
        <w:ind w:left="709" w:hanging="709"/>
        <w:rPr>
          <w:iCs/>
        </w:rPr>
      </w:pPr>
      <w:r w:rsidRPr="00CF7D68">
        <w:rPr>
          <w:iCs/>
        </w:rPr>
        <w:t xml:space="preserve">The inclusion of cardiovascular treatment effects and the extrapolation of treatment benefits beyond the clinical trial data had the largest impact on the stepped economic evaluation. The difference in total cost between treatment arms was driven by </w:t>
      </w:r>
      <w:proofErr w:type="spellStart"/>
      <w:r w:rsidRPr="00CF7D68">
        <w:rPr>
          <w:iCs/>
        </w:rPr>
        <w:lastRenderedPageBreak/>
        <w:t>finerenone</w:t>
      </w:r>
      <w:proofErr w:type="spellEnd"/>
      <w:r w:rsidRPr="00CF7D68">
        <w:rPr>
          <w:iCs/>
        </w:rPr>
        <w:t xml:space="preserve"> drug costs which w</w:t>
      </w:r>
      <w:r w:rsidR="0037603D" w:rsidRPr="00CF7D68">
        <w:rPr>
          <w:iCs/>
        </w:rPr>
        <w:t>ere</w:t>
      </w:r>
      <w:r w:rsidRPr="00CF7D68">
        <w:rPr>
          <w:iCs/>
        </w:rPr>
        <w:t xml:space="preserve"> largely offset by reduced costs associated with dialysis. </w:t>
      </w:r>
      <w:r w:rsidR="004A190B" w:rsidRPr="00CF7D68">
        <w:t xml:space="preserve">The ESC noted that </w:t>
      </w:r>
      <w:proofErr w:type="spellStart"/>
      <w:r w:rsidR="004A190B" w:rsidRPr="00CF7D68">
        <w:t>finerenone</w:t>
      </w:r>
      <w:proofErr w:type="spellEnd"/>
      <w:r w:rsidR="004A190B" w:rsidRPr="00CF7D68">
        <w:t xml:space="preserve"> may delay time to dialysis and so costs would be delayed rather than avoided. </w:t>
      </w:r>
      <w:r w:rsidRPr="00CF7D68">
        <w:rPr>
          <w:iCs/>
        </w:rPr>
        <w:t>The difference in total quality</w:t>
      </w:r>
      <w:r w:rsidR="0037603D" w:rsidRPr="00CF7D68">
        <w:rPr>
          <w:iCs/>
        </w:rPr>
        <w:t xml:space="preserve"> </w:t>
      </w:r>
      <w:r w:rsidRPr="00CF7D68">
        <w:rPr>
          <w:iCs/>
        </w:rPr>
        <w:t xml:space="preserve">adjusted life years between treatment arms was primarily driven by </w:t>
      </w:r>
      <w:r w:rsidR="007D7A51" w:rsidRPr="00CF7D68">
        <w:rPr>
          <w:iCs/>
        </w:rPr>
        <w:t xml:space="preserve">a modelled </w:t>
      </w:r>
      <w:r w:rsidRPr="00CF7D68">
        <w:rPr>
          <w:iCs/>
        </w:rPr>
        <w:t>increase in patient survival due to a reduction in cardiovascular and non-cardiovascular death</w:t>
      </w:r>
      <w:r w:rsidR="002732CD" w:rsidRPr="00CF7D68">
        <w:rPr>
          <w:iCs/>
        </w:rPr>
        <w:t xml:space="preserve"> </w:t>
      </w:r>
      <w:r w:rsidR="002732CD" w:rsidRPr="00CF7D68">
        <w:t>(which were not statistically significantly different between treatment arms in the trials)</w:t>
      </w:r>
      <w:r w:rsidRPr="00CF7D68">
        <w:rPr>
          <w:iCs/>
        </w:rPr>
        <w:t>.</w:t>
      </w:r>
    </w:p>
    <w:p w14:paraId="02814D9D" w14:textId="40AB6CA7" w:rsidR="002616ED" w:rsidRPr="00CF7D68" w:rsidRDefault="002616ED" w:rsidP="002616ED">
      <w:pPr>
        <w:pStyle w:val="ExecSumBodyText"/>
        <w:ind w:left="709" w:hanging="709"/>
        <w:rPr>
          <w:iCs/>
        </w:rPr>
      </w:pPr>
      <w:r w:rsidRPr="00CF7D68">
        <w:t xml:space="preserve">Based on the economic model, treatment with </w:t>
      </w:r>
      <w:proofErr w:type="spellStart"/>
      <w:r w:rsidRPr="00CF7D68">
        <w:t>finerenone</w:t>
      </w:r>
      <w:proofErr w:type="spellEnd"/>
      <w:r w:rsidRPr="00CF7D68">
        <w:t xml:space="preserve"> was associated with an incremental cost per QALY gained of </w:t>
      </w:r>
      <w:r w:rsidR="00125F18" w:rsidRPr="00125F18">
        <w:t>$5,000 to &lt; $15,000</w:t>
      </w:r>
      <w:r w:rsidRPr="00CF7D68">
        <w:t xml:space="preserve"> compared to placebo for the management of diabetic kidney disease.</w:t>
      </w:r>
      <w:r w:rsidRPr="00CF7D68">
        <w:rPr>
          <w:iCs/>
        </w:rPr>
        <w:t xml:space="preserve"> </w:t>
      </w:r>
      <w:r w:rsidR="00FA68AE" w:rsidRPr="00CF7D68">
        <w:t xml:space="preserve">The ESC advised that </w:t>
      </w:r>
      <w:r w:rsidR="00FA68AE" w:rsidRPr="00CF7D68">
        <w:rPr>
          <w:iCs/>
        </w:rPr>
        <w:t>t</w:t>
      </w:r>
      <w:r w:rsidRPr="00CF7D68">
        <w:rPr>
          <w:iCs/>
        </w:rPr>
        <w:t xml:space="preserve">he estimated cost-effectiveness of </w:t>
      </w:r>
      <w:proofErr w:type="spellStart"/>
      <w:r w:rsidRPr="00CF7D68">
        <w:rPr>
          <w:iCs/>
        </w:rPr>
        <w:t>finerenone</w:t>
      </w:r>
      <w:proofErr w:type="spellEnd"/>
      <w:r w:rsidRPr="00CF7D68">
        <w:rPr>
          <w:iCs/>
        </w:rPr>
        <w:t xml:space="preserve">, which was primarily based on data from the FIDELITY pooled analysis, </w:t>
      </w:r>
      <w:r w:rsidR="00FA68AE" w:rsidRPr="00CF7D68">
        <w:t>was unlikely to be</w:t>
      </w:r>
      <w:r w:rsidRPr="00CF7D68">
        <w:rPr>
          <w:iCs/>
        </w:rPr>
        <w:t xml:space="preserve"> representative of the cost-effectiveness of </w:t>
      </w:r>
      <w:proofErr w:type="spellStart"/>
      <w:r w:rsidRPr="00CF7D68">
        <w:rPr>
          <w:iCs/>
        </w:rPr>
        <w:t>finerenone</w:t>
      </w:r>
      <w:proofErr w:type="spellEnd"/>
      <w:r w:rsidRPr="00CF7D68">
        <w:rPr>
          <w:iCs/>
        </w:rPr>
        <w:t xml:space="preserve"> in Australian clinical practice. In particular, the economic evaluation could have been strengthened to address some of the key translation issues by providing cost-effectiveness estimates for subgroups of patients with and without very high albuminuria, patients with and without prior cardiovascular disease</w:t>
      </w:r>
      <w:r w:rsidR="0037603D" w:rsidRPr="00CF7D68">
        <w:rPr>
          <w:iCs/>
        </w:rPr>
        <w:t>,</w:t>
      </w:r>
      <w:r w:rsidRPr="00CF7D68">
        <w:rPr>
          <w:iCs/>
        </w:rPr>
        <w:t xml:space="preserve"> as well as patients with and without concomitant SGLT2 use.</w:t>
      </w:r>
    </w:p>
    <w:p w14:paraId="1AA346E2" w14:textId="440494EB" w:rsidR="008E1764" w:rsidRPr="00CF7D68" w:rsidRDefault="008E1764" w:rsidP="00DC2495">
      <w:pPr>
        <w:pStyle w:val="ExecSumBodyText"/>
        <w:ind w:left="709" w:hanging="709"/>
        <w:contextualSpacing/>
      </w:pPr>
      <w:r w:rsidRPr="00CF7D68">
        <w:t>For every 1</w:t>
      </w:r>
      <w:r w:rsidR="00B01F62" w:rsidRPr="00CF7D68">
        <w:t>,</w:t>
      </w:r>
      <w:r w:rsidRPr="00CF7D68">
        <w:t xml:space="preserve">000 patients treated with </w:t>
      </w:r>
      <w:proofErr w:type="spellStart"/>
      <w:r w:rsidRPr="00CF7D68">
        <w:t>finerenone</w:t>
      </w:r>
      <w:proofErr w:type="spellEnd"/>
      <w:r w:rsidR="00BC06BA" w:rsidRPr="00CF7D68">
        <w:t xml:space="preserve"> plus standard of care</w:t>
      </w:r>
      <w:r w:rsidRPr="00CF7D68">
        <w:t xml:space="preserve"> versus placebo </w:t>
      </w:r>
      <w:r w:rsidR="00BC06BA" w:rsidRPr="00CF7D68">
        <w:t>plus standard of care</w:t>
      </w:r>
      <w:r w:rsidR="00E559DB" w:rsidRPr="00CF7D68">
        <w:t xml:space="preserve"> </w:t>
      </w:r>
      <w:r w:rsidRPr="00CF7D68">
        <w:t>and followed up for 15 years, the economic evaluation (with discounting) estimated that there would be:</w:t>
      </w:r>
    </w:p>
    <w:p w14:paraId="04E2FAB6" w14:textId="6D268736" w:rsidR="008E1764" w:rsidRPr="00CF7D68" w:rsidRDefault="008E1764" w:rsidP="00644C08">
      <w:pPr>
        <w:pStyle w:val="ExecSumBodyText"/>
        <w:numPr>
          <w:ilvl w:val="0"/>
          <w:numId w:val="7"/>
        </w:numPr>
        <w:ind w:left="1066" w:hanging="357"/>
        <w:contextualSpacing/>
      </w:pPr>
      <w:r w:rsidRPr="00CF7D68">
        <w:t xml:space="preserve">Additional </w:t>
      </w:r>
      <w:proofErr w:type="spellStart"/>
      <w:r w:rsidRPr="00CF7D68">
        <w:t>finerenone</w:t>
      </w:r>
      <w:proofErr w:type="spellEnd"/>
      <w:r w:rsidRPr="00CF7D68">
        <w:t xml:space="preserve"> drug costs of $</w:t>
      </w:r>
      <w:proofErr w:type="gramStart"/>
      <w:r w:rsidR="00A973A1" w:rsidRPr="00F9376A">
        <w:rPr>
          <w:color w:val="000000"/>
          <w:w w:val="15"/>
          <w:shd w:val="solid" w:color="000000" w:fill="000000"/>
          <w:fitText w:val="-20" w:id="-1435844352"/>
          <w14:textFill>
            <w14:solidFill>
              <w14:srgbClr w14:val="000000">
                <w14:alpha w14:val="100000"/>
              </w14:srgbClr>
            </w14:solidFill>
          </w14:textFill>
        </w:rPr>
        <w:t xml:space="preserve">|  </w:t>
      </w:r>
      <w:r w:rsidR="00A973A1" w:rsidRPr="00F9376A">
        <w:rPr>
          <w:color w:val="000000"/>
          <w:spacing w:val="-69"/>
          <w:w w:val="15"/>
          <w:shd w:val="solid" w:color="000000" w:fill="000000"/>
          <w:fitText w:val="-20" w:id="-1435844352"/>
          <w14:textFill>
            <w14:solidFill>
              <w14:srgbClr w14:val="000000">
                <w14:alpha w14:val="100000"/>
              </w14:srgbClr>
            </w14:solidFill>
          </w14:textFill>
        </w:rPr>
        <w:t>|</w:t>
      </w:r>
      <w:proofErr w:type="gramEnd"/>
      <w:r w:rsidR="00A973A1" w:rsidRPr="00A973A1">
        <w:t xml:space="preserve"> </w:t>
      </w:r>
      <w:r w:rsidR="00A973A1" w:rsidRPr="00F9376A">
        <w:rPr>
          <w:color w:val="000000"/>
          <w:w w:val="15"/>
          <w:shd w:val="solid" w:color="000000" w:fill="000000"/>
          <w:fitText w:val="-20" w:id="-1435844351"/>
          <w14:textFill>
            <w14:solidFill>
              <w14:srgbClr w14:val="000000">
                <w14:alpha w14:val="100000"/>
              </w14:srgbClr>
            </w14:solidFill>
          </w14:textFill>
        </w:rPr>
        <w:t xml:space="preserve">|  </w:t>
      </w:r>
      <w:r w:rsidR="00A973A1" w:rsidRPr="00F9376A">
        <w:rPr>
          <w:color w:val="000000"/>
          <w:spacing w:val="-69"/>
          <w:w w:val="15"/>
          <w:shd w:val="solid" w:color="000000" w:fill="000000"/>
          <w:fitText w:val="-20" w:id="-1435844351"/>
          <w14:textFill>
            <w14:solidFill>
              <w14:srgbClr w14:val="000000">
                <w14:alpha w14:val="100000"/>
              </w14:srgbClr>
            </w14:solidFill>
          </w14:textFill>
        </w:rPr>
        <w:t>|</w:t>
      </w:r>
      <w:r w:rsidRPr="00CF7D68">
        <w:t xml:space="preserve"> with additional disease management costs of $</w:t>
      </w:r>
      <w:r w:rsidR="00A973A1" w:rsidRPr="00F9376A">
        <w:rPr>
          <w:color w:val="000000"/>
          <w:w w:val="15"/>
          <w:shd w:val="solid" w:color="000000" w:fill="000000"/>
          <w:fitText w:val="-20" w:id="-1435844350"/>
          <w14:textFill>
            <w14:solidFill>
              <w14:srgbClr w14:val="000000">
                <w14:alpha w14:val="100000"/>
              </w14:srgbClr>
            </w14:solidFill>
          </w14:textFill>
        </w:rPr>
        <w:t xml:space="preserve">|  </w:t>
      </w:r>
      <w:r w:rsidR="00A973A1" w:rsidRPr="00F9376A">
        <w:rPr>
          <w:color w:val="000000"/>
          <w:spacing w:val="-69"/>
          <w:w w:val="15"/>
          <w:shd w:val="solid" w:color="000000" w:fill="000000"/>
          <w:fitText w:val="-20" w:id="-1435844350"/>
          <w14:textFill>
            <w14:solidFill>
              <w14:srgbClr w14:val="000000">
                <w14:alpha w14:val="100000"/>
              </w14:srgbClr>
            </w14:solidFill>
          </w14:textFill>
        </w:rPr>
        <w:t>|</w:t>
      </w:r>
      <w:r w:rsidR="00A973A1" w:rsidRPr="00A973A1">
        <w:t xml:space="preserve"> </w:t>
      </w:r>
      <w:r w:rsidR="00A973A1" w:rsidRPr="00F9376A">
        <w:rPr>
          <w:color w:val="000000"/>
          <w:w w:val="15"/>
          <w:shd w:val="solid" w:color="000000" w:fill="000000"/>
          <w:fitText w:val="-20" w:id="-1435844349"/>
          <w14:textFill>
            <w14:solidFill>
              <w14:srgbClr w14:val="000000">
                <w14:alpha w14:val="100000"/>
              </w14:srgbClr>
            </w14:solidFill>
          </w14:textFill>
        </w:rPr>
        <w:t xml:space="preserve">|  </w:t>
      </w:r>
      <w:r w:rsidR="00A973A1" w:rsidRPr="00F9376A">
        <w:rPr>
          <w:color w:val="000000"/>
          <w:spacing w:val="-69"/>
          <w:w w:val="15"/>
          <w:shd w:val="solid" w:color="000000" w:fill="000000"/>
          <w:fitText w:val="-20" w:id="-1435844349"/>
          <w14:textFill>
            <w14:solidFill>
              <w14:srgbClr w14:val="000000">
                <w14:alpha w14:val="100000"/>
              </w14:srgbClr>
            </w14:solidFill>
          </w14:textFill>
        </w:rPr>
        <w:t>|</w:t>
      </w:r>
      <w:r w:rsidRPr="00CF7D68">
        <w:t xml:space="preserve"> (background medications, health state costs and adverse events)</w:t>
      </w:r>
      <w:r w:rsidR="0037603D" w:rsidRPr="00CF7D68">
        <w:t>.</w:t>
      </w:r>
    </w:p>
    <w:p w14:paraId="12B8CAD9" w14:textId="77777777" w:rsidR="008E1764" w:rsidRPr="00CF7D68" w:rsidRDefault="008E1764" w:rsidP="00644C08">
      <w:pPr>
        <w:pStyle w:val="ExecSumBodyText"/>
        <w:numPr>
          <w:ilvl w:val="0"/>
          <w:numId w:val="7"/>
        </w:numPr>
        <w:ind w:left="1066" w:hanging="357"/>
        <w:contextualSpacing/>
      </w:pPr>
      <w:r w:rsidRPr="00CF7D68">
        <w:t xml:space="preserve">Decreased incidence of dialysis (14 fewer initiations), transplant (1 fewer transplant), non-fatal cardiovascular events (60 fewer events), fatal cardiovascular events (8 fewer deaths) and other deaths (4 fewer deaths). </w:t>
      </w:r>
    </w:p>
    <w:p w14:paraId="564A992F" w14:textId="77777777" w:rsidR="008E1764" w:rsidRPr="00CF7D68" w:rsidRDefault="008E1764" w:rsidP="00644C08">
      <w:pPr>
        <w:pStyle w:val="ExecSumBodyText"/>
        <w:numPr>
          <w:ilvl w:val="0"/>
          <w:numId w:val="7"/>
        </w:numPr>
        <w:ind w:left="1066" w:hanging="357"/>
        <w:contextualSpacing/>
      </w:pPr>
      <w:r w:rsidRPr="00CF7D68">
        <w:t>Increased incidence of hyperkalaemia without hospitalisation (189 events) and hyperkalaemia with hospitalisation (21 events).</w:t>
      </w:r>
    </w:p>
    <w:p w14:paraId="23418AD9" w14:textId="2F3EDDDF" w:rsidR="008E1764" w:rsidRPr="00CF7D68" w:rsidRDefault="008E1764" w:rsidP="00644C08">
      <w:pPr>
        <w:pStyle w:val="ExecSumBodyText"/>
        <w:numPr>
          <w:ilvl w:val="0"/>
          <w:numId w:val="7"/>
        </w:numPr>
        <w:ind w:left="1066" w:hanging="357"/>
      </w:pPr>
      <w:r w:rsidRPr="00CF7D68">
        <w:t>Decreased costs for dialysis ($</w:t>
      </w:r>
      <w:proofErr w:type="gramStart"/>
      <w:r w:rsidR="00A973A1" w:rsidRPr="00F9376A">
        <w:rPr>
          <w:color w:val="000000"/>
          <w:w w:val="15"/>
          <w:shd w:val="solid" w:color="000000" w:fill="000000"/>
          <w:fitText w:val="-20" w:id="-1435844348"/>
          <w14:textFill>
            <w14:solidFill>
              <w14:srgbClr w14:val="000000">
                <w14:alpha w14:val="100000"/>
              </w14:srgbClr>
            </w14:solidFill>
          </w14:textFill>
        </w:rPr>
        <w:t xml:space="preserve">|  </w:t>
      </w:r>
      <w:r w:rsidR="00A973A1" w:rsidRPr="00F9376A">
        <w:rPr>
          <w:color w:val="000000"/>
          <w:spacing w:val="-69"/>
          <w:w w:val="15"/>
          <w:shd w:val="solid" w:color="000000" w:fill="000000"/>
          <w:fitText w:val="-20" w:id="-1435844348"/>
          <w14:textFill>
            <w14:solidFill>
              <w14:srgbClr w14:val="000000">
                <w14:alpha w14:val="100000"/>
              </w14:srgbClr>
            </w14:solidFill>
          </w14:textFill>
        </w:rPr>
        <w:t>|</w:t>
      </w:r>
      <w:proofErr w:type="gramEnd"/>
      <w:r w:rsidR="00A973A1" w:rsidRPr="00A973A1">
        <w:t xml:space="preserve"> </w:t>
      </w:r>
      <w:r w:rsidR="00A973A1" w:rsidRPr="00F9376A">
        <w:rPr>
          <w:color w:val="000000"/>
          <w:w w:val="15"/>
          <w:shd w:val="solid" w:color="000000" w:fill="000000"/>
          <w:fitText w:val="-20" w:id="-1435844347"/>
          <w14:textFill>
            <w14:solidFill>
              <w14:srgbClr w14:val="000000">
                <w14:alpha w14:val="100000"/>
              </w14:srgbClr>
            </w14:solidFill>
          </w14:textFill>
        </w:rPr>
        <w:t xml:space="preserve">|  </w:t>
      </w:r>
      <w:r w:rsidR="00A973A1" w:rsidRPr="00F9376A">
        <w:rPr>
          <w:color w:val="000000"/>
          <w:spacing w:val="-69"/>
          <w:w w:val="15"/>
          <w:shd w:val="solid" w:color="000000" w:fill="000000"/>
          <w:fitText w:val="-20" w:id="-1435844347"/>
          <w14:textFill>
            <w14:solidFill>
              <w14:srgbClr w14:val="000000">
                <w14:alpha w14:val="100000"/>
              </w14:srgbClr>
            </w14:solidFill>
          </w14:textFill>
        </w:rPr>
        <w:t>|</w:t>
      </w:r>
      <w:r w:rsidRPr="00CF7D68">
        <w:t>) transplantation ($</w:t>
      </w:r>
      <w:r w:rsidR="00A973A1" w:rsidRPr="00F9376A">
        <w:rPr>
          <w:color w:val="000000"/>
          <w:w w:val="15"/>
          <w:shd w:val="solid" w:color="000000" w:fill="000000"/>
          <w:fitText w:val="-20" w:id="-1435844346"/>
          <w14:textFill>
            <w14:solidFill>
              <w14:srgbClr w14:val="000000">
                <w14:alpha w14:val="100000"/>
              </w14:srgbClr>
            </w14:solidFill>
          </w14:textFill>
        </w:rPr>
        <w:t xml:space="preserve">|  </w:t>
      </w:r>
      <w:r w:rsidR="00A973A1" w:rsidRPr="00F9376A">
        <w:rPr>
          <w:color w:val="000000"/>
          <w:spacing w:val="-69"/>
          <w:w w:val="15"/>
          <w:shd w:val="solid" w:color="000000" w:fill="000000"/>
          <w:fitText w:val="-20" w:id="-1435844346"/>
          <w14:textFill>
            <w14:solidFill>
              <w14:srgbClr w14:val="000000">
                <w14:alpha w14:val="100000"/>
              </w14:srgbClr>
            </w14:solidFill>
          </w14:textFill>
        </w:rPr>
        <w:t>|</w:t>
      </w:r>
      <w:r w:rsidR="00A973A1" w:rsidRPr="00A973A1">
        <w:t xml:space="preserve"> </w:t>
      </w:r>
      <w:r w:rsidR="00A973A1" w:rsidRPr="00F9376A">
        <w:rPr>
          <w:color w:val="000000"/>
          <w:w w:val="15"/>
          <w:shd w:val="solid" w:color="000000" w:fill="000000"/>
          <w:fitText w:val="-20" w:id="-1435844345"/>
          <w14:textFill>
            <w14:solidFill>
              <w14:srgbClr w14:val="000000">
                <w14:alpha w14:val="100000"/>
              </w14:srgbClr>
            </w14:solidFill>
          </w14:textFill>
        </w:rPr>
        <w:t xml:space="preserve">|  </w:t>
      </w:r>
      <w:r w:rsidR="00A973A1" w:rsidRPr="00F9376A">
        <w:rPr>
          <w:color w:val="000000"/>
          <w:spacing w:val="-69"/>
          <w:w w:val="15"/>
          <w:shd w:val="solid" w:color="000000" w:fill="000000"/>
          <w:fitText w:val="-20" w:id="-1435844345"/>
          <w14:textFill>
            <w14:solidFill>
              <w14:srgbClr w14:val="000000">
                <w14:alpha w14:val="100000"/>
              </w14:srgbClr>
            </w14:solidFill>
          </w14:textFill>
        </w:rPr>
        <w:t>|</w:t>
      </w:r>
      <w:r w:rsidRPr="00CF7D68">
        <w:t>) and cardiovascular events ($</w:t>
      </w:r>
      <w:r w:rsidR="00A973A1" w:rsidRPr="00F9376A">
        <w:rPr>
          <w:color w:val="000000"/>
          <w:w w:val="15"/>
          <w:shd w:val="solid" w:color="000000" w:fill="000000"/>
          <w:fitText w:val="-20" w:id="-1435844344"/>
          <w14:textFill>
            <w14:solidFill>
              <w14:srgbClr w14:val="000000">
                <w14:alpha w14:val="100000"/>
              </w14:srgbClr>
            </w14:solidFill>
          </w14:textFill>
        </w:rPr>
        <w:t xml:space="preserve">|  </w:t>
      </w:r>
      <w:r w:rsidR="00A973A1" w:rsidRPr="00F9376A">
        <w:rPr>
          <w:color w:val="000000"/>
          <w:spacing w:val="-69"/>
          <w:w w:val="15"/>
          <w:shd w:val="solid" w:color="000000" w:fill="000000"/>
          <w:fitText w:val="-20" w:id="-1435844344"/>
          <w14:textFill>
            <w14:solidFill>
              <w14:srgbClr w14:val="000000">
                <w14:alpha w14:val="100000"/>
              </w14:srgbClr>
            </w14:solidFill>
          </w14:textFill>
        </w:rPr>
        <w:t>|</w:t>
      </w:r>
      <w:r w:rsidR="00A973A1" w:rsidRPr="00A973A1">
        <w:t xml:space="preserve"> </w:t>
      </w:r>
      <w:r w:rsidR="00A973A1" w:rsidRPr="00F9376A">
        <w:rPr>
          <w:color w:val="000000"/>
          <w:w w:val="15"/>
          <w:shd w:val="solid" w:color="000000" w:fill="000000"/>
          <w:fitText w:val="-20" w:id="-1435844343"/>
          <w14:textFill>
            <w14:solidFill>
              <w14:srgbClr w14:val="000000">
                <w14:alpha w14:val="100000"/>
              </w14:srgbClr>
            </w14:solidFill>
          </w14:textFill>
        </w:rPr>
        <w:t xml:space="preserve">|  </w:t>
      </w:r>
      <w:r w:rsidR="00A973A1" w:rsidRPr="00F9376A">
        <w:rPr>
          <w:color w:val="000000"/>
          <w:spacing w:val="-69"/>
          <w:w w:val="15"/>
          <w:shd w:val="solid" w:color="000000" w:fill="000000"/>
          <w:fitText w:val="-20" w:id="-1435844343"/>
          <w14:textFill>
            <w14:solidFill>
              <w14:srgbClr w14:val="000000">
                <w14:alpha w14:val="100000"/>
              </w14:srgbClr>
            </w14:solidFill>
          </w14:textFill>
        </w:rPr>
        <w:t>|</w:t>
      </w:r>
      <w:r w:rsidRPr="00CF7D68">
        <w:t>).</w:t>
      </w:r>
    </w:p>
    <w:p w14:paraId="7DB7C532" w14:textId="1DAAECC0" w:rsidR="00060C87" w:rsidRPr="00CF7D68" w:rsidRDefault="00060C87" w:rsidP="00AC5893">
      <w:pPr>
        <w:pStyle w:val="ExecSumBodyText"/>
        <w:ind w:left="709" w:hanging="709"/>
        <w:rPr>
          <w:iCs/>
        </w:rPr>
      </w:pPr>
      <w:bookmarkStart w:id="48" w:name="_Ref106092212"/>
      <w:r w:rsidRPr="00CF7D68">
        <w:rPr>
          <w:iCs/>
        </w:rPr>
        <w:t>The results of the sensitivity analyses indicated that the model was most sensitive to</w:t>
      </w:r>
      <w:r w:rsidR="00857D23" w:rsidRPr="00CF7D68">
        <w:rPr>
          <w:iCs/>
        </w:rPr>
        <w:t xml:space="preserve"> a shorter</w:t>
      </w:r>
      <w:r w:rsidRPr="00CF7D68">
        <w:rPr>
          <w:iCs/>
        </w:rPr>
        <w:t xml:space="preserve"> time horizon, population characteristics (informing baseline risk), </w:t>
      </w:r>
      <w:proofErr w:type="spellStart"/>
      <w:r w:rsidRPr="00CF7D68">
        <w:rPr>
          <w:iCs/>
        </w:rPr>
        <w:t>finerenone</w:t>
      </w:r>
      <w:proofErr w:type="spellEnd"/>
      <w:r w:rsidRPr="00CF7D68">
        <w:rPr>
          <w:iCs/>
        </w:rPr>
        <w:t xml:space="preserve"> treatment effects (particularly for renal outcomes) and dialysis costs.</w:t>
      </w:r>
      <w:bookmarkEnd w:id="48"/>
      <w:r w:rsidRPr="00CF7D68">
        <w:rPr>
          <w:rStyle w:val="CommentReference"/>
          <w:sz w:val="20"/>
          <w:szCs w:val="22"/>
        </w:rPr>
        <w:t xml:space="preserve"> </w:t>
      </w:r>
      <w:r w:rsidR="004C4061" w:rsidRPr="00CF7D68">
        <w:rPr>
          <w:iCs/>
        </w:rPr>
        <w:t>The ESC noted that a shorter time horizon would not be adequate to capture the delay to CKD 5.</w:t>
      </w:r>
    </w:p>
    <w:p w14:paraId="3309CDD4" w14:textId="2F27145C" w:rsidR="00AC5893" w:rsidRPr="00CF7D68" w:rsidRDefault="00AC5893" w:rsidP="00CD1B39">
      <w:pPr>
        <w:pStyle w:val="TableHeading"/>
        <w:keepLines/>
      </w:pPr>
      <w:r w:rsidRPr="00CF7D68">
        <w:lastRenderedPageBreak/>
        <w:t xml:space="preserve">Table </w:t>
      </w:r>
      <w:r w:rsidR="00F9376A">
        <w:fldChar w:fldCharType="begin"/>
      </w:r>
      <w:r w:rsidR="00F9376A">
        <w:instrText xml:space="preserve"> </w:instrText>
      </w:r>
      <w:r w:rsidR="00F9376A">
        <w:instrText xml:space="preserve">SEQ Table \* ARABIC </w:instrText>
      </w:r>
      <w:r w:rsidR="00F9376A">
        <w:fldChar w:fldCharType="separate"/>
      </w:r>
      <w:r w:rsidR="00AE5D6E">
        <w:rPr>
          <w:noProof/>
        </w:rPr>
        <w:t>15</w:t>
      </w:r>
      <w:r w:rsidR="00F9376A">
        <w:rPr>
          <w:noProof/>
        </w:rPr>
        <w:fldChar w:fldCharType="end"/>
      </w:r>
      <w:r w:rsidRPr="00CF7D68">
        <w:t xml:space="preserve">: </w:t>
      </w:r>
      <w:r w:rsidRPr="00CF7D68">
        <w:rPr>
          <w:rStyle w:val="CommentReference"/>
          <w:sz w:val="20"/>
          <w:szCs w:val="22"/>
        </w:rPr>
        <w:t>Results of sensitivity analyses</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0"/>
        <w:gridCol w:w="1417"/>
        <w:gridCol w:w="1368"/>
        <w:gridCol w:w="1424"/>
      </w:tblGrid>
      <w:tr w:rsidR="00060C87" w:rsidRPr="00CF7D68" w14:paraId="5149764A" w14:textId="77777777" w:rsidTr="00AF768F">
        <w:trPr>
          <w:tblHeader/>
        </w:trPr>
        <w:tc>
          <w:tcPr>
            <w:tcW w:w="4820" w:type="dxa"/>
            <w:tcMar>
              <w:top w:w="0" w:type="dxa"/>
              <w:left w:w="108" w:type="dxa"/>
              <w:bottom w:w="0" w:type="dxa"/>
              <w:right w:w="108" w:type="dxa"/>
            </w:tcMar>
            <w:hideMark/>
          </w:tcPr>
          <w:p w14:paraId="0E150A6D" w14:textId="77777777" w:rsidR="00060C87" w:rsidRPr="00CF7D68" w:rsidRDefault="00060C87" w:rsidP="00CD1B39">
            <w:pPr>
              <w:pStyle w:val="Tabletext0"/>
              <w:keepNext/>
              <w:keepLines/>
              <w:rPr>
                <w:szCs w:val="20"/>
              </w:rPr>
            </w:pPr>
            <w:r w:rsidRPr="00CF7D68">
              <w:rPr>
                <w:b/>
                <w:bCs/>
                <w:szCs w:val="20"/>
              </w:rPr>
              <w:t>Analyses</w:t>
            </w:r>
          </w:p>
        </w:tc>
        <w:tc>
          <w:tcPr>
            <w:tcW w:w="1417" w:type="dxa"/>
            <w:tcMar>
              <w:top w:w="0" w:type="dxa"/>
              <w:left w:w="108" w:type="dxa"/>
              <w:bottom w:w="0" w:type="dxa"/>
              <w:right w:w="108" w:type="dxa"/>
            </w:tcMar>
            <w:hideMark/>
          </w:tcPr>
          <w:p w14:paraId="583DA36E" w14:textId="77777777" w:rsidR="00060C87" w:rsidRPr="00CF7D68" w:rsidRDefault="00060C87" w:rsidP="00CD1B39">
            <w:pPr>
              <w:pStyle w:val="Tabletext0"/>
              <w:keepNext/>
              <w:keepLines/>
              <w:jc w:val="center"/>
              <w:rPr>
                <w:b/>
                <w:bCs/>
                <w:szCs w:val="20"/>
              </w:rPr>
            </w:pPr>
            <w:r w:rsidRPr="00CF7D68">
              <w:rPr>
                <w:b/>
                <w:bCs/>
                <w:szCs w:val="20"/>
              </w:rPr>
              <w:t>Incremental cost</w:t>
            </w:r>
          </w:p>
        </w:tc>
        <w:tc>
          <w:tcPr>
            <w:tcW w:w="1368" w:type="dxa"/>
            <w:tcMar>
              <w:top w:w="0" w:type="dxa"/>
              <w:left w:w="108" w:type="dxa"/>
              <w:bottom w:w="0" w:type="dxa"/>
              <w:right w:w="108" w:type="dxa"/>
            </w:tcMar>
            <w:hideMark/>
          </w:tcPr>
          <w:p w14:paraId="4FB396C4" w14:textId="77777777" w:rsidR="00060C87" w:rsidRPr="00CF7D68" w:rsidRDefault="00060C87" w:rsidP="00CD1B39">
            <w:pPr>
              <w:pStyle w:val="Tabletext0"/>
              <w:keepNext/>
              <w:keepLines/>
              <w:jc w:val="center"/>
              <w:rPr>
                <w:b/>
                <w:bCs/>
                <w:szCs w:val="20"/>
              </w:rPr>
            </w:pPr>
            <w:r w:rsidRPr="00CF7D68">
              <w:rPr>
                <w:b/>
                <w:bCs/>
                <w:szCs w:val="20"/>
              </w:rPr>
              <w:t>Incremental QALY</w:t>
            </w:r>
          </w:p>
        </w:tc>
        <w:tc>
          <w:tcPr>
            <w:tcW w:w="1424" w:type="dxa"/>
            <w:tcMar>
              <w:top w:w="0" w:type="dxa"/>
              <w:left w:w="108" w:type="dxa"/>
              <w:bottom w:w="0" w:type="dxa"/>
              <w:right w:w="108" w:type="dxa"/>
            </w:tcMar>
            <w:hideMark/>
          </w:tcPr>
          <w:p w14:paraId="37ABB4F2" w14:textId="77777777" w:rsidR="00060C87" w:rsidRPr="00CF7D68" w:rsidRDefault="00060C87" w:rsidP="00CD1B39">
            <w:pPr>
              <w:pStyle w:val="Tabletext0"/>
              <w:keepNext/>
              <w:keepLines/>
              <w:jc w:val="center"/>
              <w:rPr>
                <w:b/>
                <w:bCs/>
                <w:szCs w:val="20"/>
              </w:rPr>
            </w:pPr>
            <w:r w:rsidRPr="00CF7D68">
              <w:rPr>
                <w:b/>
                <w:bCs/>
                <w:szCs w:val="20"/>
              </w:rPr>
              <w:t>ICER</w:t>
            </w:r>
          </w:p>
        </w:tc>
      </w:tr>
      <w:tr w:rsidR="00060C87" w:rsidRPr="00CF7D68" w14:paraId="06C2D400" w14:textId="77777777" w:rsidTr="00AF768F">
        <w:tc>
          <w:tcPr>
            <w:tcW w:w="4820" w:type="dxa"/>
            <w:tcMar>
              <w:top w:w="0" w:type="dxa"/>
              <w:left w:w="108" w:type="dxa"/>
              <w:bottom w:w="0" w:type="dxa"/>
              <w:right w:w="108" w:type="dxa"/>
            </w:tcMar>
            <w:hideMark/>
          </w:tcPr>
          <w:p w14:paraId="0A4BCE93" w14:textId="77777777" w:rsidR="00060C87" w:rsidRPr="00CF7D68" w:rsidRDefault="00060C87" w:rsidP="00CD1B39">
            <w:pPr>
              <w:pStyle w:val="Tabletext0"/>
              <w:keepNext/>
              <w:keepLines/>
              <w:rPr>
                <w:b/>
                <w:bCs/>
                <w:szCs w:val="20"/>
                <w:vertAlign w:val="superscript"/>
              </w:rPr>
            </w:pPr>
            <w:r w:rsidRPr="00CF7D68">
              <w:rPr>
                <w:b/>
                <w:bCs/>
                <w:szCs w:val="20"/>
              </w:rPr>
              <w:t>Base case</w:t>
            </w:r>
          </w:p>
        </w:tc>
        <w:tc>
          <w:tcPr>
            <w:tcW w:w="1417" w:type="dxa"/>
            <w:tcMar>
              <w:top w:w="0" w:type="dxa"/>
              <w:left w:w="108" w:type="dxa"/>
              <w:bottom w:w="0" w:type="dxa"/>
              <w:right w:w="108" w:type="dxa"/>
            </w:tcMar>
          </w:tcPr>
          <w:p w14:paraId="1940A124" w14:textId="2D832F83" w:rsidR="00060C87" w:rsidRPr="00CF7D68" w:rsidRDefault="00060C87" w:rsidP="00CD1B39">
            <w:pPr>
              <w:pStyle w:val="Tabletext0"/>
              <w:keepNext/>
              <w:keepLines/>
              <w:jc w:val="center"/>
              <w:rPr>
                <w:b/>
                <w:bCs/>
                <w:szCs w:val="20"/>
              </w:rPr>
            </w:pPr>
            <w:r w:rsidRPr="00CF7D68">
              <w:rPr>
                <w:b/>
                <w:bCs/>
                <w:szCs w:val="20"/>
              </w:rPr>
              <w:t>$</w:t>
            </w:r>
            <w:r w:rsidR="00A973A1" w:rsidRPr="00A973A1">
              <w:rPr>
                <w:rFonts w:hint="eastAsia"/>
                <w:b/>
                <w:bCs/>
                <w:color w:val="000000"/>
                <w:w w:val="15"/>
                <w:szCs w:val="20"/>
                <w:shd w:val="solid" w:color="000000" w:fill="000000"/>
                <w:fitText w:val="51" w:id="-1435844342"/>
                <w14:textFill>
                  <w14:solidFill>
                    <w14:srgbClr w14:val="000000">
                      <w14:alpha w14:val="100000"/>
                    </w14:srgbClr>
                  </w14:solidFill>
                </w14:textFill>
              </w:rPr>
              <w:t xml:space="preserve">　</w:t>
            </w:r>
            <w:r w:rsidR="00A973A1" w:rsidRPr="00A973A1">
              <w:rPr>
                <w:b/>
                <w:bCs/>
                <w:color w:val="000000"/>
                <w:w w:val="15"/>
                <w:szCs w:val="20"/>
                <w:shd w:val="solid" w:color="000000" w:fill="000000"/>
                <w:fitText w:val="51" w:id="-1435844342"/>
                <w14:textFill>
                  <w14:solidFill>
                    <w14:srgbClr w14:val="000000">
                      <w14:alpha w14:val="100000"/>
                    </w14:srgbClr>
                  </w14:solidFill>
                </w14:textFill>
              </w:rPr>
              <w:t>|</w:t>
            </w:r>
            <w:r w:rsidR="00A973A1" w:rsidRPr="00A973A1">
              <w:rPr>
                <w:rFonts w:hint="eastAsia"/>
                <w:b/>
                <w:bCs/>
                <w:color w:val="000000"/>
                <w:spacing w:val="-15"/>
                <w:w w:val="15"/>
                <w:szCs w:val="20"/>
                <w:shd w:val="solid" w:color="000000" w:fill="000000"/>
                <w:fitText w:val="51" w:id="-1435844342"/>
                <w14:textFill>
                  <w14:solidFill>
                    <w14:srgbClr w14:val="000000">
                      <w14:alpha w14:val="100000"/>
                    </w14:srgbClr>
                  </w14:solidFill>
                </w14:textFill>
              </w:rPr>
              <w:t xml:space="preserve">　</w:t>
            </w:r>
          </w:p>
        </w:tc>
        <w:tc>
          <w:tcPr>
            <w:tcW w:w="1368" w:type="dxa"/>
            <w:tcMar>
              <w:top w:w="0" w:type="dxa"/>
              <w:left w:w="108" w:type="dxa"/>
              <w:bottom w:w="0" w:type="dxa"/>
              <w:right w:w="108" w:type="dxa"/>
            </w:tcMar>
          </w:tcPr>
          <w:p w14:paraId="5F729D58" w14:textId="77777777" w:rsidR="00060C87" w:rsidRPr="00CF7D68" w:rsidRDefault="00060C87" w:rsidP="00CD1B39">
            <w:pPr>
              <w:pStyle w:val="Tabletext0"/>
              <w:keepNext/>
              <w:keepLines/>
              <w:jc w:val="center"/>
              <w:rPr>
                <w:b/>
                <w:bCs/>
                <w:szCs w:val="20"/>
              </w:rPr>
            </w:pPr>
            <w:r w:rsidRPr="00CF7D68">
              <w:rPr>
                <w:b/>
                <w:bCs/>
                <w:szCs w:val="20"/>
              </w:rPr>
              <w:t>0.0775</w:t>
            </w:r>
          </w:p>
        </w:tc>
        <w:tc>
          <w:tcPr>
            <w:tcW w:w="1424" w:type="dxa"/>
            <w:tcMar>
              <w:top w:w="0" w:type="dxa"/>
              <w:left w:w="108" w:type="dxa"/>
              <w:bottom w:w="0" w:type="dxa"/>
              <w:right w:w="108" w:type="dxa"/>
            </w:tcMar>
          </w:tcPr>
          <w:p w14:paraId="4B0B2CCF" w14:textId="0500D665" w:rsidR="00060C87" w:rsidRPr="00C856F6" w:rsidRDefault="00060C87" w:rsidP="00CD1B39">
            <w:pPr>
              <w:pStyle w:val="Tabletext0"/>
              <w:keepNext/>
              <w:keepLines/>
              <w:jc w:val="center"/>
              <w:rPr>
                <w:b/>
                <w:bCs/>
                <w:szCs w:val="20"/>
                <w:vertAlign w:val="superscript"/>
              </w:rPr>
            </w:pPr>
            <w:r w:rsidRPr="00CF7D68">
              <w:rPr>
                <w:b/>
                <w:bCs/>
                <w:szCs w:val="20"/>
              </w:rPr>
              <w:t>$</w:t>
            </w:r>
            <w:r w:rsidR="00A973A1" w:rsidRPr="00A973A1">
              <w:rPr>
                <w:rFonts w:hint="eastAsia"/>
                <w:b/>
                <w:bCs/>
                <w:color w:val="000000"/>
                <w:w w:val="15"/>
                <w:szCs w:val="20"/>
                <w:shd w:val="solid" w:color="000000" w:fill="000000"/>
                <w:fitText w:val="63" w:id="-1435844341"/>
                <w14:textFill>
                  <w14:solidFill>
                    <w14:srgbClr w14:val="000000">
                      <w14:alpha w14:val="100000"/>
                    </w14:srgbClr>
                  </w14:solidFill>
                </w14:textFill>
              </w:rPr>
              <w:t xml:space="preserve">　</w:t>
            </w:r>
            <w:r w:rsidR="00A973A1" w:rsidRPr="00A973A1">
              <w:rPr>
                <w:b/>
                <w:bCs/>
                <w:color w:val="000000"/>
                <w:w w:val="15"/>
                <w:szCs w:val="20"/>
                <w:shd w:val="solid" w:color="000000" w:fill="000000"/>
                <w:fitText w:val="63" w:id="-1435844341"/>
                <w14:textFill>
                  <w14:solidFill>
                    <w14:srgbClr w14:val="000000">
                      <w14:alpha w14:val="100000"/>
                    </w14:srgbClr>
                  </w14:solidFill>
                </w14:textFill>
              </w:rPr>
              <w:t>|</w:t>
            </w:r>
            <w:r w:rsidR="00A973A1" w:rsidRPr="00A973A1">
              <w:rPr>
                <w:rFonts w:hint="eastAsia"/>
                <w:b/>
                <w:bCs/>
                <w:color w:val="000000"/>
                <w:spacing w:val="-3"/>
                <w:w w:val="15"/>
                <w:szCs w:val="20"/>
                <w:shd w:val="solid" w:color="000000" w:fill="000000"/>
                <w:fitText w:val="63" w:id="-1435844341"/>
                <w14:textFill>
                  <w14:solidFill>
                    <w14:srgbClr w14:val="000000">
                      <w14:alpha w14:val="100000"/>
                    </w14:srgbClr>
                  </w14:solidFill>
                </w14:textFill>
              </w:rPr>
              <w:t xml:space="preserve">　</w:t>
            </w:r>
            <w:r w:rsidR="00D90F79" w:rsidRPr="00C856F6">
              <w:rPr>
                <w:szCs w:val="20"/>
                <w:vertAlign w:val="superscript"/>
              </w:rPr>
              <w:t>1</w:t>
            </w:r>
          </w:p>
        </w:tc>
      </w:tr>
      <w:tr w:rsidR="00060C87" w:rsidRPr="00CF7D68" w14:paraId="050A2E20" w14:textId="77777777" w:rsidTr="00AF768F">
        <w:tc>
          <w:tcPr>
            <w:tcW w:w="9029" w:type="dxa"/>
            <w:gridSpan w:val="4"/>
            <w:tcMar>
              <w:top w:w="0" w:type="dxa"/>
              <w:left w:w="108" w:type="dxa"/>
              <w:bottom w:w="0" w:type="dxa"/>
              <w:right w:w="108" w:type="dxa"/>
            </w:tcMar>
          </w:tcPr>
          <w:p w14:paraId="25E2B36D" w14:textId="39198C8C" w:rsidR="00060C87" w:rsidRPr="00CF7D68" w:rsidRDefault="00060C87" w:rsidP="00CD1B39">
            <w:pPr>
              <w:pStyle w:val="Tabletext0"/>
              <w:keepNext/>
              <w:keepLines/>
              <w:rPr>
                <w:b/>
                <w:bCs/>
                <w:szCs w:val="20"/>
              </w:rPr>
            </w:pPr>
            <w:r w:rsidRPr="00CF7D68">
              <w:rPr>
                <w:b/>
                <w:bCs/>
                <w:szCs w:val="20"/>
              </w:rPr>
              <w:t>Discount rate (base case: 5% for benefits and costs)</w:t>
            </w:r>
          </w:p>
        </w:tc>
      </w:tr>
      <w:tr w:rsidR="00060C87" w:rsidRPr="00CF7D68" w14:paraId="2AABFAFF" w14:textId="77777777" w:rsidTr="00AF768F">
        <w:tc>
          <w:tcPr>
            <w:tcW w:w="4820" w:type="dxa"/>
            <w:tcMar>
              <w:top w:w="0" w:type="dxa"/>
              <w:left w:w="108" w:type="dxa"/>
              <w:bottom w:w="0" w:type="dxa"/>
              <w:right w:w="108" w:type="dxa"/>
            </w:tcMar>
          </w:tcPr>
          <w:p w14:paraId="70206BDB" w14:textId="2431A456" w:rsidR="00060C87" w:rsidRPr="00CF7D68" w:rsidRDefault="00060C87" w:rsidP="00CD1B39">
            <w:pPr>
              <w:pStyle w:val="Tabletext0"/>
              <w:keepNext/>
              <w:keepLines/>
              <w:rPr>
                <w:b/>
                <w:bCs/>
                <w:szCs w:val="20"/>
              </w:rPr>
            </w:pPr>
            <w:r w:rsidRPr="00CF7D68">
              <w:rPr>
                <w:szCs w:val="20"/>
              </w:rPr>
              <w:t>3.5% discount rate</w:t>
            </w:r>
          </w:p>
        </w:tc>
        <w:tc>
          <w:tcPr>
            <w:tcW w:w="1417" w:type="dxa"/>
            <w:tcMar>
              <w:top w:w="0" w:type="dxa"/>
              <w:left w:w="108" w:type="dxa"/>
              <w:bottom w:w="0" w:type="dxa"/>
              <w:right w:w="108" w:type="dxa"/>
            </w:tcMar>
          </w:tcPr>
          <w:p w14:paraId="26D6A885" w14:textId="6C29204A" w:rsidR="00060C87" w:rsidRPr="00CF7D68" w:rsidRDefault="00060C87" w:rsidP="00CD1B39">
            <w:pPr>
              <w:pStyle w:val="Tabletext0"/>
              <w:keepNext/>
              <w:keepLines/>
              <w:jc w:val="center"/>
              <w:rPr>
                <w:b/>
                <w:bCs/>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140BC8D1" w14:textId="31773075" w:rsidR="00060C87" w:rsidRPr="00CF7D68" w:rsidRDefault="00060C87" w:rsidP="00CD1B39">
            <w:pPr>
              <w:pStyle w:val="Tabletext0"/>
              <w:keepNext/>
              <w:keepLines/>
              <w:jc w:val="center"/>
              <w:rPr>
                <w:b/>
                <w:bCs/>
                <w:szCs w:val="20"/>
              </w:rPr>
            </w:pPr>
            <w:r w:rsidRPr="00CF7D68">
              <w:rPr>
                <w:szCs w:val="20"/>
              </w:rPr>
              <w:t>0.0876</w:t>
            </w:r>
          </w:p>
        </w:tc>
        <w:tc>
          <w:tcPr>
            <w:tcW w:w="1424" w:type="dxa"/>
            <w:tcMar>
              <w:top w:w="0" w:type="dxa"/>
              <w:left w:w="108" w:type="dxa"/>
              <w:bottom w:w="0" w:type="dxa"/>
              <w:right w:w="108" w:type="dxa"/>
            </w:tcMar>
          </w:tcPr>
          <w:p w14:paraId="2323ACE1" w14:textId="54039210" w:rsidR="00060C87" w:rsidRPr="00C856F6" w:rsidRDefault="00060C87" w:rsidP="00CD1B39">
            <w:pPr>
              <w:pStyle w:val="Tabletext0"/>
              <w:keepNext/>
              <w:keepLines/>
              <w:jc w:val="center"/>
              <w:rPr>
                <w:b/>
                <w:bCs/>
                <w:szCs w:val="20"/>
                <w:vertAlign w:val="superscript"/>
              </w:rPr>
            </w:pPr>
            <w:r w:rsidRPr="00CF7D68">
              <w:rPr>
                <w:szCs w:val="20"/>
              </w:rPr>
              <w:t>$</w:t>
            </w:r>
            <w:r w:rsidR="00A973A1" w:rsidRPr="00F9376A">
              <w:rPr>
                <w:rFonts w:hint="eastAsia"/>
                <w:color w:val="000000"/>
                <w:w w:val="15"/>
                <w:szCs w:val="20"/>
                <w:shd w:val="solid" w:color="000000" w:fill="000000"/>
                <w:fitText w:val="12" w:id="-1435844340"/>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40"/>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40"/>
                <w14:textFill>
                  <w14:solidFill>
                    <w14:srgbClr w14:val="000000">
                      <w14:alpha w14:val="100000"/>
                    </w14:srgbClr>
                  </w14:solidFill>
                </w14:textFill>
              </w:rPr>
              <w:t xml:space="preserve">　</w:t>
            </w:r>
            <w:r w:rsidR="00D90F79">
              <w:rPr>
                <w:szCs w:val="20"/>
                <w:vertAlign w:val="superscript"/>
              </w:rPr>
              <w:t>1</w:t>
            </w:r>
          </w:p>
        </w:tc>
      </w:tr>
      <w:tr w:rsidR="00060C87" w:rsidRPr="00CF7D68" w14:paraId="279EC00B" w14:textId="77777777" w:rsidTr="00AF768F">
        <w:tc>
          <w:tcPr>
            <w:tcW w:w="4820" w:type="dxa"/>
            <w:tcMar>
              <w:top w:w="0" w:type="dxa"/>
              <w:left w:w="108" w:type="dxa"/>
              <w:bottom w:w="0" w:type="dxa"/>
              <w:right w:w="108" w:type="dxa"/>
            </w:tcMar>
          </w:tcPr>
          <w:p w14:paraId="64246639" w14:textId="1D32C5F4" w:rsidR="00060C87" w:rsidRPr="00CF7D68" w:rsidRDefault="00060C87" w:rsidP="00CD1B39">
            <w:pPr>
              <w:pStyle w:val="Tabletext0"/>
              <w:keepNext/>
              <w:keepLines/>
              <w:rPr>
                <w:b/>
                <w:bCs/>
                <w:szCs w:val="20"/>
              </w:rPr>
            </w:pPr>
            <w:r w:rsidRPr="00CF7D68">
              <w:rPr>
                <w:szCs w:val="20"/>
              </w:rPr>
              <w:t>0% discount rate</w:t>
            </w:r>
          </w:p>
        </w:tc>
        <w:tc>
          <w:tcPr>
            <w:tcW w:w="1417" w:type="dxa"/>
            <w:tcMar>
              <w:top w:w="0" w:type="dxa"/>
              <w:left w:w="108" w:type="dxa"/>
              <w:bottom w:w="0" w:type="dxa"/>
              <w:right w:w="108" w:type="dxa"/>
            </w:tcMar>
          </w:tcPr>
          <w:p w14:paraId="63727564" w14:textId="37533F04" w:rsidR="00060C87" w:rsidRPr="00CF7D68" w:rsidRDefault="00060C87" w:rsidP="00CD1B39">
            <w:pPr>
              <w:pStyle w:val="Tabletext0"/>
              <w:keepNext/>
              <w:keepLines/>
              <w:jc w:val="center"/>
              <w:rPr>
                <w:b/>
                <w:bCs/>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390E719E" w14:textId="30DDE03E" w:rsidR="00060C87" w:rsidRPr="00CF7D68" w:rsidRDefault="00060C87" w:rsidP="00CD1B39">
            <w:pPr>
              <w:pStyle w:val="Tabletext0"/>
              <w:keepNext/>
              <w:keepLines/>
              <w:jc w:val="center"/>
              <w:rPr>
                <w:b/>
                <w:bCs/>
                <w:szCs w:val="20"/>
              </w:rPr>
            </w:pPr>
            <w:r w:rsidRPr="00CF7D68">
              <w:rPr>
                <w:szCs w:val="20"/>
              </w:rPr>
              <w:t>0.1188</w:t>
            </w:r>
          </w:p>
        </w:tc>
        <w:tc>
          <w:tcPr>
            <w:tcW w:w="1424" w:type="dxa"/>
            <w:tcMar>
              <w:top w:w="0" w:type="dxa"/>
              <w:left w:w="108" w:type="dxa"/>
              <w:bottom w:w="0" w:type="dxa"/>
              <w:right w:w="108" w:type="dxa"/>
            </w:tcMar>
          </w:tcPr>
          <w:p w14:paraId="7A2990A3" w14:textId="645869A3" w:rsidR="00060C87" w:rsidRPr="00C856F6" w:rsidRDefault="00060C87" w:rsidP="00CD1B39">
            <w:pPr>
              <w:pStyle w:val="Tabletext0"/>
              <w:keepNext/>
              <w:keepLines/>
              <w:jc w:val="center"/>
              <w:rPr>
                <w:b/>
                <w:bCs/>
                <w:szCs w:val="20"/>
                <w:vertAlign w:val="superscript"/>
              </w:rPr>
            </w:pPr>
            <w:r w:rsidRPr="00CF7D68">
              <w:rPr>
                <w:szCs w:val="20"/>
              </w:rPr>
              <w:t>$</w:t>
            </w:r>
            <w:r w:rsidR="00A973A1" w:rsidRPr="00F9376A">
              <w:rPr>
                <w:rFonts w:hint="eastAsia"/>
                <w:color w:val="000000"/>
                <w:w w:val="15"/>
                <w:szCs w:val="20"/>
                <w:shd w:val="solid" w:color="000000" w:fill="000000"/>
                <w:fitText w:val="12" w:id="-1435844339"/>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39"/>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39"/>
                <w14:textFill>
                  <w14:solidFill>
                    <w14:srgbClr w14:val="000000">
                      <w14:alpha w14:val="100000"/>
                    </w14:srgbClr>
                  </w14:solidFill>
                </w14:textFill>
              </w:rPr>
              <w:t xml:space="preserve">　</w:t>
            </w:r>
            <w:r w:rsidR="00D90F79">
              <w:rPr>
                <w:szCs w:val="20"/>
                <w:vertAlign w:val="superscript"/>
              </w:rPr>
              <w:t>2</w:t>
            </w:r>
          </w:p>
        </w:tc>
      </w:tr>
      <w:tr w:rsidR="00060C87" w:rsidRPr="00CF7D68" w14:paraId="047D1CD2" w14:textId="77777777" w:rsidTr="00AF768F">
        <w:tc>
          <w:tcPr>
            <w:tcW w:w="9029" w:type="dxa"/>
            <w:gridSpan w:val="4"/>
            <w:tcMar>
              <w:top w:w="0" w:type="dxa"/>
              <w:left w:w="108" w:type="dxa"/>
              <w:bottom w:w="0" w:type="dxa"/>
              <w:right w:w="108" w:type="dxa"/>
            </w:tcMar>
            <w:hideMark/>
          </w:tcPr>
          <w:p w14:paraId="3AFFDAE3" w14:textId="77777777" w:rsidR="00060C87" w:rsidRPr="00CF7D68" w:rsidRDefault="00060C87" w:rsidP="00CD1B39">
            <w:pPr>
              <w:pStyle w:val="Tabletext0"/>
              <w:keepNext/>
              <w:keepLines/>
              <w:rPr>
                <w:szCs w:val="20"/>
              </w:rPr>
            </w:pPr>
            <w:r w:rsidRPr="00CF7D68">
              <w:rPr>
                <w:b/>
                <w:bCs/>
                <w:szCs w:val="20"/>
              </w:rPr>
              <w:t>Time horizon (base case: 15 years)</w:t>
            </w:r>
          </w:p>
        </w:tc>
      </w:tr>
      <w:tr w:rsidR="00060C87" w:rsidRPr="00CF7D68" w14:paraId="7AD6FA97" w14:textId="77777777" w:rsidTr="00AF768F">
        <w:tc>
          <w:tcPr>
            <w:tcW w:w="4820" w:type="dxa"/>
            <w:tcMar>
              <w:top w:w="0" w:type="dxa"/>
              <w:left w:w="108" w:type="dxa"/>
              <w:bottom w:w="0" w:type="dxa"/>
              <w:right w:w="108" w:type="dxa"/>
            </w:tcMar>
            <w:hideMark/>
          </w:tcPr>
          <w:p w14:paraId="4EC75C69" w14:textId="77777777" w:rsidR="00060C87" w:rsidRPr="00CF7D68" w:rsidRDefault="00060C87" w:rsidP="00CD1B39">
            <w:pPr>
              <w:pStyle w:val="Tabletext0"/>
              <w:keepNext/>
              <w:keepLines/>
              <w:rPr>
                <w:szCs w:val="20"/>
              </w:rPr>
            </w:pPr>
            <w:r w:rsidRPr="00CF7D68">
              <w:rPr>
                <w:szCs w:val="20"/>
              </w:rPr>
              <w:t>5 years</w:t>
            </w:r>
          </w:p>
        </w:tc>
        <w:tc>
          <w:tcPr>
            <w:tcW w:w="1417" w:type="dxa"/>
            <w:tcMar>
              <w:top w:w="0" w:type="dxa"/>
              <w:left w:w="108" w:type="dxa"/>
              <w:bottom w:w="0" w:type="dxa"/>
              <w:right w:w="108" w:type="dxa"/>
            </w:tcMar>
          </w:tcPr>
          <w:p w14:paraId="513103DB" w14:textId="64AF2002" w:rsidR="00060C87" w:rsidRPr="00CF7D68" w:rsidRDefault="00060C87" w:rsidP="00CD1B39">
            <w:pPr>
              <w:pStyle w:val="Tabletext0"/>
              <w:keepNext/>
              <w:keepLines/>
              <w:jc w:val="center"/>
              <w:rPr>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606DCEFC" w14:textId="77777777" w:rsidR="00060C87" w:rsidRPr="00CF7D68" w:rsidRDefault="00060C87" w:rsidP="00CD1B39">
            <w:pPr>
              <w:pStyle w:val="Tabletext0"/>
              <w:keepNext/>
              <w:keepLines/>
              <w:jc w:val="center"/>
              <w:rPr>
                <w:szCs w:val="20"/>
              </w:rPr>
            </w:pPr>
            <w:r w:rsidRPr="00CF7D68">
              <w:rPr>
                <w:szCs w:val="20"/>
              </w:rPr>
              <w:t>0.0167</w:t>
            </w:r>
          </w:p>
        </w:tc>
        <w:tc>
          <w:tcPr>
            <w:tcW w:w="1424" w:type="dxa"/>
            <w:tcMar>
              <w:top w:w="0" w:type="dxa"/>
              <w:left w:w="108" w:type="dxa"/>
              <w:bottom w:w="0" w:type="dxa"/>
              <w:right w:w="108" w:type="dxa"/>
            </w:tcMar>
          </w:tcPr>
          <w:p w14:paraId="6FAA7EFF" w14:textId="0D308DB2" w:rsidR="00060C87" w:rsidRPr="00C856F6" w:rsidRDefault="00060C87" w:rsidP="00CD1B39">
            <w:pPr>
              <w:pStyle w:val="Tabletext0"/>
              <w:keepNext/>
              <w:keepLines/>
              <w:jc w:val="center"/>
              <w:rPr>
                <w:szCs w:val="20"/>
                <w:vertAlign w:val="superscript"/>
              </w:rPr>
            </w:pPr>
            <w:r w:rsidRPr="00CF7D68">
              <w:rPr>
                <w:szCs w:val="20"/>
              </w:rPr>
              <w:t>$</w:t>
            </w:r>
            <w:r w:rsidR="00A973A1" w:rsidRPr="00F9376A">
              <w:rPr>
                <w:rFonts w:hint="eastAsia"/>
                <w:color w:val="000000"/>
                <w:w w:val="15"/>
                <w:szCs w:val="20"/>
                <w:shd w:val="solid" w:color="000000" w:fill="000000"/>
                <w:fitText w:val="12" w:id="-1435844338"/>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38"/>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38"/>
                <w14:textFill>
                  <w14:solidFill>
                    <w14:srgbClr w14:val="000000">
                      <w14:alpha w14:val="100000"/>
                    </w14:srgbClr>
                  </w14:solidFill>
                </w14:textFill>
              </w:rPr>
              <w:t xml:space="preserve">　</w:t>
            </w:r>
            <w:r w:rsidR="00D90F79">
              <w:rPr>
                <w:szCs w:val="20"/>
                <w:vertAlign w:val="superscript"/>
              </w:rPr>
              <w:t>3</w:t>
            </w:r>
          </w:p>
        </w:tc>
      </w:tr>
      <w:tr w:rsidR="00060C87" w:rsidRPr="00CF7D68" w14:paraId="77253C6C" w14:textId="77777777" w:rsidTr="00AF768F">
        <w:tc>
          <w:tcPr>
            <w:tcW w:w="4820" w:type="dxa"/>
            <w:tcMar>
              <w:top w:w="0" w:type="dxa"/>
              <w:left w:w="108" w:type="dxa"/>
              <w:bottom w:w="0" w:type="dxa"/>
              <w:right w:w="108" w:type="dxa"/>
            </w:tcMar>
            <w:hideMark/>
          </w:tcPr>
          <w:p w14:paraId="245859BC" w14:textId="77777777" w:rsidR="00060C87" w:rsidRPr="00CF7D68" w:rsidRDefault="00060C87" w:rsidP="00CD1B39">
            <w:pPr>
              <w:pStyle w:val="Tabletext0"/>
              <w:keepNext/>
              <w:keepLines/>
              <w:rPr>
                <w:szCs w:val="20"/>
              </w:rPr>
            </w:pPr>
            <w:r w:rsidRPr="00CF7D68">
              <w:rPr>
                <w:szCs w:val="20"/>
              </w:rPr>
              <w:t>10 years</w:t>
            </w:r>
          </w:p>
        </w:tc>
        <w:tc>
          <w:tcPr>
            <w:tcW w:w="1417" w:type="dxa"/>
            <w:tcMar>
              <w:top w:w="0" w:type="dxa"/>
              <w:left w:w="108" w:type="dxa"/>
              <w:bottom w:w="0" w:type="dxa"/>
              <w:right w:w="108" w:type="dxa"/>
            </w:tcMar>
          </w:tcPr>
          <w:p w14:paraId="6C7743E8" w14:textId="4AE94E7A" w:rsidR="00060C87" w:rsidRPr="00CF7D68" w:rsidRDefault="00060C87" w:rsidP="00CD1B39">
            <w:pPr>
              <w:pStyle w:val="Tabletext0"/>
              <w:keepNext/>
              <w:keepLines/>
              <w:jc w:val="center"/>
              <w:rPr>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3675077B" w14:textId="77777777" w:rsidR="00060C87" w:rsidRPr="00CF7D68" w:rsidRDefault="00060C87" w:rsidP="00CD1B39">
            <w:pPr>
              <w:pStyle w:val="Tabletext0"/>
              <w:keepNext/>
              <w:keepLines/>
              <w:jc w:val="center"/>
              <w:rPr>
                <w:szCs w:val="20"/>
              </w:rPr>
            </w:pPr>
            <w:r w:rsidRPr="00CF7D68">
              <w:rPr>
                <w:szCs w:val="20"/>
              </w:rPr>
              <w:t>0.0484</w:t>
            </w:r>
          </w:p>
        </w:tc>
        <w:tc>
          <w:tcPr>
            <w:tcW w:w="1424" w:type="dxa"/>
            <w:tcMar>
              <w:top w:w="0" w:type="dxa"/>
              <w:left w:w="108" w:type="dxa"/>
              <w:bottom w:w="0" w:type="dxa"/>
              <w:right w:w="108" w:type="dxa"/>
            </w:tcMar>
          </w:tcPr>
          <w:p w14:paraId="42ACB840" w14:textId="0E7161E4" w:rsidR="00060C87" w:rsidRPr="00C856F6" w:rsidRDefault="00060C87" w:rsidP="00CD1B39">
            <w:pPr>
              <w:pStyle w:val="Tabletext0"/>
              <w:keepNext/>
              <w:keepLines/>
              <w:jc w:val="center"/>
              <w:rPr>
                <w:szCs w:val="20"/>
                <w:vertAlign w:val="superscript"/>
              </w:rPr>
            </w:pPr>
            <w:r w:rsidRPr="00CF7D68">
              <w:rPr>
                <w:szCs w:val="20"/>
              </w:rPr>
              <w:t>$</w:t>
            </w:r>
            <w:r w:rsidR="00A973A1" w:rsidRPr="00F9376A">
              <w:rPr>
                <w:rFonts w:hint="eastAsia"/>
                <w:color w:val="000000"/>
                <w:w w:val="15"/>
                <w:szCs w:val="20"/>
                <w:shd w:val="solid" w:color="000000" w:fill="000000"/>
                <w:fitText w:val="12" w:id="-1435844337"/>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37"/>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37"/>
                <w14:textFill>
                  <w14:solidFill>
                    <w14:srgbClr w14:val="000000">
                      <w14:alpha w14:val="100000"/>
                    </w14:srgbClr>
                  </w14:solidFill>
                </w14:textFill>
              </w:rPr>
              <w:t xml:space="preserve">　</w:t>
            </w:r>
            <w:r w:rsidR="00D90F79">
              <w:rPr>
                <w:szCs w:val="20"/>
                <w:vertAlign w:val="superscript"/>
              </w:rPr>
              <w:t>4</w:t>
            </w:r>
          </w:p>
        </w:tc>
      </w:tr>
      <w:tr w:rsidR="00262251" w:rsidRPr="00CF7D68" w14:paraId="51668A39" w14:textId="77777777" w:rsidTr="00AF768F">
        <w:tc>
          <w:tcPr>
            <w:tcW w:w="4820" w:type="dxa"/>
            <w:tcMar>
              <w:top w:w="0" w:type="dxa"/>
              <w:left w:w="108" w:type="dxa"/>
              <w:bottom w:w="0" w:type="dxa"/>
              <w:right w:w="108" w:type="dxa"/>
            </w:tcMar>
          </w:tcPr>
          <w:p w14:paraId="180B48B4" w14:textId="7289C7C5" w:rsidR="00262251" w:rsidRPr="00CF7D68" w:rsidRDefault="00262251" w:rsidP="00CD1B39">
            <w:pPr>
              <w:pStyle w:val="Tabletext0"/>
              <w:keepNext/>
              <w:keepLines/>
              <w:rPr>
                <w:iCs/>
                <w:szCs w:val="20"/>
              </w:rPr>
            </w:pPr>
            <w:r w:rsidRPr="00CF7D68">
              <w:rPr>
                <w:iCs/>
                <w:szCs w:val="20"/>
              </w:rPr>
              <w:t>30 years</w:t>
            </w:r>
          </w:p>
        </w:tc>
        <w:tc>
          <w:tcPr>
            <w:tcW w:w="1417" w:type="dxa"/>
            <w:tcMar>
              <w:top w:w="0" w:type="dxa"/>
              <w:left w:w="108" w:type="dxa"/>
              <w:bottom w:w="0" w:type="dxa"/>
              <w:right w:w="108" w:type="dxa"/>
            </w:tcMar>
          </w:tcPr>
          <w:p w14:paraId="03F0D731" w14:textId="24663811" w:rsidR="00262251" w:rsidRPr="00CF7D68" w:rsidRDefault="00262251" w:rsidP="00CD1B39">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497C3650" w14:textId="69811B28" w:rsidR="00262251" w:rsidRPr="00CF7D68" w:rsidRDefault="00262251" w:rsidP="00CD1B39">
            <w:pPr>
              <w:pStyle w:val="Tabletext0"/>
              <w:keepNext/>
              <w:keepLines/>
              <w:jc w:val="center"/>
              <w:rPr>
                <w:iCs/>
                <w:szCs w:val="20"/>
              </w:rPr>
            </w:pPr>
            <w:r w:rsidRPr="00CF7D68">
              <w:rPr>
                <w:iCs/>
                <w:szCs w:val="20"/>
              </w:rPr>
              <w:t>0.1056</w:t>
            </w:r>
          </w:p>
        </w:tc>
        <w:tc>
          <w:tcPr>
            <w:tcW w:w="1424" w:type="dxa"/>
            <w:tcMar>
              <w:top w:w="0" w:type="dxa"/>
              <w:left w:w="108" w:type="dxa"/>
              <w:bottom w:w="0" w:type="dxa"/>
              <w:right w:w="108" w:type="dxa"/>
            </w:tcMar>
          </w:tcPr>
          <w:p w14:paraId="3D3C67CA" w14:textId="2A05755B" w:rsidR="00262251" w:rsidRPr="00C856F6" w:rsidRDefault="00262251" w:rsidP="00CD1B39">
            <w:pPr>
              <w:pStyle w:val="Tabletext0"/>
              <w:keepNext/>
              <w:keepLines/>
              <w:jc w:val="center"/>
              <w:rPr>
                <w:iCs/>
                <w:szCs w:val="20"/>
                <w:vertAlign w:val="superscript"/>
              </w:rPr>
            </w:pPr>
            <w:r w:rsidRPr="00CF7D68">
              <w:rPr>
                <w:iCs/>
                <w:szCs w:val="20"/>
              </w:rPr>
              <w:t>$</w:t>
            </w:r>
            <w:r w:rsidR="00A973A1" w:rsidRPr="00F9376A">
              <w:rPr>
                <w:rFonts w:hint="eastAsia"/>
                <w:iCs/>
                <w:color w:val="000000"/>
                <w:w w:val="15"/>
                <w:szCs w:val="20"/>
                <w:shd w:val="solid" w:color="000000" w:fill="000000"/>
                <w:fitText w:val="12" w:id="-1435844336"/>
                <w14:textFill>
                  <w14:solidFill>
                    <w14:srgbClr w14:val="000000">
                      <w14:alpha w14:val="100000"/>
                    </w14:srgbClr>
                  </w14:solidFill>
                </w14:textFill>
              </w:rPr>
              <w:t xml:space="preserve">　</w:t>
            </w:r>
            <w:r w:rsidR="00A973A1" w:rsidRPr="00F9376A">
              <w:rPr>
                <w:iCs/>
                <w:color w:val="000000"/>
                <w:w w:val="15"/>
                <w:szCs w:val="20"/>
                <w:shd w:val="solid" w:color="000000" w:fill="000000"/>
                <w:fitText w:val="12" w:id="-1435844336"/>
                <w14:textFill>
                  <w14:solidFill>
                    <w14:srgbClr w14:val="000000">
                      <w14:alpha w14:val="100000"/>
                    </w14:srgbClr>
                  </w14:solidFill>
                </w14:textFill>
              </w:rPr>
              <w:t>|</w:t>
            </w:r>
            <w:r w:rsidR="00A973A1" w:rsidRPr="00F9376A">
              <w:rPr>
                <w:rFonts w:hint="eastAsia"/>
                <w:iCs/>
                <w:color w:val="000000"/>
                <w:spacing w:val="-54"/>
                <w:w w:val="15"/>
                <w:szCs w:val="20"/>
                <w:shd w:val="solid" w:color="000000" w:fill="000000"/>
                <w:fitText w:val="12" w:id="-1435844336"/>
                <w14:textFill>
                  <w14:solidFill>
                    <w14:srgbClr w14:val="000000">
                      <w14:alpha w14:val="100000"/>
                    </w14:srgbClr>
                  </w14:solidFill>
                </w14:textFill>
              </w:rPr>
              <w:t xml:space="preserve">　</w:t>
            </w:r>
            <w:r w:rsidR="00D90F79">
              <w:rPr>
                <w:iCs/>
                <w:szCs w:val="20"/>
                <w:vertAlign w:val="superscript"/>
              </w:rPr>
              <w:t>1</w:t>
            </w:r>
          </w:p>
        </w:tc>
      </w:tr>
      <w:tr w:rsidR="00262251" w:rsidRPr="00CF7D68" w14:paraId="17BE037D" w14:textId="77777777" w:rsidTr="00AF768F">
        <w:tc>
          <w:tcPr>
            <w:tcW w:w="9029" w:type="dxa"/>
            <w:gridSpan w:val="4"/>
            <w:tcMar>
              <w:top w:w="0" w:type="dxa"/>
              <w:left w:w="108" w:type="dxa"/>
              <w:bottom w:w="0" w:type="dxa"/>
              <w:right w:w="108" w:type="dxa"/>
            </w:tcMar>
          </w:tcPr>
          <w:p w14:paraId="6A8BFEE2" w14:textId="51CC5C65" w:rsidR="00262251" w:rsidRPr="00CF7D68" w:rsidRDefault="00262251" w:rsidP="00CD1B39">
            <w:pPr>
              <w:pStyle w:val="Tabletext0"/>
              <w:keepNext/>
              <w:keepLines/>
              <w:rPr>
                <w:b/>
                <w:bCs/>
                <w:szCs w:val="20"/>
              </w:rPr>
            </w:pPr>
            <w:r w:rsidRPr="00CF7D68">
              <w:rPr>
                <w:b/>
                <w:bCs/>
                <w:szCs w:val="20"/>
              </w:rPr>
              <w:t xml:space="preserve">Patient population (base case: mean age 64.8 years; CKD </w:t>
            </w:r>
            <w:r w:rsidR="00A433E4" w:rsidRPr="00CF7D68">
              <w:rPr>
                <w:b/>
                <w:bCs/>
                <w:szCs w:val="20"/>
              </w:rPr>
              <w:t>½</w:t>
            </w:r>
            <w:r w:rsidRPr="00CF7D68">
              <w:rPr>
                <w:b/>
                <w:bCs/>
                <w:szCs w:val="20"/>
              </w:rPr>
              <w:t>: 39.9%, CKD3: 53.3%, CKD4: 6.8%)</w:t>
            </w:r>
          </w:p>
        </w:tc>
      </w:tr>
      <w:tr w:rsidR="00262251" w:rsidRPr="00CF7D68" w14:paraId="0560CA17" w14:textId="77777777" w:rsidTr="00AF768F">
        <w:tc>
          <w:tcPr>
            <w:tcW w:w="4820" w:type="dxa"/>
            <w:tcMar>
              <w:top w:w="0" w:type="dxa"/>
              <w:left w:w="108" w:type="dxa"/>
              <w:bottom w:w="0" w:type="dxa"/>
              <w:right w:w="108" w:type="dxa"/>
            </w:tcMar>
          </w:tcPr>
          <w:p w14:paraId="6F988EA6" w14:textId="26F6BD4C" w:rsidR="00262251" w:rsidRPr="00CF7D68" w:rsidRDefault="00262251" w:rsidP="00CD1B39">
            <w:pPr>
              <w:pStyle w:val="Tabletext0"/>
              <w:keepNext/>
              <w:keepLines/>
              <w:rPr>
                <w:szCs w:val="20"/>
              </w:rPr>
            </w:pPr>
            <w:r w:rsidRPr="00CF7D68">
              <w:rPr>
                <w:szCs w:val="20"/>
              </w:rPr>
              <w:t xml:space="preserve">Assume all patients in CKD </w:t>
            </w:r>
            <w:r w:rsidR="00E81C72">
              <w:rPr>
                <w:szCs w:val="20"/>
              </w:rPr>
              <w:t>1/2</w:t>
            </w:r>
            <w:r w:rsidR="00E81C72" w:rsidRPr="00CF7D68">
              <w:rPr>
                <w:szCs w:val="20"/>
              </w:rPr>
              <w:t xml:space="preserve"> </w:t>
            </w:r>
            <w:r w:rsidRPr="00CF7D68">
              <w:rPr>
                <w:szCs w:val="20"/>
              </w:rPr>
              <w:t>at baseline</w:t>
            </w:r>
          </w:p>
        </w:tc>
        <w:tc>
          <w:tcPr>
            <w:tcW w:w="1417" w:type="dxa"/>
            <w:tcMar>
              <w:top w:w="0" w:type="dxa"/>
              <w:left w:w="108" w:type="dxa"/>
              <w:bottom w:w="0" w:type="dxa"/>
              <w:right w:w="108" w:type="dxa"/>
            </w:tcMar>
          </w:tcPr>
          <w:p w14:paraId="4AA57801" w14:textId="64D61FD5" w:rsidR="00262251" w:rsidRPr="00CF7D68" w:rsidRDefault="00262251" w:rsidP="00CD1B39">
            <w:pPr>
              <w:pStyle w:val="Tabletext0"/>
              <w:keepNext/>
              <w:keepLines/>
              <w:jc w:val="center"/>
              <w:rPr>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48F9A863" w14:textId="77777777" w:rsidR="00262251" w:rsidRPr="00CF7D68" w:rsidRDefault="00262251" w:rsidP="00CD1B39">
            <w:pPr>
              <w:pStyle w:val="Tabletext0"/>
              <w:keepNext/>
              <w:keepLines/>
              <w:jc w:val="center"/>
              <w:rPr>
                <w:szCs w:val="20"/>
              </w:rPr>
            </w:pPr>
            <w:r w:rsidRPr="00CF7D68">
              <w:rPr>
                <w:szCs w:val="20"/>
              </w:rPr>
              <w:t>0.0663</w:t>
            </w:r>
          </w:p>
        </w:tc>
        <w:tc>
          <w:tcPr>
            <w:tcW w:w="1424" w:type="dxa"/>
            <w:tcMar>
              <w:top w:w="0" w:type="dxa"/>
              <w:left w:w="108" w:type="dxa"/>
              <w:bottom w:w="0" w:type="dxa"/>
              <w:right w:w="108" w:type="dxa"/>
            </w:tcMar>
          </w:tcPr>
          <w:p w14:paraId="2CBDB8A1" w14:textId="599B536E" w:rsidR="00262251" w:rsidRPr="00C856F6" w:rsidRDefault="00262251" w:rsidP="00CD1B39">
            <w:pPr>
              <w:pStyle w:val="Tabletext0"/>
              <w:keepNext/>
              <w:keepLines/>
              <w:jc w:val="center"/>
              <w:rPr>
                <w:szCs w:val="20"/>
                <w:vertAlign w:val="superscript"/>
              </w:rPr>
            </w:pPr>
            <w:r w:rsidRPr="00CF7D68">
              <w:rPr>
                <w:szCs w:val="20"/>
              </w:rPr>
              <w:t>$</w:t>
            </w:r>
            <w:r w:rsidR="00A973A1" w:rsidRPr="00F9376A">
              <w:rPr>
                <w:rFonts w:hint="eastAsia"/>
                <w:color w:val="000000"/>
                <w:w w:val="15"/>
                <w:szCs w:val="20"/>
                <w:shd w:val="solid" w:color="000000" w:fill="000000"/>
                <w:fitText w:val="12" w:id="-1435844352"/>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52"/>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52"/>
                <w14:textFill>
                  <w14:solidFill>
                    <w14:srgbClr w14:val="000000">
                      <w14:alpha w14:val="100000"/>
                    </w14:srgbClr>
                  </w14:solidFill>
                </w14:textFill>
              </w:rPr>
              <w:t xml:space="preserve">　</w:t>
            </w:r>
            <w:r w:rsidR="00D90F79">
              <w:rPr>
                <w:szCs w:val="20"/>
                <w:vertAlign w:val="superscript"/>
              </w:rPr>
              <w:t>5</w:t>
            </w:r>
          </w:p>
        </w:tc>
      </w:tr>
      <w:tr w:rsidR="00262251" w:rsidRPr="00CF7D68" w14:paraId="0DE2071B" w14:textId="77777777" w:rsidTr="00AF768F">
        <w:tc>
          <w:tcPr>
            <w:tcW w:w="4820" w:type="dxa"/>
            <w:tcMar>
              <w:top w:w="0" w:type="dxa"/>
              <w:left w:w="108" w:type="dxa"/>
              <w:bottom w:w="0" w:type="dxa"/>
              <w:right w:w="108" w:type="dxa"/>
            </w:tcMar>
          </w:tcPr>
          <w:p w14:paraId="6D358069" w14:textId="77777777" w:rsidR="00262251" w:rsidRPr="00CF7D68" w:rsidRDefault="00262251" w:rsidP="00CD1B39">
            <w:pPr>
              <w:pStyle w:val="Tabletext0"/>
              <w:keepNext/>
              <w:keepLines/>
              <w:rPr>
                <w:szCs w:val="20"/>
              </w:rPr>
            </w:pPr>
            <w:r w:rsidRPr="00CF7D68">
              <w:rPr>
                <w:szCs w:val="20"/>
              </w:rPr>
              <w:t>Assume all patients in CKD 3 at baseline</w:t>
            </w:r>
          </w:p>
        </w:tc>
        <w:tc>
          <w:tcPr>
            <w:tcW w:w="1417" w:type="dxa"/>
            <w:tcMar>
              <w:top w:w="0" w:type="dxa"/>
              <w:left w:w="108" w:type="dxa"/>
              <w:bottom w:w="0" w:type="dxa"/>
              <w:right w:w="108" w:type="dxa"/>
            </w:tcMar>
          </w:tcPr>
          <w:p w14:paraId="388C34DB" w14:textId="31EA16A6" w:rsidR="00262251" w:rsidRPr="00CF7D68" w:rsidRDefault="00262251" w:rsidP="00CD1B39">
            <w:pPr>
              <w:pStyle w:val="Tabletext0"/>
              <w:keepNext/>
              <w:keepLines/>
              <w:jc w:val="center"/>
              <w:rPr>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75D48102" w14:textId="77777777" w:rsidR="00262251" w:rsidRPr="00CF7D68" w:rsidRDefault="00262251" w:rsidP="00CD1B39">
            <w:pPr>
              <w:pStyle w:val="Tabletext0"/>
              <w:keepNext/>
              <w:keepLines/>
              <w:jc w:val="center"/>
              <w:rPr>
                <w:szCs w:val="20"/>
              </w:rPr>
            </w:pPr>
            <w:r w:rsidRPr="00CF7D68">
              <w:rPr>
                <w:szCs w:val="20"/>
              </w:rPr>
              <w:t>0.0800</w:t>
            </w:r>
          </w:p>
        </w:tc>
        <w:tc>
          <w:tcPr>
            <w:tcW w:w="1424" w:type="dxa"/>
            <w:tcMar>
              <w:top w:w="0" w:type="dxa"/>
              <w:left w:w="108" w:type="dxa"/>
              <w:bottom w:w="0" w:type="dxa"/>
              <w:right w:w="108" w:type="dxa"/>
            </w:tcMar>
          </w:tcPr>
          <w:p w14:paraId="7466268E" w14:textId="1BF7C987" w:rsidR="00262251" w:rsidRPr="00C856F6" w:rsidRDefault="00262251" w:rsidP="00CD1B39">
            <w:pPr>
              <w:pStyle w:val="Tabletext0"/>
              <w:keepNext/>
              <w:keepLines/>
              <w:jc w:val="center"/>
              <w:rPr>
                <w:szCs w:val="20"/>
                <w:vertAlign w:val="superscript"/>
              </w:rPr>
            </w:pPr>
            <w:r w:rsidRPr="00CF7D68">
              <w:rPr>
                <w:szCs w:val="20"/>
              </w:rPr>
              <w:t>$</w:t>
            </w:r>
            <w:r w:rsidR="00A973A1" w:rsidRPr="00F9376A">
              <w:rPr>
                <w:rFonts w:hint="eastAsia"/>
                <w:color w:val="000000"/>
                <w:w w:val="15"/>
                <w:szCs w:val="20"/>
                <w:shd w:val="solid" w:color="000000" w:fill="000000"/>
                <w:fitText w:val="12" w:id="-1435844351"/>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51"/>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51"/>
                <w14:textFill>
                  <w14:solidFill>
                    <w14:srgbClr w14:val="000000">
                      <w14:alpha w14:val="100000"/>
                    </w14:srgbClr>
                  </w14:solidFill>
                </w14:textFill>
              </w:rPr>
              <w:t xml:space="preserve">　</w:t>
            </w:r>
            <w:r w:rsidR="00D01B67">
              <w:rPr>
                <w:szCs w:val="20"/>
                <w:vertAlign w:val="superscript"/>
              </w:rPr>
              <w:t>1</w:t>
            </w:r>
          </w:p>
        </w:tc>
      </w:tr>
      <w:tr w:rsidR="00262251" w:rsidRPr="00CF7D68" w14:paraId="714EF696" w14:textId="77777777" w:rsidTr="00AF768F">
        <w:tc>
          <w:tcPr>
            <w:tcW w:w="4820" w:type="dxa"/>
            <w:tcMar>
              <w:top w:w="0" w:type="dxa"/>
              <w:left w:w="108" w:type="dxa"/>
              <w:bottom w:w="0" w:type="dxa"/>
              <w:right w:w="108" w:type="dxa"/>
            </w:tcMar>
          </w:tcPr>
          <w:p w14:paraId="3337517B" w14:textId="77777777" w:rsidR="00262251" w:rsidRPr="00CF7D68" w:rsidRDefault="00262251" w:rsidP="00CD1B39">
            <w:pPr>
              <w:pStyle w:val="Tabletext0"/>
              <w:keepNext/>
              <w:keepLines/>
              <w:rPr>
                <w:szCs w:val="20"/>
              </w:rPr>
            </w:pPr>
            <w:r w:rsidRPr="00CF7D68">
              <w:rPr>
                <w:szCs w:val="20"/>
              </w:rPr>
              <w:t>Assume all patients in CKD 4 at baseline</w:t>
            </w:r>
          </w:p>
        </w:tc>
        <w:tc>
          <w:tcPr>
            <w:tcW w:w="1417" w:type="dxa"/>
            <w:tcMar>
              <w:top w:w="0" w:type="dxa"/>
              <w:left w:w="108" w:type="dxa"/>
              <w:bottom w:w="0" w:type="dxa"/>
              <w:right w:w="108" w:type="dxa"/>
            </w:tcMar>
          </w:tcPr>
          <w:p w14:paraId="6C3D97C6" w14:textId="21159A46" w:rsidR="00262251" w:rsidRPr="00CF7D68" w:rsidRDefault="00262251" w:rsidP="00CD1B39">
            <w:pPr>
              <w:pStyle w:val="Tabletext0"/>
              <w:keepNext/>
              <w:keepLines/>
              <w:jc w:val="center"/>
              <w:rPr>
                <w:szCs w:val="20"/>
              </w:rPr>
            </w:pPr>
            <w:r w:rsidRPr="00CF7D68">
              <w:rPr>
                <w:szCs w:val="20"/>
              </w:rPr>
              <w:t>-$</w:t>
            </w:r>
            <w:r w:rsidR="00A973A1" w:rsidRPr="00F9376A">
              <w:rPr>
                <w:rFonts w:hint="eastAsia"/>
                <w:color w:val="000000"/>
                <w:w w:val="15"/>
                <w:szCs w:val="20"/>
                <w:shd w:val="solid" w:color="000000" w:fill="000000"/>
                <w:fitText w:val="13" w:id="-1435844350"/>
                <w14:textFill>
                  <w14:solidFill>
                    <w14:srgbClr w14:val="000000">
                      <w14:alpha w14:val="100000"/>
                    </w14:srgbClr>
                  </w14:solidFill>
                </w14:textFill>
              </w:rPr>
              <w:t xml:space="preserve">　</w:t>
            </w:r>
            <w:r w:rsidR="00A973A1" w:rsidRPr="00F9376A">
              <w:rPr>
                <w:color w:val="000000"/>
                <w:w w:val="15"/>
                <w:szCs w:val="20"/>
                <w:shd w:val="solid" w:color="000000" w:fill="000000"/>
                <w:fitText w:val="13" w:id="-1435844350"/>
                <w14:textFill>
                  <w14:solidFill>
                    <w14:srgbClr w14:val="000000">
                      <w14:alpha w14:val="100000"/>
                    </w14:srgbClr>
                  </w14:solidFill>
                </w14:textFill>
              </w:rPr>
              <w:t>|</w:t>
            </w:r>
            <w:r w:rsidR="00A973A1" w:rsidRPr="00F9376A">
              <w:rPr>
                <w:rFonts w:hint="eastAsia"/>
                <w:color w:val="000000"/>
                <w:spacing w:val="-53"/>
                <w:w w:val="15"/>
                <w:szCs w:val="20"/>
                <w:shd w:val="solid" w:color="000000" w:fill="000000"/>
                <w:fitText w:val="13" w:id="-1435844350"/>
                <w14:textFill>
                  <w14:solidFill>
                    <w14:srgbClr w14:val="000000">
                      <w14:alpha w14:val="100000"/>
                    </w14:srgbClr>
                  </w14:solidFill>
                </w14:textFill>
              </w:rPr>
              <w:t xml:space="preserve">　</w:t>
            </w:r>
          </w:p>
        </w:tc>
        <w:tc>
          <w:tcPr>
            <w:tcW w:w="1368" w:type="dxa"/>
            <w:tcMar>
              <w:top w:w="0" w:type="dxa"/>
              <w:left w:w="108" w:type="dxa"/>
              <w:bottom w:w="0" w:type="dxa"/>
              <w:right w:w="108" w:type="dxa"/>
            </w:tcMar>
          </w:tcPr>
          <w:p w14:paraId="11F47AB2" w14:textId="77777777" w:rsidR="00262251" w:rsidRPr="00CF7D68" w:rsidRDefault="00262251" w:rsidP="00CD1B39">
            <w:pPr>
              <w:pStyle w:val="Tabletext0"/>
              <w:keepNext/>
              <w:keepLines/>
              <w:jc w:val="center"/>
              <w:rPr>
                <w:szCs w:val="20"/>
              </w:rPr>
            </w:pPr>
            <w:r w:rsidRPr="00CF7D68">
              <w:rPr>
                <w:szCs w:val="20"/>
              </w:rPr>
              <w:t>0.1226</w:t>
            </w:r>
          </w:p>
        </w:tc>
        <w:tc>
          <w:tcPr>
            <w:tcW w:w="1424" w:type="dxa"/>
            <w:tcMar>
              <w:top w:w="0" w:type="dxa"/>
              <w:left w:w="108" w:type="dxa"/>
              <w:bottom w:w="0" w:type="dxa"/>
              <w:right w:w="108" w:type="dxa"/>
            </w:tcMar>
          </w:tcPr>
          <w:p w14:paraId="6B13CA90" w14:textId="77777777" w:rsidR="00262251" w:rsidRPr="00CF7D68" w:rsidRDefault="00262251" w:rsidP="00CD1B39">
            <w:pPr>
              <w:pStyle w:val="Tabletext0"/>
              <w:keepNext/>
              <w:keepLines/>
              <w:jc w:val="center"/>
              <w:rPr>
                <w:szCs w:val="20"/>
              </w:rPr>
            </w:pPr>
            <w:r w:rsidRPr="00CF7D68">
              <w:rPr>
                <w:szCs w:val="20"/>
              </w:rPr>
              <w:t>Dominant</w:t>
            </w:r>
          </w:p>
        </w:tc>
      </w:tr>
      <w:tr w:rsidR="00262251" w:rsidRPr="00CF7D68" w14:paraId="0F059EB5" w14:textId="77777777" w:rsidTr="00AF768F">
        <w:tc>
          <w:tcPr>
            <w:tcW w:w="4820" w:type="dxa"/>
            <w:tcMar>
              <w:top w:w="0" w:type="dxa"/>
              <w:left w:w="108" w:type="dxa"/>
              <w:bottom w:w="0" w:type="dxa"/>
              <w:right w:w="108" w:type="dxa"/>
            </w:tcMar>
          </w:tcPr>
          <w:p w14:paraId="2C6A42DD" w14:textId="77777777" w:rsidR="00262251" w:rsidRPr="00CF7D68" w:rsidRDefault="00262251" w:rsidP="00CD1B39">
            <w:pPr>
              <w:pStyle w:val="Tabletext0"/>
              <w:keepNext/>
              <w:keepLines/>
              <w:rPr>
                <w:iCs/>
                <w:szCs w:val="20"/>
              </w:rPr>
            </w:pPr>
            <w:r w:rsidRPr="00CF7D68">
              <w:rPr>
                <w:iCs/>
                <w:szCs w:val="20"/>
              </w:rPr>
              <w:t>Decrease mean age to 60 years</w:t>
            </w:r>
          </w:p>
        </w:tc>
        <w:tc>
          <w:tcPr>
            <w:tcW w:w="1417" w:type="dxa"/>
            <w:tcMar>
              <w:top w:w="0" w:type="dxa"/>
              <w:left w:w="108" w:type="dxa"/>
              <w:bottom w:w="0" w:type="dxa"/>
              <w:right w:w="108" w:type="dxa"/>
            </w:tcMar>
          </w:tcPr>
          <w:p w14:paraId="0393E970" w14:textId="0A995FFB" w:rsidR="00262251" w:rsidRPr="00CF7D68" w:rsidRDefault="00262251" w:rsidP="00CD1B39">
            <w:pPr>
              <w:pStyle w:val="Tabletext0"/>
              <w:keepNext/>
              <w:keepLines/>
              <w:jc w:val="center"/>
              <w:rPr>
                <w:iCs/>
                <w:szCs w:val="20"/>
              </w:rPr>
            </w:pPr>
            <w:r w:rsidRPr="00CF7D68">
              <w:rPr>
                <w:iCs/>
                <w:szCs w:val="20"/>
              </w:rPr>
              <w:t>-$</w:t>
            </w:r>
            <w:r w:rsidR="00A973A1" w:rsidRPr="00F9376A">
              <w:rPr>
                <w:rFonts w:hint="eastAsia"/>
                <w:iCs/>
                <w:color w:val="000000"/>
                <w:w w:val="15"/>
                <w:szCs w:val="20"/>
                <w:shd w:val="solid" w:color="000000" w:fill="000000"/>
                <w:fitText w:val="13" w:id="-1435844349"/>
                <w14:textFill>
                  <w14:solidFill>
                    <w14:srgbClr w14:val="000000">
                      <w14:alpha w14:val="100000"/>
                    </w14:srgbClr>
                  </w14:solidFill>
                </w14:textFill>
              </w:rPr>
              <w:t xml:space="preserve">　</w:t>
            </w:r>
            <w:r w:rsidR="00A973A1" w:rsidRPr="00F9376A">
              <w:rPr>
                <w:iCs/>
                <w:color w:val="000000"/>
                <w:w w:val="15"/>
                <w:szCs w:val="20"/>
                <w:shd w:val="solid" w:color="000000" w:fill="000000"/>
                <w:fitText w:val="13" w:id="-1435844349"/>
                <w14:textFill>
                  <w14:solidFill>
                    <w14:srgbClr w14:val="000000">
                      <w14:alpha w14:val="100000"/>
                    </w14:srgbClr>
                  </w14:solidFill>
                </w14:textFill>
              </w:rPr>
              <w:t>|</w:t>
            </w:r>
            <w:r w:rsidR="00A973A1" w:rsidRPr="00F9376A">
              <w:rPr>
                <w:rFonts w:hint="eastAsia"/>
                <w:iCs/>
                <w:color w:val="000000"/>
                <w:spacing w:val="-53"/>
                <w:w w:val="15"/>
                <w:szCs w:val="20"/>
                <w:shd w:val="solid" w:color="000000" w:fill="000000"/>
                <w:fitText w:val="13" w:id="-1435844349"/>
                <w14:textFill>
                  <w14:solidFill>
                    <w14:srgbClr w14:val="000000">
                      <w14:alpha w14:val="100000"/>
                    </w14:srgbClr>
                  </w14:solidFill>
                </w14:textFill>
              </w:rPr>
              <w:t xml:space="preserve">　</w:t>
            </w:r>
          </w:p>
        </w:tc>
        <w:tc>
          <w:tcPr>
            <w:tcW w:w="1368" w:type="dxa"/>
            <w:tcMar>
              <w:top w:w="0" w:type="dxa"/>
              <w:left w:w="108" w:type="dxa"/>
              <w:bottom w:w="0" w:type="dxa"/>
              <w:right w:w="108" w:type="dxa"/>
            </w:tcMar>
          </w:tcPr>
          <w:p w14:paraId="5C6F164C" w14:textId="77777777" w:rsidR="00262251" w:rsidRPr="00CF7D68" w:rsidRDefault="00262251" w:rsidP="00CD1B39">
            <w:pPr>
              <w:pStyle w:val="Tabletext0"/>
              <w:keepNext/>
              <w:keepLines/>
              <w:jc w:val="center"/>
              <w:rPr>
                <w:iCs/>
                <w:szCs w:val="20"/>
              </w:rPr>
            </w:pPr>
            <w:r w:rsidRPr="00CF7D68">
              <w:rPr>
                <w:iCs/>
                <w:szCs w:val="20"/>
              </w:rPr>
              <w:t>0.0774</w:t>
            </w:r>
          </w:p>
        </w:tc>
        <w:tc>
          <w:tcPr>
            <w:tcW w:w="1424" w:type="dxa"/>
            <w:tcMar>
              <w:top w:w="0" w:type="dxa"/>
              <w:left w:w="108" w:type="dxa"/>
              <w:bottom w:w="0" w:type="dxa"/>
              <w:right w:w="108" w:type="dxa"/>
            </w:tcMar>
          </w:tcPr>
          <w:p w14:paraId="2CB74CAF" w14:textId="77777777" w:rsidR="00262251" w:rsidRPr="00CF7D68" w:rsidRDefault="00262251" w:rsidP="00CD1B39">
            <w:pPr>
              <w:pStyle w:val="Tabletext0"/>
              <w:keepNext/>
              <w:keepLines/>
              <w:jc w:val="center"/>
              <w:rPr>
                <w:iCs/>
                <w:szCs w:val="20"/>
              </w:rPr>
            </w:pPr>
            <w:r w:rsidRPr="00CF7D68">
              <w:rPr>
                <w:iCs/>
                <w:szCs w:val="20"/>
              </w:rPr>
              <w:t>Dominant</w:t>
            </w:r>
          </w:p>
        </w:tc>
      </w:tr>
      <w:tr w:rsidR="00262251" w:rsidRPr="00CF7D68" w14:paraId="0568EA01" w14:textId="77777777" w:rsidTr="00AF768F">
        <w:tc>
          <w:tcPr>
            <w:tcW w:w="4820" w:type="dxa"/>
            <w:tcMar>
              <w:top w:w="0" w:type="dxa"/>
              <w:left w:w="108" w:type="dxa"/>
              <w:bottom w:w="0" w:type="dxa"/>
              <w:right w:w="108" w:type="dxa"/>
            </w:tcMar>
          </w:tcPr>
          <w:p w14:paraId="65A64404" w14:textId="77777777" w:rsidR="00262251" w:rsidRPr="00CF7D68" w:rsidRDefault="00262251" w:rsidP="00CD1B39">
            <w:pPr>
              <w:pStyle w:val="Tabletext0"/>
              <w:keepNext/>
              <w:keepLines/>
              <w:rPr>
                <w:iCs/>
                <w:szCs w:val="20"/>
              </w:rPr>
            </w:pPr>
            <w:r w:rsidRPr="00CF7D68">
              <w:rPr>
                <w:iCs/>
                <w:szCs w:val="20"/>
              </w:rPr>
              <w:t>Increase mean age to 70 years</w:t>
            </w:r>
          </w:p>
        </w:tc>
        <w:tc>
          <w:tcPr>
            <w:tcW w:w="1417" w:type="dxa"/>
            <w:tcMar>
              <w:top w:w="0" w:type="dxa"/>
              <w:left w:w="108" w:type="dxa"/>
              <w:bottom w:w="0" w:type="dxa"/>
              <w:right w:w="108" w:type="dxa"/>
            </w:tcMar>
          </w:tcPr>
          <w:p w14:paraId="368C4B7C" w14:textId="5985C9DD" w:rsidR="00262251" w:rsidRPr="00CF7D68" w:rsidRDefault="00262251" w:rsidP="00CD1B39">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3F389B74" w14:textId="77777777" w:rsidR="00262251" w:rsidRPr="00CF7D68" w:rsidRDefault="00262251" w:rsidP="00CD1B39">
            <w:pPr>
              <w:pStyle w:val="Tabletext0"/>
              <w:keepNext/>
              <w:keepLines/>
              <w:jc w:val="center"/>
              <w:rPr>
                <w:iCs/>
                <w:szCs w:val="20"/>
              </w:rPr>
            </w:pPr>
            <w:r w:rsidRPr="00CF7D68">
              <w:rPr>
                <w:iCs/>
                <w:szCs w:val="20"/>
              </w:rPr>
              <w:t>0.0734</w:t>
            </w:r>
          </w:p>
        </w:tc>
        <w:tc>
          <w:tcPr>
            <w:tcW w:w="1424" w:type="dxa"/>
            <w:tcMar>
              <w:top w:w="0" w:type="dxa"/>
              <w:left w:w="108" w:type="dxa"/>
              <w:bottom w:w="0" w:type="dxa"/>
              <w:right w:w="108" w:type="dxa"/>
            </w:tcMar>
          </w:tcPr>
          <w:p w14:paraId="79B08EF3" w14:textId="3B1DC381" w:rsidR="00262251" w:rsidRPr="00C856F6" w:rsidRDefault="00262251" w:rsidP="00CD1B39">
            <w:pPr>
              <w:pStyle w:val="Tabletext0"/>
              <w:keepNext/>
              <w:keepLines/>
              <w:jc w:val="center"/>
              <w:rPr>
                <w:iCs/>
                <w:szCs w:val="20"/>
                <w:vertAlign w:val="superscript"/>
              </w:rPr>
            </w:pPr>
            <w:r w:rsidRPr="00CF7D68">
              <w:rPr>
                <w:iCs/>
                <w:szCs w:val="20"/>
              </w:rPr>
              <w:t>$</w:t>
            </w:r>
            <w:r w:rsidR="00A973A1" w:rsidRPr="00F9376A">
              <w:rPr>
                <w:rFonts w:hint="eastAsia"/>
                <w:iCs/>
                <w:color w:val="000000"/>
                <w:w w:val="15"/>
                <w:szCs w:val="20"/>
                <w:shd w:val="solid" w:color="000000" w:fill="000000"/>
                <w:fitText w:val="12" w:id="-1435844348"/>
                <w14:textFill>
                  <w14:solidFill>
                    <w14:srgbClr w14:val="000000">
                      <w14:alpha w14:val="100000"/>
                    </w14:srgbClr>
                  </w14:solidFill>
                </w14:textFill>
              </w:rPr>
              <w:t xml:space="preserve">　</w:t>
            </w:r>
            <w:r w:rsidR="00A973A1" w:rsidRPr="00F9376A">
              <w:rPr>
                <w:iCs/>
                <w:color w:val="000000"/>
                <w:w w:val="15"/>
                <w:szCs w:val="20"/>
                <w:shd w:val="solid" w:color="000000" w:fill="000000"/>
                <w:fitText w:val="12" w:id="-1435844348"/>
                <w14:textFill>
                  <w14:solidFill>
                    <w14:srgbClr w14:val="000000">
                      <w14:alpha w14:val="100000"/>
                    </w14:srgbClr>
                  </w14:solidFill>
                </w14:textFill>
              </w:rPr>
              <w:t>|</w:t>
            </w:r>
            <w:r w:rsidR="00A973A1" w:rsidRPr="00F9376A">
              <w:rPr>
                <w:rFonts w:hint="eastAsia"/>
                <w:iCs/>
                <w:color w:val="000000"/>
                <w:spacing w:val="-54"/>
                <w:w w:val="15"/>
                <w:szCs w:val="20"/>
                <w:shd w:val="solid" w:color="000000" w:fill="000000"/>
                <w:fitText w:val="12" w:id="-1435844348"/>
                <w14:textFill>
                  <w14:solidFill>
                    <w14:srgbClr w14:val="000000">
                      <w14:alpha w14:val="100000"/>
                    </w14:srgbClr>
                  </w14:solidFill>
                </w14:textFill>
              </w:rPr>
              <w:t xml:space="preserve">　</w:t>
            </w:r>
            <w:r w:rsidR="00D01B67">
              <w:rPr>
                <w:iCs/>
                <w:szCs w:val="20"/>
                <w:vertAlign w:val="superscript"/>
              </w:rPr>
              <w:t>6</w:t>
            </w:r>
          </w:p>
        </w:tc>
      </w:tr>
      <w:tr w:rsidR="00262251" w:rsidRPr="00CF7D68" w14:paraId="6EB5386E" w14:textId="77777777" w:rsidTr="00AF768F">
        <w:tc>
          <w:tcPr>
            <w:tcW w:w="9029" w:type="dxa"/>
            <w:gridSpan w:val="4"/>
            <w:tcMar>
              <w:top w:w="0" w:type="dxa"/>
              <w:left w:w="108" w:type="dxa"/>
              <w:bottom w:w="0" w:type="dxa"/>
              <w:right w:w="108" w:type="dxa"/>
            </w:tcMar>
          </w:tcPr>
          <w:p w14:paraId="241FB025" w14:textId="77777777" w:rsidR="00262251" w:rsidRPr="00CF7D68" w:rsidRDefault="00262251" w:rsidP="00CD1B39">
            <w:pPr>
              <w:pStyle w:val="Tabletext0"/>
              <w:keepNext/>
              <w:keepLines/>
              <w:rPr>
                <w:b/>
                <w:bCs/>
                <w:szCs w:val="20"/>
              </w:rPr>
            </w:pPr>
            <w:bookmarkStart w:id="49" w:name="_Hlk105774849"/>
            <w:proofErr w:type="spellStart"/>
            <w:r w:rsidRPr="00CF7D68">
              <w:rPr>
                <w:b/>
                <w:bCs/>
                <w:szCs w:val="20"/>
              </w:rPr>
              <w:t>Finerenone</w:t>
            </w:r>
            <w:proofErr w:type="spellEnd"/>
            <w:r w:rsidRPr="00CF7D68">
              <w:rPr>
                <w:b/>
                <w:bCs/>
                <w:szCs w:val="20"/>
              </w:rPr>
              <w:t xml:space="preserve"> treatment effects (base case: CKD 5 progression HR 0.81; dialysis progression HR 0.82; first non-fatal CV event HR 0.88; fatal CV event HR 0.88; subsequent CV event HR 0.84; hyperkalaemia without hospitalisation HR 1.91; hyperkalaemia with hospitalisation HR 2.93) </w:t>
            </w:r>
          </w:p>
        </w:tc>
      </w:tr>
      <w:tr w:rsidR="00262251" w:rsidRPr="00CF7D68" w14:paraId="664E79E2" w14:textId="77777777" w:rsidTr="00AF768F">
        <w:tc>
          <w:tcPr>
            <w:tcW w:w="4820" w:type="dxa"/>
            <w:tcMar>
              <w:top w:w="0" w:type="dxa"/>
              <w:left w:w="108" w:type="dxa"/>
              <w:bottom w:w="0" w:type="dxa"/>
              <w:right w:w="108" w:type="dxa"/>
            </w:tcMar>
          </w:tcPr>
          <w:p w14:paraId="3942CE9F" w14:textId="77777777" w:rsidR="00262251" w:rsidRPr="00CF7D68" w:rsidRDefault="00262251" w:rsidP="00CD1B39">
            <w:pPr>
              <w:pStyle w:val="Tabletext0"/>
              <w:keepNext/>
              <w:keepLines/>
              <w:rPr>
                <w:szCs w:val="20"/>
              </w:rPr>
            </w:pPr>
            <w:r w:rsidRPr="00CF7D68">
              <w:rPr>
                <w:szCs w:val="20"/>
              </w:rPr>
              <w:t>Upper 95% CI for CKD 5 progression (0.98)</w:t>
            </w:r>
          </w:p>
        </w:tc>
        <w:tc>
          <w:tcPr>
            <w:tcW w:w="1417" w:type="dxa"/>
            <w:tcMar>
              <w:top w:w="0" w:type="dxa"/>
              <w:left w:w="108" w:type="dxa"/>
              <w:bottom w:w="0" w:type="dxa"/>
              <w:right w:w="108" w:type="dxa"/>
            </w:tcMar>
          </w:tcPr>
          <w:p w14:paraId="52FD6A93" w14:textId="3C96DB71" w:rsidR="00262251" w:rsidRPr="00CF7D68" w:rsidRDefault="00262251" w:rsidP="00CD1B39">
            <w:pPr>
              <w:pStyle w:val="Tabletext0"/>
              <w:keepNext/>
              <w:keepLines/>
              <w:jc w:val="center"/>
              <w:rPr>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5EEE67CF" w14:textId="77777777" w:rsidR="00262251" w:rsidRPr="00CF7D68" w:rsidRDefault="00262251" w:rsidP="00CD1B39">
            <w:pPr>
              <w:pStyle w:val="Tabletext0"/>
              <w:keepNext/>
              <w:keepLines/>
              <w:jc w:val="center"/>
              <w:rPr>
                <w:szCs w:val="20"/>
              </w:rPr>
            </w:pPr>
            <w:r w:rsidRPr="00CF7D68">
              <w:rPr>
                <w:szCs w:val="20"/>
              </w:rPr>
              <w:t>0.0622</w:t>
            </w:r>
          </w:p>
        </w:tc>
        <w:tc>
          <w:tcPr>
            <w:tcW w:w="1424" w:type="dxa"/>
            <w:tcMar>
              <w:top w:w="0" w:type="dxa"/>
              <w:left w:w="108" w:type="dxa"/>
              <w:bottom w:w="0" w:type="dxa"/>
              <w:right w:w="108" w:type="dxa"/>
            </w:tcMar>
          </w:tcPr>
          <w:p w14:paraId="7B116B4E" w14:textId="372D8563" w:rsidR="00262251" w:rsidRPr="00C856F6" w:rsidRDefault="00262251" w:rsidP="00CD1B39">
            <w:pPr>
              <w:pStyle w:val="Tabletext0"/>
              <w:keepNext/>
              <w:keepLines/>
              <w:jc w:val="center"/>
              <w:rPr>
                <w:szCs w:val="20"/>
                <w:vertAlign w:val="superscript"/>
              </w:rPr>
            </w:pPr>
            <w:r w:rsidRPr="00CF7D68">
              <w:rPr>
                <w:szCs w:val="20"/>
              </w:rPr>
              <w:t>$</w:t>
            </w:r>
            <w:r w:rsidR="00A973A1" w:rsidRPr="00F9376A">
              <w:rPr>
                <w:rFonts w:hint="eastAsia"/>
                <w:color w:val="000000"/>
                <w:w w:val="15"/>
                <w:szCs w:val="20"/>
                <w:shd w:val="solid" w:color="000000" w:fill="000000"/>
                <w:fitText w:val="12" w:id="-1435844347"/>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47"/>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47"/>
                <w14:textFill>
                  <w14:solidFill>
                    <w14:srgbClr w14:val="000000">
                      <w14:alpha w14:val="100000"/>
                    </w14:srgbClr>
                  </w14:solidFill>
                </w14:textFill>
              </w:rPr>
              <w:t xml:space="preserve">　</w:t>
            </w:r>
            <w:r w:rsidR="00D01B67">
              <w:rPr>
                <w:szCs w:val="20"/>
                <w:vertAlign w:val="superscript"/>
              </w:rPr>
              <w:t>7</w:t>
            </w:r>
          </w:p>
        </w:tc>
      </w:tr>
      <w:tr w:rsidR="00262251" w:rsidRPr="00CF7D68" w14:paraId="0DAC0A32" w14:textId="77777777" w:rsidTr="00AF768F">
        <w:tc>
          <w:tcPr>
            <w:tcW w:w="4820" w:type="dxa"/>
            <w:tcMar>
              <w:top w:w="0" w:type="dxa"/>
              <w:left w:w="108" w:type="dxa"/>
              <w:bottom w:w="0" w:type="dxa"/>
              <w:right w:w="108" w:type="dxa"/>
            </w:tcMar>
          </w:tcPr>
          <w:p w14:paraId="6BA6B854" w14:textId="77777777" w:rsidR="00262251" w:rsidRPr="00CF7D68" w:rsidRDefault="00262251" w:rsidP="00CD1B39">
            <w:pPr>
              <w:pStyle w:val="Tabletext0"/>
              <w:keepNext/>
              <w:keepLines/>
              <w:rPr>
                <w:szCs w:val="20"/>
              </w:rPr>
            </w:pPr>
            <w:r w:rsidRPr="00CF7D68">
              <w:rPr>
                <w:szCs w:val="20"/>
              </w:rPr>
              <w:t>Lower 95% CI for CKD 5 progression (0.67)</w:t>
            </w:r>
          </w:p>
        </w:tc>
        <w:tc>
          <w:tcPr>
            <w:tcW w:w="1417" w:type="dxa"/>
            <w:tcMar>
              <w:top w:w="0" w:type="dxa"/>
              <w:left w:w="108" w:type="dxa"/>
              <w:bottom w:w="0" w:type="dxa"/>
              <w:right w:w="108" w:type="dxa"/>
            </w:tcMar>
          </w:tcPr>
          <w:p w14:paraId="75FA5790" w14:textId="17CEF3A8" w:rsidR="00262251" w:rsidRPr="00CF7D68" w:rsidRDefault="00262251" w:rsidP="00CD1B39">
            <w:pPr>
              <w:pStyle w:val="Tabletext0"/>
              <w:keepNext/>
              <w:keepLines/>
              <w:jc w:val="center"/>
              <w:rPr>
                <w:szCs w:val="20"/>
              </w:rPr>
            </w:pPr>
            <w:r w:rsidRPr="00CF7D68">
              <w:rPr>
                <w:szCs w:val="20"/>
              </w:rPr>
              <w:t>-$</w:t>
            </w:r>
            <w:r w:rsidR="00A973A1" w:rsidRPr="00F9376A">
              <w:rPr>
                <w:rFonts w:hint="eastAsia"/>
                <w:color w:val="000000"/>
                <w:w w:val="15"/>
                <w:szCs w:val="20"/>
                <w:shd w:val="solid" w:color="000000" w:fill="000000"/>
                <w:fitText w:val="13" w:id="-1435844346"/>
                <w14:textFill>
                  <w14:solidFill>
                    <w14:srgbClr w14:val="000000">
                      <w14:alpha w14:val="100000"/>
                    </w14:srgbClr>
                  </w14:solidFill>
                </w14:textFill>
              </w:rPr>
              <w:t xml:space="preserve">　</w:t>
            </w:r>
            <w:r w:rsidR="00A973A1" w:rsidRPr="00F9376A">
              <w:rPr>
                <w:color w:val="000000"/>
                <w:w w:val="15"/>
                <w:szCs w:val="20"/>
                <w:shd w:val="solid" w:color="000000" w:fill="000000"/>
                <w:fitText w:val="13" w:id="-1435844346"/>
                <w14:textFill>
                  <w14:solidFill>
                    <w14:srgbClr w14:val="000000">
                      <w14:alpha w14:val="100000"/>
                    </w14:srgbClr>
                  </w14:solidFill>
                </w14:textFill>
              </w:rPr>
              <w:t>|</w:t>
            </w:r>
            <w:r w:rsidR="00A973A1" w:rsidRPr="00F9376A">
              <w:rPr>
                <w:rFonts w:hint="eastAsia"/>
                <w:color w:val="000000"/>
                <w:spacing w:val="-53"/>
                <w:w w:val="15"/>
                <w:szCs w:val="20"/>
                <w:shd w:val="solid" w:color="000000" w:fill="000000"/>
                <w:fitText w:val="13" w:id="-1435844346"/>
                <w14:textFill>
                  <w14:solidFill>
                    <w14:srgbClr w14:val="000000">
                      <w14:alpha w14:val="100000"/>
                    </w14:srgbClr>
                  </w14:solidFill>
                </w14:textFill>
              </w:rPr>
              <w:t xml:space="preserve">　</w:t>
            </w:r>
          </w:p>
        </w:tc>
        <w:tc>
          <w:tcPr>
            <w:tcW w:w="1368" w:type="dxa"/>
            <w:tcMar>
              <w:top w:w="0" w:type="dxa"/>
              <w:left w:w="108" w:type="dxa"/>
              <w:bottom w:w="0" w:type="dxa"/>
              <w:right w:w="108" w:type="dxa"/>
            </w:tcMar>
          </w:tcPr>
          <w:p w14:paraId="1FFE22A1" w14:textId="77777777" w:rsidR="00262251" w:rsidRPr="00CF7D68" w:rsidRDefault="00262251" w:rsidP="00CD1B39">
            <w:pPr>
              <w:pStyle w:val="Tabletext0"/>
              <w:keepNext/>
              <w:keepLines/>
              <w:jc w:val="center"/>
              <w:rPr>
                <w:szCs w:val="20"/>
              </w:rPr>
            </w:pPr>
            <w:r w:rsidRPr="00CF7D68">
              <w:rPr>
                <w:szCs w:val="20"/>
              </w:rPr>
              <w:t>0.0905</w:t>
            </w:r>
          </w:p>
        </w:tc>
        <w:tc>
          <w:tcPr>
            <w:tcW w:w="1424" w:type="dxa"/>
            <w:tcMar>
              <w:top w:w="0" w:type="dxa"/>
              <w:left w:w="108" w:type="dxa"/>
              <w:bottom w:w="0" w:type="dxa"/>
              <w:right w:w="108" w:type="dxa"/>
            </w:tcMar>
          </w:tcPr>
          <w:p w14:paraId="738342F1" w14:textId="77777777" w:rsidR="00262251" w:rsidRPr="00CF7D68" w:rsidRDefault="00262251" w:rsidP="00CD1B39">
            <w:pPr>
              <w:pStyle w:val="Tabletext0"/>
              <w:keepNext/>
              <w:keepLines/>
              <w:jc w:val="center"/>
              <w:rPr>
                <w:szCs w:val="20"/>
              </w:rPr>
            </w:pPr>
            <w:r w:rsidRPr="00CF7D68">
              <w:rPr>
                <w:szCs w:val="20"/>
              </w:rPr>
              <w:t>Dominant</w:t>
            </w:r>
          </w:p>
        </w:tc>
      </w:tr>
      <w:tr w:rsidR="00262251" w:rsidRPr="00CF7D68" w14:paraId="6A420F5A" w14:textId="77777777" w:rsidTr="00AF768F">
        <w:tc>
          <w:tcPr>
            <w:tcW w:w="4820" w:type="dxa"/>
            <w:tcMar>
              <w:top w:w="0" w:type="dxa"/>
              <w:left w:w="108" w:type="dxa"/>
              <w:bottom w:w="0" w:type="dxa"/>
              <w:right w:w="108" w:type="dxa"/>
            </w:tcMar>
          </w:tcPr>
          <w:p w14:paraId="1C0FD058" w14:textId="77777777" w:rsidR="00262251" w:rsidRPr="00CF7D68" w:rsidRDefault="00262251" w:rsidP="00CD1B39">
            <w:pPr>
              <w:pStyle w:val="Tabletext0"/>
              <w:keepNext/>
              <w:keepLines/>
              <w:rPr>
                <w:szCs w:val="20"/>
              </w:rPr>
            </w:pPr>
            <w:r w:rsidRPr="00CF7D68">
              <w:rPr>
                <w:szCs w:val="20"/>
              </w:rPr>
              <w:t>Upper 95% CI for dialysis progression (1.03)</w:t>
            </w:r>
          </w:p>
        </w:tc>
        <w:tc>
          <w:tcPr>
            <w:tcW w:w="1417" w:type="dxa"/>
            <w:tcMar>
              <w:top w:w="0" w:type="dxa"/>
              <w:left w:w="108" w:type="dxa"/>
              <w:bottom w:w="0" w:type="dxa"/>
              <w:right w:w="108" w:type="dxa"/>
            </w:tcMar>
          </w:tcPr>
          <w:p w14:paraId="25B891F1" w14:textId="42BB131E" w:rsidR="00262251" w:rsidRPr="00CF7D68" w:rsidRDefault="00262251" w:rsidP="00CD1B39">
            <w:pPr>
              <w:pStyle w:val="Tabletext0"/>
              <w:keepNext/>
              <w:keepLines/>
              <w:jc w:val="center"/>
              <w:rPr>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34C39974" w14:textId="77777777" w:rsidR="00262251" w:rsidRPr="00CF7D68" w:rsidRDefault="00262251" w:rsidP="00CD1B39">
            <w:pPr>
              <w:pStyle w:val="Tabletext0"/>
              <w:keepNext/>
              <w:keepLines/>
              <w:jc w:val="center"/>
              <w:rPr>
                <w:szCs w:val="20"/>
              </w:rPr>
            </w:pPr>
            <w:r w:rsidRPr="00CF7D68">
              <w:rPr>
                <w:szCs w:val="20"/>
              </w:rPr>
              <w:t>0.0664</w:t>
            </w:r>
          </w:p>
        </w:tc>
        <w:tc>
          <w:tcPr>
            <w:tcW w:w="1424" w:type="dxa"/>
            <w:tcMar>
              <w:top w:w="0" w:type="dxa"/>
              <w:left w:w="108" w:type="dxa"/>
              <w:bottom w:w="0" w:type="dxa"/>
              <w:right w:w="108" w:type="dxa"/>
            </w:tcMar>
          </w:tcPr>
          <w:p w14:paraId="4EE2B4E2" w14:textId="51F846F4" w:rsidR="00262251" w:rsidRPr="00C856F6" w:rsidRDefault="00262251" w:rsidP="00CD1B39">
            <w:pPr>
              <w:pStyle w:val="Tabletext0"/>
              <w:keepNext/>
              <w:keepLines/>
              <w:jc w:val="center"/>
              <w:rPr>
                <w:szCs w:val="20"/>
                <w:vertAlign w:val="superscript"/>
              </w:rPr>
            </w:pPr>
            <w:r w:rsidRPr="00CF7D68">
              <w:rPr>
                <w:szCs w:val="20"/>
              </w:rPr>
              <w:t>$</w:t>
            </w:r>
            <w:r w:rsidR="00A973A1" w:rsidRPr="00F9376A">
              <w:rPr>
                <w:rFonts w:hint="eastAsia"/>
                <w:color w:val="000000"/>
                <w:w w:val="15"/>
                <w:szCs w:val="20"/>
                <w:shd w:val="solid" w:color="000000" w:fill="000000"/>
                <w:fitText w:val="12" w:id="-1435844345"/>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45"/>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45"/>
                <w14:textFill>
                  <w14:solidFill>
                    <w14:srgbClr w14:val="000000">
                      <w14:alpha w14:val="100000"/>
                    </w14:srgbClr>
                  </w14:solidFill>
                </w14:textFill>
              </w:rPr>
              <w:t xml:space="preserve">　</w:t>
            </w:r>
            <w:r w:rsidR="00D01B67">
              <w:rPr>
                <w:szCs w:val="20"/>
                <w:vertAlign w:val="superscript"/>
              </w:rPr>
              <w:t>8</w:t>
            </w:r>
          </w:p>
        </w:tc>
      </w:tr>
      <w:tr w:rsidR="00262251" w:rsidRPr="00CF7D68" w14:paraId="78395F21" w14:textId="77777777" w:rsidTr="00AF768F">
        <w:tc>
          <w:tcPr>
            <w:tcW w:w="4820" w:type="dxa"/>
            <w:tcMar>
              <w:top w:w="0" w:type="dxa"/>
              <w:left w:w="108" w:type="dxa"/>
              <w:bottom w:w="0" w:type="dxa"/>
              <w:right w:w="108" w:type="dxa"/>
            </w:tcMar>
          </w:tcPr>
          <w:p w14:paraId="0353D3F4" w14:textId="77777777" w:rsidR="00262251" w:rsidRPr="00CF7D68" w:rsidRDefault="00262251" w:rsidP="00CD1B39">
            <w:pPr>
              <w:pStyle w:val="Tabletext0"/>
              <w:keepNext/>
              <w:keepLines/>
              <w:rPr>
                <w:szCs w:val="20"/>
              </w:rPr>
            </w:pPr>
            <w:r w:rsidRPr="00CF7D68">
              <w:rPr>
                <w:szCs w:val="20"/>
              </w:rPr>
              <w:t>Lower 95% CI for dialysis progression (0.65)</w:t>
            </w:r>
          </w:p>
        </w:tc>
        <w:tc>
          <w:tcPr>
            <w:tcW w:w="1417" w:type="dxa"/>
            <w:tcMar>
              <w:top w:w="0" w:type="dxa"/>
              <w:left w:w="108" w:type="dxa"/>
              <w:bottom w:w="0" w:type="dxa"/>
              <w:right w:w="108" w:type="dxa"/>
            </w:tcMar>
          </w:tcPr>
          <w:p w14:paraId="41F6EC77" w14:textId="65EBF208" w:rsidR="00262251" w:rsidRPr="00CF7D68" w:rsidRDefault="00262251" w:rsidP="00CD1B39">
            <w:pPr>
              <w:pStyle w:val="Tabletext0"/>
              <w:keepNext/>
              <w:keepLines/>
              <w:jc w:val="center"/>
              <w:rPr>
                <w:szCs w:val="20"/>
              </w:rPr>
            </w:pPr>
            <w:r w:rsidRPr="00CF7D68">
              <w:rPr>
                <w:szCs w:val="20"/>
              </w:rPr>
              <w:t>-$</w:t>
            </w:r>
            <w:r w:rsidR="00A973A1" w:rsidRPr="00F9376A">
              <w:rPr>
                <w:rFonts w:hint="eastAsia"/>
                <w:color w:val="000000"/>
                <w:w w:val="15"/>
                <w:szCs w:val="20"/>
                <w:shd w:val="solid" w:color="000000" w:fill="000000"/>
                <w:fitText w:val="13" w:id="-1435844344"/>
                <w14:textFill>
                  <w14:solidFill>
                    <w14:srgbClr w14:val="000000">
                      <w14:alpha w14:val="100000"/>
                    </w14:srgbClr>
                  </w14:solidFill>
                </w14:textFill>
              </w:rPr>
              <w:t xml:space="preserve">　</w:t>
            </w:r>
            <w:r w:rsidR="00A973A1" w:rsidRPr="00F9376A">
              <w:rPr>
                <w:color w:val="000000"/>
                <w:w w:val="15"/>
                <w:szCs w:val="20"/>
                <w:shd w:val="solid" w:color="000000" w:fill="000000"/>
                <w:fitText w:val="13" w:id="-1435844344"/>
                <w14:textFill>
                  <w14:solidFill>
                    <w14:srgbClr w14:val="000000">
                      <w14:alpha w14:val="100000"/>
                    </w14:srgbClr>
                  </w14:solidFill>
                </w14:textFill>
              </w:rPr>
              <w:t>|</w:t>
            </w:r>
            <w:r w:rsidR="00A973A1" w:rsidRPr="00F9376A">
              <w:rPr>
                <w:rFonts w:hint="eastAsia"/>
                <w:color w:val="000000"/>
                <w:spacing w:val="-53"/>
                <w:w w:val="15"/>
                <w:szCs w:val="20"/>
                <w:shd w:val="solid" w:color="000000" w:fill="000000"/>
                <w:fitText w:val="13" w:id="-1435844344"/>
                <w14:textFill>
                  <w14:solidFill>
                    <w14:srgbClr w14:val="000000">
                      <w14:alpha w14:val="100000"/>
                    </w14:srgbClr>
                  </w14:solidFill>
                </w14:textFill>
              </w:rPr>
              <w:t xml:space="preserve">　</w:t>
            </w:r>
          </w:p>
        </w:tc>
        <w:tc>
          <w:tcPr>
            <w:tcW w:w="1368" w:type="dxa"/>
            <w:tcMar>
              <w:top w:w="0" w:type="dxa"/>
              <w:left w:w="108" w:type="dxa"/>
              <w:bottom w:w="0" w:type="dxa"/>
              <w:right w:w="108" w:type="dxa"/>
            </w:tcMar>
          </w:tcPr>
          <w:p w14:paraId="38DA6D3F" w14:textId="77777777" w:rsidR="00262251" w:rsidRPr="00CF7D68" w:rsidRDefault="00262251" w:rsidP="00CD1B39">
            <w:pPr>
              <w:pStyle w:val="Tabletext0"/>
              <w:keepNext/>
              <w:keepLines/>
              <w:jc w:val="center"/>
              <w:rPr>
                <w:szCs w:val="20"/>
              </w:rPr>
            </w:pPr>
            <w:r w:rsidRPr="00CF7D68">
              <w:rPr>
                <w:szCs w:val="20"/>
              </w:rPr>
              <w:t>0.0872</w:t>
            </w:r>
          </w:p>
        </w:tc>
        <w:tc>
          <w:tcPr>
            <w:tcW w:w="1424" w:type="dxa"/>
            <w:tcMar>
              <w:top w:w="0" w:type="dxa"/>
              <w:left w:w="108" w:type="dxa"/>
              <w:bottom w:w="0" w:type="dxa"/>
              <w:right w:w="108" w:type="dxa"/>
            </w:tcMar>
          </w:tcPr>
          <w:p w14:paraId="2E9DD677" w14:textId="77777777" w:rsidR="00262251" w:rsidRPr="00CF7D68" w:rsidRDefault="00262251" w:rsidP="00CD1B39">
            <w:pPr>
              <w:pStyle w:val="Tabletext0"/>
              <w:keepNext/>
              <w:keepLines/>
              <w:jc w:val="center"/>
              <w:rPr>
                <w:szCs w:val="20"/>
              </w:rPr>
            </w:pPr>
            <w:r w:rsidRPr="00CF7D68">
              <w:rPr>
                <w:szCs w:val="20"/>
              </w:rPr>
              <w:t>Dominant</w:t>
            </w:r>
          </w:p>
        </w:tc>
      </w:tr>
      <w:tr w:rsidR="00262251" w:rsidRPr="00CF7D68" w14:paraId="708E8A11" w14:textId="77777777" w:rsidTr="00AF768F">
        <w:tc>
          <w:tcPr>
            <w:tcW w:w="4820" w:type="dxa"/>
            <w:tcMar>
              <w:top w:w="0" w:type="dxa"/>
              <w:left w:w="108" w:type="dxa"/>
              <w:bottom w:w="0" w:type="dxa"/>
              <w:right w:w="108" w:type="dxa"/>
            </w:tcMar>
          </w:tcPr>
          <w:p w14:paraId="4C037544" w14:textId="77777777" w:rsidR="00262251" w:rsidRPr="00CF7D68" w:rsidRDefault="00262251" w:rsidP="00CD1B39">
            <w:pPr>
              <w:pStyle w:val="Tabletext0"/>
              <w:keepNext/>
              <w:keepLines/>
              <w:rPr>
                <w:szCs w:val="20"/>
              </w:rPr>
            </w:pPr>
            <w:r w:rsidRPr="00CF7D68">
              <w:rPr>
                <w:szCs w:val="20"/>
              </w:rPr>
              <w:t>Upper 95% CI for first non-fatal CV event (1.03)</w:t>
            </w:r>
          </w:p>
        </w:tc>
        <w:tc>
          <w:tcPr>
            <w:tcW w:w="1417" w:type="dxa"/>
            <w:tcMar>
              <w:top w:w="0" w:type="dxa"/>
              <w:left w:w="108" w:type="dxa"/>
              <w:bottom w:w="0" w:type="dxa"/>
              <w:right w:w="108" w:type="dxa"/>
            </w:tcMar>
          </w:tcPr>
          <w:p w14:paraId="3BB68A58" w14:textId="55386C55" w:rsidR="00262251" w:rsidRPr="00CF7D68" w:rsidRDefault="00262251" w:rsidP="00CD1B39">
            <w:pPr>
              <w:pStyle w:val="Tabletext0"/>
              <w:keepNext/>
              <w:keepLines/>
              <w:jc w:val="center"/>
              <w:rPr>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64E6273C" w14:textId="77777777" w:rsidR="00262251" w:rsidRPr="00CF7D68" w:rsidRDefault="00262251" w:rsidP="00CD1B39">
            <w:pPr>
              <w:pStyle w:val="Tabletext0"/>
              <w:keepNext/>
              <w:keepLines/>
              <w:jc w:val="center"/>
              <w:rPr>
                <w:szCs w:val="20"/>
              </w:rPr>
            </w:pPr>
            <w:r w:rsidRPr="00CF7D68">
              <w:rPr>
                <w:szCs w:val="20"/>
              </w:rPr>
              <w:t>0.0707</w:t>
            </w:r>
          </w:p>
        </w:tc>
        <w:tc>
          <w:tcPr>
            <w:tcW w:w="1424" w:type="dxa"/>
            <w:tcMar>
              <w:top w:w="0" w:type="dxa"/>
              <w:left w:w="108" w:type="dxa"/>
              <w:bottom w:w="0" w:type="dxa"/>
              <w:right w:w="108" w:type="dxa"/>
            </w:tcMar>
          </w:tcPr>
          <w:p w14:paraId="6C7C1DC2" w14:textId="72C564BB" w:rsidR="00262251" w:rsidRPr="00C856F6" w:rsidRDefault="00262251" w:rsidP="00CD1B39">
            <w:pPr>
              <w:pStyle w:val="Tabletext0"/>
              <w:keepNext/>
              <w:keepLines/>
              <w:jc w:val="center"/>
              <w:rPr>
                <w:szCs w:val="20"/>
                <w:vertAlign w:val="superscript"/>
              </w:rPr>
            </w:pPr>
            <w:r w:rsidRPr="00CF7D68">
              <w:rPr>
                <w:szCs w:val="20"/>
              </w:rPr>
              <w:t>$</w:t>
            </w:r>
            <w:r w:rsidR="00A973A1" w:rsidRPr="00F9376A">
              <w:rPr>
                <w:rFonts w:hint="eastAsia"/>
                <w:color w:val="000000"/>
                <w:w w:val="15"/>
                <w:szCs w:val="20"/>
                <w:shd w:val="solid" w:color="000000" w:fill="000000"/>
                <w:fitText w:val="12" w:id="-1435844343"/>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43"/>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43"/>
                <w14:textFill>
                  <w14:solidFill>
                    <w14:srgbClr w14:val="000000">
                      <w14:alpha w14:val="100000"/>
                    </w14:srgbClr>
                  </w14:solidFill>
                </w14:textFill>
              </w:rPr>
              <w:t xml:space="preserve">　</w:t>
            </w:r>
            <w:r w:rsidR="00D90F79">
              <w:rPr>
                <w:szCs w:val="20"/>
                <w:vertAlign w:val="superscript"/>
              </w:rPr>
              <w:t>4</w:t>
            </w:r>
          </w:p>
        </w:tc>
      </w:tr>
      <w:tr w:rsidR="00262251" w:rsidRPr="00CF7D68" w14:paraId="5766C247" w14:textId="77777777" w:rsidTr="00AF768F">
        <w:tc>
          <w:tcPr>
            <w:tcW w:w="4820" w:type="dxa"/>
            <w:tcMar>
              <w:top w:w="0" w:type="dxa"/>
              <w:left w:w="108" w:type="dxa"/>
              <w:bottom w:w="0" w:type="dxa"/>
              <w:right w:w="108" w:type="dxa"/>
            </w:tcMar>
          </w:tcPr>
          <w:p w14:paraId="2753B247" w14:textId="77777777" w:rsidR="00262251" w:rsidRPr="00CF7D68" w:rsidRDefault="00262251" w:rsidP="00CD1B39">
            <w:pPr>
              <w:pStyle w:val="Tabletext0"/>
              <w:keepNext/>
              <w:keepLines/>
              <w:rPr>
                <w:szCs w:val="20"/>
              </w:rPr>
            </w:pPr>
            <w:r w:rsidRPr="00CF7D68">
              <w:rPr>
                <w:szCs w:val="20"/>
              </w:rPr>
              <w:t>Lower 95% CI for first non-fatal CV event (0.76)</w:t>
            </w:r>
          </w:p>
        </w:tc>
        <w:tc>
          <w:tcPr>
            <w:tcW w:w="1417" w:type="dxa"/>
            <w:tcMar>
              <w:top w:w="0" w:type="dxa"/>
              <w:left w:w="108" w:type="dxa"/>
              <w:bottom w:w="0" w:type="dxa"/>
              <w:right w:w="108" w:type="dxa"/>
            </w:tcMar>
          </w:tcPr>
          <w:p w14:paraId="50EB0A42" w14:textId="47E08E2F" w:rsidR="00262251" w:rsidRPr="00CF7D68" w:rsidRDefault="00262251" w:rsidP="00CD1B39">
            <w:pPr>
              <w:pStyle w:val="Tabletext0"/>
              <w:keepNext/>
              <w:keepLines/>
              <w:jc w:val="center"/>
              <w:rPr>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63F57638" w14:textId="77777777" w:rsidR="00262251" w:rsidRPr="00CF7D68" w:rsidRDefault="00262251" w:rsidP="00CD1B39">
            <w:pPr>
              <w:pStyle w:val="Tabletext0"/>
              <w:keepNext/>
              <w:keepLines/>
              <w:jc w:val="center"/>
              <w:rPr>
                <w:szCs w:val="20"/>
              </w:rPr>
            </w:pPr>
            <w:r w:rsidRPr="00CF7D68">
              <w:rPr>
                <w:szCs w:val="20"/>
              </w:rPr>
              <w:t>0.0831</w:t>
            </w:r>
          </w:p>
        </w:tc>
        <w:tc>
          <w:tcPr>
            <w:tcW w:w="1424" w:type="dxa"/>
            <w:tcMar>
              <w:top w:w="0" w:type="dxa"/>
              <w:left w:w="108" w:type="dxa"/>
              <w:bottom w:w="0" w:type="dxa"/>
              <w:right w:w="108" w:type="dxa"/>
            </w:tcMar>
          </w:tcPr>
          <w:p w14:paraId="5AC51FEE" w14:textId="3BE69C4B" w:rsidR="00262251" w:rsidRPr="00C856F6" w:rsidRDefault="00262251" w:rsidP="00CD1B39">
            <w:pPr>
              <w:pStyle w:val="Tabletext0"/>
              <w:keepNext/>
              <w:keepLines/>
              <w:jc w:val="center"/>
              <w:rPr>
                <w:szCs w:val="20"/>
                <w:vertAlign w:val="superscript"/>
              </w:rPr>
            </w:pPr>
            <w:r w:rsidRPr="00CF7D68">
              <w:rPr>
                <w:szCs w:val="20"/>
              </w:rPr>
              <w:t>$</w:t>
            </w:r>
            <w:r w:rsidR="00A973A1" w:rsidRPr="00F9376A">
              <w:rPr>
                <w:rFonts w:hint="eastAsia"/>
                <w:color w:val="000000"/>
                <w:w w:val="15"/>
                <w:szCs w:val="20"/>
                <w:shd w:val="solid" w:color="000000" w:fill="000000"/>
                <w:fitText w:val="12" w:id="-1435844342"/>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42"/>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42"/>
                <w14:textFill>
                  <w14:solidFill>
                    <w14:srgbClr w14:val="000000">
                      <w14:alpha w14:val="100000"/>
                    </w14:srgbClr>
                  </w14:solidFill>
                </w14:textFill>
              </w:rPr>
              <w:t xml:space="preserve">　</w:t>
            </w:r>
            <w:r w:rsidR="00D01B67">
              <w:rPr>
                <w:szCs w:val="20"/>
                <w:vertAlign w:val="superscript"/>
              </w:rPr>
              <w:t>2</w:t>
            </w:r>
          </w:p>
        </w:tc>
      </w:tr>
      <w:tr w:rsidR="00262251" w:rsidRPr="00CF7D68" w14:paraId="5271808F" w14:textId="77777777" w:rsidTr="00AF768F">
        <w:tc>
          <w:tcPr>
            <w:tcW w:w="4820" w:type="dxa"/>
            <w:tcMar>
              <w:top w:w="0" w:type="dxa"/>
              <w:left w:w="108" w:type="dxa"/>
              <w:bottom w:w="0" w:type="dxa"/>
              <w:right w:w="108" w:type="dxa"/>
            </w:tcMar>
          </w:tcPr>
          <w:p w14:paraId="1C380F50" w14:textId="77777777" w:rsidR="00262251" w:rsidRPr="00CF7D68" w:rsidRDefault="00262251" w:rsidP="00CD1B39">
            <w:pPr>
              <w:pStyle w:val="Tabletext0"/>
              <w:keepNext/>
              <w:keepLines/>
              <w:rPr>
                <w:szCs w:val="20"/>
              </w:rPr>
            </w:pPr>
            <w:r w:rsidRPr="00CF7D68">
              <w:rPr>
                <w:szCs w:val="20"/>
              </w:rPr>
              <w:t>Upper 95% CI for fatal CV event (1.02)</w:t>
            </w:r>
          </w:p>
        </w:tc>
        <w:tc>
          <w:tcPr>
            <w:tcW w:w="1417" w:type="dxa"/>
            <w:tcMar>
              <w:top w:w="0" w:type="dxa"/>
              <w:left w:w="108" w:type="dxa"/>
              <w:bottom w:w="0" w:type="dxa"/>
              <w:right w:w="108" w:type="dxa"/>
            </w:tcMar>
          </w:tcPr>
          <w:p w14:paraId="2DB02AA8" w14:textId="09FB9CE1" w:rsidR="00262251" w:rsidRPr="00CF7D68" w:rsidRDefault="00262251" w:rsidP="00CD1B39">
            <w:pPr>
              <w:pStyle w:val="Tabletext0"/>
              <w:keepNext/>
              <w:keepLines/>
              <w:jc w:val="center"/>
              <w:rPr>
                <w:szCs w:val="20"/>
              </w:rPr>
            </w:pPr>
            <w:r w:rsidRPr="00CF7D68">
              <w:rPr>
                <w:szCs w:val="20"/>
              </w:rPr>
              <w:t>-$</w:t>
            </w:r>
            <w:r w:rsidR="00A973A1" w:rsidRPr="00F9376A">
              <w:rPr>
                <w:rFonts w:hint="eastAsia"/>
                <w:color w:val="000000"/>
                <w:w w:val="15"/>
                <w:szCs w:val="20"/>
                <w:shd w:val="solid" w:color="000000" w:fill="000000"/>
                <w:fitText w:val="13" w:id="-1435844341"/>
                <w14:textFill>
                  <w14:solidFill>
                    <w14:srgbClr w14:val="000000">
                      <w14:alpha w14:val="100000"/>
                    </w14:srgbClr>
                  </w14:solidFill>
                </w14:textFill>
              </w:rPr>
              <w:t xml:space="preserve">　</w:t>
            </w:r>
            <w:r w:rsidR="00A973A1" w:rsidRPr="00F9376A">
              <w:rPr>
                <w:color w:val="000000"/>
                <w:w w:val="15"/>
                <w:szCs w:val="20"/>
                <w:shd w:val="solid" w:color="000000" w:fill="000000"/>
                <w:fitText w:val="13" w:id="-1435844341"/>
                <w14:textFill>
                  <w14:solidFill>
                    <w14:srgbClr w14:val="000000">
                      <w14:alpha w14:val="100000"/>
                    </w14:srgbClr>
                  </w14:solidFill>
                </w14:textFill>
              </w:rPr>
              <w:t>|</w:t>
            </w:r>
            <w:r w:rsidR="00A973A1" w:rsidRPr="00F9376A">
              <w:rPr>
                <w:rFonts w:hint="eastAsia"/>
                <w:color w:val="000000"/>
                <w:spacing w:val="-53"/>
                <w:w w:val="15"/>
                <w:szCs w:val="20"/>
                <w:shd w:val="solid" w:color="000000" w:fill="000000"/>
                <w:fitText w:val="13" w:id="-1435844341"/>
                <w14:textFill>
                  <w14:solidFill>
                    <w14:srgbClr w14:val="000000">
                      <w14:alpha w14:val="100000"/>
                    </w14:srgbClr>
                  </w14:solidFill>
                </w14:textFill>
              </w:rPr>
              <w:t xml:space="preserve">　</w:t>
            </w:r>
          </w:p>
        </w:tc>
        <w:tc>
          <w:tcPr>
            <w:tcW w:w="1368" w:type="dxa"/>
            <w:tcMar>
              <w:top w:w="0" w:type="dxa"/>
              <w:left w:w="108" w:type="dxa"/>
              <w:bottom w:w="0" w:type="dxa"/>
              <w:right w:w="108" w:type="dxa"/>
            </w:tcMar>
          </w:tcPr>
          <w:p w14:paraId="5A614A84" w14:textId="77777777" w:rsidR="00262251" w:rsidRPr="00CF7D68" w:rsidRDefault="00262251" w:rsidP="00CD1B39">
            <w:pPr>
              <w:pStyle w:val="Tabletext0"/>
              <w:keepNext/>
              <w:keepLines/>
              <w:jc w:val="center"/>
              <w:rPr>
                <w:szCs w:val="20"/>
              </w:rPr>
            </w:pPr>
            <w:r w:rsidRPr="00CF7D68">
              <w:rPr>
                <w:szCs w:val="20"/>
              </w:rPr>
              <w:t>0.0239</w:t>
            </w:r>
          </w:p>
        </w:tc>
        <w:tc>
          <w:tcPr>
            <w:tcW w:w="1424" w:type="dxa"/>
            <w:tcMar>
              <w:top w:w="0" w:type="dxa"/>
              <w:left w:w="108" w:type="dxa"/>
              <w:bottom w:w="0" w:type="dxa"/>
              <w:right w:w="108" w:type="dxa"/>
            </w:tcMar>
          </w:tcPr>
          <w:p w14:paraId="6174A1D6" w14:textId="77777777" w:rsidR="00262251" w:rsidRPr="00CF7D68" w:rsidRDefault="00262251" w:rsidP="00CD1B39">
            <w:pPr>
              <w:pStyle w:val="Tabletext0"/>
              <w:keepNext/>
              <w:keepLines/>
              <w:jc w:val="center"/>
              <w:rPr>
                <w:szCs w:val="20"/>
              </w:rPr>
            </w:pPr>
            <w:r w:rsidRPr="00CF7D68">
              <w:rPr>
                <w:szCs w:val="20"/>
              </w:rPr>
              <w:t>Dominant</w:t>
            </w:r>
          </w:p>
        </w:tc>
      </w:tr>
      <w:tr w:rsidR="00262251" w:rsidRPr="00CF7D68" w14:paraId="6340D501" w14:textId="77777777" w:rsidTr="00AF768F">
        <w:tc>
          <w:tcPr>
            <w:tcW w:w="4820" w:type="dxa"/>
            <w:tcMar>
              <w:top w:w="0" w:type="dxa"/>
              <w:left w:w="108" w:type="dxa"/>
              <w:bottom w:w="0" w:type="dxa"/>
              <w:right w:w="108" w:type="dxa"/>
            </w:tcMar>
          </w:tcPr>
          <w:p w14:paraId="675DC46A" w14:textId="77777777" w:rsidR="00262251" w:rsidRPr="00CF7D68" w:rsidRDefault="00262251" w:rsidP="00CD1B39">
            <w:pPr>
              <w:pStyle w:val="Tabletext0"/>
              <w:keepNext/>
              <w:keepLines/>
              <w:rPr>
                <w:szCs w:val="20"/>
              </w:rPr>
            </w:pPr>
            <w:r w:rsidRPr="00CF7D68">
              <w:rPr>
                <w:szCs w:val="20"/>
              </w:rPr>
              <w:t>Lower 95% CI for fatal CV event (0.76)</w:t>
            </w:r>
          </w:p>
        </w:tc>
        <w:tc>
          <w:tcPr>
            <w:tcW w:w="1417" w:type="dxa"/>
            <w:tcMar>
              <w:top w:w="0" w:type="dxa"/>
              <w:left w:w="108" w:type="dxa"/>
              <w:bottom w:w="0" w:type="dxa"/>
              <w:right w:w="108" w:type="dxa"/>
            </w:tcMar>
          </w:tcPr>
          <w:p w14:paraId="134507E1" w14:textId="44CCC59A" w:rsidR="00262251" w:rsidRPr="00CF7D68" w:rsidRDefault="00262251" w:rsidP="00CD1B39">
            <w:pPr>
              <w:pStyle w:val="Tabletext0"/>
              <w:keepNext/>
              <w:keepLines/>
              <w:jc w:val="center"/>
              <w:rPr>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5A4BEF65" w14:textId="77777777" w:rsidR="00262251" w:rsidRPr="00CF7D68" w:rsidRDefault="00262251" w:rsidP="00CD1B39">
            <w:pPr>
              <w:pStyle w:val="Tabletext0"/>
              <w:keepNext/>
              <w:keepLines/>
              <w:jc w:val="center"/>
              <w:rPr>
                <w:szCs w:val="20"/>
              </w:rPr>
            </w:pPr>
            <w:r w:rsidRPr="00CF7D68">
              <w:rPr>
                <w:szCs w:val="20"/>
              </w:rPr>
              <w:t>0.1240</w:t>
            </w:r>
          </w:p>
        </w:tc>
        <w:tc>
          <w:tcPr>
            <w:tcW w:w="1424" w:type="dxa"/>
            <w:tcMar>
              <w:top w:w="0" w:type="dxa"/>
              <w:left w:w="108" w:type="dxa"/>
              <w:bottom w:w="0" w:type="dxa"/>
              <w:right w:w="108" w:type="dxa"/>
            </w:tcMar>
          </w:tcPr>
          <w:p w14:paraId="2E2BD96C" w14:textId="2B1BCE3A" w:rsidR="00262251" w:rsidRPr="00C856F6" w:rsidRDefault="00262251" w:rsidP="00CD1B39">
            <w:pPr>
              <w:pStyle w:val="Tabletext0"/>
              <w:keepNext/>
              <w:keepLines/>
              <w:jc w:val="center"/>
              <w:rPr>
                <w:szCs w:val="20"/>
                <w:vertAlign w:val="superscript"/>
              </w:rPr>
            </w:pPr>
            <w:r w:rsidRPr="00CF7D68">
              <w:rPr>
                <w:szCs w:val="20"/>
              </w:rPr>
              <w:t>$</w:t>
            </w:r>
            <w:r w:rsidR="00A973A1" w:rsidRPr="00F9376A">
              <w:rPr>
                <w:rFonts w:hint="eastAsia"/>
                <w:color w:val="000000"/>
                <w:w w:val="15"/>
                <w:szCs w:val="20"/>
                <w:shd w:val="solid" w:color="000000" w:fill="000000"/>
                <w:fitText w:val="12" w:id="-1435844340"/>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40"/>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40"/>
                <w14:textFill>
                  <w14:solidFill>
                    <w14:srgbClr w14:val="000000">
                      <w14:alpha w14:val="100000"/>
                    </w14:srgbClr>
                  </w14:solidFill>
                </w14:textFill>
              </w:rPr>
              <w:t xml:space="preserve">　</w:t>
            </w:r>
            <w:r w:rsidR="00D90F79">
              <w:rPr>
                <w:szCs w:val="20"/>
                <w:vertAlign w:val="superscript"/>
              </w:rPr>
              <w:t>1</w:t>
            </w:r>
          </w:p>
        </w:tc>
      </w:tr>
      <w:tr w:rsidR="00262251" w:rsidRPr="00CF7D68" w14:paraId="6F13E0EA" w14:textId="77777777" w:rsidTr="00AF768F">
        <w:tc>
          <w:tcPr>
            <w:tcW w:w="4820" w:type="dxa"/>
            <w:tcMar>
              <w:top w:w="0" w:type="dxa"/>
              <w:left w:w="108" w:type="dxa"/>
              <w:bottom w:w="0" w:type="dxa"/>
              <w:right w:w="108" w:type="dxa"/>
            </w:tcMar>
          </w:tcPr>
          <w:p w14:paraId="49388039" w14:textId="77777777" w:rsidR="00262251" w:rsidRPr="00CF7D68" w:rsidRDefault="00262251" w:rsidP="00CD1B39">
            <w:pPr>
              <w:pStyle w:val="Tabletext0"/>
              <w:keepNext/>
              <w:keepLines/>
              <w:rPr>
                <w:iCs/>
                <w:szCs w:val="20"/>
              </w:rPr>
            </w:pPr>
            <w:r w:rsidRPr="00CF7D68">
              <w:rPr>
                <w:iCs/>
                <w:szCs w:val="20"/>
              </w:rPr>
              <w:t>Upper 95% CI for subsequent CV event (1.05)</w:t>
            </w:r>
          </w:p>
        </w:tc>
        <w:tc>
          <w:tcPr>
            <w:tcW w:w="1417" w:type="dxa"/>
            <w:tcMar>
              <w:top w:w="0" w:type="dxa"/>
              <w:left w:w="108" w:type="dxa"/>
              <w:bottom w:w="0" w:type="dxa"/>
              <w:right w:w="108" w:type="dxa"/>
            </w:tcMar>
          </w:tcPr>
          <w:p w14:paraId="179BE406" w14:textId="7530346C" w:rsidR="00262251" w:rsidRPr="00CF7D68" w:rsidRDefault="00262251" w:rsidP="00CD1B39">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52878170" w14:textId="77777777" w:rsidR="00262251" w:rsidRPr="00CF7D68" w:rsidRDefault="00262251" w:rsidP="00CD1B39">
            <w:pPr>
              <w:pStyle w:val="Tabletext0"/>
              <w:keepNext/>
              <w:keepLines/>
              <w:jc w:val="center"/>
              <w:rPr>
                <w:iCs/>
                <w:szCs w:val="20"/>
              </w:rPr>
            </w:pPr>
            <w:r w:rsidRPr="00CF7D68">
              <w:rPr>
                <w:iCs/>
                <w:szCs w:val="20"/>
              </w:rPr>
              <w:t>0.0771</w:t>
            </w:r>
          </w:p>
        </w:tc>
        <w:tc>
          <w:tcPr>
            <w:tcW w:w="1424" w:type="dxa"/>
            <w:tcMar>
              <w:top w:w="0" w:type="dxa"/>
              <w:left w:w="108" w:type="dxa"/>
              <w:bottom w:w="0" w:type="dxa"/>
              <w:right w:w="108" w:type="dxa"/>
            </w:tcMar>
          </w:tcPr>
          <w:p w14:paraId="337D7590" w14:textId="4BDFF3BE" w:rsidR="00262251" w:rsidRPr="00C856F6" w:rsidRDefault="00262251" w:rsidP="00CD1B39">
            <w:pPr>
              <w:pStyle w:val="Tabletext0"/>
              <w:keepNext/>
              <w:keepLines/>
              <w:jc w:val="center"/>
              <w:rPr>
                <w:iCs/>
                <w:szCs w:val="20"/>
                <w:vertAlign w:val="superscript"/>
              </w:rPr>
            </w:pPr>
            <w:r w:rsidRPr="00CF7D68">
              <w:rPr>
                <w:iCs/>
                <w:szCs w:val="20"/>
              </w:rPr>
              <w:t>$</w:t>
            </w:r>
            <w:r w:rsidR="00A973A1" w:rsidRPr="00F9376A">
              <w:rPr>
                <w:rFonts w:hint="eastAsia"/>
                <w:iCs/>
                <w:color w:val="000000"/>
                <w:w w:val="15"/>
                <w:szCs w:val="20"/>
                <w:shd w:val="solid" w:color="000000" w:fill="000000"/>
                <w:fitText w:val="12" w:id="-1435844339"/>
                <w14:textFill>
                  <w14:solidFill>
                    <w14:srgbClr w14:val="000000">
                      <w14:alpha w14:val="100000"/>
                    </w14:srgbClr>
                  </w14:solidFill>
                </w14:textFill>
              </w:rPr>
              <w:t xml:space="preserve">　</w:t>
            </w:r>
            <w:r w:rsidR="00A973A1" w:rsidRPr="00F9376A">
              <w:rPr>
                <w:iCs/>
                <w:color w:val="000000"/>
                <w:w w:val="15"/>
                <w:szCs w:val="20"/>
                <w:shd w:val="solid" w:color="000000" w:fill="000000"/>
                <w:fitText w:val="12" w:id="-1435844339"/>
                <w14:textFill>
                  <w14:solidFill>
                    <w14:srgbClr w14:val="000000">
                      <w14:alpha w14:val="100000"/>
                    </w14:srgbClr>
                  </w14:solidFill>
                </w14:textFill>
              </w:rPr>
              <w:t>|</w:t>
            </w:r>
            <w:r w:rsidR="00A973A1" w:rsidRPr="00F9376A">
              <w:rPr>
                <w:rFonts w:hint="eastAsia"/>
                <w:iCs/>
                <w:color w:val="000000"/>
                <w:spacing w:val="-54"/>
                <w:w w:val="15"/>
                <w:szCs w:val="20"/>
                <w:shd w:val="solid" w:color="000000" w:fill="000000"/>
                <w:fitText w:val="12" w:id="-1435844339"/>
                <w14:textFill>
                  <w14:solidFill>
                    <w14:srgbClr w14:val="000000">
                      <w14:alpha w14:val="100000"/>
                    </w14:srgbClr>
                  </w14:solidFill>
                </w14:textFill>
              </w:rPr>
              <w:t xml:space="preserve">　</w:t>
            </w:r>
            <w:r w:rsidR="00D90F79">
              <w:rPr>
                <w:iCs/>
                <w:szCs w:val="20"/>
                <w:vertAlign w:val="superscript"/>
              </w:rPr>
              <w:t>1</w:t>
            </w:r>
          </w:p>
        </w:tc>
      </w:tr>
      <w:tr w:rsidR="00262251" w:rsidRPr="00CF7D68" w14:paraId="0E0D57E4" w14:textId="77777777" w:rsidTr="00AF768F">
        <w:tc>
          <w:tcPr>
            <w:tcW w:w="4820" w:type="dxa"/>
            <w:tcMar>
              <w:top w:w="0" w:type="dxa"/>
              <w:left w:w="108" w:type="dxa"/>
              <w:bottom w:w="0" w:type="dxa"/>
              <w:right w:w="108" w:type="dxa"/>
            </w:tcMar>
          </w:tcPr>
          <w:p w14:paraId="68A85569" w14:textId="77777777" w:rsidR="00262251" w:rsidRPr="00CF7D68" w:rsidRDefault="00262251" w:rsidP="00CD1B39">
            <w:pPr>
              <w:pStyle w:val="Tabletext0"/>
              <w:keepNext/>
              <w:keepLines/>
              <w:rPr>
                <w:iCs/>
                <w:szCs w:val="20"/>
              </w:rPr>
            </w:pPr>
            <w:r w:rsidRPr="00CF7D68">
              <w:rPr>
                <w:iCs/>
                <w:szCs w:val="20"/>
              </w:rPr>
              <w:t>Lower 95% CI for subsequent CV event (0.68)</w:t>
            </w:r>
          </w:p>
        </w:tc>
        <w:tc>
          <w:tcPr>
            <w:tcW w:w="1417" w:type="dxa"/>
            <w:tcMar>
              <w:top w:w="0" w:type="dxa"/>
              <w:left w:w="108" w:type="dxa"/>
              <w:bottom w:w="0" w:type="dxa"/>
              <w:right w:w="108" w:type="dxa"/>
            </w:tcMar>
          </w:tcPr>
          <w:p w14:paraId="1CE18645" w14:textId="1041AF0F" w:rsidR="00262251" w:rsidRPr="00CF7D68" w:rsidRDefault="00262251" w:rsidP="00CD1B39">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12E8D8D7" w14:textId="77777777" w:rsidR="00262251" w:rsidRPr="00CF7D68" w:rsidRDefault="00262251" w:rsidP="00CD1B39">
            <w:pPr>
              <w:pStyle w:val="Tabletext0"/>
              <w:keepNext/>
              <w:keepLines/>
              <w:jc w:val="center"/>
              <w:rPr>
                <w:iCs/>
                <w:szCs w:val="20"/>
              </w:rPr>
            </w:pPr>
            <w:r w:rsidRPr="00CF7D68">
              <w:rPr>
                <w:iCs/>
                <w:szCs w:val="20"/>
              </w:rPr>
              <w:t>0.0777</w:t>
            </w:r>
          </w:p>
        </w:tc>
        <w:tc>
          <w:tcPr>
            <w:tcW w:w="1424" w:type="dxa"/>
            <w:tcMar>
              <w:top w:w="0" w:type="dxa"/>
              <w:left w:w="108" w:type="dxa"/>
              <w:bottom w:w="0" w:type="dxa"/>
              <w:right w:w="108" w:type="dxa"/>
            </w:tcMar>
          </w:tcPr>
          <w:p w14:paraId="09D3666F" w14:textId="421069C5" w:rsidR="00262251" w:rsidRPr="00CF7D68" w:rsidRDefault="00262251" w:rsidP="00CD1B39">
            <w:pPr>
              <w:pStyle w:val="Tabletext0"/>
              <w:keepNext/>
              <w:keepLines/>
              <w:jc w:val="center"/>
              <w:rPr>
                <w:iCs/>
                <w:szCs w:val="20"/>
              </w:rPr>
            </w:pPr>
            <w:r w:rsidRPr="00CF7D68">
              <w:rPr>
                <w:iCs/>
                <w:szCs w:val="20"/>
              </w:rPr>
              <w:t>$</w:t>
            </w:r>
            <w:r w:rsidR="00A973A1" w:rsidRPr="00F9376A">
              <w:rPr>
                <w:rFonts w:hint="eastAsia"/>
                <w:iCs/>
                <w:color w:val="000000"/>
                <w:w w:val="15"/>
                <w:szCs w:val="20"/>
                <w:shd w:val="solid" w:color="000000" w:fill="000000"/>
                <w:fitText w:val="12" w:id="-1435844338"/>
                <w14:textFill>
                  <w14:solidFill>
                    <w14:srgbClr w14:val="000000">
                      <w14:alpha w14:val="100000"/>
                    </w14:srgbClr>
                  </w14:solidFill>
                </w14:textFill>
              </w:rPr>
              <w:t xml:space="preserve">　</w:t>
            </w:r>
            <w:r w:rsidR="00A973A1" w:rsidRPr="00F9376A">
              <w:rPr>
                <w:iCs/>
                <w:color w:val="000000"/>
                <w:w w:val="15"/>
                <w:szCs w:val="20"/>
                <w:shd w:val="solid" w:color="000000" w:fill="000000"/>
                <w:fitText w:val="12" w:id="-1435844338"/>
                <w14:textFill>
                  <w14:solidFill>
                    <w14:srgbClr w14:val="000000">
                      <w14:alpha w14:val="100000"/>
                    </w14:srgbClr>
                  </w14:solidFill>
                </w14:textFill>
              </w:rPr>
              <w:t>|</w:t>
            </w:r>
            <w:r w:rsidR="00A973A1" w:rsidRPr="00F9376A">
              <w:rPr>
                <w:rFonts w:hint="eastAsia"/>
                <w:iCs/>
                <w:color w:val="000000"/>
                <w:spacing w:val="-54"/>
                <w:w w:val="15"/>
                <w:szCs w:val="20"/>
                <w:shd w:val="solid" w:color="000000" w:fill="000000"/>
                <w:fitText w:val="12" w:id="-1435844338"/>
                <w14:textFill>
                  <w14:solidFill>
                    <w14:srgbClr w14:val="000000">
                      <w14:alpha w14:val="100000"/>
                    </w14:srgbClr>
                  </w14:solidFill>
                </w14:textFill>
              </w:rPr>
              <w:t xml:space="preserve">　</w:t>
            </w:r>
            <w:r w:rsidR="00D90F79">
              <w:rPr>
                <w:iCs/>
                <w:szCs w:val="20"/>
                <w:vertAlign w:val="superscript"/>
              </w:rPr>
              <w:t>1</w:t>
            </w:r>
          </w:p>
        </w:tc>
      </w:tr>
      <w:tr w:rsidR="00262251" w:rsidRPr="00CF7D68" w14:paraId="2FD5FEC8" w14:textId="77777777" w:rsidTr="00AF768F">
        <w:tc>
          <w:tcPr>
            <w:tcW w:w="4820" w:type="dxa"/>
            <w:tcMar>
              <w:top w:w="0" w:type="dxa"/>
              <w:left w:w="108" w:type="dxa"/>
              <w:bottom w:w="0" w:type="dxa"/>
              <w:right w:w="108" w:type="dxa"/>
            </w:tcMar>
          </w:tcPr>
          <w:p w14:paraId="3A3D7D37" w14:textId="77743E25" w:rsidR="00262251" w:rsidRPr="00CF7D68" w:rsidRDefault="00262251" w:rsidP="00CD1B39">
            <w:pPr>
              <w:pStyle w:val="Tabletext0"/>
              <w:keepNext/>
              <w:keepLines/>
              <w:rPr>
                <w:iCs/>
                <w:szCs w:val="20"/>
              </w:rPr>
            </w:pPr>
            <w:r w:rsidRPr="00CF7D68">
              <w:rPr>
                <w:iCs/>
                <w:szCs w:val="20"/>
              </w:rPr>
              <w:t>Upper 95% CI for hyperkalaemia without</w:t>
            </w:r>
            <w:r w:rsidR="00AF768F" w:rsidRPr="00CF7D68">
              <w:rPr>
                <w:iCs/>
                <w:szCs w:val="20"/>
              </w:rPr>
              <w:t xml:space="preserve"> </w:t>
            </w:r>
            <w:r w:rsidRPr="00CF7D68">
              <w:rPr>
                <w:iCs/>
                <w:szCs w:val="20"/>
              </w:rPr>
              <w:t>hospitalisation (2.12)</w:t>
            </w:r>
          </w:p>
        </w:tc>
        <w:tc>
          <w:tcPr>
            <w:tcW w:w="1417" w:type="dxa"/>
            <w:tcMar>
              <w:top w:w="0" w:type="dxa"/>
              <w:left w:w="108" w:type="dxa"/>
              <w:bottom w:w="0" w:type="dxa"/>
              <w:right w:w="108" w:type="dxa"/>
            </w:tcMar>
            <w:vAlign w:val="center"/>
          </w:tcPr>
          <w:p w14:paraId="63F9865D" w14:textId="763ED4E1" w:rsidR="00262251" w:rsidRPr="00CF7D68" w:rsidRDefault="00262251" w:rsidP="00CD1B39">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vAlign w:val="center"/>
          </w:tcPr>
          <w:p w14:paraId="76A48063" w14:textId="77777777" w:rsidR="00262251" w:rsidRPr="00CF7D68" w:rsidRDefault="00262251" w:rsidP="00CD1B39">
            <w:pPr>
              <w:pStyle w:val="Tabletext0"/>
              <w:keepNext/>
              <w:keepLines/>
              <w:jc w:val="center"/>
              <w:rPr>
                <w:iCs/>
                <w:szCs w:val="20"/>
              </w:rPr>
            </w:pPr>
            <w:r w:rsidRPr="00CF7D68">
              <w:rPr>
                <w:iCs/>
                <w:szCs w:val="20"/>
              </w:rPr>
              <w:t>0.0774</w:t>
            </w:r>
          </w:p>
        </w:tc>
        <w:tc>
          <w:tcPr>
            <w:tcW w:w="1424" w:type="dxa"/>
            <w:tcMar>
              <w:top w:w="0" w:type="dxa"/>
              <w:left w:w="108" w:type="dxa"/>
              <w:bottom w:w="0" w:type="dxa"/>
              <w:right w:w="108" w:type="dxa"/>
            </w:tcMar>
            <w:vAlign w:val="center"/>
          </w:tcPr>
          <w:p w14:paraId="1FDE57AB" w14:textId="09C9EB7C" w:rsidR="00262251" w:rsidRPr="00CF7D68" w:rsidRDefault="00262251" w:rsidP="00CD1B39">
            <w:pPr>
              <w:pStyle w:val="Tabletext0"/>
              <w:keepNext/>
              <w:keepLines/>
              <w:jc w:val="center"/>
              <w:rPr>
                <w:iCs/>
                <w:szCs w:val="20"/>
              </w:rPr>
            </w:pPr>
            <w:r w:rsidRPr="00CF7D68">
              <w:rPr>
                <w:iCs/>
                <w:szCs w:val="20"/>
              </w:rPr>
              <w:t>$</w:t>
            </w:r>
            <w:r w:rsidR="00A973A1" w:rsidRPr="00F9376A">
              <w:rPr>
                <w:rFonts w:hint="eastAsia"/>
                <w:iCs/>
                <w:color w:val="000000"/>
                <w:w w:val="15"/>
                <w:szCs w:val="20"/>
                <w:shd w:val="solid" w:color="000000" w:fill="000000"/>
                <w:fitText w:val="12" w:id="-1435844337"/>
                <w14:textFill>
                  <w14:solidFill>
                    <w14:srgbClr w14:val="000000">
                      <w14:alpha w14:val="100000"/>
                    </w14:srgbClr>
                  </w14:solidFill>
                </w14:textFill>
              </w:rPr>
              <w:t xml:space="preserve">　</w:t>
            </w:r>
            <w:r w:rsidR="00A973A1" w:rsidRPr="00F9376A">
              <w:rPr>
                <w:iCs/>
                <w:color w:val="000000"/>
                <w:w w:val="15"/>
                <w:szCs w:val="20"/>
                <w:shd w:val="solid" w:color="000000" w:fill="000000"/>
                <w:fitText w:val="12" w:id="-1435844337"/>
                <w14:textFill>
                  <w14:solidFill>
                    <w14:srgbClr w14:val="000000">
                      <w14:alpha w14:val="100000"/>
                    </w14:srgbClr>
                  </w14:solidFill>
                </w14:textFill>
              </w:rPr>
              <w:t>|</w:t>
            </w:r>
            <w:r w:rsidR="00A973A1" w:rsidRPr="00F9376A">
              <w:rPr>
                <w:rFonts w:hint="eastAsia"/>
                <w:iCs/>
                <w:color w:val="000000"/>
                <w:spacing w:val="-54"/>
                <w:w w:val="15"/>
                <w:szCs w:val="20"/>
                <w:shd w:val="solid" w:color="000000" w:fill="000000"/>
                <w:fitText w:val="12" w:id="-1435844337"/>
                <w14:textFill>
                  <w14:solidFill>
                    <w14:srgbClr w14:val="000000">
                      <w14:alpha w14:val="100000"/>
                    </w14:srgbClr>
                  </w14:solidFill>
                </w14:textFill>
              </w:rPr>
              <w:t xml:space="preserve">　</w:t>
            </w:r>
            <w:r w:rsidR="00D90F79">
              <w:rPr>
                <w:iCs/>
                <w:szCs w:val="20"/>
                <w:vertAlign w:val="superscript"/>
              </w:rPr>
              <w:t>1</w:t>
            </w:r>
          </w:p>
        </w:tc>
      </w:tr>
      <w:tr w:rsidR="00262251" w:rsidRPr="00CF7D68" w14:paraId="6492C68C" w14:textId="77777777" w:rsidTr="00AF768F">
        <w:tc>
          <w:tcPr>
            <w:tcW w:w="4820" w:type="dxa"/>
            <w:tcMar>
              <w:top w:w="0" w:type="dxa"/>
              <w:left w:w="108" w:type="dxa"/>
              <w:bottom w:w="0" w:type="dxa"/>
              <w:right w:w="108" w:type="dxa"/>
            </w:tcMar>
          </w:tcPr>
          <w:p w14:paraId="62843062" w14:textId="41810761" w:rsidR="00262251" w:rsidRPr="00CF7D68" w:rsidRDefault="00262251" w:rsidP="00CD1B39">
            <w:pPr>
              <w:pStyle w:val="Tabletext0"/>
              <w:keepNext/>
              <w:keepLines/>
              <w:rPr>
                <w:iCs/>
                <w:szCs w:val="20"/>
              </w:rPr>
            </w:pPr>
            <w:r w:rsidRPr="00CF7D68">
              <w:rPr>
                <w:iCs/>
                <w:szCs w:val="20"/>
              </w:rPr>
              <w:t>Lower 95% CI for hyperkalaemia without hospitalisation (1.72)</w:t>
            </w:r>
          </w:p>
        </w:tc>
        <w:tc>
          <w:tcPr>
            <w:tcW w:w="1417" w:type="dxa"/>
            <w:tcMar>
              <w:top w:w="0" w:type="dxa"/>
              <w:left w:w="108" w:type="dxa"/>
              <w:bottom w:w="0" w:type="dxa"/>
              <w:right w:w="108" w:type="dxa"/>
            </w:tcMar>
            <w:vAlign w:val="center"/>
          </w:tcPr>
          <w:p w14:paraId="04411864" w14:textId="51D2B93F" w:rsidR="00262251" w:rsidRPr="00CF7D68" w:rsidRDefault="00262251" w:rsidP="00CD1B39">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vAlign w:val="center"/>
          </w:tcPr>
          <w:p w14:paraId="5051604F" w14:textId="77777777" w:rsidR="00262251" w:rsidRPr="00CF7D68" w:rsidRDefault="00262251" w:rsidP="00CD1B39">
            <w:pPr>
              <w:pStyle w:val="Tabletext0"/>
              <w:keepNext/>
              <w:keepLines/>
              <w:jc w:val="center"/>
              <w:rPr>
                <w:iCs/>
                <w:szCs w:val="20"/>
              </w:rPr>
            </w:pPr>
            <w:r w:rsidRPr="00CF7D68">
              <w:rPr>
                <w:iCs/>
                <w:szCs w:val="20"/>
              </w:rPr>
              <w:t>0.0775</w:t>
            </w:r>
          </w:p>
        </w:tc>
        <w:tc>
          <w:tcPr>
            <w:tcW w:w="1424" w:type="dxa"/>
            <w:tcMar>
              <w:top w:w="0" w:type="dxa"/>
              <w:left w:w="108" w:type="dxa"/>
              <w:bottom w:w="0" w:type="dxa"/>
              <w:right w:w="108" w:type="dxa"/>
            </w:tcMar>
            <w:vAlign w:val="center"/>
          </w:tcPr>
          <w:p w14:paraId="5CE8A870" w14:textId="6AFF6DAA" w:rsidR="00262251" w:rsidRPr="00CF7D68" w:rsidRDefault="00262251" w:rsidP="00CD1B39">
            <w:pPr>
              <w:pStyle w:val="Tabletext0"/>
              <w:keepNext/>
              <w:keepLines/>
              <w:jc w:val="center"/>
              <w:rPr>
                <w:iCs/>
                <w:szCs w:val="20"/>
              </w:rPr>
            </w:pPr>
            <w:r w:rsidRPr="00CF7D68">
              <w:rPr>
                <w:iCs/>
                <w:szCs w:val="20"/>
              </w:rPr>
              <w:t>$</w:t>
            </w:r>
            <w:r w:rsidR="00A973A1" w:rsidRPr="00F9376A">
              <w:rPr>
                <w:rFonts w:hint="eastAsia"/>
                <w:iCs/>
                <w:color w:val="000000"/>
                <w:w w:val="15"/>
                <w:szCs w:val="20"/>
                <w:shd w:val="solid" w:color="000000" w:fill="000000"/>
                <w:fitText w:val="12" w:id="-1435844336"/>
                <w14:textFill>
                  <w14:solidFill>
                    <w14:srgbClr w14:val="000000">
                      <w14:alpha w14:val="100000"/>
                    </w14:srgbClr>
                  </w14:solidFill>
                </w14:textFill>
              </w:rPr>
              <w:t xml:space="preserve">　</w:t>
            </w:r>
            <w:r w:rsidR="00A973A1" w:rsidRPr="00F9376A">
              <w:rPr>
                <w:iCs/>
                <w:color w:val="000000"/>
                <w:w w:val="15"/>
                <w:szCs w:val="20"/>
                <w:shd w:val="solid" w:color="000000" w:fill="000000"/>
                <w:fitText w:val="12" w:id="-1435844336"/>
                <w14:textFill>
                  <w14:solidFill>
                    <w14:srgbClr w14:val="000000">
                      <w14:alpha w14:val="100000"/>
                    </w14:srgbClr>
                  </w14:solidFill>
                </w14:textFill>
              </w:rPr>
              <w:t>|</w:t>
            </w:r>
            <w:r w:rsidR="00A973A1" w:rsidRPr="00F9376A">
              <w:rPr>
                <w:rFonts w:hint="eastAsia"/>
                <w:iCs/>
                <w:color w:val="000000"/>
                <w:spacing w:val="-54"/>
                <w:w w:val="15"/>
                <w:szCs w:val="20"/>
                <w:shd w:val="solid" w:color="000000" w:fill="000000"/>
                <w:fitText w:val="12" w:id="-1435844336"/>
                <w14:textFill>
                  <w14:solidFill>
                    <w14:srgbClr w14:val="000000">
                      <w14:alpha w14:val="100000"/>
                    </w14:srgbClr>
                  </w14:solidFill>
                </w14:textFill>
              </w:rPr>
              <w:t xml:space="preserve">　</w:t>
            </w:r>
            <w:r w:rsidR="00D90F79">
              <w:rPr>
                <w:iCs/>
                <w:szCs w:val="20"/>
                <w:vertAlign w:val="superscript"/>
              </w:rPr>
              <w:t>1</w:t>
            </w:r>
          </w:p>
        </w:tc>
      </w:tr>
      <w:tr w:rsidR="00262251" w:rsidRPr="00CF7D68" w14:paraId="28736967" w14:textId="77777777" w:rsidTr="00AF768F">
        <w:tc>
          <w:tcPr>
            <w:tcW w:w="4820" w:type="dxa"/>
            <w:tcMar>
              <w:top w:w="0" w:type="dxa"/>
              <w:left w:w="108" w:type="dxa"/>
              <w:bottom w:w="0" w:type="dxa"/>
              <w:right w:w="108" w:type="dxa"/>
            </w:tcMar>
          </w:tcPr>
          <w:p w14:paraId="0D79CEFB" w14:textId="0E04EA7C" w:rsidR="00262251" w:rsidRPr="00CF7D68" w:rsidRDefault="00262251" w:rsidP="00CD1B39">
            <w:pPr>
              <w:pStyle w:val="Tabletext0"/>
              <w:keepNext/>
              <w:keepLines/>
              <w:rPr>
                <w:iCs/>
                <w:szCs w:val="20"/>
              </w:rPr>
            </w:pPr>
            <w:r w:rsidRPr="00CF7D68">
              <w:rPr>
                <w:iCs/>
                <w:szCs w:val="20"/>
              </w:rPr>
              <w:t>Upper 95% CI for hyperkalaemia with hospitalisation (4.54)</w:t>
            </w:r>
          </w:p>
        </w:tc>
        <w:tc>
          <w:tcPr>
            <w:tcW w:w="1417" w:type="dxa"/>
            <w:tcMar>
              <w:top w:w="0" w:type="dxa"/>
              <w:left w:w="108" w:type="dxa"/>
              <w:bottom w:w="0" w:type="dxa"/>
              <w:right w:w="108" w:type="dxa"/>
            </w:tcMar>
            <w:vAlign w:val="center"/>
          </w:tcPr>
          <w:p w14:paraId="15063426" w14:textId="54B2B0BC" w:rsidR="00262251" w:rsidRPr="00CF7D68" w:rsidRDefault="00262251" w:rsidP="00CD1B39">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vAlign w:val="center"/>
          </w:tcPr>
          <w:p w14:paraId="2A0B5BCA" w14:textId="77777777" w:rsidR="00262251" w:rsidRPr="00CF7D68" w:rsidRDefault="00262251" w:rsidP="00CD1B39">
            <w:pPr>
              <w:pStyle w:val="Tabletext0"/>
              <w:keepNext/>
              <w:keepLines/>
              <w:jc w:val="center"/>
              <w:rPr>
                <w:iCs/>
                <w:szCs w:val="20"/>
              </w:rPr>
            </w:pPr>
            <w:r w:rsidRPr="00CF7D68">
              <w:rPr>
                <w:iCs/>
                <w:szCs w:val="20"/>
              </w:rPr>
              <w:t>0.0775</w:t>
            </w:r>
          </w:p>
        </w:tc>
        <w:tc>
          <w:tcPr>
            <w:tcW w:w="1424" w:type="dxa"/>
            <w:tcMar>
              <w:top w:w="0" w:type="dxa"/>
              <w:left w:w="108" w:type="dxa"/>
              <w:bottom w:w="0" w:type="dxa"/>
              <w:right w:w="108" w:type="dxa"/>
            </w:tcMar>
            <w:vAlign w:val="center"/>
          </w:tcPr>
          <w:p w14:paraId="10CD20E3" w14:textId="6CE1970F" w:rsidR="00262251" w:rsidRPr="00CF7D68" w:rsidRDefault="00262251" w:rsidP="00CD1B39">
            <w:pPr>
              <w:pStyle w:val="Tabletext0"/>
              <w:keepNext/>
              <w:keepLines/>
              <w:jc w:val="center"/>
              <w:rPr>
                <w:iCs/>
                <w:szCs w:val="20"/>
              </w:rPr>
            </w:pPr>
            <w:r w:rsidRPr="00CF7D68">
              <w:rPr>
                <w:iCs/>
                <w:szCs w:val="20"/>
              </w:rPr>
              <w:t>$</w:t>
            </w:r>
            <w:r w:rsidR="00A973A1" w:rsidRPr="00F9376A">
              <w:rPr>
                <w:rFonts w:hint="eastAsia"/>
                <w:iCs/>
                <w:color w:val="000000"/>
                <w:w w:val="15"/>
                <w:szCs w:val="20"/>
                <w:shd w:val="solid" w:color="000000" w:fill="000000"/>
                <w:fitText w:val="12" w:id="-1435844352"/>
                <w14:textFill>
                  <w14:solidFill>
                    <w14:srgbClr w14:val="000000">
                      <w14:alpha w14:val="100000"/>
                    </w14:srgbClr>
                  </w14:solidFill>
                </w14:textFill>
              </w:rPr>
              <w:t xml:space="preserve">　</w:t>
            </w:r>
            <w:r w:rsidR="00A973A1" w:rsidRPr="00F9376A">
              <w:rPr>
                <w:iCs/>
                <w:color w:val="000000"/>
                <w:w w:val="15"/>
                <w:szCs w:val="20"/>
                <w:shd w:val="solid" w:color="000000" w:fill="000000"/>
                <w:fitText w:val="12" w:id="-1435844352"/>
                <w14:textFill>
                  <w14:solidFill>
                    <w14:srgbClr w14:val="000000">
                      <w14:alpha w14:val="100000"/>
                    </w14:srgbClr>
                  </w14:solidFill>
                </w14:textFill>
              </w:rPr>
              <w:t>|</w:t>
            </w:r>
            <w:r w:rsidR="00A973A1" w:rsidRPr="00F9376A">
              <w:rPr>
                <w:rFonts w:hint="eastAsia"/>
                <w:iCs/>
                <w:color w:val="000000"/>
                <w:spacing w:val="-54"/>
                <w:w w:val="15"/>
                <w:szCs w:val="20"/>
                <w:shd w:val="solid" w:color="000000" w:fill="000000"/>
                <w:fitText w:val="12" w:id="-1435844352"/>
                <w14:textFill>
                  <w14:solidFill>
                    <w14:srgbClr w14:val="000000">
                      <w14:alpha w14:val="100000"/>
                    </w14:srgbClr>
                  </w14:solidFill>
                </w14:textFill>
              </w:rPr>
              <w:t xml:space="preserve">　</w:t>
            </w:r>
            <w:r w:rsidR="00D90F79">
              <w:rPr>
                <w:iCs/>
                <w:szCs w:val="20"/>
                <w:vertAlign w:val="superscript"/>
              </w:rPr>
              <w:t>1</w:t>
            </w:r>
          </w:p>
        </w:tc>
      </w:tr>
      <w:tr w:rsidR="00262251" w:rsidRPr="00CF7D68" w14:paraId="0D815D12" w14:textId="77777777" w:rsidTr="00AF768F">
        <w:tc>
          <w:tcPr>
            <w:tcW w:w="4820" w:type="dxa"/>
            <w:tcMar>
              <w:top w:w="0" w:type="dxa"/>
              <w:left w:w="108" w:type="dxa"/>
              <w:bottom w:w="0" w:type="dxa"/>
              <w:right w:w="108" w:type="dxa"/>
            </w:tcMar>
          </w:tcPr>
          <w:p w14:paraId="7036E69E" w14:textId="6DA44D25" w:rsidR="00262251" w:rsidRPr="00CF7D68" w:rsidRDefault="00262251" w:rsidP="00CD1B39">
            <w:pPr>
              <w:pStyle w:val="Tabletext0"/>
              <w:keepNext/>
              <w:keepLines/>
              <w:rPr>
                <w:iCs/>
                <w:szCs w:val="20"/>
              </w:rPr>
            </w:pPr>
            <w:r w:rsidRPr="00CF7D68">
              <w:rPr>
                <w:iCs/>
                <w:szCs w:val="20"/>
              </w:rPr>
              <w:t>Lower 95% CI for hyperkalaemia with hospitalisation (1.90)</w:t>
            </w:r>
          </w:p>
        </w:tc>
        <w:tc>
          <w:tcPr>
            <w:tcW w:w="1417" w:type="dxa"/>
            <w:tcMar>
              <w:top w:w="0" w:type="dxa"/>
              <w:left w:w="108" w:type="dxa"/>
              <w:bottom w:w="0" w:type="dxa"/>
              <w:right w:w="108" w:type="dxa"/>
            </w:tcMar>
            <w:vAlign w:val="center"/>
          </w:tcPr>
          <w:p w14:paraId="053A3AB5" w14:textId="5647CE81" w:rsidR="00262251" w:rsidRPr="00CF7D68" w:rsidRDefault="00262251" w:rsidP="00CD1B39">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vAlign w:val="center"/>
          </w:tcPr>
          <w:p w14:paraId="25EAD63F" w14:textId="77777777" w:rsidR="00262251" w:rsidRPr="00CF7D68" w:rsidRDefault="00262251" w:rsidP="00CD1B39">
            <w:pPr>
              <w:pStyle w:val="Tabletext0"/>
              <w:keepNext/>
              <w:keepLines/>
              <w:jc w:val="center"/>
              <w:rPr>
                <w:iCs/>
                <w:szCs w:val="20"/>
              </w:rPr>
            </w:pPr>
            <w:r w:rsidRPr="00CF7D68">
              <w:rPr>
                <w:iCs/>
                <w:szCs w:val="20"/>
              </w:rPr>
              <w:t>0.0775</w:t>
            </w:r>
          </w:p>
        </w:tc>
        <w:tc>
          <w:tcPr>
            <w:tcW w:w="1424" w:type="dxa"/>
            <w:tcMar>
              <w:top w:w="0" w:type="dxa"/>
              <w:left w:w="108" w:type="dxa"/>
              <w:bottom w:w="0" w:type="dxa"/>
              <w:right w:w="108" w:type="dxa"/>
            </w:tcMar>
            <w:vAlign w:val="center"/>
          </w:tcPr>
          <w:p w14:paraId="3D29F3F9" w14:textId="475442F1" w:rsidR="00262251" w:rsidRPr="00CF7D68" w:rsidRDefault="00262251" w:rsidP="00CD1B39">
            <w:pPr>
              <w:pStyle w:val="Tabletext0"/>
              <w:keepNext/>
              <w:keepLines/>
              <w:jc w:val="center"/>
              <w:rPr>
                <w:iCs/>
                <w:szCs w:val="20"/>
              </w:rPr>
            </w:pPr>
            <w:r w:rsidRPr="00CF7D68">
              <w:rPr>
                <w:iCs/>
                <w:szCs w:val="20"/>
              </w:rPr>
              <w:t>$</w:t>
            </w:r>
            <w:r w:rsidR="00A973A1" w:rsidRPr="00F9376A">
              <w:rPr>
                <w:rFonts w:hint="eastAsia"/>
                <w:iCs/>
                <w:color w:val="000000"/>
                <w:w w:val="15"/>
                <w:szCs w:val="20"/>
                <w:shd w:val="solid" w:color="000000" w:fill="000000"/>
                <w:fitText w:val="12" w:id="-1435844351"/>
                <w14:textFill>
                  <w14:solidFill>
                    <w14:srgbClr w14:val="000000">
                      <w14:alpha w14:val="100000"/>
                    </w14:srgbClr>
                  </w14:solidFill>
                </w14:textFill>
              </w:rPr>
              <w:t xml:space="preserve">　</w:t>
            </w:r>
            <w:r w:rsidR="00A973A1" w:rsidRPr="00F9376A">
              <w:rPr>
                <w:iCs/>
                <w:color w:val="000000"/>
                <w:w w:val="15"/>
                <w:szCs w:val="20"/>
                <w:shd w:val="solid" w:color="000000" w:fill="000000"/>
                <w:fitText w:val="12" w:id="-1435844351"/>
                <w14:textFill>
                  <w14:solidFill>
                    <w14:srgbClr w14:val="000000">
                      <w14:alpha w14:val="100000"/>
                    </w14:srgbClr>
                  </w14:solidFill>
                </w14:textFill>
              </w:rPr>
              <w:t>|</w:t>
            </w:r>
            <w:r w:rsidR="00A973A1" w:rsidRPr="00F9376A">
              <w:rPr>
                <w:rFonts w:hint="eastAsia"/>
                <w:iCs/>
                <w:color w:val="000000"/>
                <w:spacing w:val="-54"/>
                <w:w w:val="15"/>
                <w:szCs w:val="20"/>
                <w:shd w:val="solid" w:color="000000" w:fill="000000"/>
                <w:fitText w:val="12" w:id="-1435844351"/>
                <w14:textFill>
                  <w14:solidFill>
                    <w14:srgbClr w14:val="000000">
                      <w14:alpha w14:val="100000"/>
                    </w14:srgbClr>
                  </w14:solidFill>
                </w14:textFill>
              </w:rPr>
              <w:t xml:space="preserve">　</w:t>
            </w:r>
            <w:r w:rsidR="00D90F79">
              <w:rPr>
                <w:iCs/>
                <w:szCs w:val="20"/>
                <w:vertAlign w:val="superscript"/>
              </w:rPr>
              <w:t>1</w:t>
            </w:r>
          </w:p>
        </w:tc>
      </w:tr>
      <w:tr w:rsidR="00262251" w:rsidRPr="00CF7D68" w14:paraId="5F3317A0" w14:textId="77777777" w:rsidTr="00AF768F">
        <w:tc>
          <w:tcPr>
            <w:tcW w:w="4820" w:type="dxa"/>
            <w:tcMar>
              <w:top w:w="0" w:type="dxa"/>
              <w:left w:w="108" w:type="dxa"/>
              <w:bottom w:w="0" w:type="dxa"/>
              <w:right w:w="108" w:type="dxa"/>
            </w:tcMar>
          </w:tcPr>
          <w:p w14:paraId="36DC2533" w14:textId="7E74125C" w:rsidR="00262251" w:rsidRPr="00CF7D68" w:rsidRDefault="00262251" w:rsidP="00CD1B39">
            <w:pPr>
              <w:pStyle w:val="Tabletext0"/>
              <w:keepNext/>
              <w:keepLines/>
              <w:rPr>
                <w:iCs/>
                <w:szCs w:val="20"/>
              </w:rPr>
            </w:pPr>
            <w:r w:rsidRPr="00CF7D68">
              <w:rPr>
                <w:iCs/>
                <w:szCs w:val="20"/>
              </w:rPr>
              <w:t>Remove CKD 5 treatment effect</w:t>
            </w:r>
          </w:p>
        </w:tc>
        <w:tc>
          <w:tcPr>
            <w:tcW w:w="1417" w:type="dxa"/>
            <w:tcMar>
              <w:top w:w="0" w:type="dxa"/>
              <w:left w:w="108" w:type="dxa"/>
              <w:bottom w:w="0" w:type="dxa"/>
              <w:right w:w="108" w:type="dxa"/>
            </w:tcMar>
            <w:vAlign w:val="center"/>
          </w:tcPr>
          <w:p w14:paraId="368BEF11" w14:textId="1E23B2B2" w:rsidR="00262251" w:rsidRPr="00CF7D68" w:rsidRDefault="00262251" w:rsidP="00CD1B39">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vAlign w:val="center"/>
          </w:tcPr>
          <w:p w14:paraId="315F3B57" w14:textId="77777777" w:rsidR="00262251" w:rsidRPr="00CF7D68" w:rsidRDefault="00262251" w:rsidP="00CD1B39">
            <w:pPr>
              <w:pStyle w:val="Tabletext0"/>
              <w:keepNext/>
              <w:keepLines/>
              <w:jc w:val="center"/>
              <w:rPr>
                <w:iCs/>
                <w:szCs w:val="20"/>
              </w:rPr>
            </w:pPr>
            <w:r w:rsidRPr="00CF7D68">
              <w:rPr>
                <w:iCs/>
                <w:szCs w:val="20"/>
              </w:rPr>
              <w:t>0.0604</w:t>
            </w:r>
          </w:p>
        </w:tc>
        <w:tc>
          <w:tcPr>
            <w:tcW w:w="1424" w:type="dxa"/>
            <w:tcMar>
              <w:top w:w="0" w:type="dxa"/>
              <w:left w:w="108" w:type="dxa"/>
              <w:bottom w:w="0" w:type="dxa"/>
              <w:right w:w="108" w:type="dxa"/>
            </w:tcMar>
            <w:vAlign w:val="center"/>
          </w:tcPr>
          <w:p w14:paraId="2D743C1E" w14:textId="76407EFC" w:rsidR="00262251" w:rsidRPr="00CF7D68" w:rsidRDefault="00262251" w:rsidP="00CD1B39">
            <w:pPr>
              <w:pStyle w:val="Tabletext0"/>
              <w:keepNext/>
              <w:keepLines/>
              <w:jc w:val="center"/>
              <w:rPr>
                <w:iCs/>
                <w:szCs w:val="20"/>
              </w:rPr>
            </w:pPr>
            <w:r w:rsidRPr="00CF7D68">
              <w:rPr>
                <w:iCs/>
                <w:szCs w:val="20"/>
              </w:rPr>
              <w:t>$</w:t>
            </w:r>
            <w:r w:rsidR="00A973A1" w:rsidRPr="00F9376A">
              <w:rPr>
                <w:rFonts w:hint="eastAsia"/>
                <w:iCs/>
                <w:color w:val="000000"/>
                <w:w w:val="15"/>
                <w:szCs w:val="20"/>
                <w:shd w:val="solid" w:color="000000" w:fill="000000"/>
                <w:fitText w:val="12" w:id="-1435844350"/>
                <w14:textFill>
                  <w14:solidFill>
                    <w14:srgbClr w14:val="000000">
                      <w14:alpha w14:val="100000"/>
                    </w14:srgbClr>
                  </w14:solidFill>
                </w14:textFill>
              </w:rPr>
              <w:t xml:space="preserve">　</w:t>
            </w:r>
            <w:r w:rsidR="00A973A1" w:rsidRPr="00F9376A">
              <w:rPr>
                <w:iCs/>
                <w:color w:val="000000"/>
                <w:w w:val="15"/>
                <w:szCs w:val="20"/>
                <w:shd w:val="solid" w:color="000000" w:fill="000000"/>
                <w:fitText w:val="12" w:id="-1435844350"/>
                <w14:textFill>
                  <w14:solidFill>
                    <w14:srgbClr w14:val="000000">
                      <w14:alpha w14:val="100000"/>
                    </w14:srgbClr>
                  </w14:solidFill>
                </w14:textFill>
              </w:rPr>
              <w:t>|</w:t>
            </w:r>
            <w:r w:rsidR="00A973A1" w:rsidRPr="00F9376A">
              <w:rPr>
                <w:rFonts w:hint="eastAsia"/>
                <w:iCs/>
                <w:color w:val="000000"/>
                <w:spacing w:val="-54"/>
                <w:w w:val="15"/>
                <w:szCs w:val="20"/>
                <w:shd w:val="solid" w:color="000000" w:fill="000000"/>
                <w:fitText w:val="12" w:id="-1435844350"/>
                <w14:textFill>
                  <w14:solidFill>
                    <w14:srgbClr w14:val="000000">
                      <w14:alpha w14:val="100000"/>
                    </w14:srgbClr>
                  </w14:solidFill>
                </w14:textFill>
              </w:rPr>
              <w:t xml:space="preserve">　</w:t>
            </w:r>
            <w:r w:rsidR="00D01B67">
              <w:rPr>
                <w:szCs w:val="20"/>
                <w:vertAlign w:val="superscript"/>
              </w:rPr>
              <w:t>7</w:t>
            </w:r>
          </w:p>
        </w:tc>
      </w:tr>
      <w:tr w:rsidR="00262251" w:rsidRPr="00CF7D68" w14:paraId="063E075B" w14:textId="77777777" w:rsidTr="00AF768F">
        <w:tc>
          <w:tcPr>
            <w:tcW w:w="4820" w:type="dxa"/>
            <w:tcMar>
              <w:top w:w="0" w:type="dxa"/>
              <w:left w:w="108" w:type="dxa"/>
              <w:bottom w:w="0" w:type="dxa"/>
              <w:right w:w="108" w:type="dxa"/>
            </w:tcMar>
          </w:tcPr>
          <w:p w14:paraId="461E2EF7" w14:textId="45F141A4" w:rsidR="00262251" w:rsidRPr="00CF7D68" w:rsidRDefault="00262251" w:rsidP="00CD1B39">
            <w:pPr>
              <w:pStyle w:val="Tabletext0"/>
              <w:keepNext/>
              <w:keepLines/>
              <w:rPr>
                <w:iCs/>
                <w:szCs w:val="20"/>
              </w:rPr>
            </w:pPr>
            <w:r w:rsidRPr="00CF7D68">
              <w:rPr>
                <w:iCs/>
                <w:szCs w:val="20"/>
              </w:rPr>
              <w:t>Remove dialysis treatment effect</w:t>
            </w:r>
          </w:p>
        </w:tc>
        <w:tc>
          <w:tcPr>
            <w:tcW w:w="1417" w:type="dxa"/>
            <w:tcMar>
              <w:top w:w="0" w:type="dxa"/>
              <w:left w:w="108" w:type="dxa"/>
              <w:bottom w:w="0" w:type="dxa"/>
              <w:right w:w="108" w:type="dxa"/>
            </w:tcMar>
            <w:vAlign w:val="center"/>
          </w:tcPr>
          <w:p w14:paraId="0EFC8B68" w14:textId="78A2593E" w:rsidR="00262251" w:rsidRPr="00CF7D68" w:rsidRDefault="00262251" w:rsidP="00CD1B39">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vAlign w:val="center"/>
          </w:tcPr>
          <w:p w14:paraId="097CC7D0" w14:textId="77777777" w:rsidR="00262251" w:rsidRPr="00CF7D68" w:rsidRDefault="00262251" w:rsidP="00CD1B39">
            <w:pPr>
              <w:pStyle w:val="Tabletext0"/>
              <w:keepNext/>
              <w:keepLines/>
              <w:jc w:val="center"/>
              <w:rPr>
                <w:iCs/>
                <w:szCs w:val="20"/>
              </w:rPr>
            </w:pPr>
            <w:r w:rsidRPr="00CF7D68">
              <w:rPr>
                <w:iCs/>
                <w:szCs w:val="20"/>
              </w:rPr>
              <w:t>0.0679</w:t>
            </w:r>
          </w:p>
        </w:tc>
        <w:tc>
          <w:tcPr>
            <w:tcW w:w="1424" w:type="dxa"/>
            <w:tcMar>
              <w:top w:w="0" w:type="dxa"/>
              <w:left w:w="108" w:type="dxa"/>
              <w:bottom w:w="0" w:type="dxa"/>
              <w:right w:w="108" w:type="dxa"/>
            </w:tcMar>
            <w:vAlign w:val="center"/>
          </w:tcPr>
          <w:p w14:paraId="130A1E6D" w14:textId="5CEE6026" w:rsidR="00262251" w:rsidRPr="00CF7D68" w:rsidRDefault="00262251" w:rsidP="00CD1B39">
            <w:pPr>
              <w:pStyle w:val="Tabletext0"/>
              <w:keepNext/>
              <w:keepLines/>
              <w:jc w:val="center"/>
              <w:rPr>
                <w:iCs/>
                <w:szCs w:val="20"/>
              </w:rPr>
            </w:pPr>
            <w:r w:rsidRPr="00CF7D68">
              <w:rPr>
                <w:iCs/>
                <w:szCs w:val="20"/>
              </w:rPr>
              <w:t>$</w:t>
            </w:r>
            <w:r w:rsidR="00A973A1" w:rsidRPr="00F9376A">
              <w:rPr>
                <w:rFonts w:hint="eastAsia"/>
                <w:iCs/>
                <w:color w:val="000000"/>
                <w:w w:val="15"/>
                <w:szCs w:val="20"/>
                <w:shd w:val="solid" w:color="000000" w:fill="000000"/>
                <w:fitText w:val="12" w:id="-1435844349"/>
                <w14:textFill>
                  <w14:solidFill>
                    <w14:srgbClr w14:val="000000">
                      <w14:alpha w14:val="100000"/>
                    </w14:srgbClr>
                  </w14:solidFill>
                </w14:textFill>
              </w:rPr>
              <w:t xml:space="preserve">　</w:t>
            </w:r>
            <w:r w:rsidR="00A973A1" w:rsidRPr="00F9376A">
              <w:rPr>
                <w:iCs/>
                <w:color w:val="000000"/>
                <w:w w:val="15"/>
                <w:szCs w:val="20"/>
                <w:shd w:val="solid" w:color="000000" w:fill="000000"/>
                <w:fitText w:val="12" w:id="-1435844349"/>
                <w14:textFill>
                  <w14:solidFill>
                    <w14:srgbClr w14:val="000000">
                      <w14:alpha w14:val="100000"/>
                    </w14:srgbClr>
                  </w14:solidFill>
                </w14:textFill>
              </w:rPr>
              <w:t>|</w:t>
            </w:r>
            <w:r w:rsidR="00A973A1" w:rsidRPr="00F9376A">
              <w:rPr>
                <w:rFonts w:hint="eastAsia"/>
                <w:iCs/>
                <w:color w:val="000000"/>
                <w:spacing w:val="-54"/>
                <w:w w:val="15"/>
                <w:szCs w:val="20"/>
                <w:shd w:val="solid" w:color="000000" w:fill="000000"/>
                <w:fitText w:val="12" w:id="-1435844349"/>
                <w14:textFill>
                  <w14:solidFill>
                    <w14:srgbClr w14:val="000000">
                      <w14:alpha w14:val="100000"/>
                    </w14:srgbClr>
                  </w14:solidFill>
                </w14:textFill>
              </w:rPr>
              <w:t xml:space="preserve">　</w:t>
            </w:r>
            <w:r w:rsidR="00D01B67">
              <w:rPr>
                <w:szCs w:val="20"/>
                <w:vertAlign w:val="superscript"/>
              </w:rPr>
              <w:t>7</w:t>
            </w:r>
          </w:p>
        </w:tc>
      </w:tr>
      <w:tr w:rsidR="00262251" w:rsidRPr="00CF7D68" w14:paraId="139AEB5C" w14:textId="77777777" w:rsidTr="00AF768F">
        <w:tc>
          <w:tcPr>
            <w:tcW w:w="4820" w:type="dxa"/>
            <w:tcMar>
              <w:top w:w="0" w:type="dxa"/>
              <w:left w:w="108" w:type="dxa"/>
              <w:bottom w:w="0" w:type="dxa"/>
              <w:right w:w="108" w:type="dxa"/>
            </w:tcMar>
          </w:tcPr>
          <w:p w14:paraId="14ACD3AD" w14:textId="77777777" w:rsidR="00262251" w:rsidRPr="00CF7D68" w:rsidRDefault="00262251" w:rsidP="00CD1B39">
            <w:pPr>
              <w:pStyle w:val="Tabletext0"/>
              <w:keepNext/>
              <w:keepLines/>
              <w:rPr>
                <w:szCs w:val="20"/>
              </w:rPr>
            </w:pPr>
            <w:r w:rsidRPr="00CF7D68">
              <w:rPr>
                <w:szCs w:val="20"/>
              </w:rPr>
              <w:t>Remove all renal treatment effects</w:t>
            </w:r>
          </w:p>
        </w:tc>
        <w:tc>
          <w:tcPr>
            <w:tcW w:w="1417" w:type="dxa"/>
            <w:tcMar>
              <w:top w:w="0" w:type="dxa"/>
              <w:left w:w="108" w:type="dxa"/>
              <w:bottom w:w="0" w:type="dxa"/>
              <w:right w:w="108" w:type="dxa"/>
            </w:tcMar>
            <w:vAlign w:val="center"/>
          </w:tcPr>
          <w:p w14:paraId="45414E5E" w14:textId="3DE35EF6" w:rsidR="00262251" w:rsidRPr="00CF7D68" w:rsidRDefault="00262251" w:rsidP="00CD1B39">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vAlign w:val="center"/>
          </w:tcPr>
          <w:p w14:paraId="756840AA" w14:textId="77777777" w:rsidR="00262251" w:rsidRPr="00CF7D68" w:rsidRDefault="00262251" w:rsidP="00CD1B39">
            <w:pPr>
              <w:pStyle w:val="Tabletext0"/>
              <w:keepNext/>
              <w:keepLines/>
              <w:jc w:val="center"/>
              <w:rPr>
                <w:iCs/>
                <w:szCs w:val="20"/>
              </w:rPr>
            </w:pPr>
            <w:r w:rsidRPr="00CF7D68">
              <w:rPr>
                <w:iCs/>
                <w:szCs w:val="20"/>
              </w:rPr>
              <w:t>0.0504</w:t>
            </w:r>
          </w:p>
        </w:tc>
        <w:tc>
          <w:tcPr>
            <w:tcW w:w="1424" w:type="dxa"/>
            <w:tcMar>
              <w:top w:w="0" w:type="dxa"/>
              <w:left w:w="108" w:type="dxa"/>
              <w:bottom w:w="0" w:type="dxa"/>
              <w:right w:w="108" w:type="dxa"/>
            </w:tcMar>
            <w:vAlign w:val="center"/>
          </w:tcPr>
          <w:p w14:paraId="3B85B5C4" w14:textId="7F2B72A8" w:rsidR="00262251" w:rsidRPr="00C856F6" w:rsidRDefault="00262251" w:rsidP="00CD1B39">
            <w:pPr>
              <w:pStyle w:val="Tabletext0"/>
              <w:keepNext/>
              <w:keepLines/>
              <w:jc w:val="center"/>
              <w:rPr>
                <w:iCs/>
                <w:szCs w:val="20"/>
                <w:vertAlign w:val="superscript"/>
              </w:rPr>
            </w:pPr>
            <w:r w:rsidRPr="00CF7D68">
              <w:rPr>
                <w:iCs/>
                <w:szCs w:val="20"/>
              </w:rPr>
              <w:t>$</w:t>
            </w:r>
            <w:r w:rsidR="00A973A1" w:rsidRPr="00F9376A">
              <w:rPr>
                <w:rFonts w:hint="eastAsia"/>
                <w:iCs/>
                <w:color w:val="000000"/>
                <w:w w:val="15"/>
                <w:szCs w:val="20"/>
                <w:shd w:val="solid" w:color="000000" w:fill="000000"/>
                <w:fitText w:val="12" w:id="-1435844348"/>
                <w14:textFill>
                  <w14:solidFill>
                    <w14:srgbClr w14:val="000000">
                      <w14:alpha w14:val="100000"/>
                    </w14:srgbClr>
                  </w14:solidFill>
                </w14:textFill>
              </w:rPr>
              <w:t xml:space="preserve">　</w:t>
            </w:r>
            <w:r w:rsidR="00A973A1" w:rsidRPr="00F9376A">
              <w:rPr>
                <w:iCs/>
                <w:color w:val="000000"/>
                <w:w w:val="15"/>
                <w:szCs w:val="20"/>
                <w:shd w:val="solid" w:color="000000" w:fill="000000"/>
                <w:fitText w:val="12" w:id="-1435844348"/>
                <w14:textFill>
                  <w14:solidFill>
                    <w14:srgbClr w14:val="000000">
                      <w14:alpha w14:val="100000"/>
                    </w14:srgbClr>
                  </w14:solidFill>
                </w14:textFill>
              </w:rPr>
              <w:t>|</w:t>
            </w:r>
            <w:r w:rsidR="00A973A1" w:rsidRPr="00F9376A">
              <w:rPr>
                <w:rFonts w:hint="eastAsia"/>
                <w:iCs/>
                <w:color w:val="000000"/>
                <w:spacing w:val="-54"/>
                <w:w w:val="15"/>
                <w:szCs w:val="20"/>
                <w:shd w:val="solid" w:color="000000" w:fill="000000"/>
                <w:fitText w:val="12" w:id="-1435844348"/>
                <w14:textFill>
                  <w14:solidFill>
                    <w14:srgbClr w14:val="000000">
                      <w14:alpha w14:val="100000"/>
                    </w14:srgbClr>
                  </w14:solidFill>
                </w14:textFill>
              </w:rPr>
              <w:t xml:space="preserve">　</w:t>
            </w:r>
            <w:r w:rsidR="00D01B67">
              <w:rPr>
                <w:iCs/>
                <w:szCs w:val="20"/>
                <w:vertAlign w:val="superscript"/>
              </w:rPr>
              <w:t>9</w:t>
            </w:r>
          </w:p>
        </w:tc>
      </w:tr>
      <w:tr w:rsidR="00262251" w:rsidRPr="00CF7D68" w14:paraId="23A44B87" w14:textId="77777777" w:rsidTr="00AF768F">
        <w:tc>
          <w:tcPr>
            <w:tcW w:w="4820" w:type="dxa"/>
            <w:tcMar>
              <w:top w:w="0" w:type="dxa"/>
              <w:left w:w="108" w:type="dxa"/>
              <w:bottom w:w="0" w:type="dxa"/>
              <w:right w:w="108" w:type="dxa"/>
            </w:tcMar>
          </w:tcPr>
          <w:p w14:paraId="3943E304" w14:textId="77777777" w:rsidR="00262251" w:rsidRPr="00CF7D68" w:rsidRDefault="00262251" w:rsidP="00CD1B39">
            <w:pPr>
              <w:pStyle w:val="Tabletext0"/>
              <w:keepNext/>
              <w:keepLines/>
              <w:rPr>
                <w:szCs w:val="20"/>
              </w:rPr>
            </w:pPr>
            <w:r w:rsidRPr="00CF7D68">
              <w:rPr>
                <w:szCs w:val="20"/>
              </w:rPr>
              <w:t>Remove all cardiovascular treatment effects</w:t>
            </w:r>
          </w:p>
        </w:tc>
        <w:tc>
          <w:tcPr>
            <w:tcW w:w="1417" w:type="dxa"/>
            <w:tcMar>
              <w:top w:w="0" w:type="dxa"/>
              <w:left w:w="108" w:type="dxa"/>
              <w:bottom w:w="0" w:type="dxa"/>
              <w:right w:w="108" w:type="dxa"/>
            </w:tcMar>
            <w:vAlign w:val="center"/>
          </w:tcPr>
          <w:p w14:paraId="7C68EBF0" w14:textId="640ED09F" w:rsidR="00262251" w:rsidRPr="00CF7D68" w:rsidRDefault="00262251" w:rsidP="00CD1B39">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vAlign w:val="center"/>
          </w:tcPr>
          <w:p w14:paraId="60304E12" w14:textId="77777777" w:rsidR="00262251" w:rsidRPr="00CF7D68" w:rsidRDefault="00262251" w:rsidP="00CD1B39">
            <w:pPr>
              <w:pStyle w:val="Tabletext0"/>
              <w:keepNext/>
              <w:keepLines/>
              <w:jc w:val="center"/>
              <w:rPr>
                <w:iCs/>
                <w:szCs w:val="20"/>
              </w:rPr>
            </w:pPr>
            <w:r w:rsidRPr="00CF7D68">
              <w:rPr>
                <w:iCs/>
                <w:szCs w:val="20"/>
              </w:rPr>
              <w:t>0.0264</w:t>
            </w:r>
          </w:p>
        </w:tc>
        <w:tc>
          <w:tcPr>
            <w:tcW w:w="1424" w:type="dxa"/>
            <w:tcMar>
              <w:top w:w="0" w:type="dxa"/>
              <w:left w:w="108" w:type="dxa"/>
              <w:bottom w:w="0" w:type="dxa"/>
              <w:right w:w="108" w:type="dxa"/>
            </w:tcMar>
            <w:vAlign w:val="center"/>
          </w:tcPr>
          <w:p w14:paraId="382FFA5B" w14:textId="108F8F33" w:rsidR="00262251" w:rsidRPr="00CF7D68" w:rsidRDefault="00262251" w:rsidP="00CD1B39">
            <w:pPr>
              <w:pStyle w:val="Tabletext0"/>
              <w:keepNext/>
              <w:keepLines/>
              <w:jc w:val="center"/>
              <w:rPr>
                <w:iCs/>
                <w:szCs w:val="20"/>
              </w:rPr>
            </w:pPr>
            <w:r w:rsidRPr="00CF7D68">
              <w:rPr>
                <w:iCs/>
                <w:szCs w:val="20"/>
              </w:rPr>
              <w:t>$</w:t>
            </w:r>
            <w:r w:rsidR="00A973A1" w:rsidRPr="00F9376A">
              <w:rPr>
                <w:rFonts w:hint="eastAsia"/>
                <w:iCs/>
                <w:color w:val="000000"/>
                <w:w w:val="15"/>
                <w:szCs w:val="20"/>
                <w:shd w:val="solid" w:color="000000" w:fill="000000"/>
                <w:fitText w:val="12" w:id="-1435844347"/>
                <w14:textFill>
                  <w14:solidFill>
                    <w14:srgbClr w14:val="000000">
                      <w14:alpha w14:val="100000"/>
                    </w14:srgbClr>
                  </w14:solidFill>
                </w14:textFill>
              </w:rPr>
              <w:t xml:space="preserve">　</w:t>
            </w:r>
            <w:r w:rsidR="00A973A1" w:rsidRPr="00F9376A">
              <w:rPr>
                <w:iCs/>
                <w:color w:val="000000"/>
                <w:w w:val="15"/>
                <w:szCs w:val="20"/>
                <w:shd w:val="solid" w:color="000000" w:fill="000000"/>
                <w:fitText w:val="12" w:id="-1435844347"/>
                <w14:textFill>
                  <w14:solidFill>
                    <w14:srgbClr w14:val="000000">
                      <w14:alpha w14:val="100000"/>
                    </w14:srgbClr>
                  </w14:solidFill>
                </w14:textFill>
              </w:rPr>
              <w:t>|</w:t>
            </w:r>
            <w:r w:rsidR="00A973A1" w:rsidRPr="00F9376A">
              <w:rPr>
                <w:rFonts w:hint="eastAsia"/>
                <w:iCs/>
                <w:color w:val="000000"/>
                <w:spacing w:val="-54"/>
                <w:w w:val="15"/>
                <w:szCs w:val="20"/>
                <w:shd w:val="solid" w:color="000000" w:fill="000000"/>
                <w:fitText w:val="12" w:id="-1435844347"/>
                <w14:textFill>
                  <w14:solidFill>
                    <w14:srgbClr w14:val="000000">
                      <w14:alpha w14:val="100000"/>
                    </w14:srgbClr>
                  </w14:solidFill>
                </w14:textFill>
              </w:rPr>
              <w:t xml:space="preserve">　</w:t>
            </w:r>
            <w:r w:rsidR="00D90F79">
              <w:rPr>
                <w:iCs/>
                <w:szCs w:val="20"/>
                <w:vertAlign w:val="superscript"/>
              </w:rPr>
              <w:t>4</w:t>
            </w:r>
          </w:p>
        </w:tc>
      </w:tr>
      <w:bookmarkEnd w:id="49"/>
      <w:tr w:rsidR="00262251" w:rsidRPr="00CF7D68" w14:paraId="0CD39267" w14:textId="77777777" w:rsidTr="00AF768F">
        <w:tc>
          <w:tcPr>
            <w:tcW w:w="9029" w:type="dxa"/>
            <w:gridSpan w:val="4"/>
            <w:tcMar>
              <w:top w:w="0" w:type="dxa"/>
              <w:left w:w="108" w:type="dxa"/>
              <w:bottom w:w="0" w:type="dxa"/>
              <w:right w:w="108" w:type="dxa"/>
            </w:tcMar>
          </w:tcPr>
          <w:p w14:paraId="13E9D66B" w14:textId="077DCD78" w:rsidR="00262251" w:rsidRPr="00CF7D68" w:rsidRDefault="00262251" w:rsidP="00CD1B39">
            <w:pPr>
              <w:pStyle w:val="Tabletext0"/>
              <w:keepNext/>
              <w:keepLines/>
              <w:rPr>
                <w:b/>
                <w:bCs/>
                <w:szCs w:val="20"/>
              </w:rPr>
            </w:pPr>
            <w:r w:rsidRPr="00CF7D68">
              <w:rPr>
                <w:b/>
                <w:bCs/>
                <w:szCs w:val="20"/>
              </w:rPr>
              <w:t>Costs (base case: background therapy costs: $</w:t>
            </w:r>
            <w:r w:rsidR="00A973A1" w:rsidRPr="00A973A1">
              <w:rPr>
                <w:b/>
                <w:bCs/>
                <w:color w:val="000000"/>
                <w:spacing w:val="55"/>
                <w:szCs w:val="20"/>
                <w:shd w:val="solid" w:color="000000" w:fill="000000"/>
                <w:fitText w:val="351" w:id="-1435844346"/>
                <w14:textFill>
                  <w14:solidFill>
                    <w14:srgbClr w14:val="000000">
                      <w14:alpha w14:val="100000"/>
                    </w14:srgbClr>
                  </w14:solidFill>
                </w14:textFill>
              </w:rPr>
              <w:t>|||</w:t>
            </w:r>
            <w:r w:rsidR="00A973A1" w:rsidRPr="00A973A1">
              <w:rPr>
                <w:b/>
                <w:bCs/>
                <w:color w:val="000000"/>
                <w:spacing w:val="3"/>
                <w:szCs w:val="20"/>
                <w:shd w:val="solid" w:color="000000" w:fill="000000"/>
                <w:fitText w:val="351" w:id="-1435844346"/>
                <w14:textFill>
                  <w14:solidFill>
                    <w14:srgbClr w14:val="000000">
                      <w14:alpha w14:val="100000"/>
                    </w14:srgbClr>
                  </w14:solidFill>
                </w14:textFill>
              </w:rPr>
              <w:t>|</w:t>
            </w:r>
            <w:r w:rsidRPr="00CF7D68">
              <w:rPr>
                <w:b/>
                <w:bCs/>
                <w:szCs w:val="20"/>
              </w:rPr>
              <w:t xml:space="preserve"> per day; CKD </w:t>
            </w:r>
            <w:r w:rsidR="00A433E4" w:rsidRPr="00CF7D68">
              <w:rPr>
                <w:b/>
                <w:bCs/>
                <w:szCs w:val="20"/>
              </w:rPr>
              <w:t>½</w:t>
            </w:r>
            <w:r w:rsidRPr="00CF7D68">
              <w:rPr>
                <w:b/>
                <w:bCs/>
                <w:szCs w:val="20"/>
              </w:rPr>
              <w:t>: $</w:t>
            </w:r>
            <w:r w:rsidR="00A973A1" w:rsidRPr="00A973A1">
              <w:rPr>
                <w:b/>
                <w:bCs/>
                <w:color w:val="000000"/>
                <w:spacing w:val="55"/>
                <w:szCs w:val="20"/>
                <w:shd w:val="solid" w:color="000000" w:fill="000000"/>
                <w:fitText w:val="351" w:id="-1435844345"/>
                <w14:textFill>
                  <w14:solidFill>
                    <w14:srgbClr w14:val="000000">
                      <w14:alpha w14:val="100000"/>
                    </w14:srgbClr>
                  </w14:solidFill>
                </w14:textFill>
              </w:rPr>
              <w:t>|||</w:t>
            </w:r>
            <w:r w:rsidR="00A973A1" w:rsidRPr="00A973A1">
              <w:rPr>
                <w:b/>
                <w:bCs/>
                <w:color w:val="000000"/>
                <w:spacing w:val="3"/>
                <w:szCs w:val="20"/>
                <w:shd w:val="solid" w:color="000000" w:fill="000000"/>
                <w:fitText w:val="351" w:id="-1435844345"/>
                <w14:textFill>
                  <w14:solidFill>
                    <w14:srgbClr w14:val="000000">
                      <w14:alpha w14:val="100000"/>
                    </w14:srgbClr>
                  </w14:solidFill>
                </w14:textFill>
              </w:rPr>
              <w:t>|</w:t>
            </w:r>
            <w:r w:rsidRPr="00CF7D68">
              <w:rPr>
                <w:b/>
                <w:bCs/>
                <w:szCs w:val="20"/>
              </w:rPr>
              <w:t xml:space="preserve"> per cycle; CKD3-5: $</w:t>
            </w:r>
            <w:r w:rsidR="00A973A1" w:rsidRPr="00A973A1">
              <w:rPr>
                <w:b/>
                <w:bCs/>
                <w:color w:val="000000"/>
                <w:spacing w:val="60"/>
                <w:szCs w:val="20"/>
                <w:shd w:val="solid" w:color="000000" w:fill="000000"/>
                <w:fitText w:val="364" w:id="-1435844344"/>
                <w14:textFill>
                  <w14:solidFill>
                    <w14:srgbClr w14:val="000000">
                      <w14:alpha w14:val="100000"/>
                    </w14:srgbClr>
                  </w14:solidFill>
                </w14:textFill>
              </w:rPr>
              <w:t>|||</w:t>
            </w:r>
            <w:r w:rsidR="00A973A1" w:rsidRPr="00A973A1">
              <w:rPr>
                <w:b/>
                <w:bCs/>
                <w:color w:val="000000"/>
                <w:spacing w:val="1"/>
                <w:szCs w:val="20"/>
                <w:shd w:val="solid" w:color="000000" w:fill="000000"/>
                <w:fitText w:val="364" w:id="-1435844344"/>
                <w14:textFill>
                  <w14:solidFill>
                    <w14:srgbClr w14:val="000000">
                      <w14:alpha w14:val="100000"/>
                    </w14:srgbClr>
                  </w14:solidFill>
                </w14:textFill>
              </w:rPr>
              <w:t>|</w:t>
            </w:r>
            <w:r w:rsidRPr="00CF7D68">
              <w:rPr>
                <w:b/>
                <w:bCs/>
                <w:szCs w:val="20"/>
              </w:rPr>
              <w:t xml:space="preserve"> per cycle; acute dialysis: $</w:t>
            </w:r>
            <w:r w:rsidR="00A973A1" w:rsidRPr="00A973A1">
              <w:rPr>
                <w:b/>
                <w:bCs/>
                <w:color w:val="000000"/>
                <w:spacing w:val="55"/>
                <w:szCs w:val="20"/>
                <w:shd w:val="solid" w:color="000000" w:fill="000000"/>
                <w:fitText w:val="350" w:id="-1435844343"/>
                <w14:textFill>
                  <w14:solidFill>
                    <w14:srgbClr w14:val="000000">
                      <w14:alpha w14:val="100000"/>
                    </w14:srgbClr>
                  </w14:solidFill>
                </w14:textFill>
              </w:rPr>
              <w:t>|||</w:t>
            </w:r>
            <w:r w:rsidR="00A973A1" w:rsidRPr="00A973A1">
              <w:rPr>
                <w:b/>
                <w:bCs/>
                <w:color w:val="000000"/>
                <w:spacing w:val="2"/>
                <w:szCs w:val="20"/>
                <w:shd w:val="solid" w:color="000000" w:fill="000000"/>
                <w:fitText w:val="350" w:id="-1435844343"/>
                <w14:textFill>
                  <w14:solidFill>
                    <w14:srgbClr w14:val="000000">
                      <w14:alpha w14:val="100000"/>
                    </w14:srgbClr>
                  </w14:solidFill>
                </w14:textFill>
              </w:rPr>
              <w:t>|</w:t>
            </w:r>
            <w:r w:rsidRPr="00CF7D68">
              <w:rPr>
                <w:b/>
                <w:bCs/>
                <w:szCs w:val="20"/>
              </w:rPr>
              <w:t xml:space="preserve"> per cycle; chronic dialysis: $</w:t>
            </w:r>
            <w:r w:rsidR="00A973A1" w:rsidRPr="00A973A1">
              <w:rPr>
                <w:b/>
                <w:bCs/>
                <w:color w:val="000000"/>
                <w:spacing w:val="59"/>
                <w:szCs w:val="20"/>
                <w:shd w:val="solid" w:color="000000" w:fill="000000"/>
                <w:fitText w:val="363" w:id="-1435844342"/>
                <w14:textFill>
                  <w14:solidFill>
                    <w14:srgbClr w14:val="000000">
                      <w14:alpha w14:val="100000"/>
                    </w14:srgbClr>
                  </w14:solidFill>
                </w14:textFill>
              </w:rPr>
              <w:t>|||</w:t>
            </w:r>
            <w:r w:rsidR="00A973A1" w:rsidRPr="00A973A1">
              <w:rPr>
                <w:b/>
                <w:bCs/>
                <w:color w:val="000000"/>
                <w:spacing w:val="3"/>
                <w:szCs w:val="20"/>
                <w:shd w:val="solid" w:color="000000" w:fill="000000"/>
                <w:fitText w:val="363" w:id="-1435844342"/>
                <w14:textFill>
                  <w14:solidFill>
                    <w14:srgbClr w14:val="000000">
                      <w14:alpha w14:val="100000"/>
                    </w14:srgbClr>
                  </w14:solidFill>
                </w14:textFill>
              </w:rPr>
              <w:t>|</w:t>
            </w:r>
            <w:r w:rsidRPr="00CF7D68">
              <w:rPr>
                <w:b/>
                <w:bCs/>
                <w:szCs w:val="20"/>
              </w:rPr>
              <w:t xml:space="preserve"> per cycle</w:t>
            </w:r>
            <w:r w:rsidR="0037603D" w:rsidRPr="00CF7D68">
              <w:rPr>
                <w:b/>
                <w:bCs/>
                <w:szCs w:val="20"/>
              </w:rPr>
              <w:t>;</w:t>
            </w:r>
            <w:r w:rsidRPr="00CF7D68">
              <w:rPr>
                <w:b/>
                <w:bCs/>
                <w:szCs w:val="20"/>
              </w:rPr>
              <w:t xml:space="preserve"> acute transplant: $</w:t>
            </w:r>
            <w:r w:rsidR="00A973A1" w:rsidRPr="00A973A1">
              <w:rPr>
                <w:b/>
                <w:bCs/>
                <w:color w:val="000000"/>
                <w:spacing w:val="59"/>
                <w:szCs w:val="20"/>
                <w:shd w:val="solid" w:color="000000" w:fill="000000"/>
                <w:fitText w:val="363" w:id="-1435844341"/>
                <w14:textFill>
                  <w14:solidFill>
                    <w14:srgbClr w14:val="000000">
                      <w14:alpha w14:val="100000"/>
                    </w14:srgbClr>
                  </w14:solidFill>
                </w14:textFill>
              </w:rPr>
              <w:t>|||</w:t>
            </w:r>
            <w:r w:rsidR="00A973A1" w:rsidRPr="00A973A1">
              <w:rPr>
                <w:b/>
                <w:bCs/>
                <w:color w:val="000000"/>
                <w:spacing w:val="3"/>
                <w:szCs w:val="20"/>
                <w:shd w:val="solid" w:color="000000" w:fill="000000"/>
                <w:fitText w:val="363" w:id="-1435844341"/>
                <w14:textFill>
                  <w14:solidFill>
                    <w14:srgbClr w14:val="000000">
                      <w14:alpha w14:val="100000"/>
                    </w14:srgbClr>
                  </w14:solidFill>
                </w14:textFill>
              </w:rPr>
              <w:t>|</w:t>
            </w:r>
            <w:r w:rsidRPr="00CF7D68">
              <w:rPr>
                <w:b/>
                <w:bCs/>
                <w:szCs w:val="20"/>
              </w:rPr>
              <w:t xml:space="preserve"> per cycle; chronic transplant: $</w:t>
            </w:r>
            <w:r w:rsidR="00A973A1" w:rsidRPr="00A973A1">
              <w:rPr>
                <w:b/>
                <w:bCs/>
                <w:color w:val="000000"/>
                <w:spacing w:val="55"/>
                <w:szCs w:val="20"/>
                <w:shd w:val="solid" w:color="000000" w:fill="000000"/>
                <w:fitText w:val="350" w:id="-1435844340"/>
                <w14:textFill>
                  <w14:solidFill>
                    <w14:srgbClr w14:val="000000">
                      <w14:alpha w14:val="100000"/>
                    </w14:srgbClr>
                  </w14:solidFill>
                </w14:textFill>
              </w:rPr>
              <w:t>|||</w:t>
            </w:r>
            <w:r w:rsidR="00A973A1" w:rsidRPr="00A973A1">
              <w:rPr>
                <w:b/>
                <w:bCs/>
                <w:color w:val="000000"/>
                <w:spacing w:val="2"/>
                <w:szCs w:val="20"/>
                <w:shd w:val="solid" w:color="000000" w:fill="000000"/>
                <w:fitText w:val="350" w:id="-1435844340"/>
                <w14:textFill>
                  <w14:solidFill>
                    <w14:srgbClr w14:val="000000">
                      <w14:alpha w14:val="100000"/>
                    </w14:srgbClr>
                  </w14:solidFill>
                </w14:textFill>
              </w:rPr>
              <w:t>|</w:t>
            </w:r>
            <w:r w:rsidRPr="00CF7D68">
              <w:rPr>
                <w:b/>
                <w:bCs/>
                <w:szCs w:val="20"/>
              </w:rPr>
              <w:t xml:space="preserve"> per cycle; acute CV event: $</w:t>
            </w:r>
            <w:r w:rsidR="00A973A1" w:rsidRPr="00A973A1">
              <w:rPr>
                <w:b/>
                <w:bCs/>
                <w:color w:val="000000"/>
                <w:spacing w:val="55"/>
                <w:szCs w:val="20"/>
                <w:shd w:val="solid" w:color="000000" w:fill="000000"/>
                <w:fitText w:val="351" w:id="-1435844339"/>
                <w14:textFill>
                  <w14:solidFill>
                    <w14:srgbClr w14:val="000000">
                      <w14:alpha w14:val="100000"/>
                    </w14:srgbClr>
                  </w14:solidFill>
                </w14:textFill>
              </w:rPr>
              <w:t>|||</w:t>
            </w:r>
            <w:r w:rsidR="00A973A1" w:rsidRPr="00A973A1">
              <w:rPr>
                <w:b/>
                <w:bCs/>
                <w:color w:val="000000"/>
                <w:spacing w:val="3"/>
                <w:szCs w:val="20"/>
                <w:shd w:val="solid" w:color="000000" w:fill="000000"/>
                <w:fitText w:val="351" w:id="-1435844339"/>
                <w14:textFill>
                  <w14:solidFill>
                    <w14:srgbClr w14:val="000000">
                      <w14:alpha w14:val="100000"/>
                    </w14:srgbClr>
                  </w14:solidFill>
                </w14:textFill>
              </w:rPr>
              <w:t>|</w:t>
            </w:r>
            <w:r w:rsidRPr="00CF7D68">
              <w:rPr>
                <w:b/>
                <w:bCs/>
                <w:szCs w:val="20"/>
              </w:rPr>
              <w:t xml:space="preserve"> per cycle; chronic CV event: $</w:t>
            </w:r>
            <w:r w:rsidR="00A973A1" w:rsidRPr="00A973A1">
              <w:rPr>
                <w:b/>
                <w:bCs/>
                <w:color w:val="000000"/>
                <w:spacing w:val="55"/>
                <w:szCs w:val="20"/>
                <w:shd w:val="solid" w:color="000000" w:fill="000000"/>
                <w:fitText w:val="351" w:id="-1435844338"/>
                <w14:textFill>
                  <w14:solidFill>
                    <w14:srgbClr w14:val="000000">
                      <w14:alpha w14:val="100000"/>
                    </w14:srgbClr>
                  </w14:solidFill>
                </w14:textFill>
              </w:rPr>
              <w:t>|||</w:t>
            </w:r>
            <w:r w:rsidR="00A973A1" w:rsidRPr="00A973A1">
              <w:rPr>
                <w:b/>
                <w:bCs/>
                <w:color w:val="000000"/>
                <w:spacing w:val="3"/>
                <w:szCs w:val="20"/>
                <w:shd w:val="solid" w:color="000000" w:fill="000000"/>
                <w:fitText w:val="351" w:id="-1435844338"/>
                <w14:textFill>
                  <w14:solidFill>
                    <w14:srgbClr w14:val="000000">
                      <w14:alpha w14:val="100000"/>
                    </w14:srgbClr>
                  </w14:solidFill>
                </w14:textFill>
              </w:rPr>
              <w:t>|</w:t>
            </w:r>
            <w:r w:rsidRPr="00CF7D68">
              <w:rPr>
                <w:b/>
                <w:bCs/>
                <w:szCs w:val="20"/>
              </w:rPr>
              <w:t xml:space="preserve"> per cycle; </w:t>
            </w:r>
            <w:r w:rsidR="00857D23" w:rsidRPr="00CF7D68">
              <w:rPr>
                <w:b/>
                <w:bCs/>
                <w:szCs w:val="20"/>
              </w:rPr>
              <w:t>hyperkalaemia</w:t>
            </w:r>
            <w:r w:rsidRPr="00CF7D68">
              <w:rPr>
                <w:b/>
                <w:bCs/>
                <w:szCs w:val="20"/>
              </w:rPr>
              <w:t xml:space="preserve"> without hospitalisation: $</w:t>
            </w:r>
            <w:r w:rsidR="00A973A1" w:rsidRPr="00A973A1">
              <w:rPr>
                <w:b/>
                <w:bCs/>
                <w:color w:val="000000"/>
                <w:spacing w:val="59"/>
                <w:szCs w:val="20"/>
                <w:shd w:val="solid" w:color="000000" w:fill="000000"/>
                <w:fitText w:val="363" w:id="-1435844337"/>
                <w14:textFill>
                  <w14:solidFill>
                    <w14:srgbClr w14:val="000000">
                      <w14:alpha w14:val="100000"/>
                    </w14:srgbClr>
                  </w14:solidFill>
                </w14:textFill>
              </w:rPr>
              <w:t>|||</w:t>
            </w:r>
            <w:r w:rsidR="00A973A1" w:rsidRPr="00A973A1">
              <w:rPr>
                <w:b/>
                <w:bCs/>
                <w:color w:val="000000"/>
                <w:spacing w:val="3"/>
                <w:szCs w:val="20"/>
                <w:shd w:val="solid" w:color="000000" w:fill="000000"/>
                <w:fitText w:val="363" w:id="-1435844337"/>
                <w14:textFill>
                  <w14:solidFill>
                    <w14:srgbClr w14:val="000000">
                      <w14:alpha w14:val="100000"/>
                    </w14:srgbClr>
                  </w14:solidFill>
                </w14:textFill>
              </w:rPr>
              <w:t>|</w:t>
            </w:r>
            <w:r w:rsidRPr="00CF7D68">
              <w:rPr>
                <w:b/>
                <w:bCs/>
                <w:szCs w:val="20"/>
              </w:rPr>
              <w:t xml:space="preserve"> per event; hyperkalaemia with hospitalisation: $</w:t>
            </w:r>
            <w:r w:rsidR="00A973A1" w:rsidRPr="00A973A1">
              <w:rPr>
                <w:b/>
                <w:bCs/>
                <w:color w:val="000000"/>
                <w:spacing w:val="55"/>
                <w:szCs w:val="20"/>
                <w:shd w:val="solid" w:color="000000" w:fill="000000"/>
                <w:fitText w:val="351" w:id="-1435844336"/>
                <w14:textFill>
                  <w14:solidFill>
                    <w14:srgbClr w14:val="000000">
                      <w14:alpha w14:val="100000"/>
                    </w14:srgbClr>
                  </w14:solidFill>
                </w14:textFill>
              </w:rPr>
              <w:t>|||</w:t>
            </w:r>
            <w:r w:rsidR="00A973A1" w:rsidRPr="00A973A1">
              <w:rPr>
                <w:b/>
                <w:bCs/>
                <w:color w:val="000000"/>
                <w:spacing w:val="3"/>
                <w:szCs w:val="20"/>
                <w:shd w:val="solid" w:color="000000" w:fill="000000"/>
                <w:fitText w:val="351" w:id="-1435844336"/>
                <w14:textFill>
                  <w14:solidFill>
                    <w14:srgbClr w14:val="000000">
                      <w14:alpha w14:val="100000"/>
                    </w14:srgbClr>
                  </w14:solidFill>
                </w14:textFill>
              </w:rPr>
              <w:t>|</w:t>
            </w:r>
            <w:r w:rsidRPr="00CF7D68">
              <w:rPr>
                <w:b/>
                <w:bCs/>
                <w:szCs w:val="20"/>
              </w:rPr>
              <w:t xml:space="preserve"> per event)</w:t>
            </w:r>
          </w:p>
        </w:tc>
      </w:tr>
      <w:tr w:rsidR="00262251" w:rsidRPr="00CF7D68" w14:paraId="14B57A5F" w14:textId="77777777" w:rsidTr="00AF768F">
        <w:tc>
          <w:tcPr>
            <w:tcW w:w="4820" w:type="dxa"/>
            <w:tcMar>
              <w:top w:w="0" w:type="dxa"/>
              <w:left w:w="108" w:type="dxa"/>
              <w:bottom w:w="0" w:type="dxa"/>
              <w:right w:w="108" w:type="dxa"/>
            </w:tcMar>
          </w:tcPr>
          <w:p w14:paraId="2BA4307E" w14:textId="77777777" w:rsidR="00262251" w:rsidRPr="00CF7D68" w:rsidRDefault="00262251" w:rsidP="00CD1B39">
            <w:pPr>
              <w:pStyle w:val="Tabletext0"/>
              <w:keepNext/>
              <w:keepLines/>
              <w:rPr>
                <w:iCs/>
                <w:szCs w:val="20"/>
              </w:rPr>
            </w:pPr>
            <w:r w:rsidRPr="00CF7D68">
              <w:rPr>
                <w:iCs/>
                <w:szCs w:val="20"/>
              </w:rPr>
              <w:t>Background therapy costs removed</w:t>
            </w:r>
          </w:p>
        </w:tc>
        <w:tc>
          <w:tcPr>
            <w:tcW w:w="1417" w:type="dxa"/>
            <w:tcMar>
              <w:top w:w="0" w:type="dxa"/>
              <w:left w:w="108" w:type="dxa"/>
              <w:bottom w:w="0" w:type="dxa"/>
              <w:right w:w="108" w:type="dxa"/>
            </w:tcMar>
          </w:tcPr>
          <w:p w14:paraId="54E518A8" w14:textId="3C81F6E6" w:rsidR="00262251" w:rsidRPr="00CF7D68" w:rsidRDefault="00262251" w:rsidP="00CD1B39">
            <w:pPr>
              <w:pStyle w:val="Tabletext0"/>
              <w:keepNext/>
              <w:keepLines/>
              <w:jc w:val="center"/>
              <w:rPr>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73EFB86C" w14:textId="77777777" w:rsidR="00262251" w:rsidRPr="00CF7D68" w:rsidRDefault="00262251" w:rsidP="00CD1B39">
            <w:pPr>
              <w:pStyle w:val="Tabletext0"/>
              <w:keepNext/>
              <w:keepLines/>
              <w:jc w:val="center"/>
              <w:rPr>
                <w:szCs w:val="20"/>
              </w:rPr>
            </w:pPr>
            <w:r w:rsidRPr="00CF7D68">
              <w:rPr>
                <w:szCs w:val="20"/>
              </w:rPr>
              <w:t>0.0775</w:t>
            </w:r>
          </w:p>
        </w:tc>
        <w:tc>
          <w:tcPr>
            <w:tcW w:w="1424" w:type="dxa"/>
            <w:tcMar>
              <w:top w:w="0" w:type="dxa"/>
              <w:left w:w="108" w:type="dxa"/>
              <w:bottom w:w="0" w:type="dxa"/>
              <w:right w:w="108" w:type="dxa"/>
            </w:tcMar>
          </w:tcPr>
          <w:p w14:paraId="4E830DCE" w14:textId="5D18495B" w:rsidR="00262251" w:rsidRPr="00CF7D68" w:rsidRDefault="00262251" w:rsidP="00CD1B39">
            <w:pPr>
              <w:pStyle w:val="Tabletext0"/>
              <w:keepNext/>
              <w:keepLines/>
              <w:jc w:val="center"/>
              <w:rPr>
                <w:szCs w:val="20"/>
              </w:rPr>
            </w:pPr>
            <w:r w:rsidRPr="00CF7D68">
              <w:rPr>
                <w:szCs w:val="20"/>
              </w:rPr>
              <w:t>$</w:t>
            </w:r>
            <w:r w:rsidR="00A973A1" w:rsidRPr="00F9376A">
              <w:rPr>
                <w:rFonts w:hint="eastAsia"/>
                <w:color w:val="000000"/>
                <w:w w:val="15"/>
                <w:szCs w:val="20"/>
                <w:shd w:val="solid" w:color="000000" w:fill="000000"/>
                <w:fitText w:val="12" w:id="-1435844352"/>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52"/>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52"/>
                <w14:textFill>
                  <w14:solidFill>
                    <w14:srgbClr w14:val="000000">
                      <w14:alpha w14:val="100000"/>
                    </w14:srgbClr>
                  </w14:solidFill>
                </w14:textFill>
              </w:rPr>
              <w:t xml:space="preserve">　</w:t>
            </w:r>
            <w:r w:rsidR="00D90F79">
              <w:rPr>
                <w:iCs/>
                <w:szCs w:val="20"/>
                <w:vertAlign w:val="superscript"/>
              </w:rPr>
              <w:t>1</w:t>
            </w:r>
          </w:p>
        </w:tc>
      </w:tr>
      <w:tr w:rsidR="00262251" w:rsidRPr="00CF7D68" w14:paraId="47BD8F50" w14:textId="77777777" w:rsidTr="00AF768F">
        <w:tc>
          <w:tcPr>
            <w:tcW w:w="4820" w:type="dxa"/>
            <w:tcMar>
              <w:top w:w="0" w:type="dxa"/>
              <w:left w:w="108" w:type="dxa"/>
              <w:bottom w:w="0" w:type="dxa"/>
              <w:right w:w="108" w:type="dxa"/>
            </w:tcMar>
          </w:tcPr>
          <w:p w14:paraId="11243C85" w14:textId="77777777" w:rsidR="00262251" w:rsidRPr="00CF7D68" w:rsidRDefault="00262251" w:rsidP="00CD1B39">
            <w:pPr>
              <w:pStyle w:val="Tabletext0"/>
              <w:keepNext/>
              <w:keepLines/>
              <w:rPr>
                <w:iCs/>
                <w:szCs w:val="20"/>
              </w:rPr>
            </w:pPr>
            <w:r w:rsidRPr="00CF7D68">
              <w:rPr>
                <w:iCs/>
                <w:szCs w:val="20"/>
              </w:rPr>
              <w:t>Alternative estimation of dialysis costs using no access charges and AIHW health inflation index</w:t>
            </w:r>
          </w:p>
        </w:tc>
        <w:tc>
          <w:tcPr>
            <w:tcW w:w="1417" w:type="dxa"/>
            <w:tcMar>
              <w:top w:w="0" w:type="dxa"/>
              <w:left w:w="108" w:type="dxa"/>
              <w:bottom w:w="0" w:type="dxa"/>
              <w:right w:w="108" w:type="dxa"/>
            </w:tcMar>
            <w:vAlign w:val="center"/>
          </w:tcPr>
          <w:p w14:paraId="36328206" w14:textId="19FA5ADD" w:rsidR="00262251" w:rsidRPr="00CF7D68" w:rsidRDefault="00262251" w:rsidP="00CD1B39">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vAlign w:val="center"/>
          </w:tcPr>
          <w:p w14:paraId="4AB2F380" w14:textId="77777777" w:rsidR="00262251" w:rsidRPr="00CF7D68" w:rsidRDefault="00262251" w:rsidP="00CD1B39">
            <w:pPr>
              <w:pStyle w:val="Tabletext0"/>
              <w:keepNext/>
              <w:keepLines/>
              <w:jc w:val="center"/>
              <w:rPr>
                <w:iCs/>
                <w:szCs w:val="20"/>
              </w:rPr>
            </w:pPr>
            <w:r w:rsidRPr="00CF7D68">
              <w:rPr>
                <w:iCs/>
                <w:szCs w:val="20"/>
              </w:rPr>
              <w:t>0.0775</w:t>
            </w:r>
          </w:p>
        </w:tc>
        <w:tc>
          <w:tcPr>
            <w:tcW w:w="1424" w:type="dxa"/>
            <w:tcMar>
              <w:top w:w="0" w:type="dxa"/>
              <w:left w:w="108" w:type="dxa"/>
              <w:bottom w:w="0" w:type="dxa"/>
              <w:right w:w="108" w:type="dxa"/>
            </w:tcMar>
            <w:vAlign w:val="center"/>
          </w:tcPr>
          <w:p w14:paraId="4E344EBD" w14:textId="23B94A07" w:rsidR="00262251" w:rsidRPr="00C856F6" w:rsidRDefault="00262251" w:rsidP="00CD1B39">
            <w:pPr>
              <w:pStyle w:val="Tabletext0"/>
              <w:keepNext/>
              <w:keepLines/>
              <w:jc w:val="center"/>
              <w:rPr>
                <w:iCs/>
                <w:szCs w:val="20"/>
                <w:vertAlign w:val="superscript"/>
              </w:rPr>
            </w:pPr>
            <w:r w:rsidRPr="00CF7D68">
              <w:rPr>
                <w:iCs/>
                <w:szCs w:val="20"/>
              </w:rPr>
              <w:t>$</w:t>
            </w:r>
            <w:r w:rsidR="00A973A1" w:rsidRPr="00F9376A">
              <w:rPr>
                <w:rFonts w:hint="eastAsia"/>
                <w:iCs/>
                <w:color w:val="000000"/>
                <w:w w:val="15"/>
                <w:szCs w:val="20"/>
                <w:shd w:val="solid" w:color="000000" w:fill="000000"/>
                <w:fitText w:val="12" w:id="-1435844351"/>
                <w14:textFill>
                  <w14:solidFill>
                    <w14:srgbClr w14:val="000000">
                      <w14:alpha w14:val="100000"/>
                    </w14:srgbClr>
                  </w14:solidFill>
                </w14:textFill>
              </w:rPr>
              <w:t xml:space="preserve">　</w:t>
            </w:r>
            <w:r w:rsidR="00A973A1" w:rsidRPr="00F9376A">
              <w:rPr>
                <w:iCs/>
                <w:color w:val="000000"/>
                <w:w w:val="15"/>
                <w:szCs w:val="20"/>
                <w:shd w:val="solid" w:color="000000" w:fill="000000"/>
                <w:fitText w:val="12" w:id="-1435844351"/>
                <w14:textFill>
                  <w14:solidFill>
                    <w14:srgbClr w14:val="000000">
                      <w14:alpha w14:val="100000"/>
                    </w14:srgbClr>
                  </w14:solidFill>
                </w14:textFill>
              </w:rPr>
              <w:t>|</w:t>
            </w:r>
            <w:r w:rsidR="00A973A1" w:rsidRPr="00F9376A">
              <w:rPr>
                <w:rFonts w:hint="eastAsia"/>
                <w:iCs/>
                <w:color w:val="000000"/>
                <w:spacing w:val="-54"/>
                <w:w w:val="15"/>
                <w:szCs w:val="20"/>
                <w:shd w:val="solid" w:color="000000" w:fill="000000"/>
                <w:fitText w:val="12" w:id="-1435844351"/>
                <w14:textFill>
                  <w14:solidFill>
                    <w14:srgbClr w14:val="000000">
                      <w14:alpha w14:val="100000"/>
                    </w14:srgbClr>
                  </w14:solidFill>
                </w14:textFill>
              </w:rPr>
              <w:t xml:space="preserve">　</w:t>
            </w:r>
            <w:r w:rsidR="00D01B67">
              <w:rPr>
                <w:iCs/>
                <w:szCs w:val="20"/>
                <w:vertAlign w:val="superscript"/>
              </w:rPr>
              <w:t>6</w:t>
            </w:r>
          </w:p>
        </w:tc>
      </w:tr>
      <w:tr w:rsidR="00262251" w:rsidRPr="00CF7D68" w14:paraId="02F27683" w14:textId="77777777" w:rsidTr="00AF768F">
        <w:tc>
          <w:tcPr>
            <w:tcW w:w="4820" w:type="dxa"/>
            <w:tcMar>
              <w:top w:w="0" w:type="dxa"/>
              <w:left w:w="108" w:type="dxa"/>
              <w:bottom w:w="0" w:type="dxa"/>
              <w:right w:w="108" w:type="dxa"/>
            </w:tcMar>
          </w:tcPr>
          <w:p w14:paraId="4E2FC40E" w14:textId="77777777" w:rsidR="00262251" w:rsidRPr="00CF7D68" w:rsidRDefault="00262251" w:rsidP="00CD1B39">
            <w:pPr>
              <w:pStyle w:val="Tabletext0"/>
              <w:keepNext/>
              <w:keepLines/>
              <w:rPr>
                <w:iCs/>
                <w:szCs w:val="20"/>
              </w:rPr>
            </w:pPr>
            <w:r w:rsidRPr="00CF7D68">
              <w:rPr>
                <w:iCs/>
                <w:szCs w:val="20"/>
              </w:rPr>
              <w:t>Increase CKD/dialysis/transplant costs by 25%</w:t>
            </w:r>
          </w:p>
        </w:tc>
        <w:tc>
          <w:tcPr>
            <w:tcW w:w="1417" w:type="dxa"/>
            <w:tcMar>
              <w:top w:w="0" w:type="dxa"/>
              <w:left w:w="108" w:type="dxa"/>
              <w:bottom w:w="0" w:type="dxa"/>
              <w:right w:w="108" w:type="dxa"/>
            </w:tcMar>
          </w:tcPr>
          <w:p w14:paraId="19813EAE" w14:textId="10BAED4A" w:rsidR="00262251" w:rsidRPr="00CF7D68" w:rsidRDefault="00262251" w:rsidP="00CD1B39">
            <w:pPr>
              <w:pStyle w:val="Tabletext0"/>
              <w:keepNext/>
              <w:keepLines/>
              <w:jc w:val="center"/>
              <w:rPr>
                <w:szCs w:val="20"/>
              </w:rPr>
            </w:pPr>
            <w:r w:rsidRPr="00CF7D68">
              <w:rPr>
                <w:szCs w:val="20"/>
              </w:rPr>
              <w:t>-$</w:t>
            </w:r>
            <w:r w:rsidR="00A973A1" w:rsidRPr="00F9376A">
              <w:rPr>
                <w:rFonts w:hint="eastAsia"/>
                <w:color w:val="000000"/>
                <w:w w:val="15"/>
                <w:szCs w:val="20"/>
                <w:shd w:val="solid" w:color="000000" w:fill="000000"/>
                <w:fitText w:val="13" w:id="-1435844350"/>
                <w14:textFill>
                  <w14:solidFill>
                    <w14:srgbClr w14:val="000000">
                      <w14:alpha w14:val="100000"/>
                    </w14:srgbClr>
                  </w14:solidFill>
                </w14:textFill>
              </w:rPr>
              <w:t xml:space="preserve">　</w:t>
            </w:r>
            <w:r w:rsidR="00A973A1" w:rsidRPr="00F9376A">
              <w:rPr>
                <w:color w:val="000000"/>
                <w:w w:val="15"/>
                <w:szCs w:val="20"/>
                <w:shd w:val="solid" w:color="000000" w:fill="000000"/>
                <w:fitText w:val="13" w:id="-1435844350"/>
                <w14:textFill>
                  <w14:solidFill>
                    <w14:srgbClr w14:val="000000">
                      <w14:alpha w14:val="100000"/>
                    </w14:srgbClr>
                  </w14:solidFill>
                </w14:textFill>
              </w:rPr>
              <w:t>|</w:t>
            </w:r>
            <w:r w:rsidR="00A973A1" w:rsidRPr="00F9376A">
              <w:rPr>
                <w:rFonts w:hint="eastAsia"/>
                <w:color w:val="000000"/>
                <w:spacing w:val="-53"/>
                <w:w w:val="15"/>
                <w:szCs w:val="20"/>
                <w:shd w:val="solid" w:color="000000" w:fill="000000"/>
                <w:fitText w:val="13" w:id="-1435844350"/>
                <w14:textFill>
                  <w14:solidFill>
                    <w14:srgbClr w14:val="000000">
                      <w14:alpha w14:val="100000"/>
                    </w14:srgbClr>
                  </w14:solidFill>
                </w14:textFill>
              </w:rPr>
              <w:t xml:space="preserve">　</w:t>
            </w:r>
          </w:p>
        </w:tc>
        <w:tc>
          <w:tcPr>
            <w:tcW w:w="1368" w:type="dxa"/>
            <w:tcMar>
              <w:top w:w="0" w:type="dxa"/>
              <w:left w:w="108" w:type="dxa"/>
              <w:bottom w:w="0" w:type="dxa"/>
              <w:right w:w="108" w:type="dxa"/>
            </w:tcMar>
          </w:tcPr>
          <w:p w14:paraId="0E4E5AC7" w14:textId="77777777" w:rsidR="00262251" w:rsidRPr="00CF7D68" w:rsidRDefault="00262251" w:rsidP="00CD1B39">
            <w:pPr>
              <w:pStyle w:val="Tabletext0"/>
              <w:keepNext/>
              <w:keepLines/>
              <w:jc w:val="center"/>
              <w:rPr>
                <w:szCs w:val="20"/>
              </w:rPr>
            </w:pPr>
            <w:r w:rsidRPr="00CF7D68">
              <w:rPr>
                <w:szCs w:val="20"/>
              </w:rPr>
              <w:t>0.0775</w:t>
            </w:r>
          </w:p>
        </w:tc>
        <w:tc>
          <w:tcPr>
            <w:tcW w:w="1424" w:type="dxa"/>
            <w:tcMar>
              <w:top w:w="0" w:type="dxa"/>
              <w:left w:w="108" w:type="dxa"/>
              <w:bottom w:w="0" w:type="dxa"/>
              <w:right w:w="108" w:type="dxa"/>
            </w:tcMar>
          </w:tcPr>
          <w:p w14:paraId="6EFD354B" w14:textId="77777777" w:rsidR="00262251" w:rsidRPr="00CF7D68" w:rsidRDefault="00262251" w:rsidP="00CD1B39">
            <w:pPr>
              <w:pStyle w:val="Tabletext0"/>
              <w:keepNext/>
              <w:keepLines/>
              <w:jc w:val="center"/>
              <w:rPr>
                <w:szCs w:val="20"/>
              </w:rPr>
            </w:pPr>
            <w:r w:rsidRPr="00CF7D68">
              <w:rPr>
                <w:szCs w:val="20"/>
              </w:rPr>
              <w:t>Dominant</w:t>
            </w:r>
          </w:p>
        </w:tc>
      </w:tr>
      <w:tr w:rsidR="00262251" w:rsidRPr="00CF7D68" w14:paraId="1C9B9931" w14:textId="77777777" w:rsidTr="00AF768F">
        <w:tc>
          <w:tcPr>
            <w:tcW w:w="4820" w:type="dxa"/>
            <w:tcMar>
              <w:top w:w="0" w:type="dxa"/>
              <w:left w:w="108" w:type="dxa"/>
              <w:bottom w:w="0" w:type="dxa"/>
              <w:right w:w="108" w:type="dxa"/>
            </w:tcMar>
          </w:tcPr>
          <w:p w14:paraId="2AB9213C" w14:textId="77777777" w:rsidR="00262251" w:rsidRPr="00CF7D68" w:rsidRDefault="00262251" w:rsidP="00CD1B39">
            <w:pPr>
              <w:pStyle w:val="Tabletext0"/>
              <w:keepNext/>
              <w:keepLines/>
              <w:rPr>
                <w:iCs/>
                <w:szCs w:val="20"/>
              </w:rPr>
            </w:pPr>
            <w:r w:rsidRPr="00CF7D68">
              <w:rPr>
                <w:iCs/>
                <w:szCs w:val="20"/>
              </w:rPr>
              <w:t>Decrease CKD/dialysis/transplant costs by 25%</w:t>
            </w:r>
          </w:p>
        </w:tc>
        <w:tc>
          <w:tcPr>
            <w:tcW w:w="1417" w:type="dxa"/>
            <w:tcMar>
              <w:top w:w="0" w:type="dxa"/>
              <w:left w:w="108" w:type="dxa"/>
              <w:bottom w:w="0" w:type="dxa"/>
              <w:right w:w="108" w:type="dxa"/>
            </w:tcMar>
          </w:tcPr>
          <w:p w14:paraId="1B3CC3A2" w14:textId="141B210F" w:rsidR="00262251" w:rsidRPr="00CF7D68" w:rsidRDefault="00262251" w:rsidP="00CD1B39">
            <w:pPr>
              <w:pStyle w:val="Tabletext0"/>
              <w:keepNext/>
              <w:keepLines/>
              <w:jc w:val="center"/>
              <w:rPr>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0529D740" w14:textId="77777777" w:rsidR="00262251" w:rsidRPr="00CF7D68" w:rsidRDefault="00262251" w:rsidP="00CD1B39">
            <w:pPr>
              <w:pStyle w:val="Tabletext0"/>
              <w:keepNext/>
              <w:keepLines/>
              <w:jc w:val="center"/>
              <w:rPr>
                <w:szCs w:val="20"/>
              </w:rPr>
            </w:pPr>
            <w:r w:rsidRPr="00CF7D68">
              <w:rPr>
                <w:szCs w:val="20"/>
              </w:rPr>
              <w:t>0.0775</w:t>
            </w:r>
          </w:p>
        </w:tc>
        <w:tc>
          <w:tcPr>
            <w:tcW w:w="1424" w:type="dxa"/>
            <w:tcMar>
              <w:top w:w="0" w:type="dxa"/>
              <w:left w:w="108" w:type="dxa"/>
              <w:bottom w:w="0" w:type="dxa"/>
              <w:right w:w="108" w:type="dxa"/>
            </w:tcMar>
          </w:tcPr>
          <w:p w14:paraId="31336AF9" w14:textId="4FAB1122" w:rsidR="00262251" w:rsidRPr="00CF7D68" w:rsidRDefault="00262251" w:rsidP="00CD1B39">
            <w:pPr>
              <w:pStyle w:val="Tabletext0"/>
              <w:keepNext/>
              <w:keepLines/>
              <w:jc w:val="center"/>
              <w:rPr>
                <w:szCs w:val="20"/>
              </w:rPr>
            </w:pPr>
            <w:r w:rsidRPr="00CF7D68">
              <w:rPr>
                <w:szCs w:val="20"/>
              </w:rPr>
              <w:t>$</w:t>
            </w:r>
            <w:r w:rsidR="00A973A1" w:rsidRPr="00F9376A">
              <w:rPr>
                <w:rFonts w:hint="eastAsia"/>
                <w:color w:val="000000"/>
                <w:w w:val="15"/>
                <w:szCs w:val="20"/>
                <w:shd w:val="solid" w:color="000000" w:fill="000000"/>
                <w:fitText w:val="12" w:id="-1435844349"/>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49"/>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49"/>
                <w14:textFill>
                  <w14:solidFill>
                    <w14:srgbClr w14:val="000000">
                      <w14:alpha w14:val="100000"/>
                    </w14:srgbClr>
                  </w14:solidFill>
                </w14:textFill>
              </w:rPr>
              <w:t xml:space="preserve">　</w:t>
            </w:r>
            <w:r w:rsidR="00D90F79">
              <w:rPr>
                <w:iCs/>
                <w:szCs w:val="20"/>
                <w:vertAlign w:val="superscript"/>
              </w:rPr>
              <w:t>4</w:t>
            </w:r>
          </w:p>
        </w:tc>
      </w:tr>
      <w:tr w:rsidR="00262251" w:rsidRPr="00CF7D68" w14:paraId="75D08217" w14:textId="77777777" w:rsidTr="00AF768F">
        <w:tc>
          <w:tcPr>
            <w:tcW w:w="4820" w:type="dxa"/>
            <w:tcMar>
              <w:top w:w="0" w:type="dxa"/>
              <w:left w:w="108" w:type="dxa"/>
              <w:bottom w:w="0" w:type="dxa"/>
              <w:right w:w="108" w:type="dxa"/>
            </w:tcMar>
          </w:tcPr>
          <w:p w14:paraId="1850B243" w14:textId="77777777" w:rsidR="00262251" w:rsidRPr="00CF7D68" w:rsidRDefault="00262251" w:rsidP="00CD1B39">
            <w:pPr>
              <w:pStyle w:val="Tabletext0"/>
              <w:keepNext/>
              <w:keepLines/>
              <w:rPr>
                <w:szCs w:val="20"/>
              </w:rPr>
            </w:pPr>
            <w:r w:rsidRPr="00CF7D68">
              <w:rPr>
                <w:szCs w:val="20"/>
              </w:rPr>
              <w:t>Increase CV costs by 25%</w:t>
            </w:r>
          </w:p>
        </w:tc>
        <w:tc>
          <w:tcPr>
            <w:tcW w:w="1417" w:type="dxa"/>
            <w:tcMar>
              <w:top w:w="0" w:type="dxa"/>
              <w:left w:w="108" w:type="dxa"/>
              <w:bottom w:w="0" w:type="dxa"/>
              <w:right w:w="108" w:type="dxa"/>
            </w:tcMar>
          </w:tcPr>
          <w:p w14:paraId="6AD3766D" w14:textId="778527FA" w:rsidR="00262251" w:rsidRPr="00CF7D68" w:rsidRDefault="00262251" w:rsidP="00CD1B39">
            <w:pPr>
              <w:pStyle w:val="Tabletext0"/>
              <w:keepNext/>
              <w:keepLines/>
              <w:jc w:val="center"/>
              <w:rPr>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4D731561" w14:textId="77777777" w:rsidR="00262251" w:rsidRPr="00CF7D68" w:rsidRDefault="00262251" w:rsidP="00CD1B39">
            <w:pPr>
              <w:pStyle w:val="Tabletext0"/>
              <w:keepNext/>
              <w:keepLines/>
              <w:jc w:val="center"/>
              <w:rPr>
                <w:szCs w:val="20"/>
              </w:rPr>
            </w:pPr>
            <w:r w:rsidRPr="00CF7D68">
              <w:rPr>
                <w:szCs w:val="20"/>
              </w:rPr>
              <w:t>0.0775</w:t>
            </w:r>
          </w:p>
        </w:tc>
        <w:tc>
          <w:tcPr>
            <w:tcW w:w="1424" w:type="dxa"/>
            <w:tcMar>
              <w:top w:w="0" w:type="dxa"/>
              <w:left w:w="108" w:type="dxa"/>
              <w:bottom w:w="0" w:type="dxa"/>
              <w:right w:w="108" w:type="dxa"/>
            </w:tcMar>
          </w:tcPr>
          <w:p w14:paraId="530805BA" w14:textId="36BAA253" w:rsidR="00262251" w:rsidRPr="00CF7D68" w:rsidRDefault="00262251" w:rsidP="00CD1B39">
            <w:pPr>
              <w:pStyle w:val="Tabletext0"/>
              <w:keepNext/>
              <w:keepLines/>
              <w:jc w:val="center"/>
              <w:rPr>
                <w:szCs w:val="20"/>
              </w:rPr>
            </w:pPr>
            <w:r w:rsidRPr="00CF7D68">
              <w:rPr>
                <w:szCs w:val="20"/>
              </w:rPr>
              <w:t>$</w:t>
            </w:r>
            <w:r w:rsidR="00A973A1" w:rsidRPr="00F9376A">
              <w:rPr>
                <w:rFonts w:hint="eastAsia"/>
                <w:color w:val="000000"/>
                <w:w w:val="15"/>
                <w:szCs w:val="20"/>
                <w:shd w:val="solid" w:color="000000" w:fill="000000"/>
                <w:fitText w:val="12" w:id="-1435844348"/>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48"/>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48"/>
                <w14:textFill>
                  <w14:solidFill>
                    <w14:srgbClr w14:val="000000">
                      <w14:alpha w14:val="100000"/>
                    </w14:srgbClr>
                  </w14:solidFill>
                </w14:textFill>
              </w:rPr>
              <w:t xml:space="preserve">　</w:t>
            </w:r>
            <w:r w:rsidR="00D90F79">
              <w:rPr>
                <w:iCs/>
                <w:szCs w:val="20"/>
                <w:vertAlign w:val="superscript"/>
              </w:rPr>
              <w:t>1</w:t>
            </w:r>
          </w:p>
        </w:tc>
      </w:tr>
      <w:tr w:rsidR="00262251" w:rsidRPr="00CF7D68" w14:paraId="706481CC" w14:textId="77777777" w:rsidTr="00AF768F">
        <w:tc>
          <w:tcPr>
            <w:tcW w:w="4820" w:type="dxa"/>
            <w:tcMar>
              <w:top w:w="0" w:type="dxa"/>
              <w:left w:w="108" w:type="dxa"/>
              <w:bottom w:w="0" w:type="dxa"/>
              <w:right w:w="108" w:type="dxa"/>
            </w:tcMar>
          </w:tcPr>
          <w:p w14:paraId="5B1B9E2C" w14:textId="77777777" w:rsidR="00262251" w:rsidRPr="00CF7D68" w:rsidRDefault="00262251" w:rsidP="00CD1B39">
            <w:pPr>
              <w:pStyle w:val="Tabletext0"/>
              <w:keepNext/>
              <w:keepLines/>
              <w:rPr>
                <w:szCs w:val="20"/>
              </w:rPr>
            </w:pPr>
            <w:r w:rsidRPr="00CF7D68">
              <w:rPr>
                <w:szCs w:val="20"/>
              </w:rPr>
              <w:t>Decrease CV costs by 25%</w:t>
            </w:r>
          </w:p>
        </w:tc>
        <w:tc>
          <w:tcPr>
            <w:tcW w:w="1417" w:type="dxa"/>
            <w:tcMar>
              <w:top w:w="0" w:type="dxa"/>
              <w:left w:w="108" w:type="dxa"/>
              <w:bottom w:w="0" w:type="dxa"/>
              <w:right w:w="108" w:type="dxa"/>
            </w:tcMar>
          </w:tcPr>
          <w:p w14:paraId="4D8FD487" w14:textId="545D2450" w:rsidR="00262251" w:rsidRPr="00CF7D68" w:rsidRDefault="00262251" w:rsidP="00CD1B39">
            <w:pPr>
              <w:pStyle w:val="Tabletext0"/>
              <w:keepNext/>
              <w:keepLines/>
              <w:jc w:val="center"/>
              <w:rPr>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21D91104" w14:textId="77777777" w:rsidR="00262251" w:rsidRPr="00CF7D68" w:rsidRDefault="00262251" w:rsidP="00CD1B39">
            <w:pPr>
              <w:pStyle w:val="Tabletext0"/>
              <w:keepNext/>
              <w:keepLines/>
              <w:jc w:val="center"/>
              <w:rPr>
                <w:szCs w:val="20"/>
              </w:rPr>
            </w:pPr>
            <w:r w:rsidRPr="00CF7D68">
              <w:rPr>
                <w:szCs w:val="20"/>
              </w:rPr>
              <w:t>0.0775</w:t>
            </w:r>
          </w:p>
        </w:tc>
        <w:tc>
          <w:tcPr>
            <w:tcW w:w="1424" w:type="dxa"/>
            <w:tcMar>
              <w:top w:w="0" w:type="dxa"/>
              <w:left w:w="108" w:type="dxa"/>
              <w:bottom w:w="0" w:type="dxa"/>
              <w:right w:w="108" w:type="dxa"/>
            </w:tcMar>
          </w:tcPr>
          <w:p w14:paraId="1F6E955B" w14:textId="4F821B88" w:rsidR="00262251" w:rsidRPr="00CF7D68" w:rsidRDefault="00262251" w:rsidP="00CD1B39">
            <w:pPr>
              <w:pStyle w:val="Tabletext0"/>
              <w:keepNext/>
              <w:keepLines/>
              <w:jc w:val="center"/>
              <w:rPr>
                <w:szCs w:val="20"/>
              </w:rPr>
            </w:pPr>
            <w:r w:rsidRPr="00CF7D68">
              <w:rPr>
                <w:szCs w:val="20"/>
              </w:rPr>
              <w:t>$</w:t>
            </w:r>
            <w:r w:rsidR="00A973A1" w:rsidRPr="00F9376A">
              <w:rPr>
                <w:rFonts w:hint="eastAsia"/>
                <w:color w:val="000000"/>
                <w:w w:val="15"/>
                <w:szCs w:val="20"/>
                <w:shd w:val="solid" w:color="000000" w:fill="000000"/>
                <w:fitText w:val="12" w:id="-1435844347"/>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47"/>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47"/>
                <w14:textFill>
                  <w14:solidFill>
                    <w14:srgbClr w14:val="000000">
                      <w14:alpha w14:val="100000"/>
                    </w14:srgbClr>
                  </w14:solidFill>
                </w14:textFill>
              </w:rPr>
              <w:t xml:space="preserve">　</w:t>
            </w:r>
            <w:r w:rsidR="00D90F79">
              <w:rPr>
                <w:iCs/>
                <w:szCs w:val="20"/>
                <w:vertAlign w:val="superscript"/>
              </w:rPr>
              <w:t>1</w:t>
            </w:r>
          </w:p>
        </w:tc>
      </w:tr>
      <w:tr w:rsidR="00262251" w:rsidRPr="00CF7D68" w14:paraId="7C4B5938" w14:textId="77777777" w:rsidTr="00AF768F">
        <w:tc>
          <w:tcPr>
            <w:tcW w:w="4820" w:type="dxa"/>
            <w:tcMar>
              <w:top w:w="0" w:type="dxa"/>
              <w:left w:w="108" w:type="dxa"/>
              <w:bottom w:w="0" w:type="dxa"/>
              <w:right w:w="108" w:type="dxa"/>
            </w:tcMar>
          </w:tcPr>
          <w:p w14:paraId="5AD462B9" w14:textId="77777777" w:rsidR="00262251" w:rsidRPr="00CF7D68" w:rsidRDefault="00262251" w:rsidP="00CD1B39">
            <w:pPr>
              <w:pStyle w:val="Tabletext0"/>
              <w:keepNext/>
              <w:keepLines/>
              <w:rPr>
                <w:szCs w:val="20"/>
              </w:rPr>
            </w:pPr>
            <w:r w:rsidRPr="00CF7D68">
              <w:rPr>
                <w:szCs w:val="20"/>
              </w:rPr>
              <w:t>Increase hyperkalaemia costs by 50%</w:t>
            </w:r>
          </w:p>
        </w:tc>
        <w:tc>
          <w:tcPr>
            <w:tcW w:w="1417" w:type="dxa"/>
            <w:tcMar>
              <w:top w:w="0" w:type="dxa"/>
              <w:left w:w="108" w:type="dxa"/>
              <w:bottom w:w="0" w:type="dxa"/>
              <w:right w:w="108" w:type="dxa"/>
            </w:tcMar>
          </w:tcPr>
          <w:p w14:paraId="20DC378A" w14:textId="15D80F42" w:rsidR="00262251" w:rsidRPr="00CF7D68" w:rsidRDefault="00262251" w:rsidP="00CD1B39">
            <w:pPr>
              <w:pStyle w:val="Tabletext0"/>
              <w:keepNext/>
              <w:keepLines/>
              <w:jc w:val="center"/>
              <w:rPr>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3B4B64ED" w14:textId="77777777" w:rsidR="00262251" w:rsidRPr="00CF7D68" w:rsidRDefault="00262251" w:rsidP="00CD1B39">
            <w:pPr>
              <w:pStyle w:val="Tabletext0"/>
              <w:keepNext/>
              <w:keepLines/>
              <w:jc w:val="center"/>
              <w:rPr>
                <w:szCs w:val="20"/>
              </w:rPr>
            </w:pPr>
            <w:r w:rsidRPr="00CF7D68">
              <w:rPr>
                <w:szCs w:val="20"/>
              </w:rPr>
              <w:t>0.0775</w:t>
            </w:r>
          </w:p>
        </w:tc>
        <w:tc>
          <w:tcPr>
            <w:tcW w:w="1424" w:type="dxa"/>
            <w:tcMar>
              <w:top w:w="0" w:type="dxa"/>
              <w:left w:w="108" w:type="dxa"/>
              <w:bottom w:w="0" w:type="dxa"/>
              <w:right w:w="108" w:type="dxa"/>
            </w:tcMar>
          </w:tcPr>
          <w:p w14:paraId="566BAFFD" w14:textId="17DA7348" w:rsidR="00262251" w:rsidRPr="00CF7D68" w:rsidRDefault="00262251" w:rsidP="00CD1B39">
            <w:pPr>
              <w:pStyle w:val="Tabletext0"/>
              <w:keepNext/>
              <w:keepLines/>
              <w:jc w:val="center"/>
              <w:rPr>
                <w:szCs w:val="20"/>
              </w:rPr>
            </w:pPr>
            <w:r w:rsidRPr="00CF7D68">
              <w:rPr>
                <w:szCs w:val="20"/>
              </w:rPr>
              <w:t>$</w:t>
            </w:r>
            <w:r w:rsidR="00A973A1" w:rsidRPr="00F9376A">
              <w:rPr>
                <w:rFonts w:hint="eastAsia"/>
                <w:color w:val="000000"/>
                <w:w w:val="15"/>
                <w:szCs w:val="20"/>
                <w:shd w:val="solid" w:color="000000" w:fill="000000"/>
                <w:fitText w:val="12" w:id="-1435844346"/>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46"/>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46"/>
                <w14:textFill>
                  <w14:solidFill>
                    <w14:srgbClr w14:val="000000">
                      <w14:alpha w14:val="100000"/>
                    </w14:srgbClr>
                  </w14:solidFill>
                </w14:textFill>
              </w:rPr>
              <w:t xml:space="preserve">　</w:t>
            </w:r>
            <w:r w:rsidR="00D90F79">
              <w:rPr>
                <w:iCs/>
                <w:szCs w:val="20"/>
                <w:vertAlign w:val="superscript"/>
              </w:rPr>
              <w:t>1</w:t>
            </w:r>
          </w:p>
        </w:tc>
      </w:tr>
      <w:tr w:rsidR="00262251" w:rsidRPr="00CF7D68" w14:paraId="40119EC3" w14:textId="77777777" w:rsidTr="00AF768F">
        <w:tc>
          <w:tcPr>
            <w:tcW w:w="4820" w:type="dxa"/>
            <w:tcMar>
              <w:top w:w="0" w:type="dxa"/>
              <w:left w:w="108" w:type="dxa"/>
              <w:bottom w:w="0" w:type="dxa"/>
              <w:right w:w="108" w:type="dxa"/>
            </w:tcMar>
          </w:tcPr>
          <w:p w14:paraId="71AAB127" w14:textId="77777777" w:rsidR="00262251" w:rsidRPr="00CF7D68" w:rsidRDefault="00262251" w:rsidP="00CD1B39">
            <w:pPr>
              <w:pStyle w:val="Tabletext0"/>
              <w:keepNext/>
              <w:keepLines/>
              <w:rPr>
                <w:szCs w:val="20"/>
              </w:rPr>
            </w:pPr>
            <w:r w:rsidRPr="00CF7D68">
              <w:rPr>
                <w:szCs w:val="20"/>
              </w:rPr>
              <w:t>Decrease hyperkalaemia costs by 50%</w:t>
            </w:r>
          </w:p>
        </w:tc>
        <w:tc>
          <w:tcPr>
            <w:tcW w:w="1417" w:type="dxa"/>
            <w:tcMar>
              <w:top w:w="0" w:type="dxa"/>
              <w:left w:w="108" w:type="dxa"/>
              <w:bottom w:w="0" w:type="dxa"/>
              <w:right w:w="108" w:type="dxa"/>
            </w:tcMar>
          </w:tcPr>
          <w:p w14:paraId="3C5B1017" w14:textId="3612EB8C" w:rsidR="00262251" w:rsidRPr="00CF7D68" w:rsidRDefault="00262251" w:rsidP="00CD1B39">
            <w:pPr>
              <w:pStyle w:val="Tabletext0"/>
              <w:keepNext/>
              <w:keepLines/>
              <w:jc w:val="center"/>
              <w:rPr>
                <w:szCs w:val="20"/>
              </w:rPr>
            </w:pPr>
            <w:r w:rsidRPr="00CF7D68">
              <w:rPr>
                <w:szCs w:val="20"/>
              </w:rPr>
              <w:t>$</w:t>
            </w:r>
            <w:r w:rsidR="00A973A1" w:rsidRPr="00A973A1">
              <w:rPr>
                <w:color w:val="000000"/>
                <w:szCs w:val="20"/>
                <w:shd w:val="solid" w:color="000000" w:fill="000000"/>
                <w14:textFill>
                  <w14:solidFill>
                    <w14:srgbClr w14:val="000000">
                      <w14:alpha w14:val="100000"/>
                    </w14:srgbClr>
                  </w14:solidFill>
                </w14:textFill>
              </w:rPr>
              <w:t>|</w:t>
            </w:r>
          </w:p>
        </w:tc>
        <w:tc>
          <w:tcPr>
            <w:tcW w:w="1368" w:type="dxa"/>
            <w:tcMar>
              <w:top w:w="0" w:type="dxa"/>
              <w:left w:w="108" w:type="dxa"/>
              <w:bottom w:w="0" w:type="dxa"/>
              <w:right w:w="108" w:type="dxa"/>
            </w:tcMar>
          </w:tcPr>
          <w:p w14:paraId="0C8523FE" w14:textId="77777777" w:rsidR="00262251" w:rsidRPr="00CF7D68" w:rsidRDefault="00262251" w:rsidP="00CD1B39">
            <w:pPr>
              <w:pStyle w:val="Tabletext0"/>
              <w:keepNext/>
              <w:keepLines/>
              <w:jc w:val="center"/>
              <w:rPr>
                <w:szCs w:val="20"/>
              </w:rPr>
            </w:pPr>
            <w:r w:rsidRPr="00CF7D68">
              <w:rPr>
                <w:szCs w:val="20"/>
              </w:rPr>
              <w:t>0.0775</w:t>
            </w:r>
          </w:p>
        </w:tc>
        <w:tc>
          <w:tcPr>
            <w:tcW w:w="1424" w:type="dxa"/>
            <w:tcMar>
              <w:top w:w="0" w:type="dxa"/>
              <w:left w:w="108" w:type="dxa"/>
              <w:bottom w:w="0" w:type="dxa"/>
              <w:right w:w="108" w:type="dxa"/>
            </w:tcMar>
          </w:tcPr>
          <w:p w14:paraId="6AC26E62" w14:textId="6DB4163E" w:rsidR="00262251" w:rsidRPr="00CF7D68" w:rsidRDefault="00262251" w:rsidP="00CD1B39">
            <w:pPr>
              <w:pStyle w:val="Tabletext0"/>
              <w:keepNext/>
              <w:keepLines/>
              <w:jc w:val="center"/>
              <w:rPr>
                <w:szCs w:val="20"/>
              </w:rPr>
            </w:pPr>
            <w:r w:rsidRPr="00CF7D68">
              <w:rPr>
                <w:szCs w:val="20"/>
              </w:rPr>
              <w:t>$</w:t>
            </w:r>
            <w:r w:rsidR="00A973A1" w:rsidRPr="00F9376A">
              <w:rPr>
                <w:rFonts w:hint="eastAsia"/>
                <w:color w:val="000000"/>
                <w:w w:val="15"/>
                <w:szCs w:val="20"/>
                <w:shd w:val="solid" w:color="000000" w:fill="000000"/>
                <w:fitText w:val="12" w:id="-1435844345"/>
                <w14:textFill>
                  <w14:solidFill>
                    <w14:srgbClr w14:val="000000">
                      <w14:alpha w14:val="100000"/>
                    </w14:srgbClr>
                  </w14:solidFill>
                </w14:textFill>
              </w:rPr>
              <w:t xml:space="preserve">　</w:t>
            </w:r>
            <w:r w:rsidR="00A973A1" w:rsidRPr="00F9376A">
              <w:rPr>
                <w:color w:val="000000"/>
                <w:w w:val="15"/>
                <w:szCs w:val="20"/>
                <w:shd w:val="solid" w:color="000000" w:fill="000000"/>
                <w:fitText w:val="12" w:id="-1435844345"/>
                <w14:textFill>
                  <w14:solidFill>
                    <w14:srgbClr w14:val="000000">
                      <w14:alpha w14:val="100000"/>
                    </w14:srgbClr>
                  </w14:solidFill>
                </w14:textFill>
              </w:rPr>
              <w:t>|</w:t>
            </w:r>
            <w:r w:rsidR="00A973A1" w:rsidRPr="00F9376A">
              <w:rPr>
                <w:rFonts w:hint="eastAsia"/>
                <w:color w:val="000000"/>
                <w:spacing w:val="-54"/>
                <w:w w:val="15"/>
                <w:szCs w:val="20"/>
                <w:shd w:val="solid" w:color="000000" w:fill="000000"/>
                <w:fitText w:val="12" w:id="-1435844345"/>
                <w14:textFill>
                  <w14:solidFill>
                    <w14:srgbClr w14:val="000000">
                      <w14:alpha w14:val="100000"/>
                    </w14:srgbClr>
                  </w14:solidFill>
                </w14:textFill>
              </w:rPr>
              <w:t xml:space="preserve">　</w:t>
            </w:r>
            <w:r w:rsidR="00D90F79">
              <w:rPr>
                <w:iCs/>
                <w:szCs w:val="20"/>
                <w:vertAlign w:val="superscript"/>
              </w:rPr>
              <w:t>1</w:t>
            </w:r>
          </w:p>
        </w:tc>
      </w:tr>
    </w:tbl>
    <w:p w14:paraId="03324674" w14:textId="3E4FAD62" w:rsidR="00060C87" w:rsidRPr="00CF7D68" w:rsidRDefault="00060C87" w:rsidP="00CD1B39">
      <w:pPr>
        <w:pStyle w:val="TableFooter"/>
        <w:keepNext/>
        <w:keepLines/>
      </w:pPr>
      <w:r w:rsidRPr="00CF7D68">
        <w:t>Source: Table 93 (</w:t>
      </w:r>
      <w:r w:rsidR="003073FE">
        <w:t>p</w:t>
      </w:r>
      <w:r w:rsidRPr="00CF7D68">
        <w:t>141-144) of the submission</w:t>
      </w:r>
    </w:p>
    <w:p w14:paraId="6EC3C80C" w14:textId="7F4C5092" w:rsidR="0037603D" w:rsidRDefault="0037603D" w:rsidP="00CD1B39">
      <w:pPr>
        <w:pStyle w:val="TableFooter"/>
        <w:keepNext/>
        <w:keepLines/>
      </w:pPr>
      <w:r w:rsidRPr="00CF7D68">
        <w:t xml:space="preserve">Abbreviations: </w:t>
      </w:r>
      <w:r w:rsidR="005169DF" w:rsidRPr="00CF7D68">
        <w:t xml:space="preserve">AIHW, Australian Institute of Health and Welfare; CI, confidence interval; </w:t>
      </w:r>
      <w:r w:rsidRPr="00CF7D68">
        <w:t xml:space="preserve">CKD, chronic kidney disease; CV, </w:t>
      </w:r>
      <w:r w:rsidR="005169DF" w:rsidRPr="00CF7D68">
        <w:t>cardiovascular; HR, hazard ratio</w:t>
      </w:r>
    </w:p>
    <w:p w14:paraId="1DF02D7E" w14:textId="77777777" w:rsidR="009A347F" w:rsidRPr="00317748" w:rsidRDefault="009A347F" w:rsidP="009A347F">
      <w:pPr>
        <w:pStyle w:val="TableFigureFooter"/>
        <w:keepNext/>
        <w:spacing w:after="0"/>
        <w:contextualSpacing w:val="0"/>
        <w:rPr>
          <w:i/>
        </w:rPr>
      </w:pPr>
      <w:bookmarkStart w:id="50" w:name="_Hlk112839435"/>
      <w:r w:rsidRPr="00317748">
        <w:rPr>
          <w:i/>
        </w:rPr>
        <w:lastRenderedPageBreak/>
        <w:t>The redacted values correspond to the following ranges:</w:t>
      </w:r>
    </w:p>
    <w:bookmarkEnd w:id="50"/>
    <w:p w14:paraId="220DFECF" w14:textId="4B861A74" w:rsidR="009A347F" w:rsidRPr="00281DAB" w:rsidRDefault="009A347F" w:rsidP="009A347F">
      <w:pPr>
        <w:pStyle w:val="TableFigureFooter"/>
        <w:keepNext/>
        <w:spacing w:after="0"/>
        <w:contextualSpacing w:val="0"/>
      </w:pPr>
      <w:r w:rsidRPr="00317748">
        <w:rPr>
          <w:i/>
          <w:szCs w:val="18"/>
          <w:vertAlign w:val="superscript"/>
        </w:rPr>
        <w:t>1</w:t>
      </w:r>
      <w:r w:rsidRPr="00317748">
        <w:rPr>
          <w:i/>
          <w:szCs w:val="18"/>
        </w:rPr>
        <w:t xml:space="preserve"> </w:t>
      </w:r>
      <w:r w:rsidRPr="009A347F">
        <w:rPr>
          <w:i/>
          <w:szCs w:val="18"/>
        </w:rPr>
        <w:t>$5,000 to &lt; $15,000</w:t>
      </w:r>
    </w:p>
    <w:p w14:paraId="0DF52258" w14:textId="31C855B2" w:rsidR="009A347F" w:rsidRPr="00317748" w:rsidRDefault="009A347F" w:rsidP="009A347F">
      <w:pPr>
        <w:rPr>
          <w:rFonts w:ascii="Arial Narrow" w:hAnsi="Arial Narrow"/>
          <w:i/>
          <w:sz w:val="18"/>
          <w:szCs w:val="18"/>
        </w:rPr>
      </w:pPr>
      <w:r w:rsidRPr="00317748">
        <w:rPr>
          <w:rFonts w:ascii="Arial Narrow" w:hAnsi="Arial Narrow"/>
          <w:i/>
          <w:sz w:val="18"/>
          <w:szCs w:val="18"/>
          <w:vertAlign w:val="superscript"/>
        </w:rPr>
        <w:t>2</w:t>
      </w:r>
      <w:r w:rsidRPr="00317748">
        <w:rPr>
          <w:rFonts w:ascii="Arial Narrow" w:hAnsi="Arial Narrow"/>
          <w:i/>
          <w:sz w:val="18"/>
          <w:szCs w:val="18"/>
        </w:rPr>
        <w:t xml:space="preserve"> </w:t>
      </w:r>
      <w:r w:rsidR="00D01B67" w:rsidRPr="00D01B67">
        <w:rPr>
          <w:rFonts w:ascii="Arial Narrow" w:hAnsi="Arial Narrow"/>
          <w:i/>
          <w:sz w:val="18"/>
          <w:szCs w:val="18"/>
        </w:rPr>
        <w:t>$0 to &lt; $5,000</w:t>
      </w:r>
    </w:p>
    <w:p w14:paraId="103346F7" w14:textId="01EE88DA" w:rsidR="009A347F" w:rsidRPr="00317748" w:rsidRDefault="009A347F" w:rsidP="009A347F">
      <w:pPr>
        <w:rPr>
          <w:rFonts w:ascii="Arial Narrow" w:hAnsi="Arial Narrow"/>
          <w:i/>
          <w:sz w:val="18"/>
          <w:szCs w:val="18"/>
        </w:rPr>
      </w:pPr>
      <w:r w:rsidRPr="00317748">
        <w:rPr>
          <w:rFonts w:ascii="Arial Narrow" w:hAnsi="Arial Narrow"/>
          <w:i/>
          <w:sz w:val="18"/>
          <w:szCs w:val="18"/>
          <w:vertAlign w:val="superscript"/>
        </w:rPr>
        <w:t xml:space="preserve">3 </w:t>
      </w:r>
      <w:r w:rsidR="00D01B67" w:rsidRPr="00C856F6">
        <w:rPr>
          <w:rFonts w:ascii="Arial Narrow" w:hAnsi="Arial Narrow"/>
          <w:i/>
          <w:sz w:val="18"/>
          <w:szCs w:val="18"/>
        </w:rPr>
        <w:t>$95,000 to &lt; $115,000</w:t>
      </w:r>
    </w:p>
    <w:p w14:paraId="1A361FAA" w14:textId="44037E89" w:rsidR="009A347F" w:rsidRPr="00317748" w:rsidRDefault="009A347F" w:rsidP="009A347F">
      <w:pPr>
        <w:rPr>
          <w:rFonts w:ascii="Arial Narrow" w:hAnsi="Arial Narrow"/>
          <w:i/>
          <w:sz w:val="18"/>
          <w:szCs w:val="18"/>
        </w:rPr>
      </w:pPr>
      <w:r w:rsidRPr="00317748">
        <w:rPr>
          <w:rFonts w:ascii="Arial Narrow" w:hAnsi="Arial Narrow"/>
          <w:i/>
          <w:sz w:val="18"/>
          <w:szCs w:val="18"/>
          <w:vertAlign w:val="superscript"/>
        </w:rPr>
        <w:t xml:space="preserve">4 </w:t>
      </w:r>
      <w:r w:rsidR="00D01B67" w:rsidRPr="00D01B67">
        <w:rPr>
          <w:rFonts w:ascii="Arial Narrow" w:hAnsi="Arial Narrow"/>
          <w:i/>
          <w:sz w:val="18"/>
          <w:szCs w:val="18"/>
        </w:rPr>
        <w:t>$15,000 to &lt; $25,000</w:t>
      </w:r>
    </w:p>
    <w:p w14:paraId="29697D7F" w14:textId="128B7DA0" w:rsidR="009A347F" w:rsidRPr="00317748" w:rsidRDefault="009A347F" w:rsidP="009A347F">
      <w:pPr>
        <w:rPr>
          <w:rFonts w:ascii="Arial Narrow" w:hAnsi="Arial Narrow"/>
          <w:i/>
          <w:sz w:val="18"/>
          <w:szCs w:val="18"/>
        </w:rPr>
      </w:pPr>
      <w:r w:rsidRPr="00317748">
        <w:rPr>
          <w:rFonts w:ascii="Arial Narrow" w:hAnsi="Arial Narrow"/>
          <w:i/>
          <w:sz w:val="18"/>
          <w:szCs w:val="18"/>
          <w:vertAlign w:val="superscript"/>
        </w:rPr>
        <w:t>5</w:t>
      </w:r>
      <w:r w:rsidRPr="00317748">
        <w:rPr>
          <w:rFonts w:ascii="Arial Narrow" w:hAnsi="Arial Narrow"/>
          <w:i/>
          <w:sz w:val="18"/>
          <w:szCs w:val="18"/>
        </w:rPr>
        <w:t xml:space="preserve"> $</w:t>
      </w:r>
      <w:r w:rsidR="00D01B67" w:rsidRPr="00D01B67">
        <w:rPr>
          <w:rFonts w:ascii="Arial Narrow" w:hAnsi="Arial Narrow"/>
          <w:i/>
          <w:sz w:val="18"/>
          <w:szCs w:val="18"/>
        </w:rPr>
        <w:t>35,000 to &lt; $45,000</w:t>
      </w:r>
    </w:p>
    <w:p w14:paraId="4F004894" w14:textId="03717C15" w:rsidR="009A347F" w:rsidRPr="00317748" w:rsidRDefault="009A347F" w:rsidP="009A347F">
      <w:pPr>
        <w:rPr>
          <w:rFonts w:ascii="Arial Narrow" w:hAnsi="Arial Narrow"/>
          <w:i/>
          <w:sz w:val="18"/>
          <w:szCs w:val="18"/>
        </w:rPr>
      </w:pPr>
      <w:r w:rsidRPr="00317748">
        <w:rPr>
          <w:rFonts w:ascii="Arial Narrow" w:hAnsi="Arial Narrow"/>
          <w:i/>
          <w:sz w:val="18"/>
          <w:szCs w:val="18"/>
          <w:vertAlign w:val="superscript"/>
        </w:rPr>
        <w:t xml:space="preserve">6 </w:t>
      </w:r>
      <w:r w:rsidR="00D01B67" w:rsidRPr="00D01B67">
        <w:rPr>
          <w:rFonts w:ascii="Arial Narrow" w:hAnsi="Arial Narrow"/>
          <w:i/>
          <w:sz w:val="18"/>
          <w:szCs w:val="18"/>
        </w:rPr>
        <w:t>$25,000 to &lt; $35,000</w:t>
      </w:r>
    </w:p>
    <w:p w14:paraId="58ED2EA1" w14:textId="4B09243D" w:rsidR="009A347F" w:rsidRPr="00317748" w:rsidRDefault="009A347F" w:rsidP="009A347F">
      <w:pPr>
        <w:rPr>
          <w:rFonts w:ascii="Arial Narrow" w:hAnsi="Arial Narrow"/>
          <w:i/>
          <w:sz w:val="18"/>
          <w:szCs w:val="18"/>
          <w:vertAlign w:val="superscript"/>
        </w:rPr>
      </w:pPr>
      <w:r w:rsidRPr="00317748">
        <w:rPr>
          <w:rFonts w:ascii="Arial Narrow" w:hAnsi="Arial Narrow"/>
          <w:i/>
          <w:sz w:val="18"/>
          <w:szCs w:val="18"/>
          <w:vertAlign w:val="superscript"/>
        </w:rPr>
        <w:t xml:space="preserve">7 </w:t>
      </w:r>
      <w:r w:rsidR="00D01B67" w:rsidRPr="00D01B67">
        <w:rPr>
          <w:rFonts w:ascii="Arial Narrow" w:hAnsi="Arial Narrow"/>
          <w:i/>
          <w:sz w:val="18"/>
          <w:szCs w:val="18"/>
        </w:rPr>
        <w:t>$45,000 to &lt; $55,000</w:t>
      </w:r>
    </w:p>
    <w:p w14:paraId="1E22C0AA" w14:textId="1AE8D0D6" w:rsidR="009A347F" w:rsidRDefault="009A347F" w:rsidP="009A347F">
      <w:pPr>
        <w:rPr>
          <w:rFonts w:ascii="Arial Narrow" w:hAnsi="Arial Narrow"/>
          <w:i/>
          <w:sz w:val="18"/>
          <w:szCs w:val="18"/>
        </w:rPr>
      </w:pPr>
      <w:r w:rsidRPr="00317748">
        <w:rPr>
          <w:rFonts w:ascii="Arial Narrow" w:hAnsi="Arial Narrow"/>
          <w:sz w:val="18"/>
          <w:szCs w:val="18"/>
          <w:vertAlign w:val="superscript"/>
        </w:rPr>
        <w:t xml:space="preserve">8 </w:t>
      </w:r>
      <w:r w:rsidR="00D01B67" w:rsidRPr="00D01B67">
        <w:rPr>
          <w:rFonts w:ascii="Arial Narrow" w:hAnsi="Arial Narrow"/>
          <w:i/>
          <w:sz w:val="18"/>
          <w:szCs w:val="18"/>
        </w:rPr>
        <w:t>$55,000 to &lt; $75,000</w:t>
      </w:r>
    </w:p>
    <w:p w14:paraId="20C0D5D4" w14:textId="62FF077B" w:rsidR="00D01B67" w:rsidRPr="00317748" w:rsidRDefault="00D01B67" w:rsidP="009A347F">
      <w:pPr>
        <w:rPr>
          <w:rFonts w:ascii="Arial Narrow" w:hAnsi="Arial Narrow"/>
          <w:i/>
          <w:sz w:val="18"/>
          <w:szCs w:val="18"/>
          <w:vertAlign w:val="superscript"/>
        </w:rPr>
      </w:pPr>
      <w:r>
        <w:rPr>
          <w:rFonts w:ascii="Arial Narrow" w:hAnsi="Arial Narrow"/>
          <w:sz w:val="18"/>
          <w:szCs w:val="18"/>
          <w:vertAlign w:val="superscript"/>
        </w:rPr>
        <w:t>9</w:t>
      </w:r>
      <w:r w:rsidRPr="00317748">
        <w:rPr>
          <w:rFonts w:ascii="Arial Narrow" w:hAnsi="Arial Narrow"/>
          <w:sz w:val="18"/>
          <w:szCs w:val="18"/>
          <w:vertAlign w:val="superscript"/>
        </w:rPr>
        <w:t xml:space="preserve"> </w:t>
      </w:r>
      <w:r w:rsidRPr="00D01B67">
        <w:rPr>
          <w:rFonts w:ascii="Arial Narrow" w:hAnsi="Arial Narrow"/>
          <w:i/>
          <w:sz w:val="18"/>
          <w:szCs w:val="18"/>
        </w:rPr>
        <w:t>$115,000 to &lt; $135,000</w:t>
      </w:r>
    </w:p>
    <w:p w14:paraId="6B46A69F" w14:textId="77777777" w:rsidR="009A347F" w:rsidRPr="00A42443" w:rsidRDefault="009A347F" w:rsidP="00C856F6">
      <w:pPr>
        <w:rPr>
          <w:iCs/>
          <w:szCs w:val="18"/>
        </w:rPr>
      </w:pPr>
    </w:p>
    <w:p w14:paraId="23790A32" w14:textId="0CC5FDF5" w:rsidR="00060C87" w:rsidRPr="007748E3" w:rsidRDefault="00857D23" w:rsidP="00AC5893">
      <w:pPr>
        <w:pStyle w:val="ExecSumBodyText"/>
        <w:ind w:left="709" w:hanging="709"/>
        <w:rPr>
          <w:rStyle w:val="CommentReference"/>
          <w:iCs/>
          <w:sz w:val="24"/>
          <w:szCs w:val="24"/>
        </w:rPr>
      </w:pPr>
      <w:r w:rsidRPr="007748E3">
        <w:rPr>
          <w:iCs/>
        </w:rPr>
        <w:t xml:space="preserve">During the evaluation, a multivariate sensitivity analysis was conducted based on using only one renal outcome treatment effect for </w:t>
      </w:r>
      <w:proofErr w:type="spellStart"/>
      <w:r w:rsidRPr="007748E3">
        <w:rPr>
          <w:iCs/>
        </w:rPr>
        <w:t>finerenone</w:t>
      </w:r>
      <w:proofErr w:type="spellEnd"/>
      <w:r w:rsidRPr="007748E3">
        <w:rPr>
          <w:iCs/>
        </w:rPr>
        <w:t xml:space="preserve"> to avoid overlapping treatment effects (CKD effects were retained while dialysis effects were removed, as this was a more favourable scenario for </w:t>
      </w:r>
      <w:proofErr w:type="spellStart"/>
      <w:r w:rsidRPr="007748E3">
        <w:rPr>
          <w:iCs/>
        </w:rPr>
        <w:t>finerenone</w:t>
      </w:r>
      <w:proofErr w:type="spellEnd"/>
      <w:r w:rsidRPr="007748E3">
        <w:rPr>
          <w:iCs/>
        </w:rPr>
        <w:t>) and alternative costing estimates for dialysis (AIHW health inflation index and no double counting of access costs). The multivariate analysis was further tested with additional sensitivity analyses exploring the impact of population characteristics.</w:t>
      </w:r>
      <w:r w:rsidR="00060C87" w:rsidRPr="00CF7D68">
        <w:rPr>
          <w:rStyle w:val="CommentReference"/>
          <w:iCs/>
          <w:sz w:val="20"/>
          <w:szCs w:val="22"/>
        </w:rPr>
        <w:t xml:space="preserve"> </w:t>
      </w:r>
    </w:p>
    <w:p w14:paraId="1EFE8928" w14:textId="2446B1C1" w:rsidR="00AC5893" w:rsidRPr="00CF7D68" w:rsidRDefault="00AC5893" w:rsidP="00A11ED5">
      <w:pPr>
        <w:pStyle w:val="TableHeading"/>
      </w:pPr>
      <w:bookmarkStart w:id="51" w:name="_Ref110786964"/>
      <w:r w:rsidRPr="00CF7D68">
        <w:t xml:space="preserve">Table </w:t>
      </w:r>
      <w:fldSimple w:instr=" SEQ Table \* ARABIC ">
        <w:r w:rsidR="00AE5D6E">
          <w:rPr>
            <w:noProof/>
          </w:rPr>
          <w:t>16</w:t>
        </w:r>
      </w:fldSimple>
      <w:bookmarkEnd w:id="51"/>
      <w:r w:rsidRPr="00CF7D68">
        <w:t xml:space="preserve">: </w:t>
      </w:r>
      <w:r w:rsidRPr="00CF7D68">
        <w:rPr>
          <w:rStyle w:val="CommentReference"/>
          <w:sz w:val="20"/>
          <w:szCs w:val="22"/>
        </w:rPr>
        <w:t>Multivariate sensitivity analyses</w:t>
      </w:r>
    </w:p>
    <w:tbl>
      <w:tblPr>
        <w:tblW w:w="9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80"/>
        <w:gridCol w:w="1658"/>
        <w:gridCol w:w="1659"/>
        <w:gridCol w:w="1232"/>
      </w:tblGrid>
      <w:tr w:rsidR="00060C87" w:rsidRPr="00CF7D68" w14:paraId="14BCC776" w14:textId="77777777" w:rsidTr="00BD693B">
        <w:trPr>
          <w:tblHeader/>
        </w:trPr>
        <w:tc>
          <w:tcPr>
            <w:tcW w:w="4480" w:type="dxa"/>
            <w:tcMar>
              <w:top w:w="0" w:type="dxa"/>
              <w:left w:w="108" w:type="dxa"/>
              <w:bottom w:w="0" w:type="dxa"/>
              <w:right w:w="108" w:type="dxa"/>
            </w:tcMar>
            <w:hideMark/>
          </w:tcPr>
          <w:p w14:paraId="7588DF07" w14:textId="77777777" w:rsidR="00060C87" w:rsidRPr="00CF7D68" w:rsidRDefault="00060C87" w:rsidP="00E02F9D">
            <w:pPr>
              <w:pStyle w:val="Tabletext0"/>
              <w:keepNext/>
              <w:keepLines/>
              <w:rPr>
                <w:szCs w:val="20"/>
              </w:rPr>
            </w:pPr>
            <w:r w:rsidRPr="00CF7D68">
              <w:rPr>
                <w:b/>
                <w:bCs/>
                <w:szCs w:val="20"/>
              </w:rPr>
              <w:t>Analyses</w:t>
            </w:r>
          </w:p>
        </w:tc>
        <w:tc>
          <w:tcPr>
            <w:tcW w:w="1658" w:type="dxa"/>
            <w:tcMar>
              <w:top w:w="0" w:type="dxa"/>
              <w:left w:w="108" w:type="dxa"/>
              <w:bottom w:w="0" w:type="dxa"/>
              <w:right w:w="108" w:type="dxa"/>
            </w:tcMar>
            <w:hideMark/>
          </w:tcPr>
          <w:p w14:paraId="1EE0F898" w14:textId="77777777" w:rsidR="00060C87" w:rsidRPr="00CF7D68" w:rsidRDefault="00060C87" w:rsidP="00E02F9D">
            <w:pPr>
              <w:pStyle w:val="Tabletext0"/>
              <w:keepNext/>
              <w:keepLines/>
              <w:jc w:val="center"/>
              <w:rPr>
                <w:b/>
                <w:bCs/>
                <w:szCs w:val="20"/>
              </w:rPr>
            </w:pPr>
            <w:r w:rsidRPr="00CF7D68">
              <w:rPr>
                <w:b/>
                <w:bCs/>
                <w:szCs w:val="20"/>
              </w:rPr>
              <w:t>Incremental cost</w:t>
            </w:r>
          </w:p>
        </w:tc>
        <w:tc>
          <w:tcPr>
            <w:tcW w:w="1659" w:type="dxa"/>
            <w:tcMar>
              <w:top w:w="0" w:type="dxa"/>
              <w:left w:w="108" w:type="dxa"/>
              <w:bottom w:w="0" w:type="dxa"/>
              <w:right w:w="108" w:type="dxa"/>
            </w:tcMar>
            <w:hideMark/>
          </w:tcPr>
          <w:p w14:paraId="37ADAC2C" w14:textId="77777777" w:rsidR="00060C87" w:rsidRPr="00CF7D68" w:rsidRDefault="00060C87" w:rsidP="00E02F9D">
            <w:pPr>
              <w:pStyle w:val="Tabletext0"/>
              <w:keepNext/>
              <w:keepLines/>
              <w:jc w:val="center"/>
              <w:rPr>
                <w:b/>
                <w:bCs/>
                <w:szCs w:val="20"/>
              </w:rPr>
            </w:pPr>
            <w:r w:rsidRPr="00CF7D68">
              <w:rPr>
                <w:b/>
                <w:bCs/>
                <w:szCs w:val="20"/>
              </w:rPr>
              <w:t>Incremental QALY</w:t>
            </w:r>
          </w:p>
        </w:tc>
        <w:tc>
          <w:tcPr>
            <w:tcW w:w="1232" w:type="dxa"/>
            <w:tcMar>
              <w:top w:w="0" w:type="dxa"/>
              <w:left w:w="108" w:type="dxa"/>
              <w:bottom w:w="0" w:type="dxa"/>
              <w:right w:w="108" w:type="dxa"/>
            </w:tcMar>
            <w:hideMark/>
          </w:tcPr>
          <w:p w14:paraId="1CB2DC5E" w14:textId="77777777" w:rsidR="00060C87" w:rsidRPr="00CF7D68" w:rsidRDefault="00060C87" w:rsidP="00E02F9D">
            <w:pPr>
              <w:pStyle w:val="Tabletext0"/>
              <w:keepNext/>
              <w:keepLines/>
              <w:jc w:val="center"/>
              <w:rPr>
                <w:b/>
                <w:bCs/>
                <w:szCs w:val="20"/>
              </w:rPr>
            </w:pPr>
            <w:r w:rsidRPr="00CF7D68">
              <w:rPr>
                <w:b/>
                <w:bCs/>
                <w:szCs w:val="20"/>
              </w:rPr>
              <w:t>ICER</w:t>
            </w:r>
          </w:p>
        </w:tc>
      </w:tr>
      <w:tr w:rsidR="00060C87" w:rsidRPr="00CF7D68" w14:paraId="0743CDF1" w14:textId="77777777" w:rsidTr="00BD693B">
        <w:tc>
          <w:tcPr>
            <w:tcW w:w="4480" w:type="dxa"/>
            <w:tcMar>
              <w:top w:w="0" w:type="dxa"/>
              <w:left w:w="108" w:type="dxa"/>
              <w:bottom w:w="0" w:type="dxa"/>
              <w:right w:w="108" w:type="dxa"/>
            </w:tcMar>
            <w:hideMark/>
          </w:tcPr>
          <w:p w14:paraId="293CAE05" w14:textId="77777777" w:rsidR="00060C87" w:rsidRPr="00CF7D68" w:rsidRDefault="00060C87" w:rsidP="00E02F9D">
            <w:pPr>
              <w:pStyle w:val="Tabletext0"/>
              <w:keepNext/>
              <w:keepLines/>
              <w:rPr>
                <w:b/>
                <w:bCs/>
                <w:szCs w:val="20"/>
                <w:vertAlign w:val="superscript"/>
              </w:rPr>
            </w:pPr>
            <w:r w:rsidRPr="00CF7D68">
              <w:rPr>
                <w:b/>
                <w:bCs/>
                <w:szCs w:val="20"/>
              </w:rPr>
              <w:t>Original base case</w:t>
            </w:r>
          </w:p>
        </w:tc>
        <w:tc>
          <w:tcPr>
            <w:tcW w:w="1658" w:type="dxa"/>
            <w:tcMar>
              <w:top w:w="0" w:type="dxa"/>
              <w:left w:w="108" w:type="dxa"/>
              <w:bottom w:w="0" w:type="dxa"/>
              <w:right w:w="108" w:type="dxa"/>
            </w:tcMar>
          </w:tcPr>
          <w:p w14:paraId="17ECB97B" w14:textId="2B01680A" w:rsidR="00060C87" w:rsidRPr="00CF7D68" w:rsidRDefault="00060C87" w:rsidP="00E02F9D">
            <w:pPr>
              <w:pStyle w:val="Tabletext0"/>
              <w:keepNext/>
              <w:keepLines/>
              <w:jc w:val="center"/>
              <w:rPr>
                <w:b/>
                <w:bCs/>
                <w:szCs w:val="20"/>
              </w:rPr>
            </w:pPr>
            <w:r w:rsidRPr="00CF7D68">
              <w:rPr>
                <w:b/>
                <w:bCs/>
                <w:szCs w:val="20"/>
              </w:rPr>
              <w:t>$</w:t>
            </w:r>
            <w:r w:rsidR="00A973A1" w:rsidRPr="00A973A1">
              <w:rPr>
                <w:b/>
                <w:bCs/>
                <w:color w:val="000000"/>
                <w:szCs w:val="20"/>
                <w:shd w:val="solid" w:color="000000" w:fill="000000"/>
                <w14:textFill>
                  <w14:solidFill>
                    <w14:srgbClr w14:val="000000">
                      <w14:alpha w14:val="100000"/>
                    </w14:srgbClr>
                  </w14:solidFill>
                </w14:textFill>
              </w:rPr>
              <w:t>|</w:t>
            </w:r>
          </w:p>
        </w:tc>
        <w:tc>
          <w:tcPr>
            <w:tcW w:w="1659" w:type="dxa"/>
            <w:tcMar>
              <w:top w:w="0" w:type="dxa"/>
              <w:left w:w="108" w:type="dxa"/>
              <w:bottom w:w="0" w:type="dxa"/>
              <w:right w:w="108" w:type="dxa"/>
            </w:tcMar>
          </w:tcPr>
          <w:p w14:paraId="6F9457FB" w14:textId="77777777" w:rsidR="00060C87" w:rsidRPr="00CF7D68" w:rsidRDefault="00060C87" w:rsidP="00E02F9D">
            <w:pPr>
              <w:pStyle w:val="Tabletext0"/>
              <w:keepNext/>
              <w:keepLines/>
              <w:jc w:val="center"/>
              <w:rPr>
                <w:b/>
                <w:bCs/>
                <w:szCs w:val="20"/>
              </w:rPr>
            </w:pPr>
            <w:r w:rsidRPr="00CF7D68">
              <w:rPr>
                <w:b/>
                <w:bCs/>
                <w:szCs w:val="20"/>
              </w:rPr>
              <w:t>0.0775</w:t>
            </w:r>
          </w:p>
        </w:tc>
        <w:tc>
          <w:tcPr>
            <w:tcW w:w="1232" w:type="dxa"/>
            <w:tcMar>
              <w:top w:w="0" w:type="dxa"/>
              <w:left w:w="108" w:type="dxa"/>
              <w:bottom w:w="0" w:type="dxa"/>
              <w:right w:w="108" w:type="dxa"/>
            </w:tcMar>
          </w:tcPr>
          <w:p w14:paraId="29003025" w14:textId="463956C4" w:rsidR="00060C87" w:rsidRPr="00C856F6" w:rsidRDefault="00060C87" w:rsidP="00E02F9D">
            <w:pPr>
              <w:pStyle w:val="Tabletext0"/>
              <w:keepNext/>
              <w:keepLines/>
              <w:jc w:val="center"/>
              <w:rPr>
                <w:b/>
                <w:bCs/>
                <w:szCs w:val="20"/>
                <w:vertAlign w:val="superscript"/>
              </w:rPr>
            </w:pPr>
            <w:r w:rsidRPr="00CF7D68">
              <w:rPr>
                <w:b/>
                <w:bCs/>
                <w:szCs w:val="20"/>
              </w:rPr>
              <w:t>$</w:t>
            </w:r>
            <w:r w:rsidR="00A973A1" w:rsidRPr="00A973A1">
              <w:rPr>
                <w:b/>
                <w:bCs/>
                <w:color w:val="000000"/>
                <w:spacing w:val="71"/>
                <w:szCs w:val="20"/>
                <w:shd w:val="solid" w:color="000000" w:fill="000000"/>
                <w:fitText w:val="163" w:id="-1435844344"/>
                <w14:textFill>
                  <w14:solidFill>
                    <w14:srgbClr w14:val="000000">
                      <w14:alpha w14:val="100000"/>
                    </w14:srgbClr>
                  </w14:solidFill>
                </w14:textFill>
              </w:rPr>
              <w:t>|</w:t>
            </w:r>
            <w:r w:rsidR="00A973A1" w:rsidRPr="00A973A1">
              <w:rPr>
                <w:b/>
                <w:bCs/>
                <w:color w:val="000000"/>
                <w:spacing w:val="1"/>
                <w:szCs w:val="20"/>
                <w:shd w:val="solid" w:color="000000" w:fill="000000"/>
                <w:fitText w:val="163" w:id="-1435844344"/>
                <w14:textFill>
                  <w14:solidFill>
                    <w14:srgbClr w14:val="000000">
                      <w14:alpha w14:val="100000"/>
                    </w14:srgbClr>
                  </w14:solidFill>
                </w14:textFill>
              </w:rPr>
              <w:t>|</w:t>
            </w:r>
            <w:r w:rsidR="002B2998">
              <w:rPr>
                <w:szCs w:val="20"/>
                <w:vertAlign w:val="superscript"/>
              </w:rPr>
              <w:t>1</w:t>
            </w:r>
          </w:p>
        </w:tc>
      </w:tr>
      <w:tr w:rsidR="00060C87" w:rsidRPr="00CF7D68" w14:paraId="6F996B92" w14:textId="77777777" w:rsidTr="00BD693B">
        <w:tc>
          <w:tcPr>
            <w:tcW w:w="4480" w:type="dxa"/>
            <w:tcMar>
              <w:top w:w="0" w:type="dxa"/>
              <w:left w:w="108" w:type="dxa"/>
              <w:bottom w:w="0" w:type="dxa"/>
              <w:right w:w="108" w:type="dxa"/>
            </w:tcMar>
          </w:tcPr>
          <w:p w14:paraId="4F404980" w14:textId="17A5F6A9" w:rsidR="00060C87" w:rsidRPr="00CF7D68" w:rsidRDefault="00E80F66" w:rsidP="00E02F9D">
            <w:pPr>
              <w:pStyle w:val="Tabletext0"/>
              <w:keepNext/>
              <w:keepLines/>
              <w:rPr>
                <w:bCs/>
                <w:iCs/>
                <w:szCs w:val="20"/>
              </w:rPr>
            </w:pPr>
            <w:r w:rsidRPr="00CF7D68">
              <w:rPr>
                <w:bCs/>
                <w:iCs/>
                <w:szCs w:val="20"/>
              </w:rPr>
              <w:t xml:space="preserve">Alternative </w:t>
            </w:r>
            <w:r w:rsidR="00060C87" w:rsidRPr="00CF7D68">
              <w:rPr>
                <w:bCs/>
                <w:iCs/>
                <w:szCs w:val="20"/>
              </w:rPr>
              <w:t>base case (no dialysis access surgery costs, AIHW health inflation index for dialysis cost estimates; dialysis treatment effects removed)</w:t>
            </w:r>
          </w:p>
        </w:tc>
        <w:tc>
          <w:tcPr>
            <w:tcW w:w="1658" w:type="dxa"/>
            <w:tcMar>
              <w:top w:w="0" w:type="dxa"/>
              <w:left w:w="108" w:type="dxa"/>
              <w:bottom w:w="0" w:type="dxa"/>
              <w:right w:w="108" w:type="dxa"/>
            </w:tcMar>
            <w:vAlign w:val="center"/>
          </w:tcPr>
          <w:p w14:paraId="7050A11E" w14:textId="45A2A3BD" w:rsidR="00060C87" w:rsidRPr="00CF7D68" w:rsidRDefault="00060C87" w:rsidP="00E02F9D">
            <w:pPr>
              <w:pStyle w:val="Tabletext0"/>
              <w:keepNext/>
              <w:keepLines/>
              <w:jc w:val="center"/>
              <w:rPr>
                <w:bCs/>
                <w:iCs/>
                <w:szCs w:val="20"/>
              </w:rPr>
            </w:pPr>
            <w:r w:rsidRPr="00CF7D68">
              <w:rPr>
                <w:bCs/>
                <w:iCs/>
                <w:szCs w:val="20"/>
              </w:rPr>
              <w:t>$</w:t>
            </w:r>
            <w:r w:rsidR="00A973A1" w:rsidRPr="00A973A1">
              <w:rPr>
                <w:bCs/>
                <w:iCs/>
                <w:color w:val="000000"/>
                <w:szCs w:val="20"/>
                <w:shd w:val="solid" w:color="000000" w:fill="000000"/>
                <w14:textFill>
                  <w14:solidFill>
                    <w14:srgbClr w14:val="000000">
                      <w14:alpha w14:val="100000"/>
                    </w14:srgbClr>
                  </w14:solidFill>
                </w14:textFill>
              </w:rPr>
              <w:t>|</w:t>
            </w:r>
          </w:p>
        </w:tc>
        <w:tc>
          <w:tcPr>
            <w:tcW w:w="1659" w:type="dxa"/>
            <w:tcMar>
              <w:top w:w="0" w:type="dxa"/>
              <w:left w:w="108" w:type="dxa"/>
              <w:bottom w:w="0" w:type="dxa"/>
              <w:right w:w="108" w:type="dxa"/>
            </w:tcMar>
            <w:vAlign w:val="center"/>
          </w:tcPr>
          <w:p w14:paraId="6041F222" w14:textId="77777777" w:rsidR="00060C87" w:rsidRPr="00CF7D68" w:rsidRDefault="00060C87" w:rsidP="00E02F9D">
            <w:pPr>
              <w:pStyle w:val="Tabletext0"/>
              <w:keepNext/>
              <w:keepLines/>
              <w:jc w:val="center"/>
              <w:rPr>
                <w:bCs/>
                <w:iCs/>
                <w:szCs w:val="20"/>
              </w:rPr>
            </w:pPr>
            <w:r w:rsidRPr="00CF7D68">
              <w:rPr>
                <w:bCs/>
                <w:iCs/>
                <w:szCs w:val="20"/>
              </w:rPr>
              <w:t>0.0679</w:t>
            </w:r>
          </w:p>
        </w:tc>
        <w:tc>
          <w:tcPr>
            <w:tcW w:w="1232" w:type="dxa"/>
            <w:tcMar>
              <w:top w:w="0" w:type="dxa"/>
              <w:left w:w="108" w:type="dxa"/>
              <w:bottom w:w="0" w:type="dxa"/>
              <w:right w:w="108" w:type="dxa"/>
            </w:tcMar>
            <w:vAlign w:val="center"/>
          </w:tcPr>
          <w:p w14:paraId="5CF2F477" w14:textId="08C60193" w:rsidR="00060C87" w:rsidRPr="00CF7D68" w:rsidRDefault="00060C87" w:rsidP="00E02F9D">
            <w:pPr>
              <w:pStyle w:val="Tabletext0"/>
              <w:keepNext/>
              <w:keepLines/>
              <w:jc w:val="center"/>
              <w:rPr>
                <w:bCs/>
                <w:iCs/>
                <w:szCs w:val="20"/>
              </w:rPr>
            </w:pPr>
            <w:r w:rsidRPr="00CF7D68">
              <w:rPr>
                <w:bCs/>
                <w:iCs/>
                <w:szCs w:val="20"/>
              </w:rPr>
              <w:t>$</w:t>
            </w:r>
            <w:r w:rsidR="00A973A1" w:rsidRPr="00A973A1">
              <w:rPr>
                <w:rFonts w:hint="eastAsia"/>
                <w:bCs/>
                <w:iCs/>
                <w:color w:val="000000"/>
                <w:w w:val="25"/>
                <w:szCs w:val="20"/>
                <w:shd w:val="solid" w:color="000000" w:fill="000000"/>
                <w:fitText w:val="113" w:id="-1435844343"/>
                <w14:textFill>
                  <w14:solidFill>
                    <w14:srgbClr w14:val="000000">
                      <w14:alpha w14:val="100000"/>
                    </w14:srgbClr>
                  </w14:solidFill>
                </w14:textFill>
              </w:rPr>
              <w:t xml:space="preserve">　</w:t>
            </w:r>
            <w:r w:rsidR="00A973A1" w:rsidRPr="00A973A1">
              <w:rPr>
                <w:bCs/>
                <w:iCs/>
                <w:color w:val="000000"/>
                <w:w w:val="25"/>
                <w:szCs w:val="20"/>
                <w:shd w:val="solid" w:color="000000" w:fill="000000"/>
                <w:fitText w:val="113" w:id="-1435844343"/>
                <w14:textFill>
                  <w14:solidFill>
                    <w14:srgbClr w14:val="000000">
                      <w14:alpha w14:val="100000"/>
                    </w14:srgbClr>
                  </w14:solidFill>
                </w14:textFill>
              </w:rPr>
              <w:t>|</w:t>
            </w:r>
            <w:r w:rsidR="00A973A1" w:rsidRPr="00A973A1">
              <w:rPr>
                <w:rFonts w:hint="eastAsia"/>
                <w:bCs/>
                <w:iCs/>
                <w:color w:val="000000"/>
                <w:spacing w:val="2"/>
                <w:w w:val="25"/>
                <w:szCs w:val="20"/>
                <w:shd w:val="solid" w:color="000000" w:fill="000000"/>
                <w:fitText w:val="113" w:id="-1435844343"/>
                <w14:textFill>
                  <w14:solidFill>
                    <w14:srgbClr w14:val="000000">
                      <w14:alpha w14:val="100000"/>
                    </w14:srgbClr>
                  </w14:solidFill>
                </w14:textFill>
              </w:rPr>
              <w:t xml:space="preserve">　</w:t>
            </w:r>
            <w:r w:rsidR="002B2998">
              <w:rPr>
                <w:szCs w:val="20"/>
                <w:vertAlign w:val="superscript"/>
              </w:rPr>
              <w:t>2</w:t>
            </w:r>
          </w:p>
        </w:tc>
      </w:tr>
      <w:tr w:rsidR="00060C87" w:rsidRPr="00CF7D68" w14:paraId="57EA5254" w14:textId="77777777" w:rsidTr="00BD693B">
        <w:tc>
          <w:tcPr>
            <w:tcW w:w="9029" w:type="dxa"/>
            <w:gridSpan w:val="4"/>
            <w:tcMar>
              <w:top w:w="0" w:type="dxa"/>
              <w:left w:w="108" w:type="dxa"/>
              <w:bottom w:w="0" w:type="dxa"/>
              <w:right w:w="108" w:type="dxa"/>
            </w:tcMar>
          </w:tcPr>
          <w:p w14:paraId="6BC0A0EB" w14:textId="30F1E953" w:rsidR="00060C87" w:rsidRPr="00CF7D68" w:rsidRDefault="00060C87" w:rsidP="00E02F9D">
            <w:pPr>
              <w:pStyle w:val="Tabletext0"/>
              <w:keepNext/>
              <w:keepLines/>
              <w:rPr>
                <w:szCs w:val="20"/>
              </w:rPr>
            </w:pPr>
            <w:r w:rsidRPr="00CF7D68">
              <w:rPr>
                <w:b/>
                <w:bCs/>
                <w:szCs w:val="20"/>
              </w:rPr>
              <w:t xml:space="preserve">Patient population (base case: mean age 64.8 years; CKD </w:t>
            </w:r>
            <w:r w:rsidR="00A433E4" w:rsidRPr="00CF7D68">
              <w:rPr>
                <w:b/>
                <w:bCs/>
                <w:szCs w:val="20"/>
              </w:rPr>
              <w:t>½</w:t>
            </w:r>
            <w:r w:rsidRPr="00CF7D68">
              <w:rPr>
                <w:b/>
                <w:bCs/>
                <w:szCs w:val="20"/>
              </w:rPr>
              <w:t>: 39.9%, CKD3: 53.3%, CKD4: 6.8%; male: 69.8%)</w:t>
            </w:r>
          </w:p>
        </w:tc>
      </w:tr>
      <w:tr w:rsidR="00060C87" w:rsidRPr="00CF7D68" w14:paraId="6D3667E2" w14:textId="77777777" w:rsidTr="00BD693B">
        <w:tc>
          <w:tcPr>
            <w:tcW w:w="4480" w:type="dxa"/>
            <w:tcMar>
              <w:top w:w="0" w:type="dxa"/>
              <w:left w:w="108" w:type="dxa"/>
              <w:bottom w:w="0" w:type="dxa"/>
              <w:right w:w="108" w:type="dxa"/>
            </w:tcMar>
          </w:tcPr>
          <w:p w14:paraId="53653D33" w14:textId="4FD8FFFA" w:rsidR="00060C87" w:rsidRPr="00CF7D68" w:rsidRDefault="00060C87" w:rsidP="00E02F9D">
            <w:pPr>
              <w:pStyle w:val="Tabletext0"/>
              <w:keepNext/>
              <w:keepLines/>
              <w:rPr>
                <w:iCs/>
                <w:szCs w:val="20"/>
              </w:rPr>
            </w:pPr>
            <w:r w:rsidRPr="00CF7D68">
              <w:rPr>
                <w:iCs/>
                <w:szCs w:val="20"/>
              </w:rPr>
              <w:t xml:space="preserve">Assume all patients in CKD </w:t>
            </w:r>
            <w:r w:rsidR="00E81C72">
              <w:rPr>
                <w:iCs/>
                <w:szCs w:val="20"/>
              </w:rPr>
              <w:t>1/2</w:t>
            </w:r>
            <w:r w:rsidR="00E81C72" w:rsidRPr="00CF7D68">
              <w:rPr>
                <w:iCs/>
                <w:szCs w:val="20"/>
              </w:rPr>
              <w:t xml:space="preserve"> </w:t>
            </w:r>
            <w:r w:rsidRPr="00CF7D68">
              <w:rPr>
                <w:iCs/>
                <w:szCs w:val="20"/>
              </w:rPr>
              <w:t>at baseline</w:t>
            </w:r>
          </w:p>
        </w:tc>
        <w:tc>
          <w:tcPr>
            <w:tcW w:w="1658" w:type="dxa"/>
            <w:tcMar>
              <w:top w:w="0" w:type="dxa"/>
              <w:left w:w="108" w:type="dxa"/>
              <w:bottom w:w="0" w:type="dxa"/>
              <w:right w:w="108" w:type="dxa"/>
            </w:tcMar>
          </w:tcPr>
          <w:p w14:paraId="6DE9C1D0" w14:textId="3B01C15B" w:rsidR="00060C87" w:rsidRPr="00CF7D68" w:rsidRDefault="00060C87" w:rsidP="00E02F9D">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659" w:type="dxa"/>
            <w:tcMar>
              <w:top w:w="0" w:type="dxa"/>
              <w:left w:w="108" w:type="dxa"/>
              <w:bottom w:w="0" w:type="dxa"/>
              <w:right w:w="108" w:type="dxa"/>
            </w:tcMar>
          </w:tcPr>
          <w:p w14:paraId="3BBD452B" w14:textId="77777777" w:rsidR="00060C87" w:rsidRPr="00CF7D68" w:rsidRDefault="00060C87" w:rsidP="00E02F9D">
            <w:pPr>
              <w:pStyle w:val="Tabletext0"/>
              <w:keepNext/>
              <w:keepLines/>
              <w:jc w:val="center"/>
              <w:rPr>
                <w:iCs/>
                <w:szCs w:val="20"/>
              </w:rPr>
            </w:pPr>
            <w:r w:rsidRPr="00CF7D68">
              <w:rPr>
                <w:iCs/>
                <w:szCs w:val="20"/>
              </w:rPr>
              <w:t>0.0604</w:t>
            </w:r>
          </w:p>
        </w:tc>
        <w:tc>
          <w:tcPr>
            <w:tcW w:w="1232" w:type="dxa"/>
            <w:tcMar>
              <w:top w:w="0" w:type="dxa"/>
              <w:left w:w="108" w:type="dxa"/>
              <w:bottom w:w="0" w:type="dxa"/>
              <w:right w:w="108" w:type="dxa"/>
            </w:tcMar>
          </w:tcPr>
          <w:p w14:paraId="67135F28" w14:textId="4F503A06" w:rsidR="00060C87" w:rsidRPr="00C856F6" w:rsidRDefault="00060C87" w:rsidP="00E02F9D">
            <w:pPr>
              <w:pStyle w:val="Tabletext0"/>
              <w:keepNext/>
              <w:keepLines/>
              <w:jc w:val="center"/>
              <w:rPr>
                <w:iCs/>
                <w:szCs w:val="20"/>
                <w:vertAlign w:val="superscript"/>
              </w:rPr>
            </w:pPr>
            <w:r w:rsidRPr="00CF7D68">
              <w:rPr>
                <w:iCs/>
                <w:szCs w:val="20"/>
              </w:rPr>
              <w:t>$</w:t>
            </w:r>
            <w:r w:rsidR="00A973A1" w:rsidRPr="00A973A1">
              <w:rPr>
                <w:rFonts w:hint="eastAsia"/>
                <w:iCs/>
                <w:color w:val="000000"/>
                <w:w w:val="25"/>
                <w:szCs w:val="20"/>
                <w:shd w:val="solid" w:color="000000" w:fill="000000"/>
                <w:fitText w:val="113" w:id="-1435844342"/>
                <w14:textFill>
                  <w14:solidFill>
                    <w14:srgbClr w14:val="000000">
                      <w14:alpha w14:val="100000"/>
                    </w14:srgbClr>
                  </w14:solidFill>
                </w14:textFill>
              </w:rPr>
              <w:t xml:space="preserve">　</w:t>
            </w:r>
            <w:r w:rsidR="00A973A1" w:rsidRPr="00A973A1">
              <w:rPr>
                <w:iCs/>
                <w:color w:val="000000"/>
                <w:w w:val="25"/>
                <w:szCs w:val="20"/>
                <w:shd w:val="solid" w:color="000000" w:fill="000000"/>
                <w:fitText w:val="113" w:id="-1435844342"/>
                <w14:textFill>
                  <w14:solidFill>
                    <w14:srgbClr w14:val="000000">
                      <w14:alpha w14:val="100000"/>
                    </w14:srgbClr>
                  </w14:solidFill>
                </w14:textFill>
              </w:rPr>
              <w:t>|</w:t>
            </w:r>
            <w:r w:rsidR="00A973A1" w:rsidRPr="00A973A1">
              <w:rPr>
                <w:rFonts w:hint="eastAsia"/>
                <w:iCs/>
                <w:color w:val="000000"/>
                <w:spacing w:val="2"/>
                <w:w w:val="25"/>
                <w:szCs w:val="20"/>
                <w:shd w:val="solid" w:color="000000" w:fill="000000"/>
                <w:fitText w:val="113" w:id="-1435844342"/>
                <w14:textFill>
                  <w14:solidFill>
                    <w14:srgbClr w14:val="000000">
                      <w14:alpha w14:val="100000"/>
                    </w14:srgbClr>
                  </w14:solidFill>
                </w14:textFill>
              </w:rPr>
              <w:t xml:space="preserve">　</w:t>
            </w:r>
            <w:r w:rsidR="002B2998">
              <w:rPr>
                <w:iCs/>
                <w:szCs w:val="20"/>
                <w:vertAlign w:val="superscript"/>
              </w:rPr>
              <w:t>3</w:t>
            </w:r>
          </w:p>
        </w:tc>
      </w:tr>
      <w:tr w:rsidR="00060C87" w:rsidRPr="00CF7D68" w14:paraId="5B5C4588" w14:textId="77777777" w:rsidTr="00BD693B">
        <w:tc>
          <w:tcPr>
            <w:tcW w:w="4480" w:type="dxa"/>
            <w:tcMar>
              <w:top w:w="0" w:type="dxa"/>
              <w:left w:w="108" w:type="dxa"/>
              <w:bottom w:w="0" w:type="dxa"/>
              <w:right w:w="108" w:type="dxa"/>
            </w:tcMar>
          </w:tcPr>
          <w:p w14:paraId="5B3C2796" w14:textId="77777777" w:rsidR="00060C87" w:rsidRPr="00CF7D68" w:rsidRDefault="00060C87" w:rsidP="00E02F9D">
            <w:pPr>
              <w:pStyle w:val="Tabletext0"/>
              <w:keepNext/>
              <w:keepLines/>
              <w:rPr>
                <w:iCs/>
                <w:szCs w:val="20"/>
              </w:rPr>
            </w:pPr>
            <w:r w:rsidRPr="00CF7D68">
              <w:rPr>
                <w:iCs/>
                <w:szCs w:val="20"/>
              </w:rPr>
              <w:t>Assume all patients in CKD 3 at baseline</w:t>
            </w:r>
          </w:p>
        </w:tc>
        <w:tc>
          <w:tcPr>
            <w:tcW w:w="1658" w:type="dxa"/>
            <w:tcMar>
              <w:top w:w="0" w:type="dxa"/>
              <w:left w:w="108" w:type="dxa"/>
              <w:bottom w:w="0" w:type="dxa"/>
              <w:right w:w="108" w:type="dxa"/>
            </w:tcMar>
          </w:tcPr>
          <w:p w14:paraId="2DC78148" w14:textId="178BBAB5" w:rsidR="00060C87" w:rsidRPr="00CF7D68" w:rsidRDefault="00060C87" w:rsidP="00E02F9D">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659" w:type="dxa"/>
            <w:tcMar>
              <w:top w:w="0" w:type="dxa"/>
              <w:left w:w="108" w:type="dxa"/>
              <w:bottom w:w="0" w:type="dxa"/>
              <w:right w:w="108" w:type="dxa"/>
            </w:tcMar>
          </w:tcPr>
          <w:p w14:paraId="59B76E30" w14:textId="77777777" w:rsidR="00060C87" w:rsidRPr="00CF7D68" w:rsidRDefault="00060C87" w:rsidP="00E02F9D">
            <w:pPr>
              <w:pStyle w:val="Tabletext0"/>
              <w:keepNext/>
              <w:keepLines/>
              <w:jc w:val="center"/>
              <w:rPr>
                <w:iCs/>
                <w:szCs w:val="20"/>
              </w:rPr>
            </w:pPr>
            <w:r w:rsidRPr="00CF7D68">
              <w:rPr>
                <w:iCs/>
                <w:szCs w:val="20"/>
              </w:rPr>
              <w:t>0.0699</w:t>
            </w:r>
          </w:p>
        </w:tc>
        <w:tc>
          <w:tcPr>
            <w:tcW w:w="1232" w:type="dxa"/>
            <w:tcMar>
              <w:top w:w="0" w:type="dxa"/>
              <w:left w:w="108" w:type="dxa"/>
              <w:bottom w:w="0" w:type="dxa"/>
              <w:right w:w="108" w:type="dxa"/>
            </w:tcMar>
          </w:tcPr>
          <w:p w14:paraId="6D0B08C4" w14:textId="6C9979B6" w:rsidR="00060C87" w:rsidRPr="00CF7D68" w:rsidRDefault="00060C87" w:rsidP="00E02F9D">
            <w:pPr>
              <w:pStyle w:val="Tabletext0"/>
              <w:keepNext/>
              <w:keepLines/>
              <w:jc w:val="center"/>
              <w:rPr>
                <w:iCs/>
                <w:szCs w:val="20"/>
              </w:rPr>
            </w:pPr>
            <w:r w:rsidRPr="00CF7D68">
              <w:rPr>
                <w:iCs/>
                <w:szCs w:val="20"/>
              </w:rPr>
              <w:t>$</w:t>
            </w:r>
            <w:r w:rsidR="00A973A1" w:rsidRPr="00A973A1">
              <w:rPr>
                <w:rFonts w:hint="eastAsia"/>
                <w:iCs/>
                <w:color w:val="000000"/>
                <w:w w:val="25"/>
                <w:szCs w:val="20"/>
                <w:shd w:val="solid" w:color="000000" w:fill="000000"/>
                <w:fitText w:val="113" w:id="-1435844341"/>
                <w14:textFill>
                  <w14:solidFill>
                    <w14:srgbClr w14:val="000000">
                      <w14:alpha w14:val="100000"/>
                    </w14:srgbClr>
                  </w14:solidFill>
                </w14:textFill>
              </w:rPr>
              <w:t xml:space="preserve">　</w:t>
            </w:r>
            <w:r w:rsidR="00A973A1" w:rsidRPr="00A973A1">
              <w:rPr>
                <w:iCs/>
                <w:color w:val="000000"/>
                <w:w w:val="25"/>
                <w:szCs w:val="20"/>
                <w:shd w:val="solid" w:color="000000" w:fill="000000"/>
                <w:fitText w:val="113" w:id="-1435844341"/>
                <w14:textFill>
                  <w14:solidFill>
                    <w14:srgbClr w14:val="000000">
                      <w14:alpha w14:val="100000"/>
                    </w14:srgbClr>
                  </w14:solidFill>
                </w14:textFill>
              </w:rPr>
              <w:t>|</w:t>
            </w:r>
            <w:r w:rsidR="00A973A1" w:rsidRPr="00A973A1">
              <w:rPr>
                <w:rFonts w:hint="eastAsia"/>
                <w:iCs/>
                <w:color w:val="000000"/>
                <w:spacing w:val="2"/>
                <w:w w:val="25"/>
                <w:szCs w:val="20"/>
                <w:shd w:val="solid" w:color="000000" w:fill="000000"/>
                <w:fitText w:val="113" w:id="-1435844341"/>
                <w14:textFill>
                  <w14:solidFill>
                    <w14:srgbClr w14:val="000000">
                      <w14:alpha w14:val="100000"/>
                    </w14:srgbClr>
                  </w14:solidFill>
                </w14:textFill>
              </w:rPr>
              <w:t xml:space="preserve">　</w:t>
            </w:r>
            <w:r w:rsidR="002B2998">
              <w:rPr>
                <w:szCs w:val="20"/>
                <w:vertAlign w:val="superscript"/>
              </w:rPr>
              <w:t>2</w:t>
            </w:r>
          </w:p>
        </w:tc>
      </w:tr>
      <w:tr w:rsidR="00060C87" w:rsidRPr="00CF7D68" w14:paraId="7EBC6A4A" w14:textId="77777777" w:rsidTr="00BD693B">
        <w:tc>
          <w:tcPr>
            <w:tcW w:w="4480" w:type="dxa"/>
            <w:tcMar>
              <w:top w:w="0" w:type="dxa"/>
              <w:left w:w="108" w:type="dxa"/>
              <w:bottom w:w="0" w:type="dxa"/>
              <w:right w:w="108" w:type="dxa"/>
            </w:tcMar>
          </w:tcPr>
          <w:p w14:paraId="7DE455D5" w14:textId="77777777" w:rsidR="00060C87" w:rsidRPr="00CF7D68" w:rsidRDefault="00060C87" w:rsidP="00E02F9D">
            <w:pPr>
              <w:pStyle w:val="Tabletext0"/>
              <w:keepNext/>
              <w:keepLines/>
              <w:rPr>
                <w:iCs/>
                <w:szCs w:val="20"/>
              </w:rPr>
            </w:pPr>
            <w:r w:rsidRPr="00CF7D68">
              <w:rPr>
                <w:iCs/>
                <w:szCs w:val="20"/>
              </w:rPr>
              <w:t>Assume all patients in CKD 4 at baseline</w:t>
            </w:r>
          </w:p>
        </w:tc>
        <w:tc>
          <w:tcPr>
            <w:tcW w:w="1658" w:type="dxa"/>
            <w:tcMar>
              <w:top w:w="0" w:type="dxa"/>
              <w:left w:w="108" w:type="dxa"/>
              <w:bottom w:w="0" w:type="dxa"/>
              <w:right w:w="108" w:type="dxa"/>
            </w:tcMar>
          </w:tcPr>
          <w:p w14:paraId="3BBDCE01" w14:textId="0E7C8D0E" w:rsidR="00060C87" w:rsidRPr="00CF7D68" w:rsidRDefault="00060C87" w:rsidP="00E02F9D">
            <w:pPr>
              <w:pStyle w:val="Tabletext0"/>
              <w:keepNext/>
              <w:keepLines/>
              <w:jc w:val="center"/>
              <w:rPr>
                <w:iCs/>
                <w:szCs w:val="20"/>
              </w:rPr>
            </w:pPr>
            <w:r w:rsidRPr="00CF7D68">
              <w:rPr>
                <w:iCs/>
                <w:szCs w:val="20"/>
              </w:rPr>
              <w:t>$</w:t>
            </w:r>
            <w:r w:rsidR="00A973A1" w:rsidRPr="00A973A1">
              <w:rPr>
                <w:iCs/>
                <w:color w:val="000000"/>
                <w:szCs w:val="20"/>
                <w:shd w:val="solid" w:color="000000" w:fill="000000"/>
                <w14:textFill>
                  <w14:solidFill>
                    <w14:srgbClr w14:val="000000">
                      <w14:alpha w14:val="100000"/>
                    </w14:srgbClr>
                  </w14:solidFill>
                </w14:textFill>
              </w:rPr>
              <w:t>|</w:t>
            </w:r>
          </w:p>
        </w:tc>
        <w:tc>
          <w:tcPr>
            <w:tcW w:w="1659" w:type="dxa"/>
            <w:tcMar>
              <w:top w:w="0" w:type="dxa"/>
              <w:left w:w="108" w:type="dxa"/>
              <w:bottom w:w="0" w:type="dxa"/>
              <w:right w:w="108" w:type="dxa"/>
            </w:tcMar>
          </w:tcPr>
          <w:p w14:paraId="7B94DF7D" w14:textId="77777777" w:rsidR="00060C87" w:rsidRPr="00CF7D68" w:rsidRDefault="00060C87" w:rsidP="00E02F9D">
            <w:pPr>
              <w:pStyle w:val="Tabletext0"/>
              <w:keepNext/>
              <w:keepLines/>
              <w:jc w:val="center"/>
              <w:rPr>
                <w:iCs/>
                <w:szCs w:val="20"/>
              </w:rPr>
            </w:pPr>
            <w:r w:rsidRPr="00CF7D68">
              <w:rPr>
                <w:iCs/>
                <w:szCs w:val="20"/>
              </w:rPr>
              <w:t>0.0963</w:t>
            </w:r>
          </w:p>
        </w:tc>
        <w:tc>
          <w:tcPr>
            <w:tcW w:w="1232" w:type="dxa"/>
            <w:tcMar>
              <w:top w:w="0" w:type="dxa"/>
              <w:left w:w="108" w:type="dxa"/>
              <w:bottom w:w="0" w:type="dxa"/>
              <w:right w:w="108" w:type="dxa"/>
            </w:tcMar>
          </w:tcPr>
          <w:p w14:paraId="194ECA87" w14:textId="5A3E617A" w:rsidR="00060C87" w:rsidRPr="00CF7D68" w:rsidRDefault="00060C87" w:rsidP="00E02F9D">
            <w:pPr>
              <w:pStyle w:val="Tabletext0"/>
              <w:keepNext/>
              <w:keepLines/>
              <w:jc w:val="center"/>
              <w:rPr>
                <w:iCs/>
                <w:szCs w:val="20"/>
              </w:rPr>
            </w:pPr>
            <w:r w:rsidRPr="00CF7D68">
              <w:rPr>
                <w:iCs/>
                <w:szCs w:val="20"/>
              </w:rPr>
              <w:t>$</w:t>
            </w:r>
            <w:r w:rsidR="00A973A1" w:rsidRPr="00A973A1">
              <w:rPr>
                <w:rFonts w:hint="eastAsia"/>
                <w:iCs/>
                <w:color w:val="000000"/>
                <w:w w:val="25"/>
                <w:szCs w:val="20"/>
                <w:shd w:val="solid" w:color="000000" w:fill="000000"/>
                <w:fitText w:val="113" w:id="-1435844340"/>
                <w14:textFill>
                  <w14:solidFill>
                    <w14:srgbClr w14:val="000000">
                      <w14:alpha w14:val="100000"/>
                    </w14:srgbClr>
                  </w14:solidFill>
                </w14:textFill>
              </w:rPr>
              <w:t xml:space="preserve">　</w:t>
            </w:r>
            <w:r w:rsidR="00A973A1" w:rsidRPr="00A973A1">
              <w:rPr>
                <w:iCs/>
                <w:color w:val="000000"/>
                <w:w w:val="25"/>
                <w:szCs w:val="20"/>
                <w:shd w:val="solid" w:color="000000" w:fill="000000"/>
                <w:fitText w:val="113" w:id="-1435844340"/>
                <w14:textFill>
                  <w14:solidFill>
                    <w14:srgbClr w14:val="000000">
                      <w14:alpha w14:val="100000"/>
                    </w14:srgbClr>
                  </w14:solidFill>
                </w14:textFill>
              </w:rPr>
              <w:t>|</w:t>
            </w:r>
            <w:r w:rsidR="00A973A1" w:rsidRPr="00A973A1">
              <w:rPr>
                <w:rFonts w:hint="eastAsia"/>
                <w:iCs/>
                <w:color w:val="000000"/>
                <w:spacing w:val="2"/>
                <w:w w:val="25"/>
                <w:szCs w:val="20"/>
                <w:shd w:val="solid" w:color="000000" w:fill="000000"/>
                <w:fitText w:val="113" w:id="-1435844340"/>
                <w14:textFill>
                  <w14:solidFill>
                    <w14:srgbClr w14:val="000000">
                      <w14:alpha w14:val="100000"/>
                    </w14:srgbClr>
                  </w14:solidFill>
                </w14:textFill>
              </w:rPr>
              <w:t xml:space="preserve">　</w:t>
            </w:r>
            <w:r w:rsidR="002B2998">
              <w:rPr>
                <w:szCs w:val="20"/>
                <w:vertAlign w:val="superscript"/>
              </w:rPr>
              <w:t>1</w:t>
            </w:r>
          </w:p>
        </w:tc>
      </w:tr>
    </w:tbl>
    <w:p w14:paraId="4FE2B90D" w14:textId="5830DD59" w:rsidR="00060C87" w:rsidRPr="00CF7D68" w:rsidRDefault="00060C87" w:rsidP="00C856F6">
      <w:pPr>
        <w:pStyle w:val="TableFooter"/>
        <w:jc w:val="left"/>
      </w:pPr>
      <w:r w:rsidRPr="00CF7D68">
        <w:t>Source: Calculated during the evaluation</w:t>
      </w:r>
    </w:p>
    <w:p w14:paraId="5B895E99" w14:textId="3FFABA35" w:rsidR="002B2998" w:rsidRPr="00C856F6" w:rsidRDefault="005169DF" w:rsidP="00C856F6">
      <w:pPr>
        <w:pStyle w:val="TableFooter"/>
        <w:jc w:val="left"/>
        <w:rPr>
          <w:i/>
          <w:szCs w:val="18"/>
        </w:rPr>
      </w:pPr>
      <w:r w:rsidRPr="00CF7D68">
        <w:t>Abbreviations: AIHW, Australian Institute of Health and Welfare; CI, confidence interval; CKD, chronic kidney disease; CV, cardiovascular; HR, hazard ratio</w:t>
      </w:r>
      <w:r w:rsidR="002B2998">
        <w:br/>
      </w:r>
      <w:r w:rsidR="002B2998" w:rsidRPr="00317748">
        <w:rPr>
          <w:i/>
        </w:rPr>
        <w:t>The redacted values correspond to the following ranges:</w:t>
      </w:r>
      <w:r w:rsidR="002B2998">
        <w:rPr>
          <w:i/>
        </w:rPr>
        <w:br/>
      </w:r>
      <w:r w:rsidR="002B2998" w:rsidRPr="00317748">
        <w:rPr>
          <w:i/>
          <w:szCs w:val="18"/>
          <w:vertAlign w:val="superscript"/>
        </w:rPr>
        <w:t>1</w:t>
      </w:r>
      <w:r w:rsidR="002B2998" w:rsidRPr="00317748">
        <w:rPr>
          <w:i/>
          <w:szCs w:val="18"/>
        </w:rPr>
        <w:t xml:space="preserve"> </w:t>
      </w:r>
      <w:r w:rsidR="002B2998" w:rsidRPr="009A347F">
        <w:rPr>
          <w:i/>
          <w:szCs w:val="18"/>
        </w:rPr>
        <w:t>$5,000 to &lt; $15,000</w:t>
      </w:r>
      <w:r w:rsidR="002B2998">
        <w:rPr>
          <w:i/>
          <w:szCs w:val="18"/>
        </w:rPr>
        <w:br/>
      </w:r>
      <w:r w:rsidR="002B2998" w:rsidRPr="00317748">
        <w:rPr>
          <w:i/>
          <w:szCs w:val="18"/>
          <w:vertAlign w:val="superscript"/>
        </w:rPr>
        <w:t>2</w:t>
      </w:r>
      <w:r w:rsidR="002B2998" w:rsidRPr="00317748">
        <w:rPr>
          <w:i/>
          <w:szCs w:val="18"/>
        </w:rPr>
        <w:t xml:space="preserve"> </w:t>
      </w:r>
      <w:r w:rsidR="002B2998" w:rsidRPr="002B2998">
        <w:rPr>
          <w:i/>
          <w:szCs w:val="18"/>
        </w:rPr>
        <w:t>$55,000 to &lt; $75,000</w:t>
      </w:r>
      <w:r w:rsidR="002B2998">
        <w:rPr>
          <w:i/>
          <w:szCs w:val="18"/>
        </w:rPr>
        <w:br/>
      </w:r>
      <w:r w:rsidR="002B2998" w:rsidRPr="00317748">
        <w:rPr>
          <w:i/>
          <w:szCs w:val="18"/>
          <w:vertAlign w:val="superscript"/>
        </w:rPr>
        <w:t xml:space="preserve">3 </w:t>
      </w:r>
      <w:r w:rsidR="002B2998" w:rsidRPr="002B2998">
        <w:rPr>
          <w:i/>
          <w:szCs w:val="18"/>
        </w:rPr>
        <w:t>$75,000 to &lt; $95,000</w:t>
      </w:r>
      <w:r w:rsidR="002B2998">
        <w:rPr>
          <w:i/>
          <w:szCs w:val="18"/>
        </w:rPr>
        <w:br/>
      </w:r>
    </w:p>
    <w:p w14:paraId="011A4CC5" w14:textId="17F785EF" w:rsidR="0022357F" w:rsidRPr="00CF7D68" w:rsidRDefault="00060C87" w:rsidP="00060C87">
      <w:pPr>
        <w:pStyle w:val="ExecSumBodyText"/>
        <w:ind w:left="709" w:hanging="709"/>
        <w:rPr>
          <w:iCs/>
        </w:rPr>
      </w:pPr>
      <w:r w:rsidRPr="00CF7D68">
        <w:rPr>
          <w:iCs/>
        </w:rPr>
        <w:t xml:space="preserve">The multivariate analyses indicated that the cost-effectiveness of </w:t>
      </w:r>
      <w:proofErr w:type="spellStart"/>
      <w:r w:rsidRPr="00CF7D68">
        <w:rPr>
          <w:iCs/>
        </w:rPr>
        <w:t>finerenone</w:t>
      </w:r>
      <w:proofErr w:type="spellEnd"/>
      <w:r w:rsidRPr="00CF7D68">
        <w:rPr>
          <w:iCs/>
        </w:rPr>
        <w:t xml:space="preserve"> at the proposed price could plausibly be </w:t>
      </w:r>
      <w:r w:rsidR="00671DA4" w:rsidRPr="00CF7D68">
        <w:rPr>
          <w:iCs/>
        </w:rPr>
        <w:t>around</w:t>
      </w:r>
      <w:r w:rsidRPr="00CF7D68">
        <w:rPr>
          <w:iCs/>
        </w:rPr>
        <w:t xml:space="preserve"> </w:t>
      </w:r>
      <w:r w:rsidR="00C37617" w:rsidRPr="00C37617">
        <w:rPr>
          <w:iCs/>
        </w:rPr>
        <w:t>$55,000 to &lt; $</w:t>
      </w:r>
      <w:proofErr w:type="gramStart"/>
      <w:r w:rsidR="00C37617" w:rsidRPr="00C37617">
        <w:rPr>
          <w:iCs/>
        </w:rPr>
        <w:t xml:space="preserve">75,000 </w:t>
      </w:r>
      <w:r w:rsidRPr="00CF7D68">
        <w:rPr>
          <w:iCs/>
        </w:rPr>
        <w:t xml:space="preserve"> per</w:t>
      </w:r>
      <w:proofErr w:type="gramEnd"/>
      <w:r w:rsidRPr="00CF7D68">
        <w:rPr>
          <w:iCs/>
        </w:rPr>
        <w:t xml:space="preserve"> QALY gained but could vary substantially based on differences in baseline risk.</w:t>
      </w:r>
      <w:r w:rsidR="00F63ED5" w:rsidRPr="00CF7D68">
        <w:rPr>
          <w:iCs/>
        </w:rPr>
        <w:t xml:space="preserve"> </w:t>
      </w:r>
      <w:r w:rsidR="00F63ED5" w:rsidRPr="00CF7D68">
        <w:t xml:space="preserve">The ESC </w:t>
      </w:r>
      <w:r w:rsidR="00292CF2" w:rsidRPr="00CF7D68">
        <w:t>advised</w:t>
      </w:r>
      <w:r w:rsidR="00F63ED5" w:rsidRPr="00CF7D68">
        <w:t xml:space="preserve"> that the alternative base case calculated during the evaluation </w:t>
      </w:r>
      <w:r w:rsidR="000F152D" w:rsidRPr="00CF7D68">
        <w:t xml:space="preserve">was a more reasonable estimate of cost-effectiveness of </w:t>
      </w:r>
      <w:proofErr w:type="spellStart"/>
      <w:r w:rsidR="000F152D" w:rsidRPr="00CF7D68">
        <w:t>finerenone</w:t>
      </w:r>
      <w:proofErr w:type="spellEnd"/>
      <w:r w:rsidR="000F152D" w:rsidRPr="00CF7D68">
        <w:t>, but still included optimistic treatment effect assumptions given the use of non-significant pooled trial data and assumptions regarding ongoing treatment benefit</w:t>
      </w:r>
      <w:r w:rsidR="00F63ED5" w:rsidRPr="00CF7D68">
        <w:t xml:space="preserve">. </w:t>
      </w:r>
      <w:r w:rsidR="000F152D" w:rsidRPr="00CF7D68">
        <w:t xml:space="preserve">Furthermore, the reliability of the </w:t>
      </w:r>
      <w:r w:rsidR="00DB0349" w:rsidRPr="00CF7D68">
        <w:t>alternative base case</w:t>
      </w:r>
      <w:r w:rsidR="000F152D" w:rsidRPr="00CF7D68">
        <w:t xml:space="preserve"> was </w:t>
      </w:r>
      <w:r w:rsidR="00DB0349" w:rsidRPr="00CF7D68">
        <w:t xml:space="preserve">still </w:t>
      </w:r>
      <w:r w:rsidR="000F152D" w:rsidRPr="00CF7D68">
        <w:t xml:space="preserve">limited by </w:t>
      </w:r>
      <w:r w:rsidR="00DB0349" w:rsidRPr="00CF7D68">
        <w:t>issues with clinical evidence applicability and utilities as previously discussed.</w:t>
      </w:r>
      <w:r w:rsidR="00172607" w:rsidRPr="00CF7D68">
        <w:t xml:space="preserve"> </w:t>
      </w:r>
    </w:p>
    <w:p w14:paraId="33E77267" w14:textId="0DD9DA79" w:rsidR="00060C87" w:rsidRPr="00CF7D68" w:rsidRDefault="00172607" w:rsidP="00060C87">
      <w:pPr>
        <w:pStyle w:val="ExecSumBodyText"/>
        <w:ind w:left="709" w:hanging="709"/>
        <w:rPr>
          <w:iCs/>
        </w:rPr>
      </w:pPr>
      <w:r w:rsidRPr="00CF7D68">
        <w:t>The pre-PBAC response</w:t>
      </w:r>
      <w:r w:rsidR="004C5365" w:rsidRPr="00CF7D68">
        <w:t xml:space="preserve"> considered the alternative base case developed during the </w:t>
      </w:r>
      <w:r w:rsidR="00CE3BDF" w:rsidRPr="00CF7D68">
        <w:t>evaluation</w:t>
      </w:r>
      <w:r w:rsidR="004C5365" w:rsidRPr="00CF7D68">
        <w:t xml:space="preserve"> con</w:t>
      </w:r>
      <w:r w:rsidR="00CE3BDF" w:rsidRPr="00CF7D68">
        <w:t>servative</w:t>
      </w:r>
      <w:r w:rsidR="005D4266" w:rsidRPr="00CF7D68">
        <w:t>,</w:t>
      </w:r>
      <w:r w:rsidR="00CE3BDF" w:rsidRPr="00CF7D68">
        <w:t xml:space="preserve"> however accepted </w:t>
      </w:r>
      <w:r w:rsidR="00EE3B7C">
        <w:t>the analysis</w:t>
      </w:r>
      <w:r w:rsidR="004C5365" w:rsidRPr="00CF7D68">
        <w:t xml:space="preserve"> for the purposes of decision making. </w:t>
      </w:r>
    </w:p>
    <w:p w14:paraId="0DA84E87" w14:textId="0E5F7CC5" w:rsidR="00DF17DA" w:rsidRPr="00CF7D68" w:rsidRDefault="00C25D9C" w:rsidP="00AC5893">
      <w:pPr>
        <w:pStyle w:val="3-SubsectionHeading"/>
      </w:pPr>
      <w:bookmarkStart w:id="52" w:name="_Toc22897646"/>
      <w:bookmarkStart w:id="53" w:name="_Toc103772420"/>
      <w:r w:rsidRPr="00CF7D68">
        <w:lastRenderedPageBreak/>
        <w:t>Drug cost/patient/year</w:t>
      </w:r>
      <w:bookmarkEnd w:id="52"/>
      <w:bookmarkEnd w:id="53"/>
    </w:p>
    <w:p w14:paraId="4F7D48D7" w14:textId="2DE775A2" w:rsidR="00302B7E" w:rsidRPr="00CF7D68" w:rsidRDefault="00302B7E" w:rsidP="00DF6EC8">
      <w:pPr>
        <w:pStyle w:val="ExecSumBodyText"/>
        <w:ind w:left="709" w:hanging="709"/>
      </w:pPr>
      <w:r w:rsidRPr="00CF7D68">
        <w:t>The submission proposed a flat pricing structure for both dose strengths (10</w:t>
      </w:r>
      <w:r w:rsidR="007748E3">
        <w:t> mg</w:t>
      </w:r>
      <w:r w:rsidRPr="00CF7D68">
        <w:t xml:space="preserve"> and 20 mg) of </w:t>
      </w:r>
      <w:proofErr w:type="spellStart"/>
      <w:r w:rsidRPr="00CF7D68">
        <w:t>finerenone</w:t>
      </w:r>
      <w:proofErr w:type="spellEnd"/>
      <w:r w:rsidRPr="00CF7D68">
        <w:t xml:space="preserve">. The estimated drug cost for </w:t>
      </w:r>
      <w:proofErr w:type="spellStart"/>
      <w:r w:rsidRPr="00CF7D68">
        <w:t>finerenone</w:t>
      </w:r>
      <w:proofErr w:type="spellEnd"/>
      <w:r w:rsidRPr="00CF7D68">
        <w:t xml:space="preserve"> per patient per year was $</w:t>
      </w:r>
      <w:proofErr w:type="gramStart"/>
      <w:r w:rsidR="00A973A1" w:rsidRPr="00F9376A">
        <w:rPr>
          <w:color w:val="000000"/>
          <w:w w:val="15"/>
          <w:shd w:val="solid" w:color="000000" w:fill="000000"/>
          <w:fitText w:val="-20" w:id="-1435844339"/>
          <w14:textFill>
            <w14:solidFill>
              <w14:srgbClr w14:val="000000">
                <w14:alpha w14:val="100000"/>
              </w14:srgbClr>
            </w14:solidFill>
          </w14:textFill>
        </w:rPr>
        <w:t xml:space="preserve">|  </w:t>
      </w:r>
      <w:r w:rsidR="00A973A1" w:rsidRPr="00F9376A">
        <w:rPr>
          <w:color w:val="000000"/>
          <w:spacing w:val="-69"/>
          <w:w w:val="15"/>
          <w:shd w:val="solid" w:color="000000" w:fill="000000"/>
          <w:fitText w:val="-20" w:id="-1435844339"/>
          <w14:textFill>
            <w14:solidFill>
              <w14:srgbClr w14:val="000000">
                <w14:alpha w14:val="100000"/>
              </w14:srgbClr>
            </w14:solidFill>
          </w14:textFill>
        </w:rPr>
        <w:t>|</w:t>
      </w:r>
      <w:proofErr w:type="gramEnd"/>
      <w:r w:rsidRPr="00CF7D68">
        <w:t xml:space="preserve"> (based on the proposed DPMQ per script $</w:t>
      </w:r>
      <w:r w:rsidR="00A973A1" w:rsidRPr="00F9376A">
        <w:rPr>
          <w:color w:val="000000"/>
          <w:w w:val="15"/>
          <w:shd w:val="solid" w:color="000000" w:fill="000000"/>
          <w:fitText w:val="-20" w:id="-1435844338"/>
          <w14:textFill>
            <w14:solidFill>
              <w14:srgbClr w14:val="000000">
                <w14:alpha w14:val="100000"/>
              </w14:srgbClr>
            </w14:solidFill>
          </w14:textFill>
        </w:rPr>
        <w:t xml:space="preserve">|  </w:t>
      </w:r>
      <w:r w:rsidR="00A973A1" w:rsidRPr="00F9376A">
        <w:rPr>
          <w:color w:val="000000"/>
          <w:spacing w:val="-69"/>
          <w:w w:val="15"/>
          <w:shd w:val="solid" w:color="000000" w:fill="000000"/>
          <w:fitText w:val="-20" w:id="-1435844338"/>
          <w14:textFill>
            <w14:solidFill>
              <w14:srgbClr w14:val="000000">
                <w14:alpha w14:val="100000"/>
              </w14:srgbClr>
            </w14:solidFill>
          </w14:textFill>
        </w:rPr>
        <w:t>|</w:t>
      </w:r>
      <w:r w:rsidRPr="00CF7D68">
        <w:t xml:space="preserve"> / 28 days per script x 365 days per year). </w:t>
      </w:r>
    </w:p>
    <w:p w14:paraId="7AE63EFF" w14:textId="56758A35" w:rsidR="00302B7E" w:rsidRPr="00CF7D68" w:rsidRDefault="00505E66" w:rsidP="00DF6EC8">
      <w:pPr>
        <w:pStyle w:val="ExecSumBodyText"/>
        <w:ind w:left="709" w:hanging="709"/>
      </w:pPr>
      <w:r w:rsidRPr="00CF7D68">
        <w:t xml:space="preserve">A comparison of </w:t>
      </w:r>
      <w:proofErr w:type="spellStart"/>
      <w:r w:rsidRPr="00CF7D68">
        <w:t>finerenone</w:t>
      </w:r>
      <w:proofErr w:type="spellEnd"/>
      <w:r w:rsidRPr="00CF7D68">
        <w:t xml:space="preserve"> use between the trial setting, the economic model and the financial estimates is presented in </w:t>
      </w:r>
      <w:r w:rsidR="00B7138A" w:rsidRPr="00CF7D68">
        <w:fldChar w:fldCharType="begin"/>
      </w:r>
      <w:r w:rsidR="00B7138A" w:rsidRPr="00CF7D68">
        <w:instrText xml:space="preserve"> REF _Ref103353404 \h </w:instrText>
      </w:r>
      <w:r w:rsidR="00B7138A" w:rsidRPr="00CF7D68">
        <w:fldChar w:fldCharType="separate"/>
      </w:r>
      <w:r w:rsidR="00AE5D6E" w:rsidRPr="00CF7D68">
        <w:t xml:space="preserve">Table </w:t>
      </w:r>
      <w:r w:rsidR="00AE5D6E">
        <w:rPr>
          <w:noProof/>
        </w:rPr>
        <w:t>17</w:t>
      </w:r>
      <w:r w:rsidR="00B7138A" w:rsidRPr="00CF7D68">
        <w:fldChar w:fldCharType="end"/>
      </w:r>
      <w:r w:rsidRPr="00CF7D68">
        <w:t>.</w:t>
      </w:r>
    </w:p>
    <w:p w14:paraId="7D2F8092" w14:textId="2A4B2A6C" w:rsidR="00AC5893" w:rsidRPr="00CF7D68" w:rsidRDefault="00AC5893" w:rsidP="00A11ED5">
      <w:pPr>
        <w:pStyle w:val="TableHeading"/>
      </w:pPr>
      <w:bookmarkStart w:id="54" w:name="_Ref103353404"/>
      <w:r w:rsidRPr="00CF7D68">
        <w:t xml:space="preserve">Table </w:t>
      </w:r>
      <w:fldSimple w:instr=" SEQ Table \* ARABIC ">
        <w:r w:rsidR="00AE5D6E">
          <w:rPr>
            <w:noProof/>
          </w:rPr>
          <w:t>17</w:t>
        </w:r>
      </w:fldSimple>
      <w:bookmarkEnd w:id="54"/>
      <w:r w:rsidRPr="00CF7D68">
        <w:t>: Calculation of drug cost per year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2393"/>
        <w:gridCol w:w="2393"/>
        <w:gridCol w:w="2393"/>
      </w:tblGrid>
      <w:tr w:rsidR="00DF17DA" w:rsidRPr="00CF7D68" w14:paraId="38729967" w14:textId="77777777" w:rsidTr="00B16D8E">
        <w:trPr>
          <w:cantSplit/>
          <w:tblHeader/>
          <w:jc w:val="center"/>
        </w:trPr>
        <w:tc>
          <w:tcPr>
            <w:tcW w:w="1019" w:type="pct"/>
            <w:shd w:val="clear" w:color="auto" w:fill="auto"/>
            <w:vAlign w:val="center"/>
          </w:tcPr>
          <w:p w14:paraId="0CD93FE0" w14:textId="77777777" w:rsidR="00DF17DA" w:rsidRPr="00CF7D68" w:rsidRDefault="00DF17DA" w:rsidP="00BD693B">
            <w:pPr>
              <w:pStyle w:val="Tableheadingrow"/>
              <w:jc w:val="center"/>
              <w:rPr>
                <w:lang w:val="en-AU"/>
              </w:rPr>
            </w:pPr>
          </w:p>
        </w:tc>
        <w:tc>
          <w:tcPr>
            <w:tcW w:w="1327" w:type="pct"/>
            <w:shd w:val="clear" w:color="auto" w:fill="auto"/>
            <w:vAlign w:val="center"/>
          </w:tcPr>
          <w:p w14:paraId="05743C03" w14:textId="5DA1BC74" w:rsidR="00DF17DA" w:rsidRPr="00CF7D68" w:rsidRDefault="00DF17DA" w:rsidP="00BD693B">
            <w:pPr>
              <w:pStyle w:val="Tableheadingrow"/>
              <w:jc w:val="center"/>
              <w:rPr>
                <w:lang w:val="en-AU"/>
              </w:rPr>
            </w:pPr>
            <w:r w:rsidRPr="00CF7D68">
              <w:rPr>
                <w:lang w:val="en-AU"/>
              </w:rPr>
              <w:t>FIDELITY pooled analysis</w:t>
            </w:r>
          </w:p>
        </w:tc>
        <w:tc>
          <w:tcPr>
            <w:tcW w:w="1327" w:type="pct"/>
            <w:shd w:val="clear" w:color="auto" w:fill="auto"/>
            <w:vAlign w:val="center"/>
          </w:tcPr>
          <w:p w14:paraId="572EE514" w14:textId="20C78FA0" w:rsidR="00DF17DA" w:rsidRPr="00CF7D68" w:rsidRDefault="00DF17DA" w:rsidP="00BD693B">
            <w:pPr>
              <w:pStyle w:val="Tableheadingrow"/>
              <w:jc w:val="center"/>
              <w:rPr>
                <w:vertAlign w:val="superscript"/>
                <w:lang w:val="en-AU"/>
              </w:rPr>
            </w:pPr>
            <w:r w:rsidRPr="00CF7D68">
              <w:rPr>
                <w:lang w:val="en-AU"/>
              </w:rPr>
              <w:t>Economic model</w:t>
            </w:r>
          </w:p>
        </w:tc>
        <w:tc>
          <w:tcPr>
            <w:tcW w:w="1327" w:type="pct"/>
            <w:shd w:val="clear" w:color="auto" w:fill="auto"/>
            <w:vAlign w:val="center"/>
          </w:tcPr>
          <w:p w14:paraId="3D170DA0" w14:textId="77777777" w:rsidR="00DF17DA" w:rsidRPr="00CF7D68" w:rsidRDefault="00DF17DA" w:rsidP="00BD693B">
            <w:pPr>
              <w:pStyle w:val="Tableheadingrow"/>
              <w:jc w:val="center"/>
              <w:rPr>
                <w:lang w:val="en-AU"/>
              </w:rPr>
            </w:pPr>
            <w:r w:rsidRPr="00CF7D68">
              <w:rPr>
                <w:lang w:val="en-AU"/>
              </w:rPr>
              <w:t>Financial estimates</w:t>
            </w:r>
          </w:p>
        </w:tc>
      </w:tr>
      <w:tr w:rsidR="00DF17DA" w:rsidRPr="00CF7D68" w14:paraId="0B8017E8" w14:textId="77777777" w:rsidTr="00B16D8E">
        <w:trPr>
          <w:cantSplit/>
          <w:jc w:val="center"/>
        </w:trPr>
        <w:tc>
          <w:tcPr>
            <w:tcW w:w="1019" w:type="pct"/>
            <w:shd w:val="clear" w:color="auto" w:fill="auto"/>
            <w:vAlign w:val="center"/>
          </w:tcPr>
          <w:p w14:paraId="1F73DBF0" w14:textId="6807E46B" w:rsidR="00DF17DA" w:rsidRPr="00CF7D68" w:rsidRDefault="008510AA" w:rsidP="00BD693B">
            <w:pPr>
              <w:pStyle w:val="TableText"/>
            </w:pPr>
            <w:proofErr w:type="spellStart"/>
            <w:r w:rsidRPr="00CF7D68">
              <w:t>F</w:t>
            </w:r>
            <w:r w:rsidR="00DF17DA" w:rsidRPr="00CF7D68">
              <w:t>inerenone</w:t>
            </w:r>
            <w:proofErr w:type="spellEnd"/>
            <w:r w:rsidR="00DF17DA" w:rsidRPr="00CF7D68">
              <w:t xml:space="preserve"> script cost</w:t>
            </w:r>
          </w:p>
        </w:tc>
        <w:tc>
          <w:tcPr>
            <w:tcW w:w="1327" w:type="pct"/>
            <w:shd w:val="clear" w:color="auto" w:fill="auto"/>
            <w:vAlign w:val="center"/>
          </w:tcPr>
          <w:p w14:paraId="3AC93FA8" w14:textId="77777777" w:rsidR="00DF17DA" w:rsidRPr="00CF7D68" w:rsidRDefault="00DF17DA" w:rsidP="00BD693B">
            <w:pPr>
              <w:pStyle w:val="TableText"/>
              <w:jc w:val="center"/>
              <w:rPr>
                <w:bCs w:val="0"/>
              </w:rPr>
            </w:pPr>
            <w:r w:rsidRPr="00CF7D68">
              <w:rPr>
                <w:bCs w:val="0"/>
              </w:rPr>
              <w:t>-</w:t>
            </w:r>
          </w:p>
        </w:tc>
        <w:tc>
          <w:tcPr>
            <w:tcW w:w="1327" w:type="pct"/>
            <w:shd w:val="clear" w:color="auto" w:fill="auto"/>
            <w:vAlign w:val="center"/>
          </w:tcPr>
          <w:p w14:paraId="5B3C6C9A" w14:textId="5C8EA21A" w:rsidR="00DF17DA" w:rsidRPr="00CF7D68" w:rsidRDefault="00A973A1" w:rsidP="00DF17DA">
            <w:pPr>
              <w:pStyle w:val="TableText"/>
              <w:jc w:val="center"/>
              <w:rPr>
                <w:bCs w:val="0"/>
              </w:rPr>
            </w:pPr>
            <w:r w:rsidRPr="00A973A1">
              <w:rPr>
                <w:bCs w:val="0"/>
                <w:color w:val="000000"/>
                <w:shd w:val="solid" w:color="000000" w:fill="000000"/>
                <w14:textFill>
                  <w14:solidFill>
                    <w14:srgbClr w14:val="000000">
                      <w14:alpha w14:val="100000"/>
                    </w14:srgbClr>
                  </w14:solidFill>
                </w14:textFill>
              </w:rPr>
              <w:t>|</w:t>
            </w:r>
            <w:r w:rsidR="00DF17DA" w:rsidRPr="00CF7D68">
              <w:rPr>
                <w:bCs w:val="0"/>
              </w:rPr>
              <w:t xml:space="preserve"> </w:t>
            </w:r>
          </w:p>
        </w:tc>
        <w:tc>
          <w:tcPr>
            <w:tcW w:w="1327" w:type="pct"/>
            <w:shd w:val="clear" w:color="auto" w:fill="auto"/>
            <w:vAlign w:val="center"/>
          </w:tcPr>
          <w:p w14:paraId="21531602" w14:textId="0623D6D5" w:rsidR="00DF17DA" w:rsidRPr="00CF7D68" w:rsidRDefault="00DF17DA" w:rsidP="00DF17DA">
            <w:pPr>
              <w:pStyle w:val="TableText"/>
              <w:jc w:val="center"/>
              <w:rPr>
                <w:bCs w:val="0"/>
              </w:rPr>
            </w:pPr>
            <w:r w:rsidRPr="00CF7D68">
              <w:rPr>
                <w:bCs w:val="0"/>
              </w:rPr>
              <w:t>$</w:t>
            </w:r>
            <w:r w:rsidR="00A973A1" w:rsidRPr="00A973A1">
              <w:rPr>
                <w:bCs w:val="0"/>
                <w:color w:val="000000"/>
                <w:shd w:val="solid" w:color="000000" w:fill="000000"/>
                <w14:textFill>
                  <w14:solidFill>
                    <w14:srgbClr w14:val="000000">
                      <w14:alpha w14:val="100000"/>
                    </w14:srgbClr>
                  </w14:solidFill>
                </w14:textFill>
              </w:rPr>
              <w:t>|</w:t>
            </w:r>
            <w:r w:rsidRPr="00CF7D68">
              <w:rPr>
                <w:bCs w:val="0"/>
              </w:rPr>
              <w:t xml:space="preserve"> </w:t>
            </w:r>
          </w:p>
        </w:tc>
      </w:tr>
      <w:tr w:rsidR="00DF17DA" w:rsidRPr="00CF7D68" w14:paraId="276F983B" w14:textId="77777777" w:rsidTr="00B16D8E">
        <w:trPr>
          <w:cantSplit/>
          <w:jc w:val="center"/>
        </w:trPr>
        <w:tc>
          <w:tcPr>
            <w:tcW w:w="1019" w:type="pct"/>
            <w:shd w:val="clear" w:color="auto" w:fill="auto"/>
            <w:vAlign w:val="center"/>
          </w:tcPr>
          <w:p w14:paraId="4C21D634" w14:textId="77777777" w:rsidR="00DF17DA" w:rsidRPr="00CF7D68" w:rsidRDefault="00DF17DA" w:rsidP="00BD693B">
            <w:pPr>
              <w:pStyle w:val="TableText"/>
            </w:pPr>
            <w:r w:rsidRPr="00CF7D68">
              <w:t>Treatment adherence</w:t>
            </w:r>
          </w:p>
        </w:tc>
        <w:tc>
          <w:tcPr>
            <w:tcW w:w="1327" w:type="pct"/>
            <w:shd w:val="clear" w:color="auto" w:fill="auto"/>
            <w:vAlign w:val="center"/>
          </w:tcPr>
          <w:p w14:paraId="49236833" w14:textId="1B94EA30" w:rsidR="00DF17DA" w:rsidRPr="00CF7D68" w:rsidRDefault="008510AA" w:rsidP="00BD693B">
            <w:pPr>
              <w:pStyle w:val="TableText"/>
              <w:jc w:val="center"/>
              <w:rPr>
                <w:bCs w:val="0"/>
                <w:vertAlign w:val="superscript"/>
              </w:rPr>
            </w:pPr>
            <w:r w:rsidRPr="00CF7D68">
              <w:rPr>
                <w:bCs w:val="0"/>
              </w:rPr>
              <w:t>91.7%</w:t>
            </w:r>
            <w:r w:rsidRPr="00CF7D68">
              <w:rPr>
                <w:bCs w:val="0"/>
                <w:vertAlign w:val="superscript"/>
              </w:rPr>
              <w:t>a</w:t>
            </w:r>
          </w:p>
        </w:tc>
        <w:tc>
          <w:tcPr>
            <w:tcW w:w="1327" w:type="pct"/>
            <w:shd w:val="clear" w:color="auto" w:fill="auto"/>
            <w:vAlign w:val="center"/>
          </w:tcPr>
          <w:p w14:paraId="251A52B8" w14:textId="77B19996" w:rsidR="00DF17DA" w:rsidRPr="00CF7D68" w:rsidRDefault="00DF17DA" w:rsidP="00DF17DA">
            <w:pPr>
              <w:pStyle w:val="TableText"/>
              <w:jc w:val="center"/>
              <w:rPr>
                <w:bCs w:val="0"/>
              </w:rPr>
            </w:pPr>
            <w:r w:rsidRPr="00CF7D68">
              <w:rPr>
                <w:bCs w:val="0"/>
              </w:rPr>
              <w:t xml:space="preserve">100% </w:t>
            </w:r>
            <w:r w:rsidR="008510AA" w:rsidRPr="00CF7D68">
              <w:rPr>
                <w:bCs w:val="0"/>
              </w:rPr>
              <w:t>(assumption)</w:t>
            </w:r>
          </w:p>
        </w:tc>
        <w:tc>
          <w:tcPr>
            <w:tcW w:w="1327" w:type="pct"/>
            <w:shd w:val="clear" w:color="auto" w:fill="auto"/>
            <w:vAlign w:val="center"/>
          </w:tcPr>
          <w:p w14:paraId="33B4500B" w14:textId="3AE8ED48" w:rsidR="00DF17DA" w:rsidRPr="00CF7D68" w:rsidRDefault="008510AA" w:rsidP="008510AA">
            <w:pPr>
              <w:pStyle w:val="TableText"/>
              <w:jc w:val="center"/>
              <w:rPr>
                <w:bCs w:val="0"/>
                <w:vertAlign w:val="superscript"/>
              </w:rPr>
            </w:pPr>
            <w:r w:rsidRPr="00CF7D68">
              <w:rPr>
                <w:bCs w:val="0"/>
              </w:rPr>
              <w:t>91.7%</w:t>
            </w:r>
            <w:r w:rsidRPr="00CF7D68">
              <w:rPr>
                <w:bCs w:val="0"/>
                <w:vertAlign w:val="superscript"/>
              </w:rPr>
              <w:t>a</w:t>
            </w:r>
          </w:p>
        </w:tc>
      </w:tr>
      <w:tr w:rsidR="00DF17DA" w:rsidRPr="00CF7D68" w14:paraId="10614DDE" w14:textId="77777777" w:rsidTr="00B16D8E">
        <w:trPr>
          <w:cantSplit/>
          <w:jc w:val="center"/>
        </w:trPr>
        <w:tc>
          <w:tcPr>
            <w:tcW w:w="1019" w:type="pct"/>
            <w:shd w:val="clear" w:color="auto" w:fill="auto"/>
            <w:vAlign w:val="center"/>
          </w:tcPr>
          <w:p w14:paraId="7F2FC7ED" w14:textId="77777777" w:rsidR="00DF17DA" w:rsidRPr="00CF7D68" w:rsidRDefault="00DF17DA" w:rsidP="00BD693B">
            <w:pPr>
              <w:pStyle w:val="TableText"/>
            </w:pPr>
            <w:r w:rsidRPr="00CF7D68">
              <w:t>Treatment persistence</w:t>
            </w:r>
          </w:p>
        </w:tc>
        <w:tc>
          <w:tcPr>
            <w:tcW w:w="1327" w:type="pct"/>
            <w:shd w:val="clear" w:color="auto" w:fill="auto"/>
            <w:vAlign w:val="center"/>
          </w:tcPr>
          <w:p w14:paraId="6715CDA6" w14:textId="06DA8CE1" w:rsidR="00DF17DA" w:rsidRPr="00CF7D68" w:rsidRDefault="008510AA" w:rsidP="00BD693B">
            <w:pPr>
              <w:pStyle w:val="TableText"/>
              <w:jc w:val="center"/>
            </w:pPr>
            <w:r w:rsidRPr="00CF7D68">
              <w:t>66.1% at 4 years</w:t>
            </w:r>
          </w:p>
        </w:tc>
        <w:tc>
          <w:tcPr>
            <w:tcW w:w="1327" w:type="pct"/>
            <w:shd w:val="clear" w:color="auto" w:fill="auto"/>
            <w:vAlign w:val="center"/>
          </w:tcPr>
          <w:p w14:paraId="01BCF58A" w14:textId="56630750" w:rsidR="00DF17DA" w:rsidRPr="00CF7D68" w:rsidRDefault="00C37617" w:rsidP="008510AA">
            <w:pPr>
              <w:pStyle w:val="TableText"/>
              <w:jc w:val="center"/>
            </w:pPr>
            <w:r w:rsidRPr="00CF7D68">
              <w:rPr>
                <w:bCs w:val="0"/>
              </w:rPr>
              <w:t>$</w:t>
            </w:r>
            <w:r w:rsidR="00DF17DA" w:rsidRPr="00CF7D68">
              <w:t xml:space="preserve"> </w:t>
            </w:r>
            <w:r w:rsidR="008510AA" w:rsidRPr="00CF7D68">
              <w:t>66.1% at 4 years</w:t>
            </w:r>
          </w:p>
        </w:tc>
        <w:tc>
          <w:tcPr>
            <w:tcW w:w="1327" w:type="pct"/>
            <w:shd w:val="clear" w:color="auto" w:fill="auto"/>
            <w:vAlign w:val="center"/>
          </w:tcPr>
          <w:p w14:paraId="3901AD47" w14:textId="49C18476" w:rsidR="00DF17DA" w:rsidRPr="00CF7D68" w:rsidRDefault="008510AA" w:rsidP="008510AA">
            <w:pPr>
              <w:pStyle w:val="TableText"/>
              <w:jc w:val="center"/>
            </w:pPr>
            <w:r w:rsidRPr="00CF7D68">
              <w:t>Not directly estimated, was assumed to modify uptake rates in prevalent population</w:t>
            </w:r>
          </w:p>
        </w:tc>
      </w:tr>
    </w:tbl>
    <w:p w14:paraId="7E450927" w14:textId="2478D1B4" w:rsidR="008510AA" w:rsidRPr="00CF7D68" w:rsidRDefault="00DF17DA" w:rsidP="00DF17DA">
      <w:pPr>
        <w:pStyle w:val="TableFigureFooter"/>
      </w:pPr>
      <w:r w:rsidRPr="00CF7D68">
        <w:t xml:space="preserve">Source: </w:t>
      </w:r>
      <w:r w:rsidR="008510AA" w:rsidRPr="00CF7D68">
        <w:t>Table 72 (</w:t>
      </w:r>
      <w:r w:rsidR="003073FE">
        <w:t>p</w:t>
      </w:r>
      <w:r w:rsidR="008510AA" w:rsidRPr="00CF7D68">
        <w:t>118); Table 85 (</w:t>
      </w:r>
      <w:r w:rsidR="003073FE">
        <w:t>p</w:t>
      </w:r>
      <w:r w:rsidR="008510AA" w:rsidRPr="00CF7D68">
        <w:t>132); Section 4.1-4.2 (pp146-459) of the submission</w:t>
      </w:r>
    </w:p>
    <w:p w14:paraId="7EDA096B" w14:textId="1316AD0C" w:rsidR="00DF17DA" w:rsidRPr="00CF7D68" w:rsidRDefault="008510AA" w:rsidP="008510AA">
      <w:pPr>
        <w:pStyle w:val="TableFigureFooter"/>
        <w:rPr>
          <w:iCs/>
        </w:rPr>
      </w:pPr>
      <w:proofErr w:type="spellStart"/>
      <w:r w:rsidRPr="00CF7D68">
        <w:rPr>
          <w:iCs/>
          <w:vertAlign w:val="superscript"/>
        </w:rPr>
        <w:t>a</w:t>
      </w:r>
      <w:proofErr w:type="spellEnd"/>
      <w:r w:rsidRPr="00CF7D68">
        <w:rPr>
          <w:iCs/>
          <w:vertAlign w:val="superscript"/>
        </w:rPr>
        <w:t xml:space="preserve"> </w:t>
      </w:r>
      <w:r w:rsidRPr="00CF7D68">
        <w:rPr>
          <w:iCs/>
        </w:rPr>
        <w:t xml:space="preserve">It was unclear whether the </w:t>
      </w:r>
      <w:r w:rsidR="00F127C2" w:rsidRPr="00CF7D68">
        <w:rPr>
          <w:iCs/>
        </w:rPr>
        <w:t>adherence</w:t>
      </w:r>
      <w:r w:rsidRPr="00CF7D68">
        <w:rPr>
          <w:iCs/>
        </w:rPr>
        <w:t xml:space="preserve"> estimate account</w:t>
      </w:r>
      <w:r w:rsidR="00B7138A" w:rsidRPr="00CF7D68">
        <w:rPr>
          <w:iCs/>
        </w:rPr>
        <w:t>ed</w:t>
      </w:r>
      <w:r w:rsidRPr="00CF7D68">
        <w:rPr>
          <w:iCs/>
        </w:rPr>
        <w:t xml:space="preserve"> for dose titrations and dose interruptions in the trials.</w:t>
      </w:r>
    </w:p>
    <w:p w14:paraId="268768EF" w14:textId="3626F292" w:rsidR="00B60939" w:rsidRPr="00CF7D68" w:rsidRDefault="00B60939" w:rsidP="008E11D7">
      <w:pPr>
        <w:pStyle w:val="3-SubsectionHeading"/>
        <w:keepNext w:val="0"/>
        <w:widowControl w:val="0"/>
      </w:pPr>
      <w:bookmarkStart w:id="55" w:name="_Toc22897647"/>
      <w:bookmarkStart w:id="56" w:name="_Toc103772421"/>
      <w:r w:rsidRPr="00CF7D68">
        <w:t>Estimated PBS usage &amp; financial implications</w:t>
      </w:r>
      <w:bookmarkEnd w:id="55"/>
      <w:bookmarkEnd w:id="56"/>
    </w:p>
    <w:p w14:paraId="71EF650B" w14:textId="687C3302" w:rsidR="00904320" w:rsidRPr="00CF7D68" w:rsidRDefault="009D2BC9" w:rsidP="008E11D7">
      <w:pPr>
        <w:pStyle w:val="ExecSumBodyText"/>
        <w:widowControl w:val="0"/>
        <w:ind w:left="709" w:hanging="709"/>
      </w:pPr>
      <w:r w:rsidRPr="00CF7D68">
        <w:t xml:space="preserve">This submission </w:t>
      </w:r>
      <w:r w:rsidR="00904320" w:rsidRPr="00CF7D68">
        <w:t>was not</w:t>
      </w:r>
      <w:r w:rsidRPr="00CF7D68">
        <w:t xml:space="preserve"> considered by DUSC. </w:t>
      </w:r>
    </w:p>
    <w:p w14:paraId="31F44F30" w14:textId="2A77DA86" w:rsidR="009D2BC9" w:rsidRPr="00CF7D68" w:rsidRDefault="009D2BC9" w:rsidP="000A170E">
      <w:pPr>
        <w:pStyle w:val="ExecSumBodyText"/>
        <w:widowControl w:val="0"/>
        <w:ind w:left="709" w:hanging="709"/>
      </w:pPr>
      <w:r w:rsidRPr="00CF7D68">
        <w:t xml:space="preserve">The submission used an epidemiological approach to estimate the utilisation and financial impact of listing </w:t>
      </w:r>
      <w:proofErr w:type="spellStart"/>
      <w:r w:rsidRPr="00CF7D68">
        <w:t>finerenone</w:t>
      </w:r>
      <w:proofErr w:type="spellEnd"/>
      <w:r w:rsidRPr="00CF7D68">
        <w:t>.</w:t>
      </w:r>
      <w:r w:rsidR="000A170E" w:rsidRPr="00CF7D68">
        <w:t xml:space="preserve"> </w:t>
      </w:r>
      <w:r w:rsidR="00502986" w:rsidRPr="00CF7D68">
        <w:t xml:space="preserve">Key inputs relied on in the financial estimates are summarised in </w:t>
      </w:r>
      <w:r w:rsidR="00B7138A" w:rsidRPr="00CF7D68">
        <w:fldChar w:fldCharType="begin"/>
      </w:r>
      <w:r w:rsidR="00B7138A" w:rsidRPr="00CF7D68">
        <w:instrText xml:space="preserve"> REF _Ref103353424 \h </w:instrText>
      </w:r>
      <w:r w:rsidR="00B7138A" w:rsidRPr="00CF7D68">
        <w:fldChar w:fldCharType="separate"/>
      </w:r>
      <w:r w:rsidR="00AE5D6E" w:rsidRPr="00CF7D68">
        <w:t xml:space="preserve">Table </w:t>
      </w:r>
      <w:r w:rsidR="00AE5D6E">
        <w:rPr>
          <w:noProof/>
        </w:rPr>
        <w:t>18</w:t>
      </w:r>
      <w:r w:rsidR="00B7138A" w:rsidRPr="00CF7D68">
        <w:fldChar w:fldCharType="end"/>
      </w:r>
      <w:r w:rsidR="00502986" w:rsidRPr="00CF7D68">
        <w:t>.</w:t>
      </w:r>
    </w:p>
    <w:p w14:paraId="27DD4E76" w14:textId="494AF79B" w:rsidR="00AC5893" w:rsidRPr="00CF7D68" w:rsidRDefault="00AC5893" w:rsidP="00A11ED5">
      <w:pPr>
        <w:pStyle w:val="TableHeading"/>
      </w:pPr>
      <w:bookmarkStart w:id="57" w:name="_Ref103353424"/>
      <w:r w:rsidRPr="00CF7D68">
        <w:t xml:space="preserve">Table </w:t>
      </w:r>
      <w:fldSimple w:instr=" SEQ Table \* ARABIC ">
        <w:r w:rsidR="00AE5D6E">
          <w:rPr>
            <w:noProof/>
          </w:rPr>
          <w:t>18</w:t>
        </w:r>
      </w:fldSimple>
      <w:bookmarkEnd w:id="57"/>
      <w:r w:rsidRPr="00CF7D68">
        <w:t>: Key inputs for financial estimates</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A0" w:firstRow="1" w:lastRow="0" w:firstColumn="1" w:lastColumn="0" w:noHBand="1" w:noVBand="1"/>
      </w:tblPr>
      <w:tblGrid>
        <w:gridCol w:w="1438"/>
        <w:gridCol w:w="2958"/>
        <w:gridCol w:w="4634"/>
      </w:tblGrid>
      <w:tr w:rsidR="00502986" w:rsidRPr="00CF7D68" w14:paraId="6F91418A" w14:textId="77777777" w:rsidTr="00C259BA">
        <w:trPr>
          <w:cantSplit/>
          <w:tblHeader/>
        </w:trPr>
        <w:tc>
          <w:tcPr>
            <w:tcW w:w="1438" w:type="dxa"/>
            <w:shd w:val="clear" w:color="auto" w:fill="auto"/>
            <w:vAlign w:val="center"/>
          </w:tcPr>
          <w:p w14:paraId="0CBBBEAA" w14:textId="77777777" w:rsidR="00502986" w:rsidRPr="00CF7D68" w:rsidRDefault="00502986" w:rsidP="00C259BA">
            <w:pPr>
              <w:pStyle w:val="Tableheadingrow"/>
              <w:widowControl w:val="0"/>
              <w:rPr>
                <w:lang w:val="en-AU"/>
              </w:rPr>
            </w:pPr>
            <w:r w:rsidRPr="00CF7D68">
              <w:rPr>
                <w:lang w:val="en-AU"/>
              </w:rPr>
              <w:t>Parameter</w:t>
            </w:r>
          </w:p>
        </w:tc>
        <w:tc>
          <w:tcPr>
            <w:tcW w:w="2958" w:type="dxa"/>
            <w:shd w:val="clear" w:color="auto" w:fill="auto"/>
            <w:vAlign w:val="center"/>
          </w:tcPr>
          <w:p w14:paraId="198E2EBE" w14:textId="77777777" w:rsidR="00502986" w:rsidRPr="00CF7D68" w:rsidRDefault="00502986" w:rsidP="00C259BA">
            <w:pPr>
              <w:pStyle w:val="Tableheadingrow"/>
              <w:widowControl w:val="0"/>
              <w:rPr>
                <w:lang w:val="en-AU"/>
              </w:rPr>
            </w:pPr>
            <w:r w:rsidRPr="00CF7D68">
              <w:rPr>
                <w:lang w:val="en-AU"/>
              </w:rPr>
              <w:t>Value applied and source</w:t>
            </w:r>
          </w:p>
        </w:tc>
        <w:tc>
          <w:tcPr>
            <w:tcW w:w="4634" w:type="dxa"/>
            <w:shd w:val="clear" w:color="auto" w:fill="auto"/>
            <w:vAlign w:val="center"/>
          </w:tcPr>
          <w:p w14:paraId="7EA3DE3A" w14:textId="77777777" w:rsidR="00502986" w:rsidRPr="00CF7D68" w:rsidRDefault="00502986" w:rsidP="00C259BA">
            <w:pPr>
              <w:pStyle w:val="Tableheadingrow"/>
              <w:widowControl w:val="0"/>
              <w:rPr>
                <w:lang w:val="en-AU"/>
              </w:rPr>
            </w:pPr>
            <w:r w:rsidRPr="00CF7D68">
              <w:rPr>
                <w:lang w:val="en-AU"/>
              </w:rPr>
              <w:t>Comment</w:t>
            </w:r>
          </w:p>
        </w:tc>
      </w:tr>
      <w:tr w:rsidR="00502986" w:rsidRPr="00CF7D68" w14:paraId="28D3BB70" w14:textId="77777777" w:rsidTr="00C259BA">
        <w:trPr>
          <w:cantSplit/>
        </w:trPr>
        <w:tc>
          <w:tcPr>
            <w:tcW w:w="1438" w:type="dxa"/>
            <w:shd w:val="clear" w:color="auto" w:fill="auto"/>
            <w:vAlign w:val="center"/>
          </w:tcPr>
          <w:p w14:paraId="78BB0EEC" w14:textId="77777777" w:rsidR="00502986" w:rsidRPr="00CF7D68" w:rsidRDefault="00502986" w:rsidP="00C259BA">
            <w:pPr>
              <w:pStyle w:val="TableText"/>
              <w:widowControl w:val="0"/>
            </w:pPr>
            <w:r w:rsidRPr="00CF7D68">
              <w:t>Australian population age ≥25 years</w:t>
            </w:r>
          </w:p>
        </w:tc>
        <w:tc>
          <w:tcPr>
            <w:tcW w:w="2958" w:type="dxa"/>
            <w:shd w:val="clear" w:color="auto" w:fill="auto"/>
            <w:vAlign w:val="center"/>
          </w:tcPr>
          <w:p w14:paraId="3B3879EE" w14:textId="3DB897D3" w:rsidR="00502986" w:rsidRPr="00CF7D68" w:rsidRDefault="00502986" w:rsidP="00C259BA">
            <w:pPr>
              <w:pStyle w:val="TableText"/>
              <w:widowControl w:val="0"/>
            </w:pPr>
            <w:r w:rsidRPr="00CF7D68">
              <w:t>18.7 million in year 1 increasing to 20.3</w:t>
            </w:r>
            <w:r w:rsidR="007748E3">
              <w:t> </w:t>
            </w:r>
            <w:r w:rsidRPr="00CF7D68">
              <w:t>million in year 6. ABS population – 3222.0 Series A (high assumptions of fertility, life expectancy and net overseas migration) (years 2023-2028)</w:t>
            </w:r>
          </w:p>
        </w:tc>
        <w:tc>
          <w:tcPr>
            <w:tcW w:w="4634" w:type="dxa"/>
            <w:shd w:val="clear" w:color="auto" w:fill="auto"/>
            <w:vAlign w:val="center"/>
          </w:tcPr>
          <w:p w14:paraId="00AA8598" w14:textId="77777777" w:rsidR="00502986" w:rsidRPr="00CF7D68" w:rsidRDefault="00502986" w:rsidP="00C259BA">
            <w:pPr>
              <w:pStyle w:val="TableText"/>
              <w:widowControl w:val="0"/>
            </w:pPr>
            <w:r w:rsidRPr="00CF7D68">
              <w:t xml:space="preserve">The submission did not justify the use of higher population estimates from ABS series A rather than series B as included in the standardised Excel workbook available from the PBAC Guidelines v5.0 website. </w:t>
            </w:r>
          </w:p>
        </w:tc>
      </w:tr>
      <w:tr w:rsidR="00502986" w:rsidRPr="00CF7D68" w14:paraId="4CB0A626" w14:textId="77777777" w:rsidTr="00C259BA">
        <w:trPr>
          <w:cantSplit/>
        </w:trPr>
        <w:tc>
          <w:tcPr>
            <w:tcW w:w="1438" w:type="dxa"/>
            <w:shd w:val="clear" w:color="auto" w:fill="auto"/>
            <w:vAlign w:val="center"/>
          </w:tcPr>
          <w:p w14:paraId="5DCA7966" w14:textId="77777777" w:rsidR="00502986" w:rsidRPr="00CF7D68" w:rsidRDefault="00502986" w:rsidP="008E11D7">
            <w:pPr>
              <w:pStyle w:val="TableText"/>
              <w:keepNext w:val="0"/>
              <w:widowControl w:val="0"/>
            </w:pPr>
            <w:r w:rsidRPr="00CF7D68">
              <w:t>CKD prevalence</w:t>
            </w:r>
          </w:p>
        </w:tc>
        <w:tc>
          <w:tcPr>
            <w:tcW w:w="2958" w:type="dxa"/>
            <w:shd w:val="clear" w:color="auto" w:fill="auto"/>
            <w:vAlign w:val="center"/>
          </w:tcPr>
          <w:p w14:paraId="3BA02EDC" w14:textId="71A8C7D8" w:rsidR="00502986" w:rsidRPr="00CF7D68" w:rsidRDefault="00502986" w:rsidP="008E11D7">
            <w:pPr>
              <w:pStyle w:val="TableText"/>
              <w:keepNext w:val="0"/>
              <w:widowControl w:val="0"/>
            </w:pPr>
            <w:r w:rsidRPr="00CF7D68">
              <w:t>5.3</w:t>
            </w:r>
            <w:r w:rsidR="00B7138A" w:rsidRPr="00CF7D68">
              <w:t xml:space="preserve"> to </w:t>
            </w:r>
            <w:r w:rsidRPr="00CF7D68">
              <w:t>44.5% (by age bands). Based on biomedical measures from urine and blood samples of 11,200 Australian adults and children who participated in the 2011-12 National Health Measures Survey (NHMS 2013). CKD was defined as a single measure of eGFR &lt;</w:t>
            </w:r>
            <w:r w:rsidR="00B7138A" w:rsidRPr="00CF7D68">
              <w:t> </w:t>
            </w:r>
            <w:r w:rsidRPr="00CF7D68">
              <w:t>60 mL/min/1.73m</w:t>
            </w:r>
            <w:r w:rsidRPr="00CF7D68">
              <w:rPr>
                <w:vertAlign w:val="superscript"/>
              </w:rPr>
              <w:t>2</w:t>
            </w:r>
            <w:r w:rsidRPr="00CF7D68">
              <w:t xml:space="preserve"> and a UACR ≥</w:t>
            </w:r>
            <w:r w:rsidR="00B7138A" w:rsidRPr="00CF7D68">
              <w:t> </w:t>
            </w:r>
            <w:r w:rsidRPr="00CF7D68">
              <w:t>2.5</w:t>
            </w:r>
            <w:r w:rsidR="00B7138A" w:rsidRPr="00CF7D68">
              <w:t> </w:t>
            </w:r>
            <w:r w:rsidRPr="00CF7D68">
              <w:t>mg/mmol for males and ≥</w:t>
            </w:r>
            <w:r w:rsidR="00B7138A" w:rsidRPr="00CF7D68">
              <w:t> </w:t>
            </w:r>
            <w:r w:rsidRPr="00CF7D68">
              <w:t>3.5</w:t>
            </w:r>
            <w:r w:rsidR="00B7138A" w:rsidRPr="00CF7D68">
              <w:t> </w:t>
            </w:r>
            <w:r w:rsidRPr="00CF7D68">
              <w:t>mg/mmol for females.</w:t>
            </w:r>
          </w:p>
        </w:tc>
        <w:tc>
          <w:tcPr>
            <w:tcW w:w="4634" w:type="dxa"/>
            <w:shd w:val="clear" w:color="auto" w:fill="auto"/>
            <w:vAlign w:val="center"/>
          </w:tcPr>
          <w:p w14:paraId="0B328631" w14:textId="6E375FC9" w:rsidR="00502986" w:rsidRPr="00CF7D68" w:rsidRDefault="00502986" w:rsidP="008E11D7">
            <w:pPr>
              <w:pStyle w:val="TableText"/>
              <w:keepNext w:val="0"/>
              <w:widowControl w:val="0"/>
              <w:rPr>
                <w:iCs/>
              </w:rPr>
            </w:pPr>
            <w:r w:rsidRPr="00CF7D68">
              <w:rPr>
                <w:iCs/>
              </w:rPr>
              <w:t>Eligible population estimates were based on the pool of prevalent CKD patients</w:t>
            </w:r>
            <w:r w:rsidR="009F2B36" w:rsidRPr="00CF7D68">
              <w:rPr>
                <w:iCs/>
              </w:rPr>
              <w:t>.</w:t>
            </w:r>
            <w:r w:rsidRPr="00CF7D68">
              <w:rPr>
                <w:iCs/>
              </w:rPr>
              <w:t xml:space="preserve"> </w:t>
            </w:r>
          </w:p>
          <w:p w14:paraId="2C52B83B" w14:textId="77777777" w:rsidR="00502986" w:rsidRPr="00CF7D68" w:rsidRDefault="00502986" w:rsidP="008E11D7">
            <w:pPr>
              <w:pStyle w:val="TableText"/>
              <w:keepNext w:val="0"/>
              <w:widowControl w:val="0"/>
            </w:pPr>
          </w:p>
          <w:p w14:paraId="7C726C46" w14:textId="77777777" w:rsidR="00502986" w:rsidRPr="00CF7D68" w:rsidRDefault="00502986" w:rsidP="008E11D7">
            <w:pPr>
              <w:pStyle w:val="TableText"/>
              <w:keepNext w:val="0"/>
              <w:widowControl w:val="0"/>
              <w:rPr>
                <w:i/>
              </w:rPr>
            </w:pPr>
            <w:r w:rsidRPr="00CF7D68">
              <w:t>The applicability of the NHMS data to current practice was limited by the relatively old dataset. The authors also note the analysis was based on single measures of eGFR/UACR and therefore may include temporary fluctuations due to conditions unrelated to CKD (e.g. acute kidney injury, infections).</w:t>
            </w:r>
          </w:p>
        </w:tc>
      </w:tr>
      <w:tr w:rsidR="00502986" w:rsidRPr="00CF7D68" w14:paraId="547D9E38" w14:textId="77777777" w:rsidTr="00C259BA">
        <w:trPr>
          <w:cantSplit/>
        </w:trPr>
        <w:tc>
          <w:tcPr>
            <w:tcW w:w="1438" w:type="dxa"/>
            <w:shd w:val="clear" w:color="auto" w:fill="auto"/>
            <w:vAlign w:val="center"/>
          </w:tcPr>
          <w:p w14:paraId="2FE2EF39" w14:textId="77777777" w:rsidR="00502986" w:rsidRPr="00CF7D68" w:rsidRDefault="00502986" w:rsidP="008E11D7">
            <w:pPr>
              <w:pStyle w:val="TableText"/>
              <w:keepNext w:val="0"/>
              <w:widowControl w:val="0"/>
            </w:pPr>
            <w:r w:rsidRPr="00CF7D68">
              <w:t>CKD diagnosis rate</w:t>
            </w:r>
          </w:p>
        </w:tc>
        <w:tc>
          <w:tcPr>
            <w:tcW w:w="2958" w:type="dxa"/>
            <w:shd w:val="clear" w:color="auto" w:fill="auto"/>
            <w:vAlign w:val="center"/>
          </w:tcPr>
          <w:p w14:paraId="30003B5E" w14:textId="6B1280E3" w:rsidR="00502986" w:rsidRPr="00CF7D68" w:rsidRDefault="00502986" w:rsidP="008E11D7">
            <w:pPr>
              <w:pStyle w:val="TableText"/>
              <w:keepNext w:val="0"/>
              <w:widowControl w:val="0"/>
            </w:pPr>
            <w:r w:rsidRPr="00CF7D68">
              <w:t>50</w:t>
            </w:r>
            <w:r w:rsidR="00B7138A" w:rsidRPr="00CF7D68">
              <w:t xml:space="preserve"> to </w:t>
            </w:r>
            <w:r w:rsidRPr="00CF7D68">
              <w:t>75%. Based on CKD diagnosis rates recommended by the PBAC when considering the dapagliflozin submission for CKD (</w:t>
            </w:r>
            <w:r w:rsidR="008531A0" w:rsidRPr="00CF7D68">
              <w:t xml:space="preserve">Table 23, </w:t>
            </w:r>
            <w:r w:rsidRPr="00CF7D68">
              <w:t>dapagliflozin</w:t>
            </w:r>
            <w:r w:rsidR="00024BE0">
              <w:t xml:space="preserve"> </w:t>
            </w:r>
            <w:r w:rsidR="00FE77CB">
              <w:t>P</w:t>
            </w:r>
            <w:r w:rsidR="00024BE0">
              <w:t xml:space="preserve">ublic </w:t>
            </w:r>
            <w:r w:rsidR="00FE77CB">
              <w:t>S</w:t>
            </w:r>
            <w:r w:rsidR="00024BE0">
              <w:t xml:space="preserve">ummary </w:t>
            </w:r>
            <w:r w:rsidR="00FE77CB">
              <w:t>D</w:t>
            </w:r>
            <w:r w:rsidR="00024BE0">
              <w:t>ocument</w:t>
            </w:r>
            <w:r w:rsidRPr="00CF7D68">
              <w:t xml:space="preserve"> </w:t>
            </w:r>
            <w:r w:rsidR="00024BE0">
              <w:t>(</w:t>
            </w:r>
            <w:r w:rsidRPr="00CF7D68">
              <w:t>PSD</w:t>
            </w:r>
            <w:r w:rsidR="00024BE0">
              <w:t>)</w:t>
            </w:r>
            <w:r w:rsidRPr="00CF7D68">
              <w:t xml:space="preserve">, September 2021 </w:t>
            </w:r>
            <w:r w:rsidR="008531A0" w:rsidRPr="00CF7D68">
              <w:t>PBAC meeting</w:t>
            </w:r>
            <w:r w:rsidRPr="00CF7D68">
              <w:t>).</w:t>
            </w:r>
          </w:p>
        </w:tc>
        <w:tc>
          <w:tcPr>
            <w:tcW w:w="4634" w:type="dxa"/>
            <w:shd w:val="clear" w:color="auto" w:fill="auto"/>
            <w:vAlign w:val="center"/>
          </w:tcPr>
          <w:p w14:paraId="13F260F0" w14:textId="03863AEC" w:rsidR="00502986" w:rsidRPr="00CF7D68" w:rsidRDefault="00BC7B88" w:rsidP="008E11D7">
            <w:pPr>
              <w:pStyle w:val="TableText"/>
              <w:keepNext w:val="0"/>
              <w:widowControl w:val="0"/>
            </w:pPr>
            <w:r w:rsidRPr="00CF7D68">
              <w:t xml:space="preserve">The ESC considered that </w:t>
            </w:r>
            <w:bookmarkStart w:id="58" w:name="_Hlk110801431"/>
            <w:r w:rsidRPr="00CF7D68">
              <w:rPr>
                <w:iCs/>
              </w:rPr>
              <w:t>d</w:t>
            </w:r>
            <w:r w:rsidR="00502986" w:rsidRPr="00CF7D68">
              <w:rPr>
                <w:iCs/>
              </w:rPr>
              <w:t>iagnosis rates in the broader CKD population are unlikely to be applicable to patients with diabetes who are diagnosed with CKD</w:t>
            </w:r>
            <w:bookmarkEnd w:id="58"/>
            <w:r w:rsidR="00502986" w:rsidRPr="00CF7D68">
              <w:rPr>
                <w:iCs/>
              </w:rPr>
              <w:t xml:space="preserve">. </w:t>
            </w:r>
            <w:r w:rsidR="00453031" w:rsidRPr="00CF7D68">
              <w:t xml:space="preserve">The ESC considered that CKD diagnosis </w:t>
            </w:r>
            <w:r w:rsidR="0064364D" w:rsidRPr="00CF7D68">
              <w:t>among patients with diabetes is likely to be higher compared to a non-diabetic CKD patient population.</w:t>
            </w:r>
          </w:p>
        </w:tc>
      </w:tr>
      <w:tr w:rsidR="00502986" w:rsidRPr="00CF7D68" w14:paraId="79DE3C88" w14:textId="77777777" w:rsidTr="00C259BA">
        <w:trPr>
          <w:cantSplit/>
        </w:trPr>
        <w:tc>
          <w:tcPr>
            <w:tcW w:w="1438" w:type="dxa"/>
            <w:shd w:val="clear" w:color="auto" w:fill="auto"/>
            <w:vAlign w:val="center"/>
          </w:tcPr>
          <w:p w14:paraId="722BABAC" w14:textId="4F8F1B1E" w:rsidR="00502986" w:rsidRPr="00CF7D68" w:rsidRDefault="00502986" w:rsidP="008E11D7">
            <w:pPr>
              <w:pStyle w:val="TableText"/>
              <w:keepNext w:val="0"/>
              <w:widowControl w:val="0"/>
            </w:pPr>
            <w:r w:rsidRPr="00CF7D68">
              <w:lastRenderedPageBreak/>
              <w:t>CKD patients with serum potassium &lt;</w:t>
            </w:r>
            <w:r w:rsidR="00B7138A" w:rsidRPr="00CF7D68">
              <w:t> </w:t>
            </w:r>
            <w:r w:rsidRPr="00CF7D68">
              <w:t xml:space="preserve">5 </w:t>
            </w:r>
            <w:proofErr w:type="spellStart"/>
            <w:r w:rsidRPr="00CF7D68">
              <w:t>mmoL</w:t>
            </w:r>
            <w:proofErr w:type="spellEnd"/>
            <w:r w:rsidRPr="00CF7D68">
              <w:t>/L who have comorbid diabetes</w:t>
            </w:r>
          </w:p>
        </w:tc>
        <w:tc>
          <w:tcPr>
            <w:tcW w:w="2958" w:type="dxa"/>
            <w:shd w:val="clear" w:color="auto" w:fill="auto"/>
            <w:vAlign w:val="center"/>
          </w:tcPr>
          <w:p w14:paraId="1065E3D1" w14:textId="40102E42" w:rsidR="00502986" w:rsidRPr="00CF7D68" w:rsidRDefault="00502986" w:rsidP="008E11D7">
            <w:pPr>
              <w:pStyle w:val="TableText"/>
              <w:keepNext w:val="0"/>
              <w:widowControl w:val="0"/>
            </w:pPr>
            <w:r w:rsidRPr="00CF7D68">
              <w:t xml:space="preserve">73%. Based on a retrospective hospital-based cohort study of CKD patients admitted to a Victorian hospital between 2014 and 2018 who had an admission potassium value. There were </w:t>
            </w:r>
            <w:r w:rsidRPr="00A42443">
              <w:t>3,566</w:t>
            </w:r>
            <w:r w:rsidRPr="00F65875">
              <w:t xml:space="preserve"> </w:t>
            </w:r>
            <w:r w:rsidRPr="00CF7D68">
              <w:t>patients with diabetes documented as a comorbidity (32% of the whole cohort), of whom 72.7% had a serum potassium of &lt;</w:t>
            </w:r>
            <w:r w:rsidR="00B7138A" w:rsidRPr="00CF7D68">
              <w:t> </w:t>
            </w:r>
            <w:r w:rsidRPr="00CF7D68">
              <w:t xml:space="preserve">5 </w:t>
            </w:r>
            <w:proofErr w:type="spellStart"/>
            <w:r w:rsidRPr="00CF7D68">
              <w:t>mmoL</w:t>
            </w:r>
            <w:proofErr w:type="spellEnd"/>
            <w:r w:rsidRPr="00CF7D68">
              <w:t>/L on admission.</w:t>
            </w:r>
          </w:p>
        </w:tc>
        <w:tc>
          <w:tcPr>
            <w:tcW w:w="4634" w:type="dxa"/>
            <w:shd w:val="clear" w:color="auto" w:fill="auto"/>
            <w:vAlign w:val="center"/>
          </w:tcPr>
          <w:p w14:paraId="2FE185FE" w14:textId="3951B4C3" w:rsidR="00502986" w:rsidRPr="00CF7D68" w:rsidRDefault="00502986" w:rsidP="008E11D7">
            <w:pPr>
              <w:pStyle w:val="TableText"/>
              <w:keepNext w:val="0"/>
              <w:widowControl w:val="0"/>
              <w:rPr>
                <w:iCs/>
              </w:rPr>
            </w:pPr>
            <w:r w:rsidRPr="00CF7D68">
              <w:rPr>
                <w:iCs/>
              </w:rPr>
              <w:t>The study assessed potassium abnormalities in hospitalised patients with CKD, which is unlikely to be applicable to general practice. The estimation of patients meeting the serum potassium threshold was inappropriate as it did</w:t>
            </w:r>
            <w:r w:rsidR="002371B6" w:rsidRPr="00CF7D68">
              <w:rPr>
                <w:iCs/>
              </w:rPr>
              <w:t xml:space="preserve"> not</w:t>
            </w:r>
            <w:r w:rsidRPr="00CF7D68">
              <w:rPr>
                <w:iCs/>
              </w:rPr>
              <w:t xml:space="preserve"> account for the use of </w:t>
            </w:r>
            <w:proofErr w:type="spellStart"/>
            <w:r w:rsidRPr="00CF7D68">
              <w:rPr>
                <w:iCs/>
              </w:rPr>
              <w:t>ACEi</w:t>
            </w:r>
            <w:proofErr w:type="spellEnd"/>
            <w:r w:rsidRPr="00CF7D68">
              <w:rPr>
                <w:iCs/>
              </w:rPr>
              <w:t>/ARB</w:t>
            </w:r>
            <w:r w:rsidR="007748E3">
              <w:rPr>
                <w:iCs/>
              </w:rPr>
              <w:t>,</w:t>
            </w:r>
            <w:r w:rsidRPr="00CF7D68">
              <w:rPr>
                <w:iCs/>
              </w:rPr>
              <w:t xml:space="preserve"> which is likely to increase potassium levels.</w:t>
            </w:r>
            <w:r w:rsidR="00697025">
              <w:rPr>
                <w:iCs/>
              </w:rPr>
              <w:t xml:space="preserve"> </w:t>
            </w:r>
          </w:p>
        </w:tc>
      </w:tr>
      <w:tr w:rsidR="00502986" w:rsidRPr="00CF7D68" w14:paraId="1EE1A247" w14:textId="77777777" w:rsidTr="00C259BA">
        <w:trPr>
          <w:cantSplit/>
        </w:trPr>
        <w:tc>
          <w:tcPr>
            <w:tcW w:w="1438" w:type="dxa"/>
            <w:shd w:val="clear" w:color="auto" w:fill="auto"/>
            <w:vAlign w:val="center"/>
          </w:tcPr>
          <w:p w14:paraId="5DC536C0" w14:textId="77777777" w:rsidR="00502986" w:rsidRPr="00CF7D68" w:rsidRDefault="00502986" w:rsidP="008E11D7">
            <w:pPr>
              <w:pStyle w:val="TableText"/>
              <w:keepNext w:val="0"/>
              <w:widowControl w:val="0"/>
            </w:pPr>
            <w:r w:rsidRPr="00CF7D68">
              <w:t xml:space="preserve">Patients on </w:t>
            </w:r>
            <w:proofErr w:type="spellStart"/>
            <w:r w:rsidRPr="00CF7D68">
              <w:t>ACEi</w:t>
            </w:r>
            <w:proofErr w:type="spellEnd"/>
            <w:r w:rsidRPr="00CF7D68">
              <w:t>/ARB</w:t>
            </w:r>
          </w:p>
        </w:tc>
        <w:tc>
          <w:tcPr>
            <w:tcW w:w="2958" w:type="dxa"/>
            <w:shd w:val="clear" w:color="auto" w:fill="auto"/>
            <w:vAlign w:val="center"/>
          </w:tcPr>
          <w:p w14:paraId="71D23BA3" w14:textId="7307A446" w:rsidR="00502986" w:rsidRPr="00CF7D68" w:rsidRDefault="00502986" w:rsidP="008E11D7">
            <w:pPr>
              <w:pStyle w:val="TableText"/>
              <w:keepNext w:val="0"/>
              <w:widowControl w:val="0"/>
            </w:pPr>
            <w:r w:rsidRPr="00CF7D68">
              <w:t xml:space="preserve">80%. Based on the proportion of patients with CKD who are stable on </w:t>
            </w:r>
            <w:proofErr w:type="spellStart"/>
            <w:r w:rsidRPr="00CF7D68">
              <w:t>ACEi</w:t>
            </w:r>
            <w:proofErr w:type="spellEnd"/>
            <w:r w:rsidRPr="00CF7D68">
              <w:t>/ARB (80%) recommended by the PBAC when considering the dapagliflozin CKD submission (para</w:t>
            </w:r>
            <w:r w:rsidR="00B7138A" w:rsidRPr="00CF7D68">
              <w:t> </w:t>
            </w:r>
            <w:r w:rsidRPr="00CF7D68">
              <w:t xml:space="preserve">15.4, dapagliflozin PSD, September 2021 PBAC meeting). The submission assumed the same proportion would apply to </w:t>
            </w:r>
            <w:r w:rsidR="003C5BD4" w:rsidRPr="00CF7D68">
              <w:t>diabetic kidney disease</w:t>
            </w:r>
            <w:r w:rsidRPr="00CF7D68">
              <w:t xml:space="preserve"> patients.</w:t>
            </w:r>
          </w:p>
        </w:tc>
        <w:tc>
          <w:tcPr>
            <w:tcW w:w="4634" w:type="dxa"/>
            <w:shd w:val="clear" w:color="auto" w:fill="auto"/>
            <w:vAlign w:val="center"/>
          </w:tcPr>
          <w:p w14:paraId="2946DEE4" w14:textId="5D629BED" w:rsidR="00502986" w:rsidRPr="00CF7D68" w:rsidRDefault="00FC7BE0" w:rsidP="008E11D7">
            <w:pPr>
              <w:pStyle w:val="TableText"/>
              <w:keepNext w:val="0"/>
              <w:widowControl w:val="0"/>
              <w:rPr>
                <w:iCs/>
              </w:rPr>
            </w:pPr>
            <w:r w:rsidRPr="00CF7D68">
              <w:t xml:space="preserve">The ESC considered </w:t>
            </w:r>
            <w:r w:rsidR="00BC7B88" w:rsidRPr="00CF7D68">
              <w:t>this to be a</w:t>
            </w:r>
            <w:r w:rsidRPr="00CF7D68">
              <w:t xml:space="preserve"> reasonable</w:t>
            </w:r>
            <w:r w:rsidR="00BC7B88" w:rsidRPr="00CF7D68">
              <w:t xml:space="preserve"> assumption</w:t>
            </w:r>
            <w:r w:rsidRPr="00CF7D68">
              <w:t>.</w:t>
            </w:r>
            <w:r w:rsidRPr="00CF7D68">
              <w:rPr>
                <w:iCs/>
              </w:rPr>
              <w:t xml:space="preserve"> </w:t>
            </w:r>
          </w:p>
        </w:tc>
      </w:tr>
      <w:tr w:rsidR="00502986" w:rsidRPr="00CF7D68" w14:paraId="7A9715C3" w14:textId="77777777" w:rsidTr="00C259BA">
        <w:trPr>
          <w:cantSplit/>
        </w:trPr>
        <w:tc>
          <w:tcPr>
            <w:tcW w:w="1438" w:type="dxa"/>
            <w:shd w:val="clear" w:color="auto" w:fill="auto"/>
            <w:vAlign w:val="center"/>
          </w:tcPr>
          <w:p w14:paraId="511B4247" w14:textId="77777777" w:rsidR="00502986" w:rsidRPr="00CF7D68" w:rsidRDefault="00502986" w:rsidP="008E11D7">
            <w:pPr>
              <w:pStyle w:val="TableText"/>
              <w:keepNext w:val="0"/>
              <w:widowControl w:val="0"/>
            </w:pPr>
            <w:r w:rsidRPr="00CF7D68">
              <w:t>CKD patients with diabetes who meet UACR and eGFR eligibility criteria</w:t>
            </w:r>
          </w:p>
        </w:tc>
        <w:tc>
          <w:tcPr>
            <w:tcW w:w="2958" w:type="dxa"/>
            <w:shd w:val="clear" w:color="auto" w:fill="auto"/>
            <w:vAlign w:val="center"/>
          </w:tcPr>
          <w:p w14:paraId="1DCA7862" w14:textId="0D6186BC" w:rsidR="00502986" w:rsidRPr="00CF7D68" w:rsidRDefault="00502986" w:rsidP="008E11D7">
            <w:pPr>
              <w:pStyle w:val="TableText"/>
              <w:keepNext w:val="0"/>
              <w:widowControl w:val="0"/>
            </w:pPr>
            <w:r w:rsidRPr="005235A4">
              <w:t xml:space="preserve">18%. Based on a sponsor-commissioned analysis of the </w:t>
            </w:r>
            <w:proofErr w:type="spellStart"/>
            <w:r w:rsidRPr="005235A4">
              <w:t>OneNil</w:t>
            </w:r>
            <w:proofErr w:type="spellEnd"/>
            <w:r w:rsidRPr="005235A4">
              <w:t xml:space="preserve"> electronic medical records, primarily from general practice with limited coverage of specialist clinics. The analysis attempted to identify a FIDELITY-like population based on patients with at least one medical record between January 2016 and December 2020 with specific rules to identify patients with diabetes, </w:t>
            </w:r>
            <w:proofErr w:type="gramStart"/>
            <w:r w:rsidRPr="005235A4">
              <w:t>CKD</w:t>
            </w:r>
            <w:proofErr w:type="gramEnd"/>
            <w:r w:rsidRPr="005235A4">
              <w:t xml:space="preserve"> and albuminuria. Of those identified with CKD, approximately 18% had</w:t>
            </w:r>
            <w:r w:rsidRPr="00CF7D68">
              <w:t xml:space="preserve"> diabetes with eGFR and UACR in line with the proposed restriction. </w:t>
            </w:r>
          </w:p>
        </w:tc>
        <w:tc>
          <w:tcPr>
            <w:tcW w:w="4634" w:type="dxa"/>
            <w:shd w:val="clear" w:color="auto" w:fill="auto"/>
            <w:vAlign w:val="center"/>
          </w:tcPr>
          <w:p w14:paraId="7B79123A" w14:textId="77777777" w:rsidR="00502986" w:rsidRPr="00CF7D68" w:rsidRDefault="00502986" w:rsidP="008E11D7">
            <w:pPr>
              <w:pStyle w:val="TableText"/>
              <w:keepNext w:val="0"/>
              <w:widowControl w:val="0"/>
              <w:rPr>
                <w:iCs/>
              </w:rPr>
            </w:pPr>
            <w:r w:rsidRPr="00CF7D68">
              <w:rPr>
                <w:iCs/>
              </w:rPr>
              <w:t xml:space="preserve">The applicability of the </w:t>
            </w:r>
            <w:proofErr w:type="spellStart"/>
            <w:r w:rsidRPr="00CF7D68">
              <w:rPr>
                <w:iCs/>
              </w:rPr>
              <w:t>OneNil</w:t>
            </w:r>
            <w:proofErr w:type="spellEnd"/>
            <w:r w:rsidRPr="00CF7D68">
              <w:rPr>
                <w:iCs/>
              </w:rPr>
              <w:t xml:space="preserve"> patient cohort to clinical practice may be limited. Prior validation exercises conducted with the </w:t>
            </w:r>
            <w:proofErr w:type="spellStart"/>
            <w:r w:rsidRPr="00CF7D68">
              <w:rPr>
                <w:iCs/>
              </w:rPr>
              <w:t>OneNil</w:t>
            </w:r>
            <w:proofErr w:type="spellEnd"/>
            <w:r w:rsidRPr="00CF7D68">
              <w:rPr>
                <w:iCs/>
              </w:rPr>
              <w:t xml:space="preserve"> database indicate the dataset overrepresents older individuals, females, people from Victoria, people from disadvantaged backgrounds, patients from regional areas, and patients with Type 2 diabetes, hypertension, cardiovascular disease, gastro-oesophageal reflux disease, </w:t>
            </w:r>
            <w:proofErr w:type="gramStart"/>
            <w:r w:rsidRPr="00CF7D68">
              <w:rPr>
                <w:iCs/>
              </w:rPr>
              <w:t>depression</w:t>
            </w:r>
            <w:proofErr w:type="gramEnd"/>
            <w:r w:rsidRPr="00CF7D68">
              <w:rPr>
                <w:iCs/>
              </w:rPr>
              <w:t xml:space="preserve"> and anxiety. There is also potential for double counting and data gaps as there is no linking of data between clinics. </w:t>
            </w:r>
          </w:p>
          <w:p w14:paraId="6EBD37F9" w14:textId="77777777" w:rsidR="00502986" w:rsidRPr="00CF7D68" w:rsidRDefault="00502986" w:rsidP="008E11D7">
            <w:pPr>
              <w:pStyle w:val="TableText"/>
              <w:keepNext w:val="0"/>
              <w:widowControl w:val="0"/>
              <w:rPr>
                <w:iCs/>
              </w:rPr>
            </w:pPr>
          </w:p>
          <w:p w14:paraId="6C1943DD" w14:textId="77777777" w:rsidR="00502986" w:rsidRPr="00CF7D68" w:rsidRDefault="00502986" w:rsidP="008E11D7">
            <w:pPr>
              <w:pStyle w:val="TableText"/>
              <w:keepNext w:val="0"/>
              <w:widowControl w:val="0"/>
              <w:rPr>
                <w:iCs/>
              </w:rPr>
            </w:pPr>
            <w:r w:rsidRPr="00CF7D68">
              <w:rPr>
                <w:iCs/>
              </w:rPr>
              <w:t>The identification of CKD may be inadequate as it was based on the most recent eGFR/UACR, therefore the analysis appears unable to differentiate between transient (e.g. due to infection) versus persistent albuminuria.</w:t>
            </w:r>
          </w:p>
          <w:p w14:paraId="204D7198" w14:textId="77777777" w:rsidR="00502986" w:rsidRPr="00CF7D68" w:rsidRDefault="00502986" w:rsidP="008E11D7">
            <w:pPr>
              <w:pStyle w:val="TableText"/>
              <w:keepNext w:val="0"/>
              <w:widowControl w:val="0"/>
              <w:rPr>
                <w:iCs/>
              </w:rPr>
            </w:pPr>
          </w:p>
          <w:p w14:paraId="560B94E1" w14:textId="4D0324E0" w:rsidR="00502986" w:rsidRPr="00CF7D68" w:rsidRDefault="00502986" w:rsidP="008E11D7">
            <w:pPr>
              <w:pStyle w:val="TableText"/>
              <w:keepNext w:val="0"/>
              <w:widowControl w:val="0"/>
              <w:rPr>
                <w:iCs/>
              </w:rPr>
            </w:pPr>
            <w:r w:rsidRPr="00CF7D68">
              <w:rPr>
                <w:iCs/>
              </w:rPr>
              <w:t>The identification of diabetes was based on either coded diagnosis in their clinical file or more recent HbA1c measurement ≥</w:t>
            </w:r>
            <w:r w:rsidR="00B7138A" w:rsidRPr="00CF7D68">
              <w:rPr>
                <w:iCs/>
              </w:rPr>
              <w:t> </w:t>
            </w:r>
            <w:r w:rsidRPr="00CF7D68">
              <w:rPr>
                <w:iCs/>
              </w:rPr>
              <w:t xml:space="preserve">6.5%. Sensitivity analyses using alternative definitions (using combinations of HbA1c, coded diagnosis and medications) suggest wide-ranging proportions of </w:t>
            </w:r>
            <w:r w:rsidR="003C5BD4" w:rsidRPr="00CF7D68">
              <w:rPr>
                <w:iCs/>
              </w:rPr>
              <w:t>diabetic kidney disease</w:t>
            </w:r>
            <w:r w:rsidRPr="00CF7D68">
              <w:rPr>
                <w:iCs/>
              </w:rPr>
              <w:t xml:space="preserve"> within CKD.</w:t>
            </w:r>
          </w:p>
          <w:p w14:paraId="155B7294" w14:textId="77777777" w:rsidR="00502986" w:rsidRPr="00CF7D68" w:rsidRDefault="00502986" w:rsidP="008E11D7">
            <w:pPr>
              <w:pStyle w:val="TableText"/>
              <w:keepNext w:val="0"/>
              <w:widowControl w:val="0"/>
              <w:rPr>
                <w:iCs/>
              </w:rPr>
            </w:pPr>
          </w:p>
          <w:p w14:paraId="70474E63" w14:textId="77777777" w:rsidR="00502986" w:rsidRPr="00CF7D68" w:rsidRDefault="00502986" w:rsidP="008E11D7">
            <w:pPr>
              <w:pStyle w:val="TableText"/>
              <w:keepNext w:val="0"/>
              <w:widowControl w:val="0"/>
              <w:rPr>
                <w:i/>
                <w:iCs/>
              </w:rPr>
            </w:pPr>
            <w:r w:rsidRPr="00CF7D68">
              <w:rPr>
                <w:iCs/>
              </w:rPr>
              <w:t xml:space="preserve">The analysis did not consider utilisation of </w:t>
            </w:r>
            <w:proofErr w:type="spellStart"/>
            <w:r w:rsidRPr="00CF7D68">
              <w:rPr>
                <w:iCs/>
              </w:rPr>
              <w:t>ACEi</w:t>
            </w:r>
            <w:proofErr w:type="spellEnd"/>
            <w:r w:rsidRPr="00CF7D68">
              <w:rPr>
                <w:iCs/>
              </w:rPr>
              <w:t>/ARB or potassium levels, therefore the estimate used is not applicable to those meeting the eGFR/UACR criteria.</w:t>
            </w:r>
          </w:p>
        </w:tc>
      </w:tr>
      <w:tr w:rsidR="00502986" w:rsidRPr="00CF7D68" w14:paraId="7434B1A1" w14:textId="77777777" w:rsidTr="00C259BA">
        <w:trPr>
          <w:cantSplit/>
        </w:trPr>
        <w:tc>
          <w:tcPr>
            <w:tcW w:w="1438" w:type="dxa"/>
            <w:shd w:val="clear" w:color="auto" w:fill="auto"/>
            <w:vAlign w:val="center"/>
          </w:tcPr>
          <w:p w14:paraId="66F4E3AE" w14:textId="77777777" w:rsidR="00502986" w:rsidRPr="00CF7D68" w:rsidRDefault="00502986" w:rsidP="008E11D7">
            <w:pPr>
              <w:pStyle w:val="TableText"/>
              <w:keepNext w:val="0"/>
              <w:widowControl w:val="0"/>
            </w:pPr>
            <w:r w:rsidRPr="00CF7D68">
              <w:t>Uptake rate</w:t>
            </w:r>
          </w:p>
        </w:tc>
        <w:tc>
          <w:tcPr>
            <w:tcW w:w="2958" w:type="dxa"/>
            <w:shd w:val="clear" w:color="auto" w:fill="auto"/>
            <w:vAlign w:val="center"/>
          </w:tcPr>
          <w:p w14:paraId="5BCF895D" w14:textId="61E35268" w:rsidR="00502986" w:rsidRPr="00CF7D68" w:rsidRDefault="00A973A1" w:rsidP="008E11D7">
            <w:pPr>
              <w:pStyle w:val="TableText"/>
              <w:keepNext w:val="0"/>
              <w:widowControl w:val="0"/>
            </w:pPr>
            <w:r w:rsidRPr="00A973A1">
              <w:rPr>
                <w:color w:val="000000"/>
                <w:spacing w:val="51"/>
                <w:shd w:val="solid" w:color="000000" w:fill="000000"/>
                <w:fitText w:val="325" w:id="-1435844337"/>
                <w14:textFill>
                  <w14:solidFill>
                    <w14:srgbClr w14:val="000000">
                      <w14:alpha w14:val="100000"/>
                    </w14:srgbClr>
                  </w14:solidFill>
                </w14:textFill>
              </w:rPr>
              <w:t>|||</w:t>
            </w:r>
            <w:r w:rsidRPr="00A973A1">
              <w:rPr>
                <w:color w:val="000000"/>
                <w:spacing w:val="2"/>
                <w:shd w:val="solid" w:color="000000" w:fill="000000"/>
                <w:fitText w:val="325" w:id="-1435844337"/>
                <w14:textFill>
                  <w14:solidFill>
                    <w14:srgbClr w14:val="000000">
                      <w14:alpha w14:val="100000"/>
                    </w14:srgbClr>
                  </w14:solidFill>
                </w14:textFill>
              </w:rPr>
              <w:t>|</w:t>
            </w:r>
            <w:r w:rsidR="00502986" w:rsidRPr="00F30D28">
              <w:t>-</w:t>
            </w:r>
            <w:r w:rsidRPr="00A973A1">
              <w:rPr>
                <w:color w:val="000000"/>
                <w:spacing w:val="51"/>
                <w:shd w:val="solid" w:color="000000" w:fill="000000"/>
                <w:fitText w:val="326" w:id="-1435844336"/>
                <w14:textFill>
                  <w14:solidFill>
                    <w14:srgbClr w14:val="000000">
                      <w14:alpha w14:val="100000"/>
                    </w14:srgbClr>
                  </w14:solidFill>
                </w14:textFill>
              </w:rPr>
              <w:t>|||</w:t>
            </w:r>
            <w:r w:rsidRPr="00A973A1">
              <w:rPr>
                <w:color w:val="000000"/>
                <w:spacing w:val="3"/>
                <w:shd w:val="solid" w:color="000000" w:fill="000000"/>
                <w:fitText w:val="326" w:id="-1435844336"/>
                <w14:textFill>
                  <w14:solidFill>
                    <w14:srgbClr w14:val="000000">
                      <w14:alpha w14:val="100000"/>
                    </w14:srgbClr>
                  </w14:solidFill>
                </w14:textFill>
              </w:rPr>
              <w:t>|</w:t>
            </w:r>
            <w:r w:rsidR="00502986" w:rsidRPr="00F30D28">
              <w:t>%.</w:t>
            </w:r>
            <w:r w:rsidR="00502986" w:rsidRPr="00CF7D68">
              <w:t xml:space="preserve"> Assumption. The submission stated the estimates that are applied to the prevalent population account for increasing uptake of </w:t>
            </w:r>
            <w:proofErr w:type="spellStart"/>
            <w:r w:rsidR="00502986" w:rsidRPr="00CF7D68">
              <w:t>finerenone</w:t>
            </w:r>
            <w:proofErr w:type="spellEnd"/>
            <w:r w:rsidR="00502986" w:rsidRPr="00CF7D68">
              <w:t xml:space="preserve"> over time and patients discontinuing </w:t>
            </w:r>
            <w:proofErr w:type="spellStart"/>
            <w:r w:rsidR="00502986" w:rsidRPr="00CF7D68">
              <w:t>finerenone</w:t>
            </w:r>
            <w:proofErr w:type="spellEnd"/>
            <w:r w:rsidR="00502986" w:rsidRPr="00CF7D68">
              <w:t xml:space="preserve"> due to death or initiation of renal replacement therapy.  </w:t>
            </w:r>
          </w:p>
        </w:tc>
        <w:tc>
          <w:tcPr>
            <w:tcW w:w="4634" w:type="dxa"/>
            <w:shd w:val="clear" w:color="auto" w:fill="auto"/>
            <w:vAlign w:val="center"/>
          </w:tcPr>
          <w:p w14:paraId="43D597FE" w14:textId="30444C38" w:rsidR="00502986" w:rsidRPr="00CF7D68" w:rsidRDefault="00FB4CC5" w:rsidP="008E11D7">
            <w:pPr>
              <w:pStyle w:val="TableText"/>
              <w:keepNext w:val="0"/>
              <w:widowControl w:val="0"/>
              <w:rPr>
                <w:iCs/>
              </w:rPr>
            </w:pPr>
            <w:r w:rsidRPr="00CF7D68">
              <w:t xml:space="preserve">The ESC considered that the uptake rates were implausibly high given </w:t>
            </w:r>
            <w:r w:rsidR="003864E0" w:rsidRPr="00CF7D68">
              <w:t xml:space="preserve">the evolving treatment landscape and </w:t>
            </w:r>
            <w:r w:rsidRPr="00CF7D68">
              <w:t>the discontinuation rates in the pivotal trials</w:t>
            </w:r>
            <w:r w:rsidRPr="00CF7D68">
              <w:rPr>
                <w:iCs/>
              </w:rPr>
              <w:t xml:space="preserve"> </w:t>
            </w:r>
            <w:r w:rsidR="00502986" w:rsidRPr="00CF7D68">
              <w:rPr>
                <w:iCs/>
              </w:rPr>
              <w:t>(34% at 4 years in FIDELITY, 40% at 4 years in FIDELIO-DKD and 30% at 4</w:t>
            </w:r>
            <w:r w:rsidR="00B7138A" w:rsidRPr="00CF7D68">
              <w:rPr>
                <w:iCs/>
              </w:rPr>
              <w:t> </w:t>
            </w:r>
            <w:r w:rsidR="00502986" w:rsidRPr="00CF7D68">
              <w:rPr>
                <w:iCs/>
              </w:rPr>
              <w:t>years in FIGARO-DKD)</w:t>
            </w:r>
            <w:r w:rsidR="00D12D2E" w:rsidRPr="00CF7D68">
              <w:rPr>
                <w:iCs/>
              </w:rPr>
              <w:t>.</w:t>
            </w:r>
            <w:r w:rsidR="00502986" w:rsidRPr="00CF7D68">
              <w:rPr>
                <w:iCs/>
              </w:rPr>
              <w:t xml:space="preserve"> </w:t>
            </w:r>
            <w:r w:rsidR="004A190B" w:rsidRPr="00CF7D68">
              <w:t>T</w:t>
            </w:r>
            <w:r w:rsidR="00D12D2E" w:rsidRPr="00CF7D68">
              <w:t>he ESC</w:t>
            </w:r>
            <w:r w:rsidR="00BC7B88" w:rsidRPr="00CF7D68">
              <w:t xml:space="preserve"> </w:t>
            </w:r>
            <w:r w:rsidR="00EB543D" w:rsidRPr="00CF7D68">
              <w:t>advised that uptake rates</w:t>
            </w:r>
            <w:r w:rsidR="003864E0" w:rsidRPr="00CF7D68">
              <w:t xml:space="preserve"> </w:t>
            </w:r>
            <w:r w:rsidR="00D12D2E" w:rsidRPr="00CF7D68">
              <w:t xml:space="preserve">should </w:t>
            </w:r>
            <w:r w:rsidR="003864E0" w:rsidRPr="00CF7D68">
              <w:t xml:space="preserve">be </w:t>
            </w:r>
            <w:r w:rsidR="004A190B" w:rsidRPr="00CF7D68">
              <w:t>substantially</w:t>
            </w:r>
            <w:r w:rsidR="003864E0" w:rsidRPr="00CF7D68">
              <w:t xml:space="preserve"> lowered</w:t>
            </w:r>
            <w:r w:rsidR="00EB543D" w:rsidRPr="00CF7D68">
              <w:t>.</w:t>
            </w:r>
          </w:p>
        </w:tc>
      </w:tr>
      <w:tr w:rsidR="00502986" w:rsidRPr="00CF7D68" w14:paraId="4609FE37" w14:textId="77777777" w:rsidTr="00C259BA">
        <w:trPr>
          <w:cantSplit/>
        </w:trPr>
        <w:tc>
          <w:tcPr>
            <w:tcW w:w="1438" w:type="dxa"/>
            <w:shd w:val="clear" w:color="auto" w:fill="auto"/>
            <w:vAlign w:val="center"/>
          </w:tcPr>
          <w:p w14:paraId="248F5CD5" w14:textId="77777777" w:rsidR="00502986" w:rsidRPr="00CF7D68" w:rsidRDefault="00502986" w:rsidP="008E11D7">
            <w:pPr>
              <w:pStyle w:val="TableText"/>
              <w:keepNext w:val="0"/>
              <w:widowControl w:val="0"/>
            </w:pPr>
            <w:r w:rsidRPr="00CF7D68">
              <w:lastRenderedPageBreak/>
              <w:t>Total scripts per patient per year</w:t>
            </w:r>
          </w:p>
        </w:tc>
        <w:tc>
          <w:tcPr>
            <w:tcW w:w="2958" w:type="dxa"/>
            <w:shd w:val="clear" w:color="auto" w:fill="auto"/>
            <w:vAlign w:val="center"/>
          </w:tcPr>
          <w:p w14:paraId="2AE92E39" w14:textId="14561FAF" w:rsidR="00502986" w:rsidRPr="00CF7D68" w:rsidRDefault="00502986" w:rsidP="008E11D7">
            <w:pPr>
              <w:pStyle w:val="TableText"/>
              <w:keepNext w:val="0"/>
              <w:widowControl w:val="0"/>
            </w:pPr>
            <w:r w:rsidRPr="00CF7D68">
              <w:t xml:space="preserve">Based on </w:t>
            </w:r>
            <w:r w:rsidR="00A973A1" w:rsidRPr="00A973A1">
              <w:rPr>
                <w:color w:val="000000"/>
                <w:spacing w:val="51"/>
                <w:shd w:val="solid" w:color="000000" w:fill="000000"/>
                <w:fitText w:val="325" w:id="-1435844352"/>
                <w14:textFill>
                  <w14:solidFill>
                    <w14:srgbClr w14:val="000000">
                      <w14:alpha w14:val="100000"/>
                    </w14:srgbClr>
                  </w14:solidFill>
                </w14:textFill>
              </w:rPr>
              <w:t>|||</w:t>
            </w:r>
            <w:r w:rsidR="00A973A1" w:rsidRPr="00A973A1">
              <w:rPr>
                <w:color w:val="000000"/>
                <w:spacing w:val="2"/>
                <w:shd w:val="solid" w:color="000000" w:fill="000000"/>
                <w:fitText w:val="325" w:id="-1435844352"/>
                <w14:textFill>
                  <w14:solidFill>
                    <w14:srgbClr w14:val="000000">
                      <w14:alpha w14:val="100000"/>
                    </w14:srgbClr>
                  </w14:solidFill>
                </w14:textFill>
              </w:rPr>
              <w:t>|</w:t>
            </w:r>
            <w:r w:rsidRPr="00CF7D68">
              <w:t xml:space="preserve"> scripts per year </w:t>
            </w:r>
            <w:r w:rsidR="00B7138A" w:rsidRPr="00CF7D68">
              <w:t>×</w:t>
            </w:r>
            <w:r w:rsidRPr="00CF7D68">
              <w:t xml:space="preserve"> 91.7% adherence from the FIDELITY pooled analysis.</w:t>
            </w:r>
          </w:p>
        </w:tc>
        <w:tc>
          <w:tcPr>
            <w:tcW w:w="4634" w:type="dxa"/>
            <w:shd w:val="clear" w:color="auto" w:fill="auto"/>
            <w:vAlign w:val="center"/>
          </w:tcPr>
          <w:p w14:paraId="4E9F0830" w14:textId="47CB6415" w:rsidR="00502986" w:rsidRPr="00CF7D68" w:rsidRDefault="00502986" w:rsidP="008E11D7">
            <w:pPr>
              <w:pStyle w:val="TableText"/>
              <w:keepNext w:val="0"/>
              <w:widowControl w:val="0"/>
              <w:rPr>
                <w:iCs/>
              </w:rPr>
            </w:pPr>
            <w:r w:rsidRPr="00CF7D68">
              <w:rPr>
                <w:iCs/>
              </w:rPr>
              <w:t>It was unclear whether the adherence estimate account</w:t>
            </w:r>
            <w:r w:rsidR="007748E3">
              <w:rPr>
                <w:iCs/>
              </w:rPr>
              <w:t>ed</w:t>
            </w:r>
            <w:r w:rsidRPr="00CF7D68">
              <w:rPr>
                <w:iCs/>
              </w:rPr>
              <w:t xml:space="preserve"> for dose titrations and dose interruptions in the trials. The use of this estimate was inconsistent with perfect compliance assumed in the economic analysis.</w:t>
            </w:r>
          </w:p>
        </w:tc>
      </w:tr>
      <w:tr w:rsidR="00502986" w:rsidRPr="00CF7D68" w14:paraId="4B7050AF" w14:textId="77777777" w:rsidTr="00C259BA">
        <w:trPr>
          <w:cantSplit/>
        </w:trPr>
        <w:tc>
          <w:tcPr>
            <w:tcW w:w="1438" w:type="dxa"/>
            <w:shd w:val="clear" w:color="auto" w:fill="auto"/>
            <w:vAlign w:val="center"/>
          </w:tcPr>
          <w:p w14:paraId="086A6996" w14:textId="77777777" w:rsidR="00502986" w:rsidRPr="00CF7D68" w:rsidRDefault="00502986" w:rsidP="008E11D7">
            <w:pPr>
              <w:pStyle w:val="TableText"/>
              <w:keepNext w:val="0"/>
              <w:widowControl w:val="0"/>
            </w:pPr>
            <w:r w:rsidRPr="00CF7D68">
              <w:t xml:space="preserve">Patient </w:t>
            </w:r>
            <w:proofErr w:type="spellStart"/>
            <w:r w:rsidRPr="00CF7D68">
              <w:t>copayment</w:t>
            </w:r>
            <w:proofErr w:type="spellEnd"/>
          </w:p>
        </w:tc>
        <w:tc>
          <w:tcPr>
            <w:tcW w:w="2958" w:type="dxa"/>
            <w:shd w:val="clear" w:color="auto" w:fill="auto"/>
            <w:vAlign w:val="center"/>
          </w:tcPr>
          <w:p w14:paraId="75615EA7" w14:textId="60CB45C1" w:rsidR="00502986" w:rsidRPr="00CF7D68" w:rsidRDefault="00502986" w:rsidP="008E11D7">
            <w:pPr>
              <w:pStyle w:val="TableText"/>
              <w:keepNext w:val="0"/>
              <w:widowControl w:val="0"/>
            </w:pPr>
            <w:r w:rsidRPr="00CF7D68">
              <w:t>$16.28</w:t>
            </w:r>
            <w:r w:rsidR="00B7138A" w:rsidRPr="00CF7D68">
              <w:rPr>
                <w:vertAlign w:val="superscript"/>
              </w:rPr>
              <w:t>a</w:t>
            </w:r>
            <w:r w:rsidRPr="00CF7D68">
              <w:t xml:space="preserve"> </w:t>
            </w:r>
            <w:r w:rsidR="007748E3">
              <w:t>a</w:t>
            </w:r>
            <w:r w:rsidRPr="00CF7D68">
              <w:t xml:space="preserve">verage </w:t>
            </w:r>
            <w:proofErr w:type="spellStart"/>
            <w:r w:rsidRPr="00CF7D68">
              <w:t>copay</w:t>
            </w:r>
            <w:r w:rsidR="003C5BD4" w:rsidRPr="00CF7D68">
              <w:t>ment</w:t>
            </w:r>
            <w:proofErr w:type="spellEnd"/>
            <w:r w:rsidRPr="00CF7D68">
              <w:t xml:space="preserve"> based on PBS/RPBS utilisation of dapagliflozin (item 10011X) from January 2021 to December 2021. </w:t>
            </w:r>
          </w:p>
        </w:tc>
        <w:tc>
          <w:tcPr>
            <w:tcW w:w="4634" w:type="dxa"/>
            <w:shd w:val="clear" w:color="auto" w:fill="auto"/>
            <w:vAlign w:val="center"/>
          </w:tcPr>
          <w:p w14:paraId="33793198" w14:textId="77777777" w:rsidR="00502986" w:rsidRPr="00CF7D68" w:rsidRDefault="00502986" w:rsidP="008E11D7">
            <w:pPr>
              <w:pStyle w:val="TableText"/>
              <w:keepNext w:val="0"/>
              <w:widowControl w:val="0"/>
              <w:rPr>
                <w:iCs/>
              </w:rPr>
            </w:pPr>
            <w:r w:rsidRPr="00CF7D68">
              <w:rPr>
                <w:iCs/>
              </w:rPr>
              <w:t xml:space="preserve">The average </w:t>
            </w:r>
            <w:proofErr w:type="spellStart"/>
            <w:r w:rsidRPr="00CF7D68">
              <w:rPr>
                <w:iCs/>
              </w:rPr>
              <w:t>copayment</w:t>
            </w:r>
            <w:proofErr w:type="spellEnd"/>
            <w:r w:rsidRPr="00CF7D68">
              <w:rPr>
                <w:iCs/>
              </w:rPr>
              <w:t xml:space="preserve"> was based on a broader diabetes population that may not be applicable to patients with diabetic kidney disease who are likely to be older, with multiple comorbidities. The average </w:t>
            </w:r>
            <w:proofErr w:type="spellStart"/>
            <w:r w:rsidRPr="00CF7D68">
              <w:rPr>
                <w:iCs/>
              </w:rPr>
              <w:t>copayment</w:t>
            </w:r>
            <w:proofErr w:type="spellEnd"/>
            <w:r w:rsidRPr="00CF7D68">
              <w:rPr>
                <w:iCs/>
              </w:rPr>
              <w:t xml:space="preserve"> is likely to be lower due to a higher proportion of concessional/safety net scripts.  </w:t>
            </w:r>
          </w:p>
        </w:tc>
      </w:tr>
    </w:tbl>
    <w:p w14:paraId="2ED439D1" w14:textId="258CCEAB" w:rsidR="00502986" w:rsidRPr="00CF7D68" w:rsidRDefault="00502986" w:rsidP="008E11D7">
      <w:pPr>
        <w:pStyle w:val="TableFigureFooter"/>
        <w:widowControl w:val="0"/>
      </w:pPr>
      <w:r w:rsidRPr="00CF7D68">
        <w:t>Source: Section 4.1-4.2 (p</w:t>
      </w:r>
      <w:r w:rsidR="003073FE">
        <w:t>p</w:t>
      </w:r>
      <w:r w:rsidRPr="00CF7D68">
        <w:t>146-459) of the submission</w:t>
      </w:r>
    </w:p>
    <w:p w14:paraId="1EBAE483" w14:textId="77777777" w:rsidR="00502986" w:rsidRPr="00CF7D68" w:rsidRDefault="00502986" w:rsidP="008E11D7">
      <w:pPr>
        <w:pStyle w:val="TableFigureFooter"/>
        <w:widowControl w:val="0"/>
      </w:pPr>
      <w:r w:rsidRPr="00CF7D68">
        <w:t xml:space="preserve">Abbreviations: </w:t>
      </w:r>
      <w:proofErr w:type="spellStart"/>
      <w:r w:rsidRPr="00CF7D68">
        <w:t>ACEi</w:t>
      </w:r>
      <w:proofErr w:type="spellEnd"/>
      <w:r w:rsidRPr="00CF7D68">
        <w:t>, angiotensin converting enzyme inhibitor; ARB, angiotensin receptor blocker; CKD, chronic kidney disease; eGFR, estimated glomerular filtration rate; UACR, urinary albumin to creatinine ratio</w:t>
      </w:r>
    </w:p>
    <w:p w14:paraId="5055306C" w14:textId="675FDCA1" w:rsidR="00502986" w:rsidRPr="00CF7D68" w:rsidRDefault="00B7138A" w:rsidP="008E11D7">
      <w:pPr>
        <w:pStyle w:val="TableFigureFooter"/>
        <w:widowControl w:val="0"/>
        <w:rPr>
          <w:iCs/>
          <w:sz w:val="20"/>
        </w:rPr>
      </w:pPr>
      <w:r w:rsidRPr="00CF7D68">
        <w:rPr>
          <w:iCs/>
          <w:vertAlign w:val="superscript"/>
        </w:rPr>
        <w:t xml:space="preserve">a </w:t>
      </w:r>
      <w:r w:rsidRPr="00CF7D68">
        <w:rPr>
          <w:iCs/>
        </w:rPr>
        <w:t xml:space="preserve">Corrected during evaluation. </w:t>
      </w:r>
      <w:r w:rsidR="00502986" w:rsidRPr="00CF7D68">
        <w:rPr>
          <w:iCs/>
        </w:rPr>
        <w:t xml:space="preserve">There was an error in the average </w:t>
      </w:r>
      <w:proofErr w:type="spellStart"/>
      <w:r w:rsidR="00502986" w:rsidRPr="00CF7D68">
        <w:rPr>
          <w:iCs/>
        </w:rPr>
        <w:t>copay</w:t>
      </w:r>
      <w:r w:rsidR="003C5BD4" w:rsidRPr="00CF7D68">
        <w:rPr>
          <w:iCs/>
        </w:rPr>
        <w:t>ment</w:t>
      </w:r>
      <w:proofErr w:type="spellEnd"/>
      <w:r w:rsidR="00502986" w:rsidRPr="00CF7D68">
        <w:rPr>
          <w:iCs/>
        </w:rPr>
        <w:t xml:space="preserve"> used in the submission that incorrectly attributed a cost of $6.80 rather than $0 to concessional safety net scripts. </w:t>
      </w:r>
    </w:p>
    <w:p w14:paraId="78FF3344" w14:textId="53BC5CE2" w:rsidR="00D606DF" w:rsidRPr="00CF7D68" w:rsidRDefault="00B7138A" w:rsidP="00AC5893">
      <w:pPr>
        <w:pStyle w:val="ExecSumBodyText"/>
        <w:widowControl w:val="0"/>
        <w:ind w:left="709" w:hanging="709"/>
        <w:rPr>
          <w:iCs/>
        </w:rPr>
      </w:pPr>
      <w:r w:rsidRPr="00CF7D68">
        <w:fldChar w:fldCharType="begin"/>
      </w:r>
      <w:r w:rsidRPr="00CF7D68">
        <w:instrText xml:space="preserve"> REF _Ref103353830 \h </w:instrText>
      </w:r>
      <w:r w:rsidRPr="00CF7D68">
        <w:fldChar w:fldCharType="separate"/>
      </w:r>
      <w:r w:rsidR="00AE5D6E" w:rsidRPr="00CF7D68">
        <w:t xml:space="preserve">Table </w:t>
      </w:r>
      <w:r w:rsidR="00AE5D6E">
        <w:rPr>
          <w:noProof/>
        </w:rPr>
        <w:t>19</w:t>
      </w:r>
      <w:r w:rsidRPr="00CF7D68">
        <w:fldChar w:fldCharType="end"/>
      </w:r>
      <w:r w:rsidRPr="00CF7D68">
        <w:t xml:space="preserve"> </w:t>
      </w:r>
      <w:r w:rsidR="00003E8A" w:rsidRPr="00CF7D68">
        <w:t xml:space="preserve">presents the estimated use and financial impact of </w:t>
      </w:r>
      <w:proofErr w:type="spellStart"/>
      <w:r w:rsidR="00003E8A" w:rsidRPr="00CF7D68">
        <w:t>finerenone</w:t>
      </w:r>
      <w:proofErr w:type="spellEnd"/>
      <w:r w:rsidR="00003E8A" w:rsidRPr="00CF7D68">
        <w:t xml:space="preserve"> to the PBS/RPBS. </w:t>
      </w:r>
    </w:p>
    <w:p w14:paraId="0DDFFD49" w14:textId="3C541E3D" w:rsidR="00AC5893" w:rsidRPr="00CF7D68" w:rsidRDefault="00AC5893" w:rsidP="00A11ED5">
      <w:pPr>
        <w:pStyle w:val="TableHeading"/>
      </w:pPr>
      <w:bookmarkStart w:id="59" w:name="_Ref103353830"/>
      <w:r w:rsidRPr="00CF7D68">
        <w:t xml:space="preserve">Table </w:t>
      </w:r>
      <w:r w:rsidR="00F9376A">
        <w:fldChar w:fldCharType="begin"/>
      </w:r>
      <w:r w:rsidR="00F9376A">
        <w:instrText xml:space="preserve"> SEQ Table \* ARABIC </w:instrText>
      </w:r>
      <w:r w:rsidR="00F9376A">
        <w:fldChar w:fldCharType="separate"/>
      </w:r>
      <w:r w:rsidR="00AE5D6E">
        <w:rPr>
          <w:noProof/>
        </w:rPr>
        <w:t>19</w:t>
      </w:r>
      <w:r w:rsidR="00F9376A">
        <w:rPr>
          <w:noProof/>
        </w:rPr>
        <w:fldChar w:fldCharType="end"/>
      </w:r>
      <w:bookmarkEnd w:id="59"/>
      <w:r w:rsidRPr="00CF7D68">
        <w:t>: Estimated use and financial impact</w:t>
      </w:r>
    </w:p>
    <w:tbl>
      <w:tblPr>
        <w:tblW w:w="55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9"/>
        <w:gridCol w:w="1274"/>
        <w:gridCol w:w="1276"/>
        <w:gridCol w:w="1275"/>
        <w:gridCol w:w="1275"/>
        <w:gridCol w:w="1275"/>
        <w:gridCol w:w="1275"/>
      </w:tblGrid>
      <w:tr w:rsidR="00DE487C" w:rsidRPr="00CF7D68" w14:paraId="686D4124" w14:textId="77777777" w:rsidTr="00C856F6">
        <w:trPr>
          <w:tblHeader/>
        </w:trPr>
        <w:tc>
          <w:tcPr>
            <w:tcW w:w="1197" w:type="pct"/>
            <w:shd w:val="clear" w:color="auto" w:fill="auto"/>
            <w:vAlign w:val="center"/>
          </w:tcPr>
          <w:p w14:paraId="715EAFA9" w14:textId="77777777" w:rsidR="00D606DF" w:rsidRPr="00CF7D68" w:rsidRDefault="00D606DF" w:rsidP="00BD693B">
            <w:pPr>
              <w:pStyle w:val="Tableheadingrow"/>
              <w:rPr>
                <w:lang w:val="en-AU"/>
              </w:rPr>
            </w:pPr>
          </w:p>
        </w:tc>
        <w:tc>
          <w:tcPr>
            <w:tcW w:w="633" w:type="pct"/>
            <w:shd w:val="clear" w:color="auto" w:fill="auto"/>
            <w:vAlign w:val="center"/>
          </w:tcPr>
          <w:p w14:paraId="5885DF41" w14:textId="77777777" w:rsidR="00D606DF" w:rsidRPr="00CF7D68" w:rsidRDefault="00D606DF" w:rsidP="00BD693B">
            <w:pPr>
              <w:pStyle w:val="Tableheadingrow"/>
              <w:jc w:val="center"/>
              <w:rPr>
                <w:lang w:val="en-AU"/>
              </w:rPr>
            </w:pPr>
            <w:r w:rsidRPr="00CF7D68">
              <w:rPr>
                <w:lang w:val="en-AU"/>
              </w:rPr>
              <w:t>Year 1</w:t>
            </w:r>
          </w:p>
          <w:p w14:paraId="22D29A01" w14:textId="5B9AF31A" w:rsidR="00D606DF" w:rsidRPr="00CF7D68" w:rsidRDefault="00D606DF" w:rsidP="00BD693B">
            <w:pPr>
              <w:pStyle w:val="Tableheadingrow"/>
              <w:jc w:val="center"/>
              <w:rPr>
                <w:lang w:val="en-AU"/>
              </w:rPr>
            </w:pPr>
          </w:p>
        </w:tc>
        <w:tc>
          <w:tcPr>
            <w:tcW w:w="634" w:type="pct"/>
            <w:shd w:val="clear" w:color="auto" w:fill="auto"/>
            <w:vAlign w:val="center"/>
          </w:tcPr>
          <w:p w14:paraId="046AE698" w14:textId="77777777" w:rsidR="00D606DF" w:rsidRPr="00CF7D68" w:rsidRDefault="00D606DF" w:rsidP="00BD693B">
            <w:pPr>
              <w:pStyle w:val="Tableheadingrow"/>
              <w:jc w:val="center"/>
              <w:rPr>
                <w:lang w:val="en-AU"/>
              </w:rPr>
            </w:pPr>
            <w:r w:rsidRPr="00CF7D68">
              <w:rPr>
                <w:lang w:val="en-AU"/>
              </w:rPr>
              <w:t>Year 2</w:t>
            </w:r>
          </w:p>
          <w:p w14:paraId="141CFA9C" w14:textId="626D200F" w:rsidR="00D606DF" w:rsidRPr="00CF7D68" w:rsidRDefault="00D606DF" w:rsidP="00BD693B">
            <w:pPr>
              <w:pStyle w:val="Tableheadingrow"/>
              <w:jc w:val="center"/>
              <w:rPr>
                <w:lang w:val="en-AU"/>
              </w:rPr>
            </w:pPr>
          </w:p>
        </w:tc>
        <w:tc>
          <w:tcPr>
            <w:tcW w:w="634" w:type="pct"/>
            <w:shd w:val="clear" w:color="auto" w:fill="auto"/>
            <w:vAlign w:val="center"/>
          </w:tcPr>
          <w:p w14:paraId="36C6FEA6" w14:textId="77777777" w:rsidR="00D606DF" w:rsidRPr="00CF7D68" w:rsidRDefault="00D606DF" w:rsidP="00BD693B">
            <w:pPr>
              <w:pStyle w:val="Tableheadingrow"/>
              <w:jc w:val="center"/>
              <w:rPr>
                <w:lang w:val="en-AU"/>
              </w:rPr>
            </w:pPr>
            <w:r w:rsidRPr="00CF7D68">
              <w:rPr>
                <w:lang w:val="en-AU"/>
              </w:rPr>
              <w:t>Year 3</w:t>
            </w:r>
          </w:p>
          <w:p w14:paraId="0B240731" w14:textId="6727AB94" w:rsidR="00D606DF" w:rsidRPr="00CF7D68" w:rsidRDefault="00D606DF" w:rsidP="00BD693B">
            <w:pPr>
              <w:pStyle w:val="Tableheadingrow"/>
              <w:jc w:val="center"/>
              <w:rPr>
                <w:lang w:val="en-AU"/>
              </w:rPr>
            </w:pPr>
          </w:p>
        </w:tc>
        <w:tc>
          <w:tcPr>
            <w:tcW w:w="634" w:type="pct"/>
            <w:shd w:val="clear" w:color="auto" w:fill="auto"/>
            <w:vAlign w:val="center"/>
          </w:tcPr>
          <w:p w14:paraId="003490F6" w14:textId="77777777" w:rsidR="00D606DF" w:rsidRPr="00CF7D68" w:rsidRDefault="00D606DF" w:rsidP="00BD693B">
            <w:pPr>
              <w:pStyle w:val="Tableheadingrow"/>
              <w:jc w:val="center"/>
              <w:rPr>
                <w:lang w:val="en-AU"/>
              </w:rPr>
            </w:pPr>
            <w:r w:rsidRPr="00CF7D68">
              <w:rPr>
                <w:lang w:val="en-AU"/>
              </w:rPr>
              <w:t>Year 4</w:t>
            </w:r>
          </w:p>
          <w:p w14:paraId="7BA9DCA5" w14:textId="77EE28C6" w:rsidR="00D606DF" w:rsidRPr="00CF7D68" w:rsidRDefault="00D606DF" w:rsidP="00BD693B">
            <w:pPr>
              <w:pStyle w:val="Tableheadingrow"/>
              <w:jc w:val="center"/>
              <w:rPr>
                <w:lang w:val="en-AU"/>
              </w:rPr>
            </w:pPr>
          </w:p>
        </w:tc>
        <w:tc>
          <w:tcPr>
            <w:tcW w:w="634" w:type="pct"/>
            <w:shd w:val="clear" w:color="auto" w:fill="auto"/>
            <w:vAlign w:val="center"/>
          </w:tcPr>
          <w:p w14:paraId="3E829762" w14:textId="77777777" w:rsidR="00D606DF" w:rsidRPr="00CF7D68" w:rsidRDefault="00D606DF" w:rsidP="00BD693B">
            <w:pPr>
              <w:pStyle w:val="Tableheadingrow"/>
              <w:jc w:val="center"/>
              <w:rPr>
                <w:lang w:val="en-AU"/>
              </w:rPr>
            </w:pPr>
            <w:r w:rsidRPr="00CF7D68">
              <w:rPr>
                <w:lang w:val="en-AU"/>
              </w:rPr>
              <w:t>Year 5</w:t>
            </w:r>
          </w:p>
          <w:p w14:paraId="32F672FA" w14:textId="069F363C" w:rsidR="00D606DF" w:rsidRPr="00CF7D68" w:rsidRDefault="00D606DF" w:rsidP="00BD693B">
            <w:pPr>
              <w:pStyle w:val="Tableheadingrow"/>
              <w:jc w:val="center"/>
              <w:rPr>
                <w:lang w:val="en-AU"/>
              </w:rPr>
            </w:pPr>
          </w:p>
        </w:tc>
        <w:tc>
          <w:tcPr>
            <w:tcW w:w="634" w:type="pct"/>
            <w:shd w:val="clear" w:color="auto" w:fill="auto"/>
            <w:vAlign w:val="center"/>
          </w:tcPr>
          <w:p w14:paraId="33A5BBA2" w14:textId="77777777" w:rsidR="00D606DF" w:rsidRPr="00CF7D68" w:rsidRDefault="00D606DF" w:rsidP="00BD693B">
            <w:pPr>
              <w:pStyle w:val="Tableheadingrow"/>
              <w:jc w:val="center"/>
              <w:rPr>
                <w:lang w:val="en-AU"/>
              </w:rPr>
            </w:pPr>
            <w:r w:rsidRPr="00CF7D68">
              <w:rPr>
                <w:lang w:val="en-AU"/>
              </w:rPr>
              <w:t>Year 6</w:t>
            </w:r>
          </w:p>
          <w:p w14:paraId="781C1562" w14:textId="24F04A7B" w:rsidR="00D606DF" w:rsidRPr="00CF7D68" w:rsidRDefault="00D606DF" w:rsidP="00BD693B">
            <w:pPr>
              <w:pStyle w:val="Tableheadingrow"/>
              <w:jc w:val="center"/>
              <w:rPr>
                <w:lang w:val="en-AU"/>
              </w:rPr>
            </w:pPr>
          </w:p>
        </w:tc>
      </w:tr>
      <w:tr w:rsidR="00DE487C" w:rsidRPr="00CF7D68" w14:paraId="12E3E3D3" w14:textId="77777777" w:rsidTr="00C856F6">
        <w:tc>
          <w:tcPr>
            <w:tcW w:w="1197" w:type="pct"/>
            <w:shd w:val="clear" w:color="auto" w:fill="auto"/>
            <w:vAlign w:val="center"/>
          </w:tcPr>
          <w:p w14:paraId="4268FBB0" w14:textId="77777777" w:rsidR="00D606DF" w:rsidRPr="00CF7D68" w:rsidRDefault="00D606DF" w:rsidP="00BD693B">
            <w:pPr>
              <w:pStyle w:val="TableText"/>
            </w:pPr>
            <w:r w:rsidRPr="00CF7D68">
              <w:t>Australian population aged ≥25 years</w:t>
            </w:r>
          </w:p>
        </w:tc>
        <w:tc>
          <w:tcPr>
            <w:tcW w:w="633" w:type="pct"/>
            <w:shd w:val="clear" w:color="auto" w:fill="auto"/>
            <w:vAlign w:val="center"/>
          </w:tcPr>
          <w:p w14:paraId="508C6135" w14:textId="77777777" w:rsidR="00D606DF" w:rsidRPr="00CF7D68" w:rsidRDefault="00D606DF" w:rsidP="00BD693B">
            <w:pPr>
              <w:pStyle w:val="TableText"/>
              <w:jc w:val="center"/>
            </w:pPr>
            <w:r w:rsidRPr="00CF7D68">
              <w:t>18,709,376</w:t>
            </w:r>
          </w:p>
        </w:tc>
        <w:tc>
          <w:tcPr>
            <w:tcW w:w="634" w:type="pct"/>
            <w:shd w:val="clear" w:color="auto" w:fill="auto"/>
            <w:vAlign w:val="center"/>
          </w:tcPr>
          <w:p w14:paraId="347A1907" w14:textId="77777777" w:rsidR="00D606DF" w:rsidRPr="00CF7D68" w:rsidRDefault="00D606DF" w:rsidP="00BD693B">
            <w:pPr>
              <w:pStyle w:val="TableText"/>
              <w:jc w:val="center"/>
            </w:pPr>
            <w:r w:rsidRPr="00CF7D68">
              <w:t>19,039,349</w:t>
            </w:r>
          </w:p>
        </w:tc>
        <w:tc>
          <w:tcPr>
            <w:tcW w:w="634" w:type="pct"/>
            <w:shd w:val="clear" w:color="auto" w:fill="auto"/>
            <w:vAlign w:val="center"/>
          </w:tcPr>
          <w:p w14:paraId="4B1EF52A" w14:textId="77777777" w:rsidR="00D606DF" w:rsidRPr="00CF7D68" w:rsidRDefault="00D606DF" w:rsidP="00BD693B">
            <w:pPr>
              <w:pStyle w:val="TableText"/>
              <w:jc w:val="center"/>
            </w:pPr>
            <w:r w:rsidRPr="00CF7D68">
              <w:t>19,368,835</w:t>
            </w:r>
          </w:p>
        </w:tc>
        <w:tc>
          <w:tcPr>
            <w:tcW w:w="634" w:type="pct"/>
            <w:shd w:val="clear" w:color="auto" w:fill="auto"/>
            <w:vAlign w:val="center"/>
          </w:tcPr>
          <w:p w14:paraId="7DB01B01" w14:textId="77777777" w:rsidR="00D606DF" w:rsidRPr="00CF7D68" w:rsidRDefault="00D606DF" w:rsidP="00BD693B">
            <w:pPr>
              <w:pStyle w:val="TableText"/>
              <w:jc w:val="center"/>
            </w:pPr>
            <w:r w:rsidRPr="00CF7D68">
              <w:t>19,696,209</w:t>
            </w:r>
          </w:p>
        </w:tc>
        <w:tc>
          <w:tcPr>
            <w:tcW w:w="634" w:type="pct"/>
            <w:shd w:val="clear" w:color="auto" w:fill="auto"/>
            <w:vAlign w:val="center"/>
          </w:tcPr>
          <w:p w14:paraId="6808F1E4" w14:textId="77777777" w:rsidR="00D606DF" w:rsidRPr="00CF7D68" w:rsidRDefault="00D606DF" w:rsidP="00BD693B">
            <w:pPr>
              <w:pStyle w:val="TableText"/>
              <w:jc w:val="center"/>
            </w:pPr>
            <w:r w:rsidRPr="00CF7D68">
              <w:t>20,016,227</w:t>
            </w:r>
          </w:p>
        </w:tc>
        <w:tc>
          <w:tcPr>
            <w:tcW w:w="634" w:type="pct"/>
            <w:shd w:val="clear" w:color="auto" w:fill="auto"/>
            <w:vAlign w:val="center"/>
          </w:tcPr>
          <w:p w14:paraId="3A34B3D6" w14:textId="77777777" w:rsidR="00D606DF" w:rsidRPr="00CF7D68" w:rsidRDefault="00D606DF" w:rsidP="00BD693B">
            <w:pPr>
              <w:pStyle w:val="TableText"/>
              <w:jc w:val="center"/>
            </w:pPr>
            <w:r w:rsidRPr="00CF7D68">
              <w:t>20,335,156</w:t>
            </w:r>
          </w:p>
        </w:tc>
      </w:tr>
      <w:tr w:rsidR="00DE487C" w:rsidRPr="00CF7D68" w14:paraId="4C050D54" w14:textId="77777777" w:rsidTr="00C856F6">
        <w:tc>
          <w:tcPr>
            <w:tcW w:w="1197" w:type="pct"/>
            <w:shd w:val="clear" w:color="auto" w:fill="auto"/>
            <w:vAlign w:val="center"/>
          </w:tcPr>
          <w:p w14:paraId="4BA7C947" w14:textId="0204C3DF" w:rsidR="00D606DF" w:rsidRPr="00CF7D68" w:rsidRDefault="00D606DF" w:rsidP="00BD693B">
            <w:pPr>
              <w:pStyle w:val="TableText"/>
            </w:pPr>
            <w:r w:rsidRPr="00CF7D68">
              <w:t>CKD prev</w:t>
            </w:r>
            <w:r w:rsidR="003F2C01" w:rsidRPr="00CF7D68">
              <w:t>alent population</w:t>
            </w:r>
            <w:r w:rsidRPr="00CF7D68">
              <w:t xml:space="preserve"> </w:t>
            </w:r>
          </w:p>
        </w:tc>
        <w:tc>
          <w:tcPr>
            <w:tcW w:w="633" w:type="pct"/>
            <w:shd w:val="clear" w:color="auto" w:fill="auto"/>
            <w:vAlign w:val="center"/>
          </w:tcPr>
          <w:p w14:paraId="7EE18866" w14:textId="35F5FE11" w:rsidR="00D606DF" w:rsidRPr="00C856F6" w:rsidRDefault="00A973A1" w:rsidP="00BD693B">
            <w:pPr>
              <w:pStyle w:val="TableText"/>
              <w:jc w:val="center"/>
              <w:rPr>
                <w:highlight w:val="darkGray"/>
                <w:vertAlign w:val="superscript"/>
              </w:rPr>
            </w:pPr>
            <w:r w:rsidRPr="00A973A1">
              <w:rPr>
                <w:color w:val="000000"/>
                <w:shd w:val="solid" w:color="000000" w:fill="000000"/>
                <w14:textFill>
                  <w14:solidFill>
                    <w14:srgbClr w14:val="000000">
                      <w14:alpha w14:val="100000"/>
                    </w14:srgbClr>
                  </w14:solidFill>
                </w14:textFill>
              </w:rPr>
              <w:t>|</w:t>
            </w:r>
            <w:r w:rsidR="00B408A6" w:rsidRPr="00C856F6">
              <w:rPr>
                <w:vertAlign w:val="superscript"/>
              </w:rPr>
              <w:t>1</w:t>
            </w:r>
          </w:p>
        </w:tc>
        <w:tc>
          <w:tcPr>
            <w:tcW w:w="634" w:type="pct"/>
            <w:shd w:val="clear" w:color="auto" w:fill="auto"/>
            <w:vAlign w:val="center"/>
          </w:tcPr>
          <w:p w14:paraId="2D3AA891" w14:textId="6EEC5686"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sidRPr="00725DA3">
              <w:rPr>
                <w:vertAlign w:val="superscript"/>
              </w:rPr>
              <w:t>1</w:t>
            </w:r>
          </w:p>
        </w:tc>
        <w:tc>
          <w:tcPr>
            <w:tcW w:w="634" w:type="pct"/>
            <w:shd w:val="clear" w:color="auto" w:fill="auto"/>
            <w:vAlign w:val="center"/>
          </w:tcPr>
          <w:p w14:paraId="3E6191BA" w14:textId="26B947AB"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sidRPr="00725DA3">
              <w:rPr>
                <w:vertAlign w:val="superscript"/>
              </w:rPr>
              <w:t>1</w:t>
            </w:r>
          </w:p>
        </w:tc>
        <w:tc>
          <w:tcPr>
            <w:tcW w:w="634" w:type="pct"/>
            <w:shd w:val="clear" w:color="auto" w:fill="auto"/>
            <w:vAlign w:val="center"/>
          </w:tcPr>
          <w:p w14:paraId="40205840" w14:textId="00153B52"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sidRPr="00725DA3">
              <w:rPr>
                <w:vertAlign w:val="superscript"/>
              </w:rPr>
              <w:t>1</w:t>
            </w:r>
          </w:p>
        </w:tc>
        <w:tc>
          <w:tcPr>
            <w:tcW w:w="634" w:type="pct"/>
            <w:shd w:val="clear" w:color="auto" w:fill="auto"/>
            <w:vAlign w:val="center"/>
          </w:tcPr>
          <w:p w14:paraId="33E65443" w14:textId="35F4E599"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sidRPr="00725DA3">
              <w:rPr>
                <w:vertAlign w:val="superscript"/>
              </w:rPr>
              <w:t>1</w:t>
            </w:r>
          </w:p>
        </w:tc>
        <w:tc>
          <w:tcPr>
            <w:tcW w:w="634" w:type="pct"/>
            <w:shd w:val="clear" w:color="auto" w:fill="auto"/>
            <w:vAlign w:val="center"/>
          </w:tcPr>
          <w:p w14:paraId="263B4CFB" w14:textId="0FE55ED9"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sidRPr="00725DA3">
              <w:rPr>
                <w:vertAlign w:val="superscript"/>
              </w:rPr>
              <w:t>1</w:t>
            </w:r>
          </w:p>
        </w:tc>
      </w:tr>
      <w:tr w:rsidR="00DE487C" w:rsidRPr="00CF7D68" w14:paraId="6930D578" w14:textId="77777777" w:rsidTr="00C856F6">
        <w:tc>
          <w:tcPr>
            <w:tcW w:w="1197" w:type="pct"/>
            <w:shd w:val="clear" w:color="auto" w:fill="auto"/>
            <w:vAlign w:val="center"/>
          </w:tcPr>
          <w:p w14:paraId="78DD28AD" w14:textId="77777777" w:rsidR="00D606DF" w:rsidRPr="00CF7D68" w:rsidRDefault="00D606DF" w:rsidP="00BD693B">
            <w:pPr>
              <w:pStyle w:val="TableText"/>
            </w:pPr>
            <w:r w:rsidRPr="00CF7D68">
              <w:t>CKD diagnosis rate</w:t>
            </w:r>
          </w:p>
        </w:tc>
        <w:tc>
          <w:tcPr>
            <w:tcW w:w="633" w:type="pct"/>
            <w:shd w:val="clear" w:color="auto" w:fill="auto"/>
            <w:vAlign w:val="center"/>
          </w:tcPr>
          <w:p w14:paraId="576E7AE5" w14:textId="4516BC25" w:rsidR="00D606DF" w:rsidRPr="00CF7D68" w:rsidRDefault="00A973A1" w:rsidP="00BD693B">
            <w:pPr>
              <w:pStyle w:val="TableText"/>
              <w:jc w:val="center"/>
            </w:pPr>
            <w:r w:rsidRPr="00F9376A">
              <w:rPr>
                <w:rFonts w:hint="eastAsia"/>
                <w:color w:val="000000"/>
                <w:w w:val="15"/>
                <w:shd w:val="solid" w:color="000000" w:fill="000000"/>
                <w:fitText w:val="13" w:id="-1435844351"/>
                <w14:textFill>
                  <w14:solidFill>
                    <w14:srgbClr w14:val="000000">
                      <w14:alpha w14:val="100000"/>
                    </w14:srgbClr>
                  </w14:solidFill>
                </w14:textFill>
              </w:rPr>
              <w:t xml:space="preserve">　</w:t>
            </w:r>
            <w:r w:rsidRPr="00F9376A">
              <w:rPr>
                <w:color w:val="000000"/>
                <w:w w:val="15"/>
                <w:shd w:val="solid" w:color="000000" w:fill="000000"/>
                <w:fitText w:val="13" w:id="-1435844351"/>
                <w14:textFill>
                  <w14:solidFill>
                    <w14:srgbClr w14:val="000000">
                      <w14:alpha w14:val="100000"/>
                    </w14:srgbClr>
                  </w14:solidFill>
                </w14:textFill>
              </w:rPr>
              <w:t>|</w:t>
            </w:r>
            <w:r w:rsidRPr="00F9376A">
              <w:rPr>
                <w:rFonts w:hint="eastAsia"/>
                <w:color w:val="000000"/>
                <w:spacing w:val="-53"/>
                <w:w w:val="15"/>
                <w:shd w:val="solid" w:color="000000" w:fill="000000"/>
                <w:fitText w:val="13" w:id="-1435844351"/>
                <w14:textFill>
                  <w14:solidFill>
                    <w14:srgbClr w14:val="000000">
                      <w14:alpha w14:val="100000"/>
                    </w14:srgbClr>
                  </w14:solidFill>
                </w14:textFill>
              </w:rPr>
              <w:t xml:space="preserve">　</w:t>
            </w:r>
            <w:r w:rsidR="00D606DF" w:rsidRPr="00CF7D68">
              <w:t>%</w:t>
            </w:r>
          </w:p>
        </w:tc>
        <w:tc>
          <w:tcPr>
            <w:tcW w:w="634" w:type="pct"/>
            <w:shd w:val="clear" w:color="auto" w:fill="auto"/>
            <w:vAlign w:val="center"/>
          </w:tcPr>
          <w:p w14:paraId="446D7B62" w14:textId="38D39C17" w:rsidR="00D606DF" w:rsidRPr="00CF7D68" w:rsidRDefault="00A973A1" w:rsidP="00BD693B">
            <w:pPr>
              <w:pStyle w:val="TableText"/>
              <w:jc w:val="center"/>
            </w:pPr>
            <w:r w:rsidRPr="00F9376A">
              <w:rPr>
                <w:rFonts w:hint="eastAsia"/>
                <w:color w:val="000000"/>
                <w:w w:val="15"/>
                <w:shd w:val="solid" w:color="000000" w:fill="000000"/>
                <w:fitText w:val="12" w:id="-1435844350"/>
                <w14:textFill>
                  <w14:solidFill>
                    <w14:srgbClr w14:val="000000">
                      <w14:alpha w14:val="100000"/>
                    </w14:srgbClr>
                  </w14:solidFill>
                </w14:textFill>
              </w:rPr>
              <w:t xml:space="preserve">　</w:t>
            </w:r>
            <w:r w:rsidRPr="00F9376A">
              <w:rPr>
                <w:color w:val="000000"/>
                <w:w w:val="15"/>
                <w:shd w:val="solid" w:color="000000" w:fill="000000"/>
                <w:fitText w:val="12" w:id="-1435844350"/>
                <w14:textFill>
                  <w14:solidFill>
                    <w14:srgbClr w14:val="000000">
                      <w14:alpha w14:val="100000"/>
                    </w14:srgbClr>
                  </w14:solidFill>
                </w14:textFill>
              </w:rPr>
              <w:t>|</w:t>
            </w:r>
            <w:r w:rsidRPr="00F9376A">
              <w:rPr>
                <w:rFonts w:hint="eastAsia"/>
                <w:color w:val="000000"/>
                <w:spacing w:val="-54"/>
                <w:w w:val="15"/>
                <w:shd w:val="solid" w:color="000000" w:fill="000000"/>
                <w:fitText w:val="12" w:id="-1435844350"/>
                <w14:textFill>
                  <w14:solidFill>
                    <w14:srgbClr w14:val="000000">
                      <w14:alpha w14:val="100000"/>
                    </w14:srgbClr>
                  </w14:solidFill>
                </w14:textFill>
              </w:rPr>
              <w:t xml:space="preserve">　</w:t>
            </w:r>
            <w:r w:rsidR="00D606DF" w:rsidRPr="00CF7D68">
              <w:t>%</w:t>
            </w:r>
          </w:p>
        </w:tc>
        <w:tc>
          <w:tcPr>
            <w:tcW w:w="634" w:type="pct"/>
            <w:shd w:val="clear" w:color="auto" w:fill="auto"/>
            <w:vAlign w:val="center"/>
          </w:tcPr>
          <w:p w14:paraId="3723306D" w14:textId="553595A8" w:rsidR="00D606DF" w:rsidRPr="00CF7D68" w:rsidRDefault="00A973A1" w:rsidP="00BD693B">
            <w:pPr>
              <w:pStyle w:val="TableText"/>
              <w:jc w:val="center"/>
            </w:pPr>
            <w:r w:rsidRPr="00F9376A">
              <w:rPr>
                <w:rFonts w:hint="eastAsia"/>
                <w:color w:val="000000"/>
                <w:w w:val="15"/>
                <w:shd w:val="solid" w:color="000000" w:fill="000000"/>
                <w:fitText w:val="12" w:id="-1435844349"/>
                <w14:textFill>
                  <w14:solidFill>
                    <w14:srgbClr w14:val="000000">
                      <w14:alpha w14:val="100000"/>
                    </w14:srgbClr>
                  </w14:solidFill>
                </w14:textFill>
              </w:rPr>
              <w:t xml:space="preserve">　</w:t>
            </w:r>
            <w:r w:rsidRPr="00F9376A">
              <w:rPr>
                <w:color w:val="000000"/>
                <w:w w:val="15"/>
                <w:shd w:val="solid" w:color="000000" w:fill="000000"/>
                <w:fitText w:val="12" w:id="-1435844349"/>
                <w14:textFill>
                  <w14:solidFill>
                    <w14:srgbClr w14:val="000000">
                      <w14:alpha w14:val="100000"/>
                    </w14:srgbClr>
                  </w14:solidFill>
                </w14:textFill>
              </w:rPr>
              <w:t>|</w:t>
            </w:r>
            <w:r w:rsidRPr="00F9376A">
              <w:rPr>
                <w:rFonts w:hint="eastAsia"/>
                <w:color w:val="000000"/>
                <w:spacing w:val="-54"/>
                <w:w w:val="15"/>
                <w:shd w:val="solid" w:color="000000" w:fill="000000"/>
                <w:fitText w:val="12" w:id="-1435844349"/>
                <w14:textFill>
                  <w14:solidFill>
                    <w14:srgbClr w14:val="000000">
                      <w14:alpha w14:val="100000"/>
                    </w14:srgbClr>
                  </w14:solidFill>
                </w14:textFill>
              </w:rPr>
              <w:t xml:space="preserve">　</w:t>
            </w:r>
            <w:r w:rsidR="00D606DF" w:rsidRPr="00CF7D68">
              <w:t>%</w:t>
            </w:r>
          </w:p>
        </w:tc>
        <w:tc>
          <w:tcPr>
            <w:tcW w:w="634" w:type="pct"/>
            <w:shd w:val="clear" w:color="auto" w:fill="auto"/>
            <w:vAlign w:val="center"/>
          </w:tcPr>
          <w:p w14:paraId="5C05868F" w14:textId="39DA0E2B" w:rsidR="00D606DF" w:rsidRPr="00CF7D68" w:rsidRDefault="00A973A1" w:rsidP="00BD693B">
            <w:pPr>
              <w:pStyle w:val="TableText"/>
              <w:jc w:val="center"/>
            </w:pPr>
            <w:r w:rsidRPr="00F9376A">
              <w:rPr>
                <w:rFonts w:hint="eastAsia"/>
                <w:color w:val="000000"/>
                <w:w w:val="15"/>
                <w:shd w:val="solid" w:color="000000" w:fill="000000"/>
                <w:fitText w:val="12" w:id="-1435844348"/>
                <w14:textFill>
                  <w14:solidFill>
                    <w14:srgbClr w14:val="000000">
                      <w14:alpha w14:val="100000"/>
                    </w14:srgbClr>
                  </w14:solidFill>
                </w14:textFill>
              </w:rPr>
              <w:t xml:space="preserve">　</w:t>
            </w:r>
            <w:r w:rsidRPr="00F9376A">
              <w:rPr>
                <w:color w:val="000000"/>
                <w:w w:val="15"/>
                <w:shd w:val="solid" w:color="000000" w:fill="000000"/>
                <w:fitText w:val="12" w:id="-1435844348"/>
                <w14:textFill>
                  <w14:solidFill>
                    <w14:srgbClr w14:val="000000">
                      <w14:alpha w14:val="100000"/>
                    </w14:srgbClr>
                  </w14:solidFill>
                </w14:textFill>
              </w:rPr>
              <w:t>|</w:t>
            </w:r>
            <w:r w:rsidRPr="00F9376A">
              <w:rPr>
                <w:rFonts w:hint="eastAsia"/>
                <w:color w:val="000000"/>
                <w:spacing w:val="-54"/>
                <w:w w:val="15"/>
                <w:shd w:val="solid" w:color="000000" w:fill="000000"/>
                <w:fitText w:val="12" w:id="-1435844348"/>
                <w14:textFill>
                  <w14:solidFill>
                    <w14:srgbClr w14:val="000000">
                      <w14:alpha w14:val="100000"/>
                    </w14:srgbClr>
                  </w14:solidFill>
                </w14:textFill>
              </w:rPr>
              <w:t xml:space="preserve">　</w:t>
            </w:r>
            <w:r w:rsidR="00D606DF" w:rsidRPr="00CF7D68">
              <w:t>%</w:t>
            </w:r>
          </w:p>
        </w:tc>
        <w:tc>
          <w:tcPr>
            <w:tcW w:w="634" w:type="pct"/>
            <w:shd w:val="clear" w:color="auto" w:fill="auto"/>
            <w:vAlign w:val="center"/>
          </w:tcPr>
          <w:p w14:paraId="5B08084B" w14:textId="34EE0AD6" w:rsidR="00D606DF" w:rsidRPr="00CF7D68" w:rsidRDefault="00A973A1" w:rsidP="00BD693B">
            <w:pPr>
              <w:pStyle w:val="TableText"/>
              <w:jc w:val="center"/>
            </w:pPr>
            <w:r w:rsidRPr="00F9376A">
              <w:rPr>
                <w:rFonts w:hint="eastAsia"/>
                <w:color w:val="000000"/>
                <w:w w:val="15"/>
                <w:shd w:val="solid" w:color="000000" w:fill="000000"/>
                <w:fitText w:val="12" w:id="-1435844347"/>
                <w14:textFill>
                  <w14:solidFill>
                    <w14:srgbClr w14:val="000000">
                      <w14:alpha w14:val="100000"/>
                    </w14:srgbClr>
                  </w14:solidFill>
                </w14:textFill>
              </w:rPr>
              <w:t xml:space="preserve">　</w:t>
            </w:r>
            <w:r w:rsidRPr="00F9376A">
              <w:rPr>
                <w:color w:val="000000"/>
                <w:w w:val="15"/>
                <w:shd w:val="solid" w:color="000000" w:fill="000000"/>
                <w:fitText w:val="12" w:id="-1435844347"/>
                <w14:textFill>
                  <w14:solidFill>
                    <w14:srgbClr w14:val="000000">
                      <w14:alpha w14:val="100000"/>
                    </w14:srgbClr>
                  </w14:solidFill>
                </w14:textFill>
              </w:rPr>
              <w:t>|</w:t>
            </w:r>
            <w:r w:rsidRPr="00F9376A">
              <w:rPr>
                <w:rFonts w:hint="eastAsia"/>
                <w:color w:val="000000"/>
                <w:spacing w:val="-54"/>
                <w:w w:val="15"/>
                <w:shd w:val="solid" w:color="000000" w:fill="000000"/>
                <w:fitText w:val="12" w:id="-1435844347"/>
                <w14:textFill>
                  <w14:solidFill>
                    <w14:srgbClr w14:val="000000">
                      <w14:alpha w14:val="100000"/>
                    </w14:srgbClr>
                  </w14:solidFill>
                </w14:textFill>
              </w:rPr>
              <w:t xml:space="preserve">　</w:t>
            </w:r>
            <w:r w:rsidR="00D606DF" w:rsidRPr="00CF7D68">
              <w:t>%</w:t>
            </w:r>
          </w:p>
        </w:tc>
        <w:tc>
          <w:tcPr>
            <w:tcW w:w="634" w:type="pct"/>
            <w:shd w:val="clear" w:color="auto" w:fill="auto"/>
            <w:vAlign w:val="center"/>
          </w:tcPr>
          <w:p w14:paraId="5E33181C" w14:textId="17158816" w:rsidR="00D606DF" w:rsidRPr="00CF7D68" w:rsidRDefault="00A973A1" w:rsidP="00BD693B">
            <w:pPr>
              <w:pStyle w:val="TableText"/>
              <w:jc w:val="center"/>
            </w:pPr>
            <w:r w:rsidRPr="00F9376A">
              <w:rPr>
                <w:rFonts w:hint="eastAsia"/>
                <w:color w:val="000000"/>
                <w:w w:val="15"/>
                <w:shd w:val="solid" w:color="000000" w:fill="000000"/>
                <w:fitText w:val="13" w:id="-1435844346"/>
                <w14:textFill>
                  <w14:solidFill>
                    <w14:srgbClr w14:val="000000">
                      <w14:alpha w14:val="100000"/>
                    </w14:srgbClr>
                  </w14:solidFill>
                </w14:textFill>
              </w:rPr>
              <w:t xml:space="preserve">　</w:t>
            </w:r>
            <w:r w:rsidRPr="00F9376A">
              <w:rPr>
                <w:color w:val="000000"/>
                <w:w w:val="15"/>
                <w:shd w:val="solid" w:color="000000" w:fill="000000"/>
                <w:fitText w:val="13" w:id="-1435844346"/>
                <w14:textFill>
                  <w14:solidFill>
                    <w14:srgbClr w14:val="000000">
                      <w14:alpha w14:val="100000"/>
                    </w14:srgbClr>
                  </w14:solidFill>
                </w14:textFill>
              </w:rPr>
              <w:t>|</w:t>
            </w:r>
            <w:r w:rsidRPr="00F9376A">
              <w:rPr>
                <w:rFonts w:hint="eastAsia"/>
                <w:color w:val="000000"/>
                <w:spacing w:val="-53"/>
                <w:w w:val="15"/>
                <w:shd w:val="solid" w:color="000000" w:fill="000000"/>
                <w:fitText w:val="13" w:id="-1435844346"/>
                <w14:textFill>
                  <w14:solidFill>
                    <w14:srgbClr w14:val="000000">
                      <w14:alpha w14:val="100000"/>
                    </w14:srgbClr>
                  </w14:solidFill>
                </w14:textFill>
              </w:rPr>
              <w:t xml:space="preserve">　</w:t>
            </w:r>
            <w:r w:rsidR="00D606DF" w:rsidRPr="00CF7D68">
              <w:t>%</w:t>
            </w:r>
          </w:p>
        </w:tc>
      </w:tr>
      <w:tr w:rsidR="00DE487C" w:rsidRPr="00CF7D68" w14:paraId="57FA02F7" w14:textId="77777777" w:rsidTr="00C856F6">
        <w:tc>
          <w:tcPr>
            <w:tcW w:w="1197" w:type="pct"/>
            <w:shd w:val="clear" w:color="auto" w:fill="auto"/>
            <w:vAlign w:val="center"/>
          </w:tcPr>
          <w:p w14:paraId="117A3AA2" w14:textId="77777777" w:rsidR="00D606DF" w:rsidRPr="00CF7D68" w:rsidRDefault="00D606DF" w:rsidP="00BD693B">
            <w:pPr>
              <w:pStyle w:val="TableText"/>
            </w:pPr>
            <w:r w:rsidRPr="00CF7D68">
              <w:t>Patients diagnosed with CKD</w:t>
            </w:r>
          </w:p>
        </w:tc>
        <w:tc>
          <w:tcPr>
            <w:tcW w:w="633" w:type="pct"/>
            <w:shd w:val="clear" w:color="auto" w:fill="auto"/>
            <w:vAlign w:val="center"/>
          </w:tcPr>
          <w:p w14:paraId="19280AC2" w14:textId="5C5347BB"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2</w:t>
            </w:r>
          </w:p>
        </w:tc>
        <w:tc>
          <w:tcPr>
            <w:tcW w:w="634" w:type="pct"/>
            <w:shd w:val="clear" w:color="auto" w:fill="auto"/>
            <w:vAlign w:val="center"/>
          </w:tcPr>
          <w:p w14:paraId="303166E8" w14:textId="38639B8D"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2</w:t>
            </w:r>
          </w:p>
        </w:tc>
        <w:tc>
          <w:tcPr>
            <w:tcW w:w="634" w:type="pct"/>
            <w:shd w:val="clear" w:color="auto" w:fill="auto"/>
            <w:vAlign w:val="center"/>
          </w:tcPr>
          <w:p w14:paraId="72458F1F" w14:textId="19CF6063"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2</w:t>
            </w:r>
          </w:p>
        </w:tc>
        <w:tc>
          <w:tcPr>
            <w:tcW w:w="634" w:type="pct"/>
            <w:shd w:val="clear" w:color="auto" w:fill="auto"/>
            <w:vAlign w:val="center"/>
          </w:tcPr>
          <w:p w14:paraId="719084FB" w14:textId="2B0368A9"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2</w:t>
            </w:r>
          </w:p>
        </w:tc>
        <w:tc>
          <w:tcPr>
            <w:tcW w:w="634" w:type="pct"/>
            <w:shd w:val="clear" w:color="auto" w:fill="auto"/>
            <w:vAlign w:val="center"/>
          </w:tcPr>
          <w:p w14:paraId="504A809A" w14:textId="703EF1CB"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2</w:t>
            </w:r>
          </w:p>
        </w:tc>
        <w:tc>
          <w:tcPr>
            <w:tcW w:w="634" w:type="pct"/>
            <w:shd w:val="clear" w:color="auto" w:fill="auto"/>
            <w:vAlign w:val="center"/>
          </w:tcPr>
          <w:p w14:paraId="553471AE" w14:textId="47B9C5AA"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2</w:t>
            </w:r>
          </w:p>
        </w:tc>
      </w:tr>
      <w:tr w:rsidR="00DE487C" w:rsidRPr="00CF7D68" w14:paraId="01EFD08C" w14:textId="77777777" w:rsidTr="00C856F6">
        <w:tc>
          <w:tcPr>
            <w:tcW w:w="1197" w:type="pct"/>
            <w:shd w:val="clear" w:color="auto" w:fill="auto"/>
            <w:vAlign w:val="center"/>
          </w:tcPr>
          <w:p w14:paraId="2D50A702" w14:textId="31660A61" w:rsidR="00D606DF" w:rsidRPr="00CF7D68" w:rsidRDefault="00D606DF" w:rsidP="00BD693B">
            <w:pPr>
              <w:pStyle w:val="TableText"/>
            </w:pPr>
            <w:r w:rsidRPr="00CF7D68">
              <w:t xml:space="preserve">CKD patients with comorbid diabetes and potassium &lt;5 mmol/L </w:t>
            </w:r>
            <w:r w:rsidR="003F2C01" w:rsidRPr="00CF7D68">
              <w:t>(73%)</w:t>
            </w:r>
          </w:p>
        </w:tc>
        <w:tc>
          <w:tcPr>
            <w:tcW w:w="633" w:type="pct"/>
            <w:shd w:val="clear" w:color="auto" w:fill="auto"/>
            <w:vAlign w:val="center"/>
          </w:tcPr>
          <w:p w14:paraId="0A23B313" w14:textId="087449F0" w:rsidR="00D606DF" w:rsidRPr="00C856F6" w:rsidRDefault="00A973A1" w:rsidP="00BD693B">
            <w:pPr>
              <w:pStyle w:val="TableText"/>
              <w:jc w:val="center"/>
              <w:rPr>
                <w:highlight w:val="darkGray"/>
                <w:vertAlign w:val="superscript"/>
              </w:rPr>
            </w:pPr>
            <w:r w:rsidRPr="00A973A1">
              <w:rPr>
                <w:color w:val="000000"/>
                <w:shd w:val="solid" w:color="000000" w:fill="000000"/>
                <w14:textFill>
                  <w14:solidFill>
                    <w14:srgbClr w14:val="000000">
                      <w14:alpha w14:val="100000"/>
                    </w14:srgbClr>
                  </w14:solidFill>
                </w14:textFill>
              </w:rPr>
              <w:t>|</w:t>
            </w:r>
            <w:r w:rsidR="00B408A6" w:rsidRPr="00C856F6">
              <w:rPr>
                <w:vertAlign w:val="superscript"/>
              </w:rPr>
              <w:t>3</w:t>
            </w:r>
          </w:p>
        </w:tc>
        <w:tc>
          <w:tcPr>
            <w:tcW w:w="634" w:type="pct"/>
            <w:shd w:val="clear" w:color="auto" w:fill="auto"/>
            <w:vAlign w:val="center"/>
          </w:tcPr>
          <w:p w14:paraId="16998DFC" w14:textId="0ED934D1"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4</w:t>
            </w:r>
          </w:p>
        </w:tc>
        <w:tc>
          <w:tcPr>
            <w:tcW w:w="634" w:type="pct"/>
            <w:shd w:val="clear" w:color="auto" w:fill="auto"/>
            <w:vAlign w:val="center"/>
          </w:tcPr>
          <w:p w14:paraId="1BE8CB39" w14:textId="718B4A6C"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2</w:t>
            </w:r>
          </w:p>
        </w:tc>
        <w:tc>
          <w:tcPr>
            <w:tcW w:w="634" w:type="pct"/>
            <w:shd w:val="clear" w:color="auto" w:fill="auto"/>
            <w:vAlign w:val="center"/>
          </w:tcPr>
          <w:p w14:paraId="4CC918E8" w14:textId="29231C90"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2</w:t>
            </w:r>
          </w:p>
        </w:tc>
        <w:tc>
          <w:tcPr>
            <w:tcW w:w="634" w:type="pct"/>
            <w:shd w:val="clear" w:color="auto" w:fill="auto"/>
            <w:vAlign w:val="center"/>
          </w:tcPr>
          <w:p w14:paraId="59CD55E5" w14:textId="5BF66FD6"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2</w:t>
            </w:r>
          </w:p>
        </w:tc>
        <w:tc>
          <w:tcPr>
            <w:tcW w:w="634" w:type="pct"/>
            <w:shd w:val="clear" w:color="auto" w:fill="auto"/>
            <w:vAlign w:val="center"/>
          </w:tcPr>
          <w:p w14:paraId="35651553" w14:textId="4A1175BD"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2</w:t>
            </w:r>
          </w:p>
        </w:tc>
      </w:tr>
      <w:tr w:rsidR="00DE487C" w:rsidRPr="00CF7D68" w14:paraId="430E1BAE" w14:textId="77777777" w:rsidTr="00C856F6">
        <w:tc>
          <w:tcPr>
            <w:tcW w:w="1197" w:type="pct"/>
            <w:shd w:val="clear" w:color="auto" w:fill="auto"/>
            <w:vAlign w:val="center"/>
          </w:tcPr>
          <w:p w14:paraId="68203198" w14:textId="4B650449" w:rsidR="00D606DF" w:rsidRPr="00CF7D68" w:rsidRDefault="00D606DF" w:rsidP="00BD693B">
            <w:pPr>
              <w:pStyle w:val="TableText"/>
            </w:pPr>
            <w:r w:rsidRPr="00CF7D68">
              <w:t xml:space="preserve">Patients on </w:t>
            </w:r>
            <w:proofErr w:type="spellStart"/>
            <w:r w:rsidRPr="00CF7D68">
              <w:t>ACEi</w:t>
            </w:r>
            <w:proofErr w:type="spellEnd"/>
            <w:r w:rsidRPr="00CF7D68">
              <w:t xml:space="preserve">/ARB </w:t>
            </w:r>
            <w:r w:rsidR="003F2C01" w:rsidRPr="00CF7D68">
              <w:t>(80%)</w:t>
            </w:r>
          </w:p>
        </w:tc>
        <w:tc>
          <w:tcPr>
            <w:tcW w:w="633" w:type="pct"/>
            <w:shd w:val="clear" w:color="auto" w:fill="auto"/>
          </w:tcPr>
          <w:p w14:paraId="361B90E7" w14:textId="26DCFF53" w:rsidR="00D606DF" w:rsidRPr="00C856F6" w:rsidRDefault="00A973A1" w:rsidP="00BD693B">
            <w:pPr>
              <w:pStyle w:val="TableText"/>
              <w:jc w:val="center"/>
              <w:rPr>
                <w:highlight w:val="darkGray"/>
                <w:vertAlign w:val="superscript"/>
              </w:rPr>
            </w:pPr>
            <w:r w:rsidRPr="00A973A1">
              <w:rPr>
                <w:color w:val="000000"/>
                <w:shd w:val="solid" w:color="000000" w:fill="000000"/>
                <w14:textFill>
                  <w14:solidFill>
                    <w14:srgbClr w14:val="000000">
                      <w14:alpha w14:val="100000"/>
                    </w14:srgbClr>
                  </w14:solidFill>
                </w14:textFill>
              </w:rPr>
              <w:t>|</w:t>
            </w:r>
            <w:r w:rsidR="00B408A6" w:rsidRPr="00C856F6">
              <w:rPr>
                <w:vertAlign w:val="superscript"/>
              </w:rPr>
              <w:t>5</w:t>
            </w:r>
          </w:p>
        </w:tc>
        <w:tc>
          <w:tcPr>
            <w:tcW w:w="634" w:type="pct"/>
            <w:shd w:val="clear" w:color="auto" w:fill="auto"/>
          </w:tcPr>
          <w:p w14:paraId="5A92C1FC" w14:textId="7BF82560"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6</w:t>
            </w:r>
          </w:p>
        </w:tc>
        <w:tc>
          <w:tcPr>
            <w:tcW w:w="634" w:type="pct"/>
            <w:shd w:val="clear" w:color="auto" w:fill="auto"/>
          </w:tcPr>
          <w:p w14:paraId="4B28D91B" w14:textId="2D97F522"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sidRPr="00725DA3">
              <w:rPr>
                <w:vertAlign w:val="superscript"/>
              </w:rPr>
              <w:t>3</w:t>
            </w:r>
          </w:p>
        </w:tc>
        <w:tc>
          <w:tcPr>
            <w:tcW w:w="634" w:type="pct"/>
            <w:shd w:val="clear" w:color="auto" w:fill="auto"/>
          </w:tcPr>
          <w:p w14:paraId="791DC49C" w14:textId="626A9EF6"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4</w:t>
            </w:r>
          </w:p>
        </w:tc>
        <w:tc>
          <w:tcPr>
            <w:tcW w:w="634" w:type="pct"/>
            <w:shd w:val="clear" w:color="auto" w:fill="auto"/>
          </w:tcPr>
          <w:p w14:paraId="060C92C8" w14:textId="3F13EDB0"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2</w:t>
            </w:r>
          </w:p>
        </w:tc>
        <w:tc>
          <w:tcPr>
            <w:tcW w:w="634" w:type="pct"/>
            <w:shd w:val="clear" w:color="auto" w:fill="auto"/>
          </w:tcPr>
          <w:p w14:paraId="2B67AABF" w14:textId="752DF035"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2</w:t>
            </w:r>
          </w:p>
        </w:tc>
      </w:tr>
      <w:tr w:rsidR="00DE487C" w:rsidRPr="00CF7D68" w14:paraId="2EFBE263" w14:textId="77777777" w:rsidTr="00C856F6">
        <w:tc>
          <w:tcPr>
            <w:tcW w:w="1197" w:type="pct"/>
            <w:shd w:val="clear" w:color="auto" w:fill="auto"/>
            <w:vAlign w:val="center"/>
          </w:tcPr>
          <w:p w14:paraId="0F48C831" w14:textId="1B81468B" w:rsidR="00D606DF" w:rsidRPr="00CF7D68" w:rsidRDefault="00D606DF" w:rsidP="00BD693B">
            <w:pPr>
              <w:pStyle w:val="TableText"/>
            </w:pPr>
            <w:r w:rsidRPr="00CF7D68">
              <w:t xml:space="preserve">CKD patients with diabetes who </w:t>
            </w:r>
            <w:r w:rsidRPr="005235A4">
              <w:t>meet UACR and eGFR criteria</w:t>
            </w:r>
            <w:r w:rsidR="003F2C01" w:rsidRPr="005235A4">
              <w:t xml:space="preserve"> (18%)</w:t>
            </w:r>
          </w:p>
        </w:tc>
        <w:tc>
          <w:tcPr>
            <w:tcW w:w="633" w:type="pct"/>
            <w:shd w:val="clear" w:color="auto" w:fill="auto"/>
            <w:vAlign w:val="center"/>
          </w:tcPr>
          <w:p w14:paraId="7634BB71" w14:textId="7D838561" w:rsidR="00D606DF" w:rsidRPr="00C856F6" w:rsidRDefault="00A973A1" w:rsidP="00BD693B">
            <w:pPr>
              <w:pStyle w:val="TableText"/>
              <w:jc w:val="center"/>
              <w:rPr>
                <w:highlight w:val="darkGray"/>
                <w:vertAlign w:val="superscript"/>
              </w:rPr>
            </w:pPr>
            <w:r w:rsidRPr="00A973A1">
              <w:rPr>
                <w:color w:val="000000"/>
                <w:shd w:val="solid" w:color="000000" w:fill="000000"/>
                <w14:textFill>
                  <w14:solidFill>
                    <w14:srgbClr w14:val="000000">
                      <w14:alpha w14:val="100000"/>
                    </w14:srgbClr>
                  </w14:solidFill>
                </w14:textFill>
              </w:rPr>
              <w:t>|</w:t>
            </w:r>
            <w:r w:rsidR="00B408A6" w:rsidRPr="00C856F6">
              <w:rPr>
                <w:vertAlign w:val="superscript"/>
              </w:rPr>
              <w:t>7</w:t>
            </w:r>
          </w:p>
        </w:tc>
        <w:tc>
          <w:tcPr>
            <w:tcW w:w="634" w:type="pct"/>
            <w:shd w:val="clear" w:color="auto" w:fill="auto"/>
            <w:vAlign w:val="center"/>
          </w:tcPr>
          <w:p w14:paraId="6007CE5E" w14:textId="7E9FEC33"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sidRPr="00725DA3">
              <w:rPr>
                <w:vertAlign w:val="superscript"/>
              </w:rPr>
              <w:t>7</w:t>
            </w:r>
          </w:p>
        </w:tc>
        <w:tc>
          <w:tcPr>
            <w:tcW w:w="634" w:type="pct"/>
            <w:shd w:val="clear" w:color="auto" w:fill="auto"/>
            <w:vAlign w:val="center"/>
          </w:tcPr>
          <w:p w14:paraId="2684D0C7" w14:textId="14104E0D"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sidRPr="00725DA3">
              <w:rPr>
                <w:vertAlign w:val="superscript"/>
              </w:rPr>
              <w:t>7</w:t>
            </w:r>
          </w:p>
        </w:tc>
        <w:tc>
          <w:tcPr>
            <w:tcW w:w="634" w:type="pct"/>
            <w:shd w:val="clear" w:color="auto" w:fill="auto"/>
            <w:vAlign w:val="center"/>
          </w:tcPr>
          <w:p w14:paraId="504A39F5" w14:textId="30057D81"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sidRPr="00725DA3">
              <w:rPr>
                <w:vertAlign w:val="superscript"/>
              </w:rPr>
              <w:t>7</w:t>
            </w:r>
          </w:p>
        </w:tc>
        <w:tc>
          <w:tcPr>
            <w:tcW w:w="634" w:type="pct"/>
            <w:shd w:val="clear" w:color="auto" w:fill="auto"/>
            <w:vAlign w:val="center"/>
          </w:tcPr>
          <w:p w14:paraId="4A9E59C6" w14:textId="77F74E46"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sidRPr="00725DA3">
              <w:rPr>
                <w:vertAlign w:val="superscript"/>
              </w:rPr>
              <w:t>7</w:t>
            </w:r>
          </w:p>
        </w:tc>
        <w:tc>
          <w:tcPr>
            <w:tcW w:w="634" w:type="pct"/>
            <w:shd w:val="clear" w:color="auto" w:fill="auto"/>
            <w:vAlign w:val="center"/>
          </w:tcPr>
          <w:p w14:paraId="37E6DEBE" w14:textId="56C5E946"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972457">
              <w:rPr>
                <w:vertAlign w:val="superscript"/>
              </w:rPr>
              <w:t>8</w:t>
            </w:r>
          </w:p>
        </w:tc>
      </w:tr>
      <w:tr w:rsidR="00DE487C" w:rsidRPr="00CF7D68" w14:paraId="4F747410" w14:textId="77777777" w:rsidTr="00C856F6">
        <w:tc>
          <w:tcPr>
            <w:tcW w:w="1197" w:type="pct"/>
            <w:shd w:val="clear" w:color="auto" w:fill="auto"/>
            <w:vAlign w:val="center"/>
          </w:tcPr>
          <w:p w14:paraId="1028AEC2" w14:textId="79299338" w:rsidR="00D606DF" w:rsidRPr="00CF7D68" w:rsidRDefault="00D606DF" w:rsidP="00BD693B">
            <w:pPr>
              <w:pStyle w:val="TableText"/>
              <w:rPr>
                <w:vertAlign w:val="superscript"/>
              </w:rPr>
            </w:pPr>
            <w:proofErr w:type="spellStart"/>
            <w:r w:rsidRPr="00CF7D68">
              <w:t>Uptake</w:t>
            </w:r>
            <w:r w:rsidR="003F2C01" w:rsidRPr="00CF7D68">
              <w:rPr>
                <w:vertAlign w:val="superscript"/>
              </w:rPr>
              <w:t>a</w:t>
            </w:r>
            <w:proofErr w:type="spellEnd"/>
          </w:p>
        </w:tc>
        <w:tc>
          <w:tcPr>
            <w:tcW w:w="633" w:type="pct"/>
            <w:shd w:val="clear" w:color="auto" w:fill="auto"/>
            <w:vAlign w:val="center"/>
          </w:tcPr>
          <w:p w14:paraId="03C50433" w14:textId="251C7F88" w:rsidR="00D606DF" w:rsidRPr="00CF7D68" w:rsidRDefault="00A973A1" w:rsidP="00BD693B">
            <w:pPr>
              <w:pStyle w:val="TableText"/>
              <w:jc w:val="center"/>
            </w:pPr>
            <w:r w:rsidRPr="00F9376A">
              <w:rPr>
                <w:rFonts w:hint="eastAsia"/>
                <w:color w:val="000000"/>
                <w:w w:val="15"/>
                <w:shd w:val="solid" w:color="000000" w:fill="000000"/>
                <w:fitText w:val="13" w:id="-1435844096"/>
                <w14:textFill>
                  <w14:solidFill>
                    <w14:srgbClr w14:val="000000">
                      <w14:alpha w14:val="100000"/>
                    </w14:srgbClr>
                  </w14:solidFill>
                </w14:textFill>
              </w:rPr>
              <w:t xml:space="preserve">　</w:t>
            </w:r>
            <w:r w:rsidRPr="00F9376A">
              <w:rPr>
                <w:color w:val="000000"/>
                <w:w w:val="15"/>
                <w:shd w:val="solid" w:color="000000" w:fill="000000"/>
                <w:fitText w:val="13" w:id="-1435844096"/>
                <w14:textFill>
                  <w14:solidFill>
                    <w14:srgbClr w14:val="000000">
                      <w14:alpha w14:val="100000"/>
                    </w14:srgbClr>
                  </w14:solidFill>
                </w14:textFill>
              </w:rPr>
              <w:t>|</w:t>
            </w:r>
            <w:r w:rsidRPr="00F9376A">
              <w:rPr>
                <w:rFonts w:hint="eastAsia"/>
                <w:color w:val="000000"/>
                <w:spacing w:val="-53"/>
                <w:w w:val="15"/>
                <w:shd w:val="solid" w:color="000000" w:fill="000000"/>
                <w:fitText w:val="13" w:id="-1435844096"/>
                <w14:textFill>
                  <w14:solidFill>
                    <w14:srgbClr w14:val="000000">
                      <w14:alpha w14:val="100000"/>
                    </w14:srgbClr>
                  </w14:solidFill>
                </w14:textFill>
              </w:rPr>
              <w:t xml:space="preserve">　</w:t>
            </w:r>
            <w:r w:rsidR="00D606DF" w:rsidRPr="00CF7D68">
              <w:t>%</w:t>
            </w:r>
          </w:p>
        </w:tc>
        <w:tc>
          <w:tcPr>
            <w:tcW w:w="634" w:type="pct"/>
            <w:shd w:val="clear" w:color="auto" w:fill="auto"/>
            <w:vAlign w:val="center"/>
          </w:tcPr>
          <w:p w14:paraId="383EC316" w14:textId="13514941" w:rsidR="00D606DF" w:rsidRPr="00CF7D68" w:rsidRDefault="00A973A1" w:rsidP="00BD693B">
            <w:pPr>
              <w:pStyle w:val="TableText"/>
              <w:jc w:val="center"/>
            </w:pPr>
            <w:r w:rsidRPr="00F9376A">
              <w:rPr>
                <w:rFonts w:hint="eastAsia"/>
                <w:color w:val="000000"/>
                <w:w w:val="15"/>
                <w:shd w:val="solid" w:color="000000" w:fill="000000"/>
                <w:fitText w:val="12" w:id="-1435844095"/>
                <w14:textFill>
                  <w14:solidFill>
                    <w14:srgbClr w14:val="000000">
                      <w14:alpha w14:val="100000"/>
                    </w14:srgbClr>
                  </w14:solidFill>
                </w14:textFill>
              </w:rPr>
              <w:t xml:space="preserve">　</w:t>
            </w:r>
            <w:r w:rsidRPr="00F9376A">
              <w:rPr>
                <w:color w:val="000000"/>
                <w:w w:val="15"/>
                <w:shd w:val="solid" w:color="000000" w:fill="000000"/>
                <w:fitText w:val="12" w:id="-1435844095"/>
                <w14:textFill>
                  <w14:solidFill>
                    <w14:srgbClr w14:val="000000">
                      <w14:alpha w14:val="100000"/>
                    </w14:srgbClr>
                  </w14:solidFill>
                </w14:textFill>
              </w:rPr>
              <w:t>|</w:t>
            </w:r>
            <w:r w:rsidRPr="00F9376A">
              <w:rPr>
                <w:rFonts w:hint="eastAsia"/>
                <w:color w:val="000000"/>
                <w:spacing w:val="-54"/>
                <w:w w:val="15"/>
                <w:shd w:val="solid" w:color="000000" w:fill="000000"/>
                <w:fitText w:val="12" w:id="-1435844095"/>
                <w14:textFill>
                  <w14:solidFill>
                    <w14:srgbClr w14:val="000000">
                      <w14:alpha w14:val="100000"/>
                    </w14:srgbClr>
                  </w14:solidFill>
                </w14:textFill>
              </w:rPr>
              <w:t xml:space="preserve">　</w:t>
            </w:r>
            <w:r w:rsidR="00D606DF" w:rsidRPr="00CF7D68">
              <w:t>%</w:t>
            </w:r>
          </w:p>
        </w:tc>
        <w:tc>
          <w:tcPr>
            <w:tcW w:w="634" w:type="pct"/>
            <w:shd w:val="clear" w:color="auto" w:fill="auto"/>
            <w:vAlign w:val="center"/>
          </w:tcPr>
          <w:p w14:paraId="5ACF036C" w14:textId="491643C3" w:rsidR="00D606DF" w:rsidRPr="00CF7D68" w:rsidRDefault="00A973A1" w:rsidP="00BD693B">
            <w:pPr>
              <w:pStyle w:val="TableText"/>
              <w:jc w:val="center"/>
            </w:pPr>
            <w:r w:rsidRPr="00F9376A">
              <w:rPr>
                <w:rFonts w:hint="eastAsia"/>
                <w:color w:val="000000"/>
                <w:w w:val="15"/>
                <w:shd w:val="solid" w:color="000000" w:fill="000000"/>
                <w:fitText w:val="12" w:id="-1435844094"/>
                <w14:textFill>
                  <w14:solidFill>
                    <w14:srgbClr w14:val="000000">
                      <w14:alpha w14:val="100000"/>
                    </w14:srgbClr>
                  </w14:solidFill>
                </w14:textFill>
              </w:rPr>
              <w:t xml:space="preserve">　</w:t>
            </w:r>
            <w:r w:rsidRPr="00F9376A">
              <w:rPr>
                <w:color w:val="000000"/>
                <w:w w:val="15"/>
                <w:shd w:val="solid" w:color="000000" w:fill="000000"/>
                <w:fitText w:val="12" w:id="-1435844094"/>
                <w14:textFill>
                  <w14:solidFill>
                    <w14:srgbClr w14:val="000000">
                      <w14:alpha w14:val="100000"/>
                    </w14:srgbClr>
                  </w14:solidFill>
                </w14:textFill>
              </w:rPr>
              <w:t>|</w:t>
            </w:r>
            <w:r w:rsidRPr="00F9376A">
              <w:rPr>
                <w:rFonts w:hint="eastAsia"/>
                <w:color w:val="000000"/>
                <w:spacing w:val="-54"/>
                <w:w w:val="15"/>
                <w:shd w:val="solid" w:color="000000" w:fill="000000"/>
                <w:fitText w:val="12" w:id="-1435844094"/>
                <w14:textFill>
                  <w14:solidFill>
                    <w14:srgbClr w14:val="000000">
                      <w14:alpha w14:val="100000"/>
                    </w14:srgbClr>
                  </w14:solidFill>
                </w14:textFill>
              </w:rPr>
              <w:t xml:space="preserve">　</w:t>
            </w:r>
            <w:r w:rsidR="00D606DF" w:rsidRPr="00CF7D68">
              <w:t>%</w:t>
            </w:r>
          </w:p>
        </w:tc>
        <w:tc>
          <w:tcPr>
            <w:tcW w:w="634" w:type="pct"/>
            <w:shd w:val="clear" w:color="auto" w:fill="auto"/>
            <w:vAlign w:val="center"/>
          </w:tcPr>
          <w:p w14:paraId="52C33DAB" w14:textId="7D7B6BE9" w:rsidR="00D606DF" w:rsidRPr="00CF7D68" w:rsidRDefault="00A973A1" w:rsidP="00BD693B">
            <w:pPr>
              <w:pStyle w:val="TableText"/>
              <w:jc w:val="center"/>
            </w:pPr>
            <w:r w:rsidRPr="00F9376A">
              <w:rPr>
                <w:rFonts w:hint="eastAsia"/>
                <w:color w:val="000000"/>
                <w:w w:val="15"/>
                <w:shd w:val="solid" w:color="000000" w:fill="000000"/>
                <w:fitText w:val="12" w:id="-1435844093"/>
                <w14:textFill>
                  <w14:solidFill>
                    <w14:srgbClr w14:val="000000">
                      <w14:alpha w14:val="100000"/>
                    </w14:srgbClr>
                  </w14:solidFill>
                </w14:textFill>
              </w:rPr>
              <w:t xml:space="preserve">　</w:t>
            </w:r>
            <w:r w:rsidRPr="00F9376A">
              <w:rPr>
                <w:color w:val="000000"/>
                <w:w w:val="15"/>
                <w:shd w:val="solid" w:color="000000" w:fill="000000"/>
                <w:fitText w:val="12" w:id="-1435844093"/>
                <w14:textFill>
                  <w14:solidFill>
                    <w14:srgbClr w14:val="000000">
                      <w14:alpha w14:val="100000"/>
                    </w14:srgbClr>
                  </w14:solidFill>
                </w14:textFill>
              </w:rPr>
              <w:t>|</w:t>
            </w:r>
            <w:r w:rsidRPr="00F9376A">
              <w:rPr>
                <w:rFonts w:hint="eastAsia"/>
                <w:color w:val="000000"/>
                <w:spacing w:val="-54"/>
                <w:w w:val="15"/>
                <w:shd w:val="solid" w:color="000000" w:fill="000000"/>
                <w:fitText w:val="12" w:id="-1435844093"/>
                <w14:textFill>
                  <w14:solidFill>
                    <w14:srgbClr w14:val="000000">
                      <w14:alpha w14:val="100000"/>
                    </w14:srgbClr>
                  </w14:solidFill>
                </w14:textFill>
              </w:rPr>
              <w:t xml:space="preserve">　</w:t>
            </w:r>
            <w:r w:rsidR="00D606DF" w:rsidRPr="00CF7D68">
              <w:t>%</w:t>
            </w:r>
          </w:p>
        </w:tc>
        <w:tc>
          <w:tcPr>
            <w:tcW w:w="634" w:type="pct"/>
            <w:shd w:val="clear" w:color="auto" w:fill="auto"/>
            <w:vAlign w:val="center"/>
          </w:tcPr>
          <w:p w14:paraId="2721B77E" w14:textId="287A9FCA" w:rsidR="00D606DF" w:rsidRPr="00CF7D68" w:rsidRDefault="00A973A1" w:rsidP="00BD693B">
            <w:pPr>
              <w:pStyle w:val="TableText"/>
              <w:jc w:val="center"/>
            </w:pPr>
            <w:r w:rsidRPr="00F9376A">
              <w:rPr>
                <w:rFonts w:hint="eastAsia"/>
                <w:color w:val="000000"/>
                <w:w w:val="15"/>
                <w:shd w:val="solid" w:color="000000" w:fill="000000"/>
                <w:fitText w:val="12" w:id="-1435844092"/>
                <w14:textFill>
                  <w14:solidFill>
                    <w14:srgbClr w14:val="000000">
                      <w14:alpha w14:val="100000"/>
                    </w14:srgbClr>
                  </w14:solidFill>
                </w14:textFill>
              </w:rPr>
              <w:t xml:space="preserve">　</w:t>
            </w:r>
            <w:r w:rsidRPr="00F9376A">
              <w:rPr>
                <w:color w:val="000000"/>
                <w:w w:val="15"/>
                <w:shd w:val="solid" w:color="000000" w:fill="000000"/>
                <w:fitText w:val="12" w:id="-1435844092"/>
                <w14:textFill>
                  <w14:solidFill>
                    <w14:srgbClr w14:val="000000">
                      <w14:alpha w14:val="100000"/>
                    </w14:srgbClr>
                  </w14:solidFill>
                </w14:textFill>
              </w:rPr>
              <w:t>|</w:t>
            </w:r>
            <w:r w:rsidRPr="00F9376A">
              <w:rPr>
                <w:rFonts w:hint="eastAsia"/>
                <w:color w:val="000000"/>
                <w:spacing w:val="-54"/>
                <w:w w:val="15"/>
                <w:shd w:val="solid" w:color="000000" w:fill="000000"/>
                <w:fitText w:val="12" w:id="-1435844092"/>
                <w14:textFill>
                  <w14:solidFill>
                    <w14:srgbClr w14:val="000000">
                      <w14:alpha w14:val="100000"/>
                    </w14:srgbClr>
                  </w14:solidFill>
                </w14:textFill>
              </w:rPr>
              <w:t xml:space="preserve">　</w:t>
            </w:r>
            <w:r w:rsidR="00D606DF" w:rsidRPr="00CF7D68">
              <w:t>%</w:t>
            </w:r>
          </w:p>
        </w:tc>
        <w:tc>
          <w:tcPr>
            <w:tcW w:w="634" w:type="pct"/>
            <w:shd w:val="clear" w:color="auto" w:fill="auto"/>
            <w:vAlign w:val="center"/>
          </w:tcPr>
          <w:p w14:paraId="5389259A" w14:textId="5D889327" w:rsidR="00D606DF" w:rsidRPr="00CF7D68" w:rsidRDefault="00A973A1" w:rsidP="00BD693B">
            <w:pPr>
              <w:pStyle w:val="TableText"/>
              <w:jc w:val="center"/>
            </w:pPr>
            <w:r w:rsidRPr="00F9376A">
              <w:rPr>
                <w:rFonts w:hint="eastAsia"/>
                <w:color w:val="000000"/>
                <w:w w:val="15"/>
                <w:shd w:val="solid" w:color="000000" w:fill="000000"/>
                <w:fitText w:val="13" w:id="-1435844091"/>
                <w14:textFill>
                  <w14:solidFill>
                    <w14:srgbClr w14:val="000000">
                      <w14:alpha w14:val="100000"/>
                    </w14:srgbClr>
                  </w14:solidFill>
                </w14:textFill>
              </w:rPr>
              <w:t xml:space="preserve">　</w:t>
            </w:r>
            <w:r w:rsidRPr="00F9376A">
              <w:rPr>
                <w:color w:val="000000"/>
                <w:w w:val="15"/>
                <w:shd w:val="solid" w:color="000000" w:fill="000000"/>
                <w:fitText w:val="13" w:id="-1435844091"/>
                <w14:textFill>
                  <w14:solidFill>
                    <w14:srgbClr w14:val="000000">
                      <w14:alpha w14:val="100000"/>
                    </w14:srgbClr>
                  </w14:solidFill>
                </w14:textFill>
              </w:rPr>
              <w:t>|</w:t>
            </w:r>
            <w:r w:rsidRPr="00F9376A">
              <w:rPr>
                <w:rFonts w:hint="eastAsia"/>
                <w:color w:val="000000"/>
                <w:spacing w:val="-53"/>
                <w:w w:val="15"/>
                <w:shd w:val="solid" w:color="000000" w:fill="000000"/>
                <w:fitText w:val="13" w:id="-1435844091"/>
                <w14:textFill>
                  <w14:solidFill>
                    <w14:srgbClr w14:val="000000">
                      <w14:alpha w14:val="100000"/>
                    </w14:srgbClr>
                  </w14:solidFill>
                </w14:textFill>
              </w:rPr>
              <w:t xml:space="preserve">　</w:t>
            </w:r>
            <w:r w:rsidR="00D606DF" w:rsidRPr="00CF7D68">
              <w:t>%</w:t>
            </w:r>
          </w:p>
        </w:tc>
      </w:tr>
      <w:tr w:rsidR="00DE487C" w:rsidRPr="00CF7D68" w14:paraId="2694E3EE" w14:textId="77777777" w:rsidTr="00C856F6">
        <w:tc>
          <w:tcPr>
            <w:tcW w:w="1197" w:type="pct"/>
            <w:shd w:val="clear" w:color="auto" w:fill="auto"/>
            <w:vAlign w:val="center"/>
          </w:tcPr>
          <w:p w14:paraId="419571F7" w14:textId="77777777" w:rsidR="00D606DF" w:rsidRPr="00CF7D68" w:rsidRDefault="00D606DF" w:rsidP="00BD693B">
            <w:pPr>
              <w:pStyle w:val="TableText"/>
            </w:pPr>
            <w:r w:rsidRPr="00CF7D68">
              <w:t xml:space="preserve">Patients treated with </w:t>
            </w:r>
            <w:proofErr w:type="spellStart"/>
            <w:r w:rsidRPr="00CF7D68">
              <w:t>finerenone</w:t>
            </w:r>
            <w:proofErr w:type="spellEnd"/>
          </w:p>
        </w:tc>
        <w:tc>
          <w:tcPr>
            <w:tcW w:w="633" w:type="pct"/>
            <w:shd w:val="clear" w:color="auto" w:fill="auto"/>
            <w:vAlign w:val="center"/>
          </w:tcPr>
          <w:p w14:paraId="1D41D6A4" w14:textId="582330E5"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972457">
              <w:rPr>
                <w:vertAlign w:val="superscript"/>
              </w:rPr>
              <w:t>9</w:t>
            </w:r>
          </w:p>
        </w:tc>
        <w:tc>
          <w:tcPr>
            <w:tcW w:w="634" w:type="pct"/>
            <w:shd w:val="clear" w:color="auto" w:fill="auto"/>
            <w:vAlign w:val="center"/>
          </w:tcPr>
          <w:p w14:paraId="01D4171E" w14:textId="0EEAFF33"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972457">
              <w:rPr>
                <w:vertAlign w:val="superscript"/>
              </w:rPr>
              <w:t>10</w:t>
            </w:r>
          </w:p>
        </w:tc>
        <w:tc>
          <w:tcPr>
            <w:tcW w:w="634" w:type="pct"/>
            <w:shd w:val="clear" w:color="auto" w:fill="auto"/>
            <w:vAlign w:val="center"/>
          </w:tcPr>
          <w:p w14:paraId="40877C97" w14:textId="681B8791"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1</w:t>
            </w:r>
            <w:r w:rsidR="00972457">
              <w:rPr>
                <w:vertAlign w:val="superscript"/>
              </w:rPr>
              <w:t>1</w:t>
            </w:r>
          </w:p>
        </w:tc>
        <w:tc>
          <w:tcPr>
            <w:tcW w:w="634" w:type="pct"/>
            <w:shd w:val="clear" w:color="auto" w:fill="auto"/>
            <w:vAlign w:val="center"/>
          </w:tcPr>
          <w:p w14:paraId="28C38A85" w14:textId="5789C4C1"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1</w:t>
            </w:r>
            <w:r w:rsidR="00972457">
              <w:rPr>
                <w:vertAlign w:val="superscript"/>
              </w:rPr>
              <w:t>2</w:t>
            </w:r>
          </w:p>
        </w:tc>
        <w:tc>
          <w:tcPr>
            <w:tcW w:w="634" w:type="pct"/>
            <w:shd w:val="clear" w:color="auto" w:fill="auto"/>
            <w:vAlign w:val="center"/>
          </w:tcPr>
          <w:p w14:paraId="70A5DCBE" w14:textId="3A3AD0D3"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1</w:t>
            </w:r>
            <w:r w:rsidR="00972457">
              <w:rPr>
                <w:vertAlign w:val="superscript"/>
              </w:rPr>
              <w:t>3</w:t>
            </w:r>
          </w:p>
        </w:tc>
        <w:tc>
          <w:tcPr>
            <w:tcW w:w="634" w:type="pct"/>
            <w:shd w:val="clear" w:color="auto" w:fill="auto"/>
            <w:vAlign w:val="center"/>
          </w:tcPr>
          <w:p w14:paraId="2612495B" w14:textId="320F384A"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1</w:t>
            </w:r>
            <w:r w:rsidR="00972457">
              <w:rPr>
                <w:vertAlign w:val="superscript"/>
              </w:rPr>
              <w:t>4</w:t>
            </w:r>
          </w:p>
        </w:tc>
      </w:tr>
      <w:tr w:rsidR="00DE487C" w:rsidRPr="00CF7D68" w14:paraId="39B6CAE0" w14:textId="77777777" w:rsidTr="00C856F6">
        <w:tc>
          <w:tcPr>
            <w:tcW w:w="1197" w:type="pct"/>
            <w:shd w:val="clear" w:color="auto" w:fill="auto"/>
            <w:vAlign w:val="center"/>
          </w:tcPr>
          <w:p w14:paraId="38F8D9F5" w14:textId="77777777" w:rsidR="00D606DF" w:rsidRPr="00CF7D68" w:rsidRDefault="00D606DF" w:rsidP="00BD693B">
            <w:pPr>
              <w:pStyle w:val="TableText"/>
            </w:pPr>
            <w:r w:rsidRPr="00CF7D68">
              <w:t>Total scripts</w:t>
            </w:r>
          </w:p>
        </w:tc>
        <w:tc>
          <w:tcPr>
            <w:tcW w:w="633" w:type="pct"/>
            <w:shd w:val="clear" w:color="auto" w:fill="auto"/>
            <w:vAlign w:val="center"/>
          </w:tcPr>
          <w:p w14:paraId="3DCE6432" w14:textId="59E761DE"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972457">
              <w:rPr>
                <w:vertAlign w:val="superscript"/>
              </w:rPr>
              <w:t>8</w:t>
            </w:r>
          </w:p>
        </w:tc>
        <w:tc>
          <w:tcPr>
            <w:tcW w:w="634" w:type="pct"/>
            <w:shd w:val="clear" w:color="auto" w:fill="auto"/>
            <w:vAlign w:val="center"/>
          </w:tcPr>
          <w:p w14:paraId="31E6A3FD" w14:textId="29998234"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1</w:t>
            </w:r>
            <w:r w:rsidR="00972457">
              <w:rPr>
                <w:vertAlign w:val="superscript"/>
              </w:rPr>
              <w:t>5</w:t>
            </w:r>
          </w:p>
        </w:tc>
        <w:tc>
          <w:tcPr>
            <w:tcW w:w="634" w:type="pct"/>
            <w:shd w:val="clear" w:color="auto" w:fill="auto"/>
            <w:vAlign w:val="center"/>
          </w:tcPr>
          <w:p w14:paraId="782DE1DF" w14:textId="4D5536F1"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1</w:t>
            </w:r>
            <w:r w:rsidR="00972457">
              <w:rPr>
                <w:vertAlign w:val="superscript"/>
              </w:rPr>
              <w:t>6</w:t>
            </w:r>
          </w:p>
        </w:tc>
        <w:tc>
          <w:tcPr>
            <w:tcW w:w="634" w:type="pct"/>
            <w:shd w:val="clear" w:color="auto" w:fill="auto"/>
            <w:vAlign w:val="center"/>
          </w:tcPr>
          <w:p w14:paraId="133F145C" w14:textId="14DD0954"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1</w:t>
            </w:r>
            <w:r w:rsidR="00972457">
              <w:rPr>
                <w:vertAlign w:val="superscript"/>
              </w:rPr>
              <w:t>7</w:t>
            </w:r>
          </w:p>
        </w:tc>
        <w:tc>
          <w:tcPr>
            <w:tcW w:w="634" w:type="pct"/>
            <w:shd w:val="clear" w:color="auto" w:fill="auto"/>
            <w:vAlign w:val="center"/>
          </w:tcPr>
          <w:p w14:paraId="75FCDA12" w14:textId="16CC6487"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4</w:t>
            </w:r>
          </w:p>
        </w:tc>
        <w:tc>
          <w:tcPr>
            <w:tcW w:w="634" w:type="pct"/>
            <w:shd w:val="clear" w:color="auto" w:fill="auto"/>
            <w:vAlign w:val="center"/>
          </w:tcPr>
          <w:p w14:paraId="0046DDC7" w14:textId="2B4CECD5" w:rsidR="00D606DF" w:rsidRPr="00C856F6" w:rsidRDefault="00A973A1" w:rsidP="00BD693B">
            <w:pPr>
              <w:pStyle w:val="TableText"/>
              <w:jc w:val="center"/>
              <w:rPr>
                <w:highlight w:val="darkGray"/>
              </w:rPr>
            </w:pPr>
            <w:r w:rsidRPr="00A973A1">
              <w:rPr>
                <w:color w:val="000000"/>
                <w:shd w:val="solid" w:color="000000" w:fill="000000"/>
                <w14:textFill>
                  <w14:solidFill>
                    <w14:srgbClr w14:val="000000">
                      <w14:alpha w14:val="100000"/>
                    </w14:srgbClr>
                  </w14:solidFill>
                </w14:textFill>
              </w:rPr>
              <w:t>|</w:t>
            </w:r>
            <w:r w:rsidR="00B408A6">
              <w:rPr>
                <w:vertAlign w:val="superscript"/>
              </w:rPr>
              <w:t>2</w:t>
            </w:r>
          </w:p>
        </w:tc>
      </w:tr>
      <w:tr w:rsidR="00DE487C" w:rsidRPr="00CF7D68" w14:paraId="12A7767E" w14:textId="77777777" w:rsidTr="00C856F6">
        <w:tc>
          <w:tcPr>
            <w:tcW w:w="1197" w:type="pct"/>
            <w:shd w:val="clear" w:color="auto" w:fill="auto"/>
            <w:vAlign w:val="center"/>
          </w:tcPr>
          <w:p w14:paraId="3491B3F7" w14:textId="77777777" w:rsidR="00D606DF" w:rsidRPr="00CF7D68" w:rsidRDefault="00D606DF" w:rsidP="00BD693B">
            <w:pPr>
              <w:pStyle w:val="TableText"/>
            </w:pPr>
            <w:r w:rsidRPr="00CF7D68">
              <w:t>Cost to PBS/RPBS</w:t>
            </w:r>
          </w:p>
        </w:tc>
        <w:tc>
          <w:tcPr>
            <w:tcW w:w="633" w:type="pct"/>
            <w:shd w:val="clear" w:color="auto" w:fill="auto"/>
            <w:vAlign w:val="center"/>
          </w:tcPr>
          <w:p w14:paraId="54B1E29F" w14:textId="060DBAB1" w:rsidR="00D606DF" w:rsidRPr="00C856F6" w:rsidRDefault="00D606DF" w:rsidP="00BD693B">
            <w:pPr>
              <w:pStyle w:val="TableText"/>
              <w:jc w:val="center"/>
              <w:rPr>
                <w:vertAlign w:val="superscript"/>
              </w:rPr>
            </w:pPr>
            <w:r w:rsidRPr="00CF7D68">
              <w:t>$</w:t>
            </w:r>
            <w:r w:rsidR="00A973A1" w:rsidRPr="00A973A1">
              <w:rPr>
                <w:rFonts w:hint="eastAsia"/>
                <w:color w:val="000000"/>
                <w:w w:val="15"/>
                <w:shd w:val="solid" w:color="000000" w:fill="000000"/>
                <w:fitText w:val="38" w:id="-1435844090"/>
                <w14:textFill>
                  <w14:solidFill>
                    <w14:srgbClr w14:val="000000">
                      <w14:alpha w14:val="100000"/>
                    </w14:srgbClr>
                  </w14:solidFill>
                </w14:textFill>
              </w:rPr>
              <w:t xml:space="preserve">　</w:t>
            </w:r>
            <w:r w:rsidR="00A973A1" w:rsidRPr="00A973A1">
              <w:rPr>
                <w:color w:val="000000"/>
                <w:w w:val="15"/>
                <w:shd w:val="solid" w:color="000000" w:fill="000000"/>
                <w:fitText w:val="38" w:id="-1435844090"/>
                <w14:textFill>
                  <w14:solidFill>
                    <w14:srgbClr w14:val="000000">
                      <w14:alpha w14:val="100000"/>
                    </w14:srgbClr>
                  </w14:solidFill>
                </w14:textFill>
              </w:rPr>
              <w:t>|</w:t>
            </w:r>
            <w:r w:rsidR="00A973A1" w:rsidRPr="00A973A1">
              <w:rPr>
                <w:rFonts w:hint="eastAsia"/>
                <w:color w:val="000000"/>
                <w:spacing w:val="-27"/>
                <w:w w:val="15"/>
                <w:shd w:val="solid" w:color="000000" w:fill="000000"/>
                <w:fitText w:val="38" w:id="-1435844090"/>
                <w14:textFill>
                  <w14:solidFill>
                    <w14:srgbClr w14:val="000000">
                      <w14:alpha w14:val="100000"/>
                    </w14:srgbClr>
                  </w14:solidFill>
                </w14:textFill>
              </w:rPr>
              <w:t xml:space="preserve">　</w:t>
            </w:r>
            <w:r w:rsidR="00B408A6">
              <w:rPr>
                <w:vertAlign w:val="superscript"/>
              </w:rPr>
              <w:t>1</w:t>
            </w:r>
            <w:r w:rsidR="00972457">
              <w:rPr>
                <w:vertAlign w:val="superscript"/>
              </w:rPr>
              <w:t>8</w:t>
            </w:r>
          </w:p>
        </w:tc>
        <w:tc>
          <w:tcPr>
            <w:tcW w:w="634" w:type="pct"/>
            <w:shd w:val="clear" w:color="auto" w:fill="auto"/>
            <w:vAlign w:val="center"/>
          </w:tcPr>
          <w:p w14:paraId="474FCA13" w14:textId="2742EAA9" w:rsidR="00D606DF" w:rsidRPr="00C856F6" w:rsidRDefault="00D606DF" w:rsidP="00BD693B">
            <w:pPr>
              <w:pStyle w:val="TableText"/>
              <w:jc w:val="center"/>
              <w:rPr>
                <w:vertAlign w:val="superscript"/>
              </w:rPr>
            </w:pPr>
            <w:r w:rsidRPr="00CF7D68">
              <w:t>$</w:t>
            </w:r>
            <w:r w:rsidR="00A973A1" w:rsidRPr="00A973A1">
              <w:rPr>
                <w:rFonts w:hint="eastAsia"/>
                <w:color w:val="000000"/>
                <w:w w:val="15"/>
                <w:shd w:val="solid" w:color="000000" w:fill="000000"/>
                <w:fitText w:val="38" w:id="-1435844089"/>
                <w14:textFill>
                  <w14:solidFill>
                    <w14:srgbClr w14:val="000000">
                      <w14:alpha w14:val="100000"/>
                    </w14:srgbClr>
                  </w14:solidFill>
                </w14:textFill>
              </w:rPr>
              <w:t xml:space="preserve">　</w:t>
            </w:r>
            <w:r w:rsidR="00A973A1" w:rsidRPr="00A973A1">
              <w:rPr>
                <w:color w:val="000000"/>
                <w:w w:val="15"/>
                <w:shd w:val="solid" w:color="000000" w:fill="000000"/>
                <w:fitText w:val="38" w:id="-1435844089"/>
                <w14:textFill>
                  <w14:solidFill>
                    <w14:srgbClr w14:val="000000">
                      <w14:alpha w14:val="100000"/>
                    </w14:srgbClr>
                  </w14:solidFill>
                </w14:textFill>
              </w:rPr>
              <w:t>|</w:t>
            </w:r>
            <w:r w:rsidR="00A973A1" w:rsidRPr="00A973A1">
              <w:rPr>
                <w:rFonts w:hint="eastAsia"/>
                <w:color w:val="000000"/>
                <w:spacing w:val="-27"/>
                <w:w w:val="15"/>
                <w:shd w:val="solid" w:color="000000" w:fill="000000"/>
                <w:fitText w:val="38" w:id="-1435844089"/>
                <w14:textFill>
                  <w14:solidFill>
                    <w14:srgbClr w14:val="000000">
                      <w14:alpha w14:val="100000"/>
                    </w14:srgbClr>
                  </w14:solidFill>
                </w14:textFill>
              </w:rPr>
              <w:t xml:space="preserve">　</w:t>
            </w:r>
            <w:r w:rsidR="00B408A6">
              <w:rPr>
                <w:vertAlign w:val="superscript"/>
              </w:rPr>
              <w:t>1</w:t>
            </w:r>
            <w:r w:rsidR="00972457">
              <w:rPr>
                <w:vertAlign w:val="superscript"/>
              </w:rPr>
              <w:t>9</w:t>
            </w:r>
          </w:p>
        </w:tc>
        <w:tc>
          <w:tcPr>
            <w:tcW w:w="634" w:type="pct"/>
            <w:shd w:val="clear" w:color="auto" w:fill="auto"/>
            <w:vAlign w:val="center"/>
          </w:tcPr>
          <w:p w14:paraId="5B080C59" w14:textId="4AFEB3B6" w:rsidR="00D606DF" w:rsidRPr="00C856F6" w:rsidRDefault="00D606DF" w:rsidP="00BD693B">
            <w:pPr>
              <w:pStyle w:val="TableText"/>
              <w:jc w:val="center"/>
              <w:rPr>
                <w:vertAlign w:val="superscript"/>
              </w:rPr>
            </w:pPr>
            <w:r w:rsidRPr="00CF7D68">
              <w:t>$</w:t>
            </w:r>
            <w:r w:rsidR="00A973A1" w:rsidRPr="00A973A1">
              <w:rPr>
                <w:rFonts w:hint="eastAsia"/>
                <w:color w:val="000000"/>
                <w:w w:val="15"/>
                <w:shd w:val="solid" w:color="000000" w:fill="000000"/>
                <w:fitText w:val="37" w:id="-1435844088"/>
                <w14:textFill>
                  <w14:solidFill>
                    <w14:srgbClr w14:val="000000">
                      <w14:alpha w14:val="100000"/>
                    </w14:srgbClr>
                  </w14:solidFill>
                </w14:textFill>
              </w:rPr>
              <w:t xml:space="preserve">　</w:t>
            </w:r>
            <w:r w:rsidR="00A973A1" w:rsidRPr="00A973A1">
              <w:rPr>
                <w:color w:val="000000"/>
                <w:w w:val="15"/>
                <w:shd w:val="solid" w:color="000000" w:fill="000000"/>
                <w:fitText w:val="37" w:id="-1435844088"/>
                <w14:textFill>
                  <w14:solidFill>
                    <w14:srgbClr w14:val="000000">
                      <w14:alpha w14:val="100000"/>
                    </w14:srgbClr>
                  </w14:solidFill>
                </w14:textFill>
              </w:rPr>
              <w:t>|</w:t>
            </w:r>
            <w:r w:rsidR="00A973A1" w:rsidRPr="00A973A1">
              <w:rPr>
                <w:rFonts w:hint="eastAsia"/>
                <w:color w:val="000000"/>
                <w:spacing w:val="-28"/>
                <w:w w:val="15"/>
                <w:shd w:val="solid" w:color="000000" w:fill="000000"/>
                <w:fitText w:val="37" w:id="-1435844088"/>
                <w14:textFill>
                  <w14:solidFill>
                    <w14:srgbClr w14:val="000000">
                      <w14:alpha w14:val="100000"/>
                    </w14:srgbClr>
                  </w14:solidFill>
                </w14:textFill>
              </w:rPr>
              <w:t xml:space="preserve">　</w:t>
            </w:r>
            <w:r w:rsidR="00972457">
              <w:rPr>
                <w:vertAlign w:val="superscript"/>
              </w:rPr>
              <w:t>20</w:t>
            </w:r>
          </w:p>
        </w:tc>
        <w:tc>
          <w:tcPr>
            <w:tcW w:w="634" w:type="pct"/>
            <w:shd w:val="clear" w:color="auto" w:fill="auto"/>
            <w:vAlign w:val="center"/>
          </w:tcPr>
          <w:p w14:paraId="5ECE9D2E" w14:textId="74AD102A" w:rsidR="00D606DF" w:rsidRPr="00C856F6" w:rsidRDefault="00D606DF" w:rsidP="00BD693B">
            <w:pPr>
              <w:pStyle w:val="TableText"/>
              <w:jc w:val="center"/>
              <w:rPr>
                <w:vertAlign w:val="superscript"/>
              </w:rPr>
            </w:pPr>
            <w:r w:rsidRPr="00CF7D68">
              <w:t>$</w:t>
            </w:r>
            <w:r w:rsidR="00A973A1" w:rsidRPr="00A973A1">
              <w:rPr>
                <w:rFonts w:hint="eastAsia"/>
                <w:color w:val="000000"/>
                <w:w w:val="15"/>
                <w:shd w:val="solid" w:color="000000" w:fill="000000"/>
                <w:fitText w:val="38" w:id="-1435844087"/>
                <w14:textFill>
                  <w14:solidFill>
                    <w14:srgbClr w14:val="000000">
                      <w14:alpha w14:val="100000"/>
                    </w14:srgbClr>
                  </w14:solidFill>
                </w14:textFill>
              </w:rPr>
              <w:t xml:space="preserve">　</w:t>
            </w:r>
            <w:r w:rsidR="00A973A1" w:rsidRPr="00A973A1">
              <w:rPr>
                <w:color w:val="000000"/>
                <w:w w:val="15"/>
                <w:shd w:val="solid" w:color="000000" w:fill="000000"/>
                <w:fitText w:val="38" w:id="-1435844087"/>
                <w14:textFill>
                  <w14:solidFill>
                    <w14:srgbClr w14:val="000000">
                      <w14:alpha w14:val="100000"/>
                    </w14:srgbClr>
                  </w14:solidFill>
                </w14:textFill>
              </w:rPr>
              <w:t>|</w:t>
            </w:r>
            <w:r w:rsidR="00A973A1" w:rsidRPr="00A973A1">
              <w:rPr>
                <w:rFonts w:hint="eastAsia"/>
                <w:color w:val="000000"/>
                <w:spacing w:val="-27"/>
                <w:w w:val="15"/>
                <w:shd w:val="solid" w:color="000000" w:fill="000000"/>
                <w:fitText w:val="38" w:id="-1435844087"/>
                <w14:textFill>
                  <w14:solidFill>
                    <w14:srgbClr w14:val="000000">
                      <w14:alpha w14:val="100000"/>
                    </w14:srgbClr>
                  </w14:solidFill>
                </w14:textFill>
              </w:rPr>
              <w:t xml:space="preserve">　</w:t>
            </w:r>
            <w:r w:rsidR="00B408A6">
              <w:rPr>
                <w:vertAlign w:val="superscript"/>
              </w:rPr>
              <w:t>2</w:t>
            </w:r>
            <w:r w:rsidR="00972457">
              <w:rPr>
                <w:vertAlign w:val="superscript"/>
              </w:rPr>
              <w:t>1</w:t>
            </w:r>
          </w:p>
        </w:tc>
        <w:tc>
          <w:tcPr>
            <w:tcW w:w="634" w:type="pct"/>
            <w:shd w:val="clear" w:color="auto" w:fill="auto"/>
            <w:vAlign w:val="center"/>
          </w:tcPr>
          <w:p w14:paraId="3770C84D" w14:textId="22153013" w:rsidR="00D606DF" w:rsidRPr="00C856F6" w:rsidRDefault="00D606DF" w:rsidP="00BD693B">
            <w:pPr>
              <w:pStyle w:val="TableText"/>
              <w:jc w:val="center"/>
              <w:rPr>
                <w:vertAlign w:val="superscript"/>
              </w:rPr>
            </w:pPr>
            <w:r w:rsidRPr="00CF7D68">
              <w:t>$</w:t>
            </w:r>
            <w:r w:rsidR="00A973A1" w:rsidRPr="00A973A1">
              <w:rPr>
                <w:rFonts w:hint="eastAsia"/>
                <w:color w:val="000000"/>
                <w:w w:val="15"/>
                <w:shd w:val="solid" w:color="000000" w:fill="000000"/>
                <w:fitText w:val="38" w:id="-1435844086"/>
                <w14:textFill>
                  <w14:solidFill>
                    <w14:srgbClr w14:val="000000">
                      <w14:alpha w14:val="100000"/>
                    </w14:srgbClr>
                  </w14:solidFill>
                </w14:textFill>
              </w:rPr>
              <w:t xml:space="preserve">　</w:t>
            </w:r>
            <w:r w:rsidR="00A973A1" w:rsidRPr="00A973A1">
              <w:rPr>
                <w:color w:val="000000"/>
                <w:w w:val="15"/>
                <w:shd w:val="solid" w:color="000000" w:fill="000000"/>
                <w:fitText w:val="38" w:id="-1435844086"/>
                <w14:textFill>
                  <w14:solidFill>
                    <w14:srgbClr w14:val="000000">
                      <w14:alpha w14:val="100000"/>
                    </w14:srgbClr>
                  </w14:solidFill>
                </w14:textFill>
              </w:rPr>
              <w:t>|</w:t>
            </w:r>
            <w:r w:rsidR="00A973A1" w:rsidRPr="00A973A1">
              <w:rPr>
                <w:rFonts w:hint="eastAsia"/>
                <w:color w:val="000000"/>
                <w:spacing w:val="-27"/>
                <w:w w:val="15"/>
                <w:shd w:val="solid" w:color="000000" w:fill="000000"/>
                <w:fitText w:val="38" w:id="-1435844086"/>
                <w14:textFill>
                  <w14:solidFill>
                    <w14:srgbClr w14:val="000000">
                      <w14:alpha w14:val="100000"/>
                    </w14:srgbClr>
                  </w14:solidFill>
                </w14:textFill>
              </w:rPr>
              <w:t xml:space="preserve">　</w:t>
            </w:r>
            <w:r w:rsidR="00B408A6">
              <w:rPr>
                <w:vertAlign w:val="superscript"/>
              </w:rPr>
              <w:t>2</w:t>
            </w:r>
            <w:r w:rsidR="00972457">
              <w:rPr>
                <w:vertAlign w:val="superscript"/>
              </w:rPr>
              <w:t>2</w:t>
            </w:r>
          </w:p>
        </w:tc>
        <w:tc>
          <w:tcPr>
            <w:tcW w:w="634" w:type="pct"/>
            <w:shd w:val="clear" w:color="auto" w:fill="auto"/>
            <w:vAlign w:val="center"/>
          </w:tcPr>
          <w:p w14:paraId="7CC0FC99" w14:textId="08518BA4" w:rsidR="00D606DF" w:rsidRPr="00C856F6" w:rsidRDefault="00D606DF" w:rsidP="00BD693B">
            <w:pPr>
              <w:pStyle w:val="TableText"/>
              <w:jc w:val="center"/>
              <w:rPr>
                <w:vertAlign w:val="superscript"/>
              </w:rPr>
            </w:pPr>
            <w:r w:rsidRPr="00CF7D68">
              <w:t>$</w:t>
            </w:r>
            <w:r w:rsidR="00A973A1" w:rsidRPr="00A973A1">
              <w:rPr>
                <w:rFonts w:hint="eastAsia"/>
                <w:color w:val="000000"/>
                <w:w w:val="15"/>
                <w:shd w:val="solid" w:color="000000" w:fill="000000"/>
                <w:fitText w:val="37" w:id="-1435844085"/>
                <w14:textFill>
                  <w14:solidFill>
                    <w14:srgbClr w14:val="000000">
                      <w14:alpha w14:val="100000"/>
                    </w14:srgbClr>
                  </w14:solidFill>
                </w14:textFill>
              </w:rPr>
              <w:t xml:space="preserve">　</w:t>
            </w:r>
            <w:r w:rsidR="00A973A1" w:rsidRPr="00A973A1">
              <w:rPr>
                <w:color w:val="000000"/>
                <w:w w:val="15"/>
                <w:shd w:val="solid" w:color="000000" w:fill="000000"/>
                <w:fitText w:val="37" w:id="-1435844085"/>
                <w14:textFill>
                  <w14:solidFill>
                    <w14:srgbClr w14:val="000000">
                      <w14:alpha w14:val="100000"/>
                    </w14:srgbClr>
                  </w14:solidFill>
                </w14:textFill>
              </w:rPr>
              <w:t>|</w:t>
            </w:r>
            <w:r w:rsidR="00A973A1" w:rsidRPr="00A973A1">
              <w:rPr>
                <w:rFonts w:hint="eastAsia"/>
                <w:color w:val="000000"/>
                <w:spacing w:val="-28"/>
                <w:w w:val="15"/>
                <w:shd w:val="solid" w:color="000000" w:fill="000000"/>
                <w:fitText w:val="37" w:id="-1435844085"/>
                <w14:textFill>
                  <w14:solidFill>
                    <w14:srgbClr w14:val="000000">
                      <w14:alpha w14:val="100000"/>
                    </w14:srgbClr>
                  </w14:solidFill>
                </w14:textFill>
              </w:rPr>
              <w:t xml:space="preserve">　</w:t>
            </w:r>
            <w:r w:rsidR="00B408A6">
              <w:rPr>
                <w:vertAlign w:val="superscript"/>
              </w:rPr>
              <w:t>2</w:t>
            </w:r>
            <w:r w:rsidR="00972457">
              <w:rPr>
                <w:vertAlign w:val="superscript"/>
              </w:rPr>
              <w:t>3</w:t>
            </w:r>
          </w:p>
        </w:tc>
      </w:tr>
      <w:tr w:rsidR="00DE487C" w:rsidRPr="00CF7D68" w14:paraId="47B9F906" w14:textId="77777777" w:rsidTr="00C856F6">
        <w:tc>
          <w:tcPr>
            <w:tcW w:w="1197" w:type="pct"/>
            <w:shd w:val="clear" w:color="auto" w:fill="auto"/>
            <w:vAlign w:val="center"/>
          </w:tcPr>
          <w:p w14:paraId="3D796B75" w14:textId="777A68F7" w:rsidR="00D606DF" w:rsidRPr="00CF7D68" w:rsidRDefault="00D606DF" w:rsidP="00BD693B">
            <w:pPr>
              <w:pStyle w:val="TableText"/>
              <w:rPr>
                <w:vertAlign w:val="superscript"/>
              </w:rPr>
            </w:pPr>
            <w:r w:rsidRPr="00CF7D68">
              <w:t xml:space="preserve">Patient </w:t>
            </w:r>
            <w:proofErr w:type="spellStart"/>
            <w:r w:rsidRPr="00CF7D68">
              <w:t>copay</w:t>
            </w:r>
            <w:r w:rsidR="003C5BD4" w:rsidRPr="00CF7D68">
              <w:t>ment</w:t>
            </w:r>
            <w:proofErr w:type="spellEnd"/>
            <w:r w:rsidRPr="00CF7D68">
              <w:t xml:space="preserve"> </w:t>
            </w:r>
            <w:r w:rsidR="00B7138A" w:rsidRPr="00CF7D68">
              <w:rPr>
                <w:vertAlign w:val="superscript"/>
              </w:rPr>
              <w:t>b</w:t>
            </w:r>
          </w:p>
        </w:tc>
        <w:tc>
          <w:tcPr>
            <w:tcW w:w="633" w:type="pct"/>
            <w:shd w:val="clear" w:color="auto" w:fill="auto"/>
          </w:tcPr>
          <w:p w14:paraId="761C3D5E" w14:textId="4D80D4B1" w:rsidR="00D606DF" w:rsidRPr="00C856F6" w:rsidRDefault="00D606DF" w:rsidP="00BD693B">
            <w:pPr>
              <w:pStyle w:val="TableText"/>
              <w:jc w:val="center"/>
              <w:rPr>
                <w:iCs/>
                <w:vertAlign w:val="superscript"/>
              </w:rPr>
            </w:pPr>
            <w:r w:rsidRPr="00CF7D68">
              <w:rPr>
                <w:iCs/>
              </w:rPr>
              <w:t>-$</w:t>
            </w:r>
            <w:r w:rsidR="00A973A1" w:rsidRPr="00A973A1">
              <w:rPr>
                <w:rFonts w:hint="eastAsia"/>
                <w:iCs/>
                <w:color w:val="000000"/>
                <w:w w:val="15"/>
                <w:shd w:val="solid" w:color="000000" w:fill="000000"/>
                <w:fitText w:val="63" w:id="-1435844084"/>
                <w14:textFill>
                  <w14:solidFill>
                    <w14:srgbClr w14:val="000000">
                      <w14:alpha w14:val="100000"/>
                    </w14:srgbClr>
                  </w14:solidFill>
                </w14:textFill>
              </w:rPr>
              <w:t xml:space="preserve">　</w:t>
            </w:r>
            <w:r w:rsidR="00A973A1" w:rsidRPr="00A973A1">
              <w:rPr>
                <w:iCs/>
                <w:color w:val="000000"/>
                <w:w w:val="15"/>
                <w:shd w:val="solid" w:color="000000" w:fill="000000"/>
                <w:fitText w:val="63" w:id="-1435844084"/>
                <w14:textFill>
                  <w14:solidFill>
                    <w14:srgbClr w14:val="000000">
                      <w14:alpha w14:val="100000"/>
                    </w14:srgbClr>
                  </w14:solidFill>
                </w14:textFill>
              </w:rPr>
              <w:t>|</w:t>
            </w:r>
            <w:r w:rsidR="00A973A1" w:rsidRPr="00A973A1">
              <w:rPr>
                <w:rFonts w:hint="eastAsia"/>
                <w:iCs/>
                <w:color w:val="000000"/>
                <w:spacing w:val="-2"/>
                <w:w w:val="15"/>
                <w:shd w:val="solid" w:color="000000" w:fill="000000"/>
                <w:fitText w:val="63" w:id="-1435844084"/>
                <w14:textFill>
                  <w14:solidFill>
                    <w14:srgbClr w14:val="000000">
                      <w14:alpha w14:val="100000"/>
                    </w14:srgbClr>
                  </w14:solidFill>
                </w14:textFill>
              </w:rPr>
              <w:t xml:space="preserve">　</w:t>
            </w:r>
            <w:r w:rsidR="00B408A6">
              <w:rPr>
                <w:iCs/>
                <w:vertAlign w:val="superscript"/>
              </w:rPr>
              <w:t>2</w:t>
            </w:r>
            <w:r w:rsidR="00972457">
              <w:rPr>
                <w:iCs/>
                <w:vertAlign w:val="superscript"/>
              </w:rPr>
              <w:t>4</w:t>
            </w:r>
          </w:p>
        </w:tc>
        <w:tc>
          <w:tcPr>
            <w:tcW w:w="634" w:type="pct"/>
            <w:shd w:val="clear" w:color="auto" w:fill="auto"/>
          </w:tcPr>
          <w:p w14:paraId="346B457F" w14:textId="1548C722" w:rsidR="00D606DF" w:rsidRPr="00C856F6" w:rsidRDefault="00D606DF" w:rsidP="00BD693B">
            <w:pPr>
              <w:pStyle w:val="TableText"/>
              <w:jc w:val="center"/>
              <w:rPr>
                <w:iCs/>
                <w:vertAlign w:val="superscript"/>
              </w:rPr>
            </w:pPr>
            <w:r w:rsidRPr="00CF7D68">
              <w:rPr>
                <w:iCs/>
              </w:rPr>
              <w:t>-$</w:t>
            </w:r>
            <w:r w:rsidR="00A973A1" w:rsidRPr="00A973A1">
              <w:rPr>
                <w:rFonts w:hint="eastAsia"/>
                <w:iCs/>
                <w:color w:val="000000"/>
                <w:w w:val="15"/>
                <w:shd w:val="solid" w:color="000000" w:fill="000000"/>
                <w:fitText w:val="63" w:id="-1435844083"/>
                <w14:textFill>
                  <w14:solidFill>
                    <w14:srgbClr w14:val="000000">
                      <w14:alpha w14:val="100000"/>
                    </w14:srgbClr>
                  </w14:solidFill>
                </w14:textFill>
              </w:rPr>
              <w:t xml:space="preserve">　</w:t>
            </w:r>
            <w:r w:rsidR="00A973A1" w:rsidRPr="00A973A1">
              <w:rPr>
                <w:iCs/>
                <w:color w:val="000000"/>
                <w:w w:val="15"/>
                <w:shd w:val="solid" w:color="000000" w:fill="000000"/>
                <w:fitText w:val="63" w:id="-1435844083"/>
                <w14:textFill>
                  <w14:solidFill>
                    <w14:srgbClr w14:val="000000">
                      <w14:alpha w14:val="100000"/>
                    </w14:srgbClr>
                  </w14:solidFill>
                </w14:textFill>
              </w:rPr>
              <w:t>|</w:t>
            </w:r>
            <w:r w:rsidR="00A973A1" w:rsidRPr="00A973A1">
              <w:rPr>
                <w:rFonts w:hint="eastAsia"/>
                <w:iCs/>
                <w:color w:val="000000"/>
                <w:spacing w:val="-2"/>
                <w:w w:val="15"/>
                <w:shd w:val="solid" w:color="000000" w:fill="000000"/>
                <w:fitText w:val="63" w:id="-1435844083"/>
                <w14:textFill>
                  <w14:solidFill>
                    <w14:srgbClr w14:val="000000">
                      <w14:alpha w14:val="100000"/>
                    </w14:srgbClr>
                  </w14:solidFill>
                </w14:textFill>
              </w:rPr>
              <w:t xml:space="preserve">　</w:t>
            </w:r>
            <w:r w:rsidR="00B408A6">
              <w:rPr>
                <w:iCs/>
                <w:vertAlign w:val="superscript"/>
              </w:rPr>
              <w:t>2</w:t>
            </w:r>
            <w:r w:rsidR="00972457">
              <w:rPr>
                <w:iCs/>
                <w:vertAlign w:val="superscript"/>
              </w:rPr>
              <w:t>4</w:t>
            </w:r>
          </w:p>
        </w:tc>
        <w:tc>
          <w:tcPr>
            <w:tcW w:w="634" w:type="pct"/>
            <w:shd w:val="clear" w:color="auto" w:fill="auto"/>
          </w:tcPr>
          <w:p w14:paraId="1255E6D7" w14:textId="1836D852" w:rsidR="00D606DF" w:rsidRPr="00C856F6" w:rsidRDefault="00D606DF" w:rsidP="00BD693B">
            <w:pPr>
              <w:pStyle w:val="TableText"/>
              <w:jc w:val="center"/>
              <w:rPr>
                <w:iCs/>
                <w:vertAlign w:val="superscript"/>
              </w:rPr>
            </w:pPr>
            <w:r w:rsidRPr="00CF7D68">
              <w:rPr>
                <w:iCs/>
              </w:rPr>
              <w:t>-$</w:t>
            </w:r>
            <w:r w:rsidR="00A973A1" w:rsidRPr="00A973A1">
              <w:rPr>
                <w:rFonts w:hint="eastAsia"/>
                <w:iCs/>
                <w:color w:val="000000"/>
                <w:w w:val="15"/>
                <w:shd w:val="solid" w:color="000000" w:fill="000000"/>
                <w:fitText w:val="62" w:id="-1435844082"/>
                <w14:textFill>
                  <w14:solidFill>
                    <w14:srgbClr w14:val="000000">
                      <w14:alpha w14:val="100000"/>
                    </w14:srgbClr>
                  </w14:solidFill>
                </w14:textFill>
              </w:rPr>
              <w:t xml:space="preserve">　</w:t>
            </w:r>
            <w:r w:rsidR="00A973A1" w:rsidRPr="00A973A1">
              <w:rPr>
                <w:iCs/>
                <w:color w:val="000000"/>
                <w:w w:val="15"/>
                <w:shd w:val="solid" w:color="000000" w:fill="000000"/>
                <w:fitText w:val="62" w:id="-1435844082"/>
                <w14:textFill>
                  <w14:solidFill>
                    <w14:srgbClr w14:val="000000">
                      <w14:alpha w14:val="100000"/>
                    </w14:srgbClr>
                  </w14:solidFill>
                </w14:textFill>
              </w:rPr>
              <w:t>|</w:t>
            </w:r>
            <w:r w:rsidR="00A973A1" w:rsidRPr="00A973A1">
              <w:rPr>
                <w:rFonts w:hint="eastAsia"/>
                <w:iCs/>
                <w:color w:val="000000"/>
                <w:spacing w:val="-3"/>
                <w:w w:val="15"/>
                <w:shd w:val="solid" w:color="000000" w:fill="000000"/>
                <w:fitText w:val="62" w:id="-1435844082"/>
                <w14:textFill>
                  <w14:solidFill>
                    <w14:srgbClr w14:val="000000">
                      <w14:alpha w14:val="100000"/>
                    </w14:srgbClr>
                  </w14:solidFill>
                </w14:textFill>
              </w:rPr>
              <w:t xml:space="preserve">　</w:t>
            </w:r>
            <w:r w:rsidR="00972457">
              <w:rPr>
                <w:iCs/>
                <w:vertAlign w:val="superscript"/>
              </w:rPr>
              <w:t>24</w:t>
            </w:r>
          </w:p>
        </w:tc>
        <w:tc>
          <w:tcPr>
            <w:tcW w:w="634" w:type="pct"/>
            <w:shd w:val="clear" w:color="auto" w:fill="auto"/>
          </w:tcPr>
          <w:p w14:paraId="04858772" w14:textId="3117C03C" w:rsidR="00D606DF" w:rsidRPr="00C856F6" w:rsidRDefault="00D606DF" w:rsidP="00BD693B">
            <w:pPr>
              <w:pStyle w:val="TableText"/>
              <w:jc w:val="center"/>
              <w:rPr>
                <w:iCs/>
                <w:vertAlign w:val="superscript"/>
              </w:rPr>
            </w:pPr>
            <w:r w:rsidRPr="00CF7D68">
              <w:rPr>
                <w:iCs/>
              </w:rPr>
              <w:t>-$</w:t>
            </w:r>
            <w:r w:rsidR="00A973A1" w:rsidRPr="00A973A1">
              <w:rPr>
                <w:rFonts w:hint="eastAsia"/>
                <w:iCs/>
                <w:color w:val="000000"/>
                <w:w w:val="15"/>
                <w:shd w:val="solid" w:color="000000" w:fill="000000"/>
                <w:fitText w:val="63" w:id="-1435844081"/>
                <w14:textFill>
                  <w14:solidFill>
                    <w14:srgbClr w14:val="000000">
                      <w14:alpha w14:val="100000"/>
                    </w14:srgbClr>
                  </w14:solidFill>
                </w14:textFill>
              </w:rPr>
              <w:t xml:space="preserve">　</w:t>
            </w:r>
            <w:r w:rsidR="00A973A1" w:rsidRPr="00A973A1">
              <w:rPr>
                <w:iCs/>
                <w:color w:val="000000"/>
                <w:w w:val="15"/>
                <w:shd w:val="solid" w:color="000000" w:fill="000000"/>
                <w:fitText w:val="63" w:id="-1435844081"/>
                <w14:textFill>
                  <w14:solidFill>
                    <w14:srgbClr w14:val="000000">
                      <w14:alpha w14:val="100000"/>
                    </w14:srgbClr>
                  </w14:solidFill>
                </w14:textFill>
              </w:rPr>
              <w:t>|</w:t>
            </w:r>
            <w:r w:rsidR="00A973A1" w:rsidRPr="00A973A1">
              <w:rPr>
                <w:rFonts w:hint="eastAsia"/>
                <w:iCs/>
                <w:color w:val="000000"/>
                <w:spacing w:val="-2"/>
                <w:w w:val="15"/>
                <w:shd w:val="solid" w:color="000000" w:fill="000000"/>
                <w:fitText w:val="63" w:id="-1435844081"/>
                <w14:textFill>
                  <w14:solidFill>
                    <w14:srgbClr w14:val="000000">
                      <w14:alpha w14:val="100000"/>
                    </w14:srgbClr>
                  </w14:solidFill>
                </w14:textFill>
              </w:rPr>
              <w:t xml:space="preserve">　</w:t>
            </w:r>
            <w:r w:rsidR="00B408A6">
              <w:rPr>
                <w:iCs/>
                <w:vertAlign w:val="superscript"/>
              </w:rPr>
              <w:t>2</w:t>
            </w:r>
            <w:r w:rsidR="00972457">
              <w:rPr>
                <w:iCs/>
                <w:vertAlign w:val="superscript"/>
              </w:rPr>
              <w:t>5</w:t>
            </w:r>
          </w:p>
        </w:tc>
        <w:tc>
          <w:tcPr>
            <w:tcW w:w="634" w:type="pct"/>
            <w:shd w:val="clear" w:color="auto" w:fill="auto"/>
          </w:tcPr>
          <w:p w14:paraId="11A9E2E1" w14:textId="7F4DF517" w:rsidR="00D606DF" w:rsidRPr="00C856F6" w:rsidRDefault="00D606DF" w:rsidP="00C856F6">
            <w:pPr>
              <w:pStyle w:val="TableText"/>
              <w:rPr>
                <w:iCs/>
                <w:vertAlign w:val="superscript"/>
              </w:rPr>
            </w:pPr>
            <w:r w:rsidRPr="00CF7D68">
              <w:rPr>
                <w:iCs/>
              </w:rPr>
              <w:t>-$</w:t>
            </w:r>
            <w:r w:rsidR="00A973A1" w:rsidRPr="00A973A1">
              <w:rPr>
                <w:iCs/>
                <w:color w:val="000000"/>
                <w:spacing w:val="55"/>
                <w:shd w:val="solid" w:color="000000" w:fill="000000"/>
                <w:fitText w:val="338" w:id="-1435844080"/>
                <w14:textFill>
                  <w14:solidFill>
                    <w14:srgbClr w14:val="000000">
                      <w14:alpha w14:val="100000"/>
                    </w14:srgbClr>
                  </w14:solidFill>
                </w14:textFill>
              </w:rPr>
              <w:t>|||</w:t>
            </w:r>
            <w:r w:rsidR="00A973A1" w:rsidRPr="00A973A1">
              <w:rPr>
                <w:iCs/>
                <w:color w:val="000000"/>
                <w:spacing w:val="3"/>
                <w:shd w:val="solid" w:color="000000" w:fill="000000"/>
                <w:fitText w:val="338" w:id="-1435844080"/>
                <w14:textFill>
                  <w14:solidFill>
                    <w14:srgbClr w14:val="000000">
                      <w14:alpha w14:val="100000"/>
                    </w14:srgbClr>
                  </w14:solidFill>
                </w14:textFill>
              </w:rPr>
              <w:t>|</w:t>
            </w:r>
            <w:r w:rsidR="00B408A6">
              <w:rPr>
                <w:iCs/>
                <w:vertAlign w:val="superscript"/>
              </w:rPr>
              <w:t>2</w:t>
            </w:r>
            <w:r w:rsidR="00972457">
              <w:rPr>
                <w:iCs/>
                <w:vertAlign w:val="superscript"/>
              </w:rPr>
              <w:t>5</w:t>
            </w:r>
          </w:p>
        </w:tc>
        <w:tc>
          <w:tcPr>
            <w:tcW w:w="634" w:type="pct"/>
            <w:shd w:val="clear" w:color="auto" w:fill="auto"/>
          </w:tcPr>
          <w:p w14:paraId="3D7189A3" w14:textId="29A6AFE3" w:rsidR="00D606DF" w:rsidRPr="00C856F6" w:rsidRDefault="00D606DF" w:rsidP="00BD693B">
            <w:pPr>
              <w:pStyle w:val="TableText"/>
              <w:jc w:val="center"/>
              <w:rPr>
                <w:iCs/>
                <w:vertAlign w:val="superscript"/>
              </w:rPr>
            </w:pPr>
            <w:r w:rsidRPr="00CF7D68">
              <w:rPr>
                <w:iCs/>
              </w:rPr>
              <w:t>-$</w:t>
            </w:r>
            <w:r w:rsidR="00A973A1" w:rsidRPr="00A973A1">
              <w:rPr>
                <w:rFonts w:hint="eastAsia"/>
                <w:iCs/>
                <w:color w:val="000000"/>
                <w:w w:val="15"/>
                <w:shd w:val="solid" w:color="000000" w:fill="000000"/>
                <w:fitText w:val="62" w:id="-1435844096"/>
                <w14:textFill>
                  <w14:solidFill>
                    <w14:srgbClr w14:val="000000">
                      <w14:alpha w14:val="100000"/>
                    </w14:srgbClr>
                  </w14:solidFill>
                </w14:textFill>
              </w:rPr>
              <w:t xml:space="preserve">　</w:t>
            </w:r>
            <w:r w:rsidR="00A973A1" w:rsidRPr="00A973A1">
              <w:rPr>
                <w:iCs/>
                <w:color w:val="000000"/>
                <w:w w:val="15"/>
                <w:shd w:val="solid" w:color="000000" w:fill="000000"/>
                <w:fitText w:val="62" w:id="-1435844096"/>
                <w14:textFill>
                  <w14:solidFill>
                    <w14:srgbClr w14:val="000000">
                      <w14:alpha w14:val="100000"/>
                    </w14:srgbClr>
                  </w14:solidFill>
                </w14:textFill>
              </w:rPr>
              <w:t>|</w:t>
            </w:r>
            <w:r w:rsidR="00A973A1" w:rsidRPr="00A973A1">
              <w:rPr>
                <w:rFonts w:hint="eastAsia"/>
                <w:iCs/>
                <w:color w:val="000000"/>
                <w:spacing w:val="-3"/>
                <w:w w:val="15"/>
                <w:shd w:val="solid" w:color="000000" w:fill="000000"/>
                <w:fitText w:val="62" w:id="-1435844096"/>
                <w14:textFill>
                  <w14:solidFill>
                    <w14:srgbClr w14:val="000000">
                      <w14:alpha w14:val="100000"/>
                    </w14:srgbClr>
                  </w14:solidFill>
                </w14:textFill>
              </w:rPr>
              <w:t xml:space="preserve">　</w:t>
            </w:r>
            <w:r w:rsidR="00DE487C">
              <w:rPr>
                <w:iCs/>
                <w:vertAlign w:val="superscript"/>
              </w:rPr>
              <w:t>2</w:t>
            </w:r>
            <w:r w:rsidR="00972457">
              <w:rPr>
                <w:iCs/>
                <w:vertAlign w:val="superscript"/>
              </w:rPr>
              <w:t>5</w:t>
            </w:r>
          </w:p>
        </w:tc>
      </w:tr>
      <w:tr w:rsidR="00DE487C" w:rsidRPr="00CF7D68" w14:paraId="3AEA2895" w14:textId="77777777" w:rsidTr="00C856F6">
        <w:tc>
          <w:tcPr>
            <w:tcW w:w="1197" w:type="pct"/>
            <w:shd w:val="clear" w:color="auto" w:fill="auto"/>
            <w:vAlign w:val="center"/>
          </w:tcPr>
          <w:p w14:paraId="4493279B" w14:textId="2C2D7E8B" w:rsidR="00D606DF" w:rsidRPr="00CF7D68" w:rsidRDefault="00D606DF" w:rsidP="00BD693B">
            <w:pPr>
              <w:pStyle w:val="TableText"/>
              <w:rPr>
                <w:bCs w:val="0"/>
                <w:vertAlign w:val="superscript"/>
              </w:rPr>
            </w:pPr>
            <w:r w:rsidRPr="00CF7D68">
              <w:rPr>
                <w:bCs w:val="0"/>
              </w:rPr>
              <w:t>Net cost to PBS/RPBS</w:t>
            </w:r>
            <w:r w:rsidR="00B7138A" w:rsidRPr="00CF7D68">
              <w:rPr>
                <w:bCs w:val="0"/>
              </w:rPr>
              <w:t xml:space="preserve"> </w:t>
            </w:r>
            <w:r w:rsidR="00B7138A" w:rsidRPr="00CF7D68">
              <w:rPr>
                <w:bCs w:val="0"/>
                <w:vertAlign w:val="superscript"/>
              </w:rPr>
              <w:t>b</w:t>
            </w:r>
          </w:p>
        </w:tc>
        <w:tc>
          <w:tcPr>
            <w:tcW w:w="633" w:type="pct"/>
            <w:shd w:val="clear" w:color="auto" w:fill="auto"/>
          </w:tcPr>
          <w:p w14:paraId="5C6349A3" w14:textId="57DB0EA2" w:rsidR="00D606DF" w:rsidRPr="00C856F6" w:rsidRDefault="00D606DF" w:rsidP="00BD693B">
            <w:pPr>
              <w:pStyle w:val="TableText"/>
              <w:jc w:val="center"/>
              <w:rPr>
                <w:bCs w:val="0"/>
                <w:iCs/>
                <w:vertAlign w:val="superscript"/>
              </w:rPr>
            </w:pPr>
            <w:r w:rsidRPr="00CF7D68">
              <w:rPr>
                <w:bCs w:val="0"/>
                <w:iCs/>
              </w:rPr>
              <w:t>$</w:t>
            </w:r>
            <w:r w:rsidR="00A973A1" w:rsidRPr="00A973A1">
              <w:rPr>
                <w:rFonts w:hint="eastAsia"/>
                <w:bCs w:val="0"/>
                <w:iCs/>
                <w:color w:val="000000"/>
                <w:w w:val="15"/>
                <w:shd w:val="solid" w:color="000000" w:fill="000000"/>
                <w:fitText w:val="38" w:id="-1435844095"/>
                <w14:textFill>
                  <w14:solidFill>
                    <w14:srgbClr w14:val="000000">
                      <w14:alpha w14:val="100000"/>
                    </w14:srgbClr>
                  </w14:solidFill>
                </w14:textFill>
              </w:rPr>
              <w:t xml:space="preserve">　</w:t>
            </w:r>
            <w:r w:rsidR="00A973A1" w:rsidRPr="00A973A1">
              <w:rPr>
                <w:bCs w:val="0"/>
                <w:iCs/>
                <w:color w:val="000000"/>
                <w:w w:val="15"/>
                <w:shd w:val="solid" w:color="000000" w:fill="000000"/>
                <w:fitText w:val="38" w:id="-1435844095"/>
                <w14:textFill>
                  <w14:solidFill>
                    <w14:srgbClr w14:val="000000">
                      <w14:alpha w14:val="100000"/>
                    </w14:srgbClr>
                  </w14:solidFill>
                </w14:textFill>
              </w:rPr>
              <w:t>|</w:t>
            </w:r>
            <w:r w:rsidR="00A973A1" w:rsidRPr="00A973A1">
              <w:rPr>
                <w:rFonts w:hint="eastAsia"/>
                <w:bCs w:val="0"/>
                <w:iCs/>
                <w:color w:val="000000"/>
                <w:spacing w:val="-27"/>
                <w:w w:val="15"/>
                <w:shd w:val="solid" w:color="000000" w:fill="000000"/>
                <w:fitText w:val="38" w:id="-1435844095"/>
                <w14:textFill>
                  <w14:solidFill>
                    <w14:srgbClr w14:val="000000">
                      <w14:alpha w14:val="100000"/>
                    </w14:srgbClr>
                  </w14:solidFill>
                </w14:textFill>
              </w:rPr>
              <w:t xml:space="preserve">　</w:t>
            </w:r>
            <w:r w:rsidR="00DE487C">
              <w:rPr>
                <w:bCs w:val="0"/>
                <w:iCs/>
                <w:vertAlign w:val="superscript"/>
              </w:rPr>
              <w:t>18</w:t>
            </w:r>
          </w:p>
        </w:tc>
        <w:tc>
          <w:tcPr>
            <w:tcW w:w="634" w:type="pct"/>
            <w:shd w:val="clear" w:color="auto" w:fill="auto"/>
          </w:tcPr>
          <w:p w14:paraId="680CD45E" w14:textId="14B6146E" w:rsidR="00D606DF" w:rsidRPr="00C856F6" w:rsidRDefault="00D606DF" w:rsidP="00BD693B">
            <w:pPr>
              <w:pStyle w:val="TableText"/>
              <w:jc w:val="center"/>
              <w:rPr>
                <w:bCs w:val="0"/>
                <w:iCs/>
                <w:vertAlign w:val="superscript"/>
              </w:rPr>
            </w:pPr>
            <w:r w:rsidRPr="00CF7D68">
              <w:rPr>
                <w:bCs w:val="0"/>
                <w:iCs/>
              </w:rPr>
              <w:t>$</w:t>
            </w:r>
            <w:r w:rsidR="00A973A1" w:rsidRPr="00A973A1">
              <w:rPr>
                <w:rFonts w:hint="eastAsia"/>
                <w:bCs w:val="0"/>
                <w:iCs/>
                <w:color w:val="000000"/>
                <w:w w:val="15"/>
                <w:shd w:val="solid" w:color="000000" w:fill="000000"/>
                <w:fitText w:val="38" w:id="-1435844094"/>
                <w14:textFill>
                  <w14:solidFill>
                    <w14:srgbClr w14:val="000000">
                      <w14:alpha w14:val="100000"/>
                    </w14:srgbClr>
                  </w14:solidFill>
                </w14:textFill>
              </w:rPr>
              <w:t xml:space="preserve">　</w:t>
            </w:r>
            <w:r w:rsidR="00A973A1" w:rsidRPr="00A973A1">
              <w:rPr>
                <w:bCs w:val="0"/>
                <w:iCs/>
                <w:color w:val="000000"/>
                <w:w w:val="15"/>
                <w:shd w:val="solid" w:color="000000" w:fill="000000"/>
                <w:fitText w:val="38" w:id="-1435844094"/>
                <w14:textFill>
                  <w14:solidFill>
                    <w14:srgbClr w14:val="000000">
                      <w14:alpha w14:val="100000"/>
                    </w14:srgbClr>
                  </w14:solidFill>
                </w14:textFill>
              </w:rPr>
              <w:t>|</w:t>
            </w:r>
            <w:r w:rsidR="00A973A1" w:rsidRPr="00A973A1">
              <w:rPr>
                <w:rFonts w:hint="eastAsia"/>
                <w:bCs w:val="0"/>
                <w:iCs/>
                <w:color w:val="000000"/>
                <w:spacing w:val="-27"/>
                <w:w w:val="15"/>
                <w:shd w:val="solid" w:color="000000" w:fill="000000"/>
                <w:fitText w:val="38" w:id="-1435844094"/>
                <w14:textFill>
                  <w14:solidFill>
                    <w14:srgbClr w14:val="000000">
                      <w14:alpha w14:val="100000"/>
                    </w14:srgbClr>
                  </w14:solidFill>
                </w14:textFill>
              </w:rPr>
              <w:t xml:space="preserve">　</w:t>
            </w:r>
            <w:r w:rsidR="00DE487C">
              <w:rPr>
                <w:bCs w:val="0"/>
                <w:iCs/>
                <w:vertAlign w:val="superscript"/>
              </w:rPr>
              <w:t>1</w:t>
            </w:r>
            <w:r w:rsidR="00972457">
              <w:rPr>
                <w:bCs w:val="0"/>
                <w:iCs/>
                <w:vertAlign w:val="superscript"/>
              </w:rPr>
              <w:t>9</w:t>
            </w:r>
          </w:p>
        </w:tc>
        <w:tc>
          <w:tcPr>
            <w:tcW w:w="634" w:type="pct"/>
            <w:shd w:val="clear" w:color="auto" w:fill="auto"/>
          </w:tcPr>
          <w:p w14:paraId="4F3C1867" w14:textId="15A6D0B8" w:rsidR="00D606DF" w:rsidRPr="00C856F6" w:rsidRDefault="00D606DF" w:rsidP="00BD693B">
            <w:pPr>
              <w:pStyle w:val="TableText"/>
              <w:jc w:val="center"/>
              <w:rPr>
                <w:bCs w:val="0"/>
                <w:iCs/>
                <w:vertAlign w:val="superscript"/>
              </w:rPr>
            </w:pPr>
            <w:r w:rsidRPr="00CF7D68">
              <w:rPr>
                <w:bCs w:val="0"/>
                <w:iCs/>
              </w:rPr>
              <w:t>$</w:t>
            </w:r>
            <w:r w:rsidR="00A973A1" w:rsidRPr="00A973A1">
              <w:rPr>
                <w:rFonts w:hint="eastAsia"/>
                <w:bCs w:val="0"/>
                <w:iCs/>
                <w:color w:val="000000"/>
                <w:w w:val="15"/>
                <w:shd w:val="solid" w:color="000000" w:fill="000000"/>
                <w:fitText w:val="37" w:id="-1435844093"/>
                <w14:textFill>
                  <w14:solidFill>
                    <w14:srgbClr w14:val="000000">
                      <w14:alpha w14:val="100000"/>
                    </w14:srgbClr>
                  </w14:solidFill>
                </w14:textFill>
              </w:rPr>
              <w:t xml:space="preserve">　</w:t>
            </w:r>
            <w:r w:rsidR="00A973A1" w:rsidRPr="00A973A1">
              <w:rPr>
                <w:bCs w:val="0"/>
                <w:iCs/>
                <w:color w:val="000000"/>
                <w:w w:val="15"/>
                <w:shd w:val="solid" w:color="000000" w:fill="000000"/>
                <w:fitText w:val="37" w:id="-1435844093"/>
                <w14:textFill>
                  <w14:solidFill>
                    <w14:srgbClr w14:val="000000">
                      <w14:alpha w14:val="100000"/>
                    </w14:srgbClr>
                  </w14:solidFill>
                </w14:textFill>
              </w:rPr>
              <w:t>|</w:t>
            </w:r>
            <w:r w:rsidR="00A973A1" w:rsidRPr="00A973A1">
              <w:rPr>
                <w:rFonts w:hint="eastAsia"/>
                <w:bCs w:val="0"/>
                <w:iCs/>
                <w:color w:val="000000"/>
                <w:spacing w:val="-28"/>
                <w:w w:val="15"/>
                <w:shd w:val="solid" w:color="000000" w:fill="000000"/>
                <w:fitText w:val="37" w:id="-1435844093"/>
                <w14:textFill>
                  <w14:solidFill>
                    <w14:srgbClr w14:val="000000">
                      <w14:alpha w14:val="100000"/>
                    </w14:srgbClr>
                  </w14:solidFill>
                </w14:textFill>
              </w:rPr>
              <w:t xml:space="preserve">　</w:t>
            </w:r>
            <w:r w:rsidR="00DE487C">
              <w:rPr>
                <w:bCs w:val="0"/>
                <w:iCs/>
                <w:vertAlign w:val="superscript"/>
              </w:rPr>
              <w:t>2</w:t>
            </w:r>
            <w:r w:rsidR="00972457">
              <w:rPr>
                <w:bCs w:val="0"/>
                <w:iCs/>
                <w:vertAlign w:val="superscript"/>
              </w:rPr>
              <w:t>6</w:t>
            </w:r>
          </w:p>
        </w:tc>
        <w:tc>
          <w:tcPr>
            <w:tcW w:w="634" w:type="pct"/>
            <w:shd w:val="clear" w:color="auto" w:fill="auto"/>
          </w:tcPr>
          <w:p w14:paraId="4F8103BB" w14:textId="553FCE6F" w:rsidR="00D606DF" w:rsidRPr="00C856F6" w:rsidRDefault="00D606DF" w:rsidP="00BD693B">
            <w:pPr>
              <w:pStyle w:val="TableText"/>
              <w:jc w:val="center"/>
              <w:rPr>
                <w:bCs w:val="0"/>
                <w:iCs/>
                <w:vertAlign w:val="superscript"/>
              </w:rPr>
            </w:pPr>
            <w:r w:rsidRPr="00CF7D68">
              <w:rPr>
                <w:bCs w:val="0"/>
                <w:iCs/>
              </w:rPr>
              <w:t>$</w:t>
            </w:r>
            <w:r w:rsidR="00A973A1" w:rsidRPr="00A973A1">
              <w:rPr>
                <w:rFonts w:hint="eastAsia"/>
                <w:bCs w:val="0"/>
                <w:iCs/>
                <w:color w:val="000000"/>
                <w:w w:val="15"/>
                <w:shd w:val="solid" w:color="000000" w:fill="000000"/>
                <w:fitText w:val="38" w:id="-1435844092"/>
                <w14:textFill>
                  <w14:solidFill>
                    <w14:srgbClr w14:val="000000">
                      <w14:alpha w14:val="100000"/>
                    </w14:srgbClr>
                  </w14:solidFill>
                </w14:textFill>
              </w:rPr>
              <w:t xml:space="preserve">　</w:t>
            </w:r>
            <w:r w:rsidR="00A973A1" w:rsidRPr="00A973A1">
              <w:rPr>
                <w:bCs w:val="0"/>
                <w:iCs/>
                <w:color w:val="000000"/>
                <w:w w:val="15"/>
                <w:shd w:val="solid" w:color="000000" w:fill="000000"/>
                <w:fitText w:val="38" w:id="-1435844092"/>
                <w14:textFill>
                  <w14:solidFill>
                    <w14:srgbClr w14:val="000000">
                      <w14:alpha w14:val="100000"/>
                    </w14:srgbClr>
                  </w14:solidFill>
                </w14:textFill>
              </w:rPr>
              <w:t>|</w:t>
            </w:r>
            <w:r w:rsidR="00A973A1" w:rsidRPr="00A973A1">
              <w:rPr>
                <w:rFonts w:hint="eastAsia"/>
                <w:bCs w:val="0"/>
                <w:iCs/>
                <w:color w:val="000000"/>
                <w:spacing w:val="-27"/>
                <w:w w:val="15"/>
                <w:shd w:val="solid" w:color="000000" w:fill="000000"/>
                <w:fitText w:val="38" w:id="-1435844092"/>
                <w14:textFill>
                  <w14:solidFill>
                    <w14:srgbClr w14:val="000000">
                      <w14:alpha w14:val="100000"/>
                    </w14:srgbClr>
                  </w14:solidFill>
                </w14:textFill>
              </w:rPr>
              <w:t xml:space="preserve">　</w:t>
            </w:r>
            <w:r w:rsidR="00972457">
              <w:rPr>
                <w:bCs w:val="0"/>
                <w:iCs/>
                <w:vertAlign w:val="superscript"/>
              </w:rPr>
              <w:t>20</w:t>
            </w:r>
          </w:p>
        </w:tc>
        <w:tc>
          <w:tcPr>
            <w:tcW w:w="634" w:type="pct"/>
            <w:shd w:val="clear" w:color="auto" w:fill="auto"/>
          </w:tcPr>
          <w:p w14:paraId="2378EE62" w14:textId="7722B664" w:rsidR="00D606DF" w:rsidRPr="00C856F6" w:rsidRDefault="00D606DF" w:rsidP="00BD693B">
            <w:pPr>
              <w:pStyle w:val="TableText"/>
              <w:jc w:val="center"/>
              <w:rPr>
                <w:bCs w:val="0"/>
                <w:iCs/>
                <w:vertAlign w:val="superscript"/>
              </w:rPr>
            </w:pPr>
            <w:r w:rsidRPr="00CF7D68">
              <w:rPr>
                <w:bCs w:val="0"/>
                <w:iCs/>
              </w:rPr>
              <w:t>$</w:t>
            </w:r>
            <w:r w:rsidR="00A973A1" w:rsidRPr="00A973A1">
              <w:rPr>
                <w:rFonts w:hint="eastAsia"/>
                <w:bCs w:val="0"/>
                <w:iCs/>
                <w:color w:val="000000"/>
                <w:w w:val="15"/>
                <w:shd w:val="solid" w:color="000000" w:fill="000000"/>
                <w:fitText w:val="38" w:id="-1435844091"/>
                <w14:textFill>
                  <w14:solidFill>
                    <w14:srgbClr w14:val="000000">
                      <w14:alpha w14:val="100000"/>
                    </w14:srgbClr>
                  </w14:solidFill>
                </w14:textFill>
              </w:rPr>
              <w:t xml:space="preserve">　</w:t>
            </w:r>
            <w:r w:rsidR="00A973A1" w:rsidRPr="00A973A1">
              <w:rPr>
                <w:bCs w:val="0"/>
                <w:iCs/>
                <w:color w:val="000000"/>
                <w:w w:val="15"/>
                <w:shd w:val="solid" w:color="000000" w:fill="000000"/>
                <w:fitText w:val="38" w:id="-1435844091"/>
                <w14:textFill>
                  <w14:solidFill>
                    <w14:srgbClr w14:val="000000">
                      <w14:alpha w14:val="100000"/>
                    </w14:srgbClr>
                  </w14:solidFill>
                </w14:textFill>
              </w:rPr>
              <w:t>|</w:t>
            </w:r>
            <w:r w:rsidR="00A973A1" w:rsidRPr="00A973A1">
              <w:rPr>
                <w:rFonts w:hint="eastAsia"/>
                <w:bCs w:val="0"/>
                <w:iCs/>
                <w:color w:val="000000"/>
                <w:spacing w:val="-27"/>
                <w:w w:val="15"/>
                <w:shd w:val="solid" w:color="000000" w:fill="000000"/>
                <w:fitText w:val="38" w:id="-1435844091"/>
                <w14:textFill>
                  <w14:solidFill>
                    <w14:srgbClr w14:val="000000">
                      <w14:alpha w14:val="100000"/>
                    </w14:srgbClr>
                  </w14:solidFill>
                </w14:textFill>
              </w:rPr>
              <w:t xml:space="preserve">　</w:t>
            </w:r>
            <w:r w:rsidR="00DE487C">
              <w:rPr>
                <w:bCs w:val="0"/>
                <w:iCs/>
                <w:vertAlign w:val="superscript"/>
              </w:rPr>
              <w:t>2</w:t>
            </w:r>
            <w:r w:rsidR="00972457">
              <w:rPr>
                <w:bCs w:val="0"/>
                <w:iCs/>
                <w:vertAlign w:val="superscript"/>
              </w:rPr>
              <w:t>1</w:t>
            </w:r>
          </w:p>
        </w:tc>
        <w:tc>
          <w:tcPr>
            <w:tcW w:w="634" w:type="pct"/>
            <w:shd w:val="clear" w:color="auto" w:fill="auto"/>
          </w:tcPr>
          <w:p w14:paraId="715DEA15" w14:textId="5178BF2B" w:rsidR="00D606DF" w:rsidRPr="00C856F6" w:rsidRDefault="00D606DF" w:rsidP="00BD693B">
            <w:pPr>
              <w:pStyle w:val="TableText"/>
              <w:jc w:val="center"/>
              <w:rPr>
                <w:bCs w:val="0"/>
                <w:iCs/>
                <w:vertAlign w:val="superscript"/>
              </w:rPr>
            </w:pPr>
            <w:r w:rsidRPr="00CF7D68">
              <w:rPr>
                <w:bCs w:val="0"/>
                <w:iCs/>
              </w:rPr>
              <w:t>$</w:t>
            </w:r>
            <w:r w:rsidR="00A973A1" w:rsidRPr="00A973A1">
              <w:rPr>
                <w:rFonts w:hint="eastAsia"/>
                <w:bCs w:val="0"/>
                <w:iCs/>
                <w:color w:val="000000"/>
                <w:w w:val="15"/>
                <w:shd w:val="solid" w:color="000000" w:fill="000000"/>
                <w:fitText w:val="37" w:id="-1435844090"/>
                <w14:textFill>
                  <w14:solidFill>
                    <w14:srgbClr w14:val="000000">
                      <w14:alpha w14:val="100000"/>
                    </w14:srgbClr>
                  </w14:solidFill>
                </w14:textFill>
              </w:rPr>
              <w:t xml:space="preserve">　</w:t>
            </w:r>
            <w:r w:rsidR="00A973A1" w:rsidRPr="00A973A1">
              <w:rPr>
                <w:bCs w:val="0"/>
                <w:iCs/>
                <w:color w:val="000000"/>
                <w:w w:val="15"/>
                <w:shd w:val="solid" w:color="000000" w:fill="000000"/>
                <w:fitText w:val="37" w:id="-1435844090"/>
                <w14:textFill>
                  <w14:solidFill>
                    <w14:srgbClr w14:val="000000">
                      <w14:alpha w14:val="100000"/>
                    </w14:srgbClr>
                  </w14:solidFill>
                </w14:textFill>
              </w:rPr>
              <w:t>|</w:t>
            </w:r>
            <w:r w:rsidR="00A973A1" w:rsidRPr="00A973A1">
              <w:rPr>
                <w:rFonts w:hint="eastAsia"/>
                <w:bCs w:val="0"/>
                <w:iCs/>
                <w:color w:val="000000"/>
                <w:spacing w:val="-28"/>
                <w:w w:val="15"/>
                <w:shd w:val="solid" w:color="000000" w:fill="000000"/>
                <w:fitText w:val="37" w:id="-1435844090"/>
                <w14:textFill>
                  <w14:solidFill>
                    <w14:srgbClr w14:val="000000">
                      <w14:alpha w14:val="100000"/>
                    </w14:srgbClr>
                  </w14:solidFill>
                </w14:textFill>
              </w:rPr>
              <w:t xml:space="preserve">　</w:t>
            </w:r>
            <w:r w:rsidR="00DE487C">
              <w:rPr>
                <w:bCs w:val="0"/>
                <w:iCs/>
                <w:vertAlign w:val="superscript"/>
              </w:rPr>
              <w:t>2</w:t>
            </w:r>
            <w:r w:rsidR="00972457">
              <w:rPr>
                <w:bCs w:val="0"/>
                <w:iCs/>
                <w:vertAlign w:val="superscript"/>
              </w:rPr>
              <w:t>2</w:t>
            </w:r>
          </w:p>
        </w:tc>
      </w:tr>
    </w:tbl>
    <w:p w14:paraId="4423A6D5" w14:textId="77777777" w:rsidR="00D606DF" w:rsidRPr="00CF7D68" w:rsidRDefault="00D606DF" w:rsidP="00250B01">
      <w:pPr>
        <w:pStyle w:val="TableFooter"/>
      </w:pPr>
      <w:r w:rsidRPr="00CF7D68">
        <w:t>Source: Sections 4.1-4.3 (pp146-159) of the submission</w:t>
      </w:r>
    </w:p>
    <w:p w14:paraId="26C416E4" w14:textId="2EAA0194" w:rsidR="00D606DF" w:rsidRPr="00CF7D68" w:rsidRDefault="00D606DF" w:rsidP="00250B01">
      <w:pPr>
        <w:pStyle w:val="TableFooter"/>
      </w:pPr>
      <w:r w:rsidRPr="00CF7D68">
        <w:t xml:space="preserve">Abbreviations: </w:t>
      </w:r>
      <w:proofErr w:type="spellStart"/>
      <w:r w:rsidRPr="00CF7D68">
        <w:t>ACEi</w:t>
      </w:r>
      <w:proofErr w:type="spellEnd"/>
      <w:r w:rsidRPr="00CF7D68">
        <w:t>, angiotensin converting enzyme inhibitor; ARB, angiotensin receptor blocker; CKD, chronic kidney disease; eGFR, estimated glomerular filtration rate; UACR, urinary albumin to creatinine ratio</w:t>
      </w:r>
    </w:p>
    <w:p w14:paraId="4BAEF6AE" w14:textId="77777777" w:rsidR="00D606DF" w:rsidRPr="00CF7D68" w:rsidRDefault="00D606DF" w:rsidP="00250B01">
      <w:pPr>
        <w:pStyle w:val="TableFooter"/>
      </w:pPr>
      <w:proofErr w:type="spellStart"/>
      <w:proofErr w:type="gramStart"/>
      <w:r w:rsidRPr="00CF7D68">
        <w:rPr>
          <w:vertAlign w:val="superscript"/>
        </w:rPr>
        <w:t>a</w:t>
      </w:r>
      <w:proofErr w:type="spellEnd"/>
      <w:proofErr w:type="gramEnd"/>
      <w:r w:rsidRPr="00CF7D68">
        <w:t xml:space="preserve"> Accounts for treatment discontinuations due to death and initiation of renal replacement therapies in the prevalent population</w:t>
      </w:r>
    </w:p>
    <w:p w14:paraId="0E3A5860" w14:textId="6E7ABA06" w:rsidR="00B7138A" w:rsidRDefault="00B7138A" w:rsidP="00C856F6">
      <w:pPr>
        <w:pStyle w:val="TableFooter"/>
        <w:spacing w:after="0"/>
        <w:rPr>
          <w:iCs/>
        </w:rPr>
      </w:pPr>
      <w:r w:rsidRPr="00CF7D68">
        <w:rPr>
          <w:vertAlign w:val="superscript"/>
        </w:rPr>
        <w:t xml:space="preserve">b </w:t>
      </w:r>
      <w:r w:rsidRPr="00CF7D68">
        <w:rPr>
          <w:iCs/>
        </w:rPr>
        <w:t xml:space="preserve">Corrected during the evaluation. There was an error in the average </w:t>
      </w:r>
      <w:proofErr w:type="spellStart"/>
      <w:r w:rsidRPr="00CF7D68">
        <w:rPr>
          <w:iCs/>
        </w:rPr>
        <w:t>copayment</w:t>
      </w:r>
      <w:proofErr w:type="spellEnd"/>
      <w:r w:rsidRPr="00CF7D68">
        <w:rPr>
          <w:iCs/>
        </w:rPr>
        <w:t xml:space="preserve"> used in the submission that incorrectly attributed a cost of $6.80 rather than $0 to concessional safety net scripts.</w:t>
      </w:r>
    </w:p>
    <w:p w14:paraId="7BE5A16D" w14:textId="77777777" w:rsidR="006B4E38" w:rsidRPr="00725DA3" w:rsidRDefault="006B4E38" w:rsidP="006B4E38">
      <w:pPr>
        <w:pStyle w:val="TableFigureFooter"/>
        <w:keepNext/>
        <w:spacing w:after="0"/>
        <w:contextualSpacing w:val="0"/>
        <w:rPr>
          <w:i/>
        </w:rPr>
      </w:pPr>
      <w:bookmarkStart w:id="60" w:name="_Hlk113282182"/>
      <w:r w:rsidRPr="00725DA3">
        <w:rPr>
          <w:i/>
        </w:rPr>
        <w:t>The redacted values correspond to the following ranges:</w:t>
      </w:r>
    </w:p>
    <w:bookmarkEnd w:id="60"/>
    <w:p w14:paraId="336EC264" w14:textId="4C3F5D25" w:rsidR="006B4E38" w:rsidRPr="00281DAB" w:rsidRDefault="006B4E38" w:rsidP="006B4E38">
      <w:pPr>
        <w:pStyle w:val="TableFigureFooter"/>
        <w:keepNext/>
        <w:spacing w:after="0"/>
        <w:contextualSpacing w:val="0"/>
      </w:pPr>
      <w:r w:rsidRPr="00725DA3">
        <w:rPr>
          <w:i/>
          <w:szCs w:val="18"/>
          <w:vertAlign w:val="superscript"/>
        </w:rPr>
        <w:t xml:space="preserve">1 </w:t>
      </w:r>
      <w:r w:rsidR="00EA7AB1" w:rsidRPr="00EA7AB1">
        <w:rPr>
          <w:i/>
          <w:szCs w:val="18"/>
        </w:rPr>
        <w:t>2,000,000 to &lt; 3,000,000</w:t>
      </w:r>
    </w:p>
    <w:p w14:paraId="3B245078" w14:textId="35E5395F" w:rsidR="006B4E38" w:rsidRPr="00725DA3" w:rsidRDefault="006B4E38" w:rsidP="006B4E38">
      <w:pPr>
        <w:rPr>
          <w:rFonts w:ascii="Arial Narrow" w:hAnsi="Arial Narrow"/>
          <w:i/>
          <w:sz w:val="18"/>
          <w:szCs w:val="18"/>
        </w:rPr>
      </w:pPr>
      <w:r w:rsidRPr="00725DA3">
        <w:rPr>
          <w:rFonts w:ascii="Arial Narrow" w:hAnsi="Arial Narrow"/>
          <w:i/>
          <w:sz w:val="18"/>
          <w:szCs w:val="18"/>
          <w:vertAlign w:val="superscript"/>
        </w:rPr>
        <w:t xml:space="preserve">2 </w:t>
      </w:r>
      <w:r w:rsidR="00EA7AB1" w:rsidRPr="00EA7AB1">
        <w:rPr>
          <w:rFonts w:ascii="Arial Narrow" w:hAnsi="Arial Narrow"/>
          <w:i/>
          <w:sz w:val="18"/>
          <w:szCs w:val="18"/>
        </w:rPr>
        <w:t>1,000,000 to &lt; 2,000,000</w:t>
      </w:r>
    </w:p>
    <w:p w14:paraId="7B2FD2C6" w14:textId="35D6BEB0" w:rsidR="006B4E38" w:rsidRPr="00725DA3" w:rsidRDefault="006B4E38" w:rsidP="006B4E38">
      <w:pPr>
        <w:rPr>
          <w:rFonts w:ascii="Arial Narrow" w:hAnsi="Arial Narrow"/>
          <w:i/>
          <w:sz w:val="18"/>
          <w:szCs w:val="18"/>
        </w:rPr>
      </w:pPr>
      <w:r w:rsidRPr="00725DA3">
        <w:rPr>
          <w:rFonts w:ascii="Arial Narrow" w:hAnsi="Arial Narrow"/>
          <w:i/>
          <w:sz w:val="18"/>
          <w:szCs w:val="18"/>
          <w:vertAlign w:val="superscript"/>
        </w:rPr>
        <w:t xml:space="preserve">3 </w:t>
      </w:r>
      <w:r w:rsidR="00EA7AB1" w:rsidRPr="00EA7AB1">
        <w:rPr>
          <w:rFonts w:ascii="Arial Narrow" w:hAnsi="Arial Narrow"/>
          <w:i/>
          <w:sz w:val="18"/>
          <w:szCs w:val="18"/>
        </w:rPr>
        <w:t>800,000 to &lt; 900,000</w:t>
      </w:r>
    </w:p>
    <w:p w14:paraId="74B5E532" w14:textId="0A5E433A" w:rsidR="006B4E38" w:rsidRPr="00725DA3" w:rsidRDefault="006B4E38" w:rsidP="006B4E38">
      <w:pPr>
        <w:rPr>
          <w:rFonts w:ascii="Arial Narrow" w:hAnsi="Arial Narrow"/>
          <w:i/>
          <w:sz w:val="18"/>
          <w:szCs w:val="18"/>
        </w:rPr>
      </w:pPr>
      <w:r w:rsidRPr="00725DA3">
        <w:rPr>
          <w:rFonts w:ascii="Arial Narrow" w:hAnsi="Arial Narrow"/>
          <w:i/>
          <w:sz w:val="18"/>
          <w:szCs w:val="18"/>
          <w:vertAlign w:val="superscript"/>
        </w:rPr>
        <w:t xml:space="preserve">4 </w:t>
      </w:r>
      <w:r w:rsidR="00EA7AB1" w:rsidRPr="00EA7AB1">
        <w:rPr>
          <w:rFonts w:ascii="Arial Narrow" w:hAnsi="Arial Narrow"/>
          <w:i/>
          <w:sz w:val="18"/>
          <w:szCs w:val="18"/>
        </w:rPr>
        <w:t>900,000 to &lt; 1,000,000</w:t>
      </w:r>
    </w:p>
    <w:p w14:paraId="0126A555" w14:textId="5D45C104" w:rsidR="006B4E38" w:rsidRPr="00725DA3" w:rsidRDefault="006B4E38" w:rsidP="006B4E38">
      <w:pPr>
        <w:rPr>
          <w:rFonts w:ascii="Arial Narrow" w:hAnsi="Arial Narrow"/>
          <w:i/>
          <w:sz w:val="18"/>
          <w:szCs w:val="18"/>
        </w:rPr>
      </w:pPr>
      <w:r w:rsidRPr="00725DA3">
        <w:rPr>
          <w:rFonts w:ascii="Arial Narrow" w:hAnsi="Arial Narrow"/>
          <w:i/>
          <w:sz w:val="18"/>
          <w:szCs w:val="18"/>
          <w:vertAlign w:val="superscript"/>
        </w:rPr>
        <w:t>5</w:t>
      </w:r>
      <w:r>
        <w:rPr>
          <w:rFonts w:ascii="Arial Narrow" w:hAnsi="Arial Narrow"/>
          <w:i/>
          <w:sz w:val="18"/>
          <w:szCs w:val="18"/>
          <w:vertAlign w:val="superscript"/>
        </w:rPr>
        <w:t xml:space="preserve"> </w:t>
      </w:r>
      <w:r w:rsidR="00EA7AB1" w:rsidRPr="00EA7AB1">
        <w:rPr>
          <w:rFonts w:ascii="Arial Narrow" w:hAnsi="Arial Narrow"/>
          <w:i/>
          <w:sz w:val="18"/>
          <w:szCs w:val="18"/>
        </w:rPr>
        <w:t>600,000 to &lt; 700,000</w:t>
      </w:r>
    </w:p>
    <w:p w14:paraId="42A14C3A" w14:textId="28935BD1" w:rsidR="006B4E38" w:rsidRPr="00725DA3" w:rsidRDefault="006B4E38" w:rsidP="006B4E38">
      <w:pPr>
        <w:rPr>
          <w:rFonts w:ascii="Arial Narrow" w:hAnsi="Arial Narrow"/>
          <w:i/>
          <w:sz w:val="18"/>
          <w:szCs w:val="18"/>
        </w:rPr>
      </w:pPr>
      <w:r w:rsidRPr="00725DA3">
        <w:rPr>
          <w:rFonts w:ascii="Arial Narrow" w:hAnsi="Arial Narrow"/>
          <w:i/>
          <w:sz w:val="18"/>
          <w:szCs w:val="18"/>
          <w:vertAlign w:val="superscript"/>
        </w:rPr>
        <w:t>6</w:t>
      </w:r>
      <w:r w:rsidR="00972457">
        <w:rPr>
          <w:rFonts w:ascii="Arial Narrow" w:hAnsi="Arial Narrow"/>
          <w:i/>
          <w:sz w:val="18"/>
          <w:szCs w:val="18"/>
        </w:rPr>
        <w:t xml:space="preserve"> </w:t>
      </w:r>
      <w:r w:rsidR="00972457" w:rsidRPr="00972457">
        <w:rPr>
          <w:rFonts w:ascii="Arial Narrow" w:hAnsi="Arial Narrow"/>
          <w:i/>
          <w:sz w:val="18"/>
          <w:szCs w:val="18"/>
        </w:rPr>
        <w:t>700,000 to &lt; 800,000</w:t>
      </w:r>
    </w:p>
    <w:p w14:paraId="40F61634" w14:textId="38362423" w:rsidR="006B4E38" w:rsidRPr="00725DA3" w:rsidRDefault="006B4E38" w:rsidP="006B4E38">
      <w:pPr>
        <w:rPr>
          <w:rFonts w:ascii="Arial Narrow" w:hAnsi="Arial Narrow"/>
          <w:i/>
          <w:sz w:val="18"/>
          <w:szCs w:val="18"/>
          <w:vertAlign w:val="superscript"/>
        </w:rPr>
      </w:pPr>
      <w:r w:rsidRPr="00725DA3">
        <w:rPr>
          <w:rFonts w:ascii="Arial Narrow" w:hAnsi="Arial Narrow"/>
          <w:i/>
          <w:sz w:val="18"/>
          <w:szCs w:val="18"/>
          <w:vertAlign w:val="superscript"/>
        </w:rPr>
        <w:t xml:space="preserve">7 </w:t>
      </w:r>
      <w:r w:rsidR="00972457" w:rsidRPr="00972457">
        <w:rPr>
          <w:rFonts w:ascii="Arial Narrow" w:hAnsi="Arial Narrow"/>
          <w:i/>
          <w:sz w:val="18"/>
          <w:szCs w:val="18"/>
        </w:rPr>
        <w:t>100,000 to &lt; 200,000</w:t>
      </w:r>
    </w:p>
    <w:p w14:paraId="3BBE929F" w14:textId="101529EF" w:rsidR="006B4E38" w:rsidRPr="00725DA3" w:rsidRDefault="006B4E38" w:rsidP="00C856F6">
      <w:pPr>
        <w:jc w:val="left"/>
        <w:rPr>
          <w:rFonts w:ascii="Arial Narrow" w:hAnsi="Arial Narrow"/>
          <w:i/>
          <w:sz w:val="18"/>
          <w:szCs w:val="18"/>
          <w:vertAlign w:val="superscript"/>
        </w:rPr>
      </w:pPr>
      <w:r w:rsidRPr="00725DA3">
        <w:rPr>
          <w:rFonts w:ascii="Arial Narrow" w:hAnsi="Arial Narrow"/>
          <w:sz w:val="18"/>
          <w:szCs w:val="18"/>
          <w:vertAlign w:val="superscript"/>
        </w:rPr>
        <w:t xml:space="preserve">8 </w:t>
      </w:r>
      <w:r w:rsidR="00972457" w:rsidRPr="00972457">
        <w:rPr>
          <w:rFonts w:ascii="Arial Narrow" w:hAnsi="Arial Narrow"/>
          <w:i/>
          <w:sz w:val="18"/>
          <w:szCs w:val="18"/>
        </w:rPr>
        <w:t>200,000 to &lt; 300,000</w:t>
      </w:r>
    </w:p>
    <w:p w14:paraId="190BAD6A" w14:textId="16F679C9" w:rsidR="006B4E38" w:rsidRPr="00725DA3" w:rsidRDefault="006B4E38" w:rsidP="00C856F6">
      <w:pPr>
        <w:jc w:val="left"/>
        <w:rPr>
          <w:rFonts w:ascii="Arial Narrow" w:hAnsi="Arial Narrow"/>
          <w:i/>
          <w:sz w:val="18"/>
          <w:szCs w:val="18"/>
        </w:rPr>
      </w:pPr>
      <w:r w:rsidRPr="00725DA3">
        <w:rPr>
          <w:rFonts w:ascii="Arial Narrow" w:hAnsi="Arial Narrow"/>
          <w:sz w:val="18"/>
          <w:szCs w:val="18"/>
          <w:vertAlign w:val="superscript"/>
        </w:rPr>
        <w:t>9</w:t>
      </w:r>
      <w:r>
        <w:rPr>
          <w:rFonts w:ascii="Arial Narrow" w:hAnsi="Arial Narrow"/>
          <w:sz w:val="18"/>
          <w:szCs w:val="18"/>
          <w:vertAlign w:val="superscript"/>
        </w:rPr>
        <w:t xml:space="preserve"> </w:t>
      </w:r>
      <w:r w:rsidR="00972457" w:rsidRPr="00972457">
        <w:rPr>
          <w:rFonts w:ascii="Arial Narrow" w:hAnsi="Arial Narrow"/>
          <w:i/>
          <w:sz w:val="18"/>
          <w:szCs w:val="18"/>
        </w:rPr>
        <w:t>20,000 to &lt; 30,000</w:t>
      </w:r>
    </w:p>
    <w:p w14:paraId="7F5AA418" w14:textId="325E0099" w:rsidR="006B4E38" w:rsidRDefault="006B4E38" w:rsidP="006B4E38">
      <w:pPr>
        <w:pStyle w:val="TableFooter"/>
        <w:jc w:val="left"/>
        <w:rPr>
          <w:i/>
          <w:szCs w:val="18"/>
        </w:rPr>
      </w:pPr>
      <w:r w:rsidRPr="00725DA3">
        <w:rPr>
          <w:i/>
          <w:szCs w:val="18"/>
          <w:vertAlign w:val="superscript"/>
        </w:rPr>
        <w:t>10</w:t>
      </w:r>
      <w:r w:rsidRPr="00725DA3">
        <w:rPr>
          <w:i/>
          <w:szCs w:val="18"/>
        </w:rPr>
        <w:t xml:space="preserve"> </w:t>
      </w:r>
      <w:r w:rsidR="00972457" w:rsidRPr="00972457">
        <w:rPr>
          <w:i/>
          <w:szCs w:val="18"/>
        </w:rPr>
        <w:t>30,000 to &lt; 40,000</w:t>
      </w:r>
      <w:r>
        <w:rPr>
          <w:i/>
          <w:szCs w:val="18"/>
        </w:rPr>
        <w:br/>
      </w:r>
      <w:r>
        <w:rPr>
          <w:i/>
          <w:szCs w:val="18"/>
          <w:vertAlign w:val="superscript"/>
        </w:rPr>
        <w:lastRenderedPageBreak/>
        <w:t>11</w:t>
      </w:r>
      <w:r w:rsidRPr="00725DA3">
        <w:rPr>
          <w:i/>
          <w:szCs w:val="18"/>
        </w:rPr>
        <w:t xml:space="preserve"> </w:t>
      </w:r>
      <w:r w:rsidR="00972457" w:rsidRPr="00972457">
        <w:rPr>
          <w:i/>
          <w:szCs w:val="18"/>
        </w:rPr>
        <w:t>40,000 to &lt; 50,000</w:t>
      </w:r>
    </w:p>
    <w:p w14:paraId="67215998" w14:textId="5B49B5A9" w:rsidR="006B4E38" w:rsidRDefault="006B4E38" w:rsidP="006B4E38">
      <w:pPr>
        <w:pStyle w:val="TableFooter"/>
        <w:jc w:val="left"/>
        <w:rPr>
          <w:i/>
          <w:szCs w:val="18"/>
        </w:rPr>
      </w:pPr>
      <w:r w:rsidRPr="00725DA3">
        <w:rPr>
          <w:i/>
          <w:szCs w:val="18"/>
          <w:vertAlign w:val="superscript"/>
        </w:rPr>
        <w:t>1</w:t>
      </w:r>
      <w:r>
        <w:rPr>
          <w:i/>
          <w:szCs w:val="18"/>
          <w:vertAlign w:val="superscript"/>
        </w:rPr>
        <w:t>2</w:t>
      </w:r>
      <w:r w:rsidRPr="00725DA3">
        <w:rPr>
          <w:i/>
          <w:szCs w:val="18"/>
        </w:rPr>
        <w:t xml:space="preserve"> </w:t>
      </w:r>
      <w:r w:rsidR="00972457" w:rsidRPr="00972457">
        <w:rPr>
          <w:i/>
          <w:szCs w:val="18"/>
        </w:rPr>
        <w:t>60,000 to &lt; 70,000</w:t>
      </w:r>
    </w:p>
    <w:p w14:paraId="10815F45" w14:textId="35CB0A8F" w:rsidR="006B4E38" w:rsidRDefault="006B4E38" w:rsidP="006B4E38">
      <w:pPr>
        <w:pStyle w:val="TableFooter"/>
        <w:jc w:val="left"/>
        <w:rPr>
          <w:i/>
          <w:szCs w:val="18"/>
        </w:rPr>
      </w:pPr>
      <w:r w:rsidRPr="00725DA3">
        <w:rPr>
          <w:i/>
          <w:szCs w:val="18"/>
          <w:vertAlign w:val="superscript"/>
        </w:rPr>
        <w:t>1</w:t>
      </w:r>
      <w:r>
        <w:rPr>
          <w:i/>
          <w:szCs w:val="18"/>
          <w:vertAlign w:val="superscript"/>
        </w:rPr>
        <w:t>3</w:t>
      </w:r>
      <w:r w:rsidRPr="00725DA3">
        <w:rPr>
          <w:i/>
          <w:szCs w:val="18"/>
        </w:rPr>
        <w:t xml:space="preserve"> </w:t>
      </w:r>
      <w:r w:rsidR="00972457" w:rsidRPr="00972457">
        <w:rPr>
          <w:i/>
          <w:szCs w:val="18"/>
        </w:rPr>
        <w:t>70,000 to &lt; 80,000</w:t>
      </w:r>
    </w:p>
    <w:p w14:paraId="29468CAD" w14:textId="4960D495" w:rsidR="006B4E38" w:rsidRDefault="006B4E38" w:rsidP="006B4E38">
      <w:pPr>
        <w:pStyle w:val="TableFooter"/>
        <w:jc w:val="left"/>
        <w:rPr>
          <w:i/>
          <w:szCs w:val="18"/>
        </w:rPr>
      </w:pPr>
      <w:r w:rsidRPr="00725DA3">
        <w:rPr>
          <w:i/>
          <w:szCs w:val="18"/>
          <w:vertAlign w:val="superscript"/>
        </w:rPr>
        <w:t>1</w:t>
      </w:r>
      <w:r>
        <w:rPr>
          <w:i/>
          <w:szCs w:val="18"/>
          <w:vertAlign w:val="superscript"/>
        </w:rPr>
        <w:t>4</w:t>
      </w:r>
      <w:r w:rsidR="00972457">
        <w:rPr>
          <w:i/>
          <w:szCs w:val="18"/>
        </w:rPr>
        <w:t xml:space="preserve"> </w:t>
      </w:r>
      <w:r w:rsidR="00972457" w:rsidRPr="00972457">
        <w:rPr>
          <w:i/>
          <w:szCs w:val="18"/>
        </w:rPr>
        <w:t>90,000 to &lt; 100,000</w:t>
      </w:r>
    </w:p>
    <w:p w14:paraId="1468EC46" w14:textId="22C840A8" w:rsidR="006B4E38" w:rsidRDefault="006B4E38" w:rsidP="006B4E38">
      <w:pPr>
        <w:pStyle w:val="TableFooter"/>
        <w:jc w:val="left"/>
        <w:rPr>
          <w:i/>
          <w:szCs w:val="18"/>
        </w:rPr>
      </w:pPr>
      <w:r w:rsidRPr="00725DA3">
        <w:rPr>
          <w:i/>
          <w:szCs w:val="18"/>
          <w:vertAlign w:val="superscript"/>
        </w:rPr>
        <w:t>1</w:t>
      </w:r>
      <w:r>
        <w:rPr>
          <w:i/>
          <w:szCs w:val="18"/>
          <w:vertAlign w:val="superscript"/>
        </w:rPr>
        <w:t>5</w:t>
      </w:r>
      <w:r w:rsidRPr="00725DA3">
        <w:rPr>
          <w:i/>
          <w:szCs w:val="18"/>
        </w:rPr>
        <w:t xml:space="preserve"> </w:t>
      </w:r>
      <w:r w:rsidR="00972457" w:rsidRPr="00972457">
        <w:rPr>
          <w:i/>
          <w:szCs w:val="18"/>
        </w:rPr>
        <w:t>400,000 to &lt; 500,000</w:t>
      </w:r>
    </w:p>
    <w:p w14:paraId="637E5FA6" w14:textId="77652F6A" w:rsidR="006B4E38" w:rsidRDefault="006B4E38" w:rsidP="006B4E38">
      <w:pPr>
        <w:pStyle w:val="TableFooter"/>
        <w:jc w:val="left"/>
        <w:rPr>
          <w:i/>
          <w:szCs w:val="18"/>
        </w:rPr>
      </w:pPr>
      <w:r w:rsidRPr="00725DA3">
        <w:rPr>
          <w:i/>
          <w:szCs w:val="18"/>
          <w:vertAlign w:val="superscript"/>
        </w:rPr>
        <w:t>1</w:t>
      </w:r>
      <w:r>
        <w:rPr>
          <w:i/>
          <w:szCs w:val="18"/>
          <w:vertAlign w:val="superscript"/>
        </w:rPr>
        <w:t>6</w:t>
      </w:r>
      <w:r w:rsidRPr="00725DA3">
        <w:rPr>
          <w:i/>
          <w:szCs w:val="18"/>
        </w:rPr>
        <w:t xml:space="preserve"> </w:t>
      </w:r>
      <w:r w:rsidR="00972457" w:rsidRPr="00972457">
        <w:rPr>
          <w:i/>
          <w:szCs w:val="18"/>
        </w:rPr>
        <w:t>500,000 to &lt; 600,000</w:t>
      </w:r>
    </w:p>
    <w:p w14:paraId="0F7BCA10" w14:textId="7FD8F329" w:rsidR="006B4E38" w:rsidRDefault="006B4E38" w:rsidP="006B4E38">
      <w:pPr>
        <w:pStyle w:val="TableFooter"/>
        <w:jc w:val="left"/>
        <w:rPr>
          <w:i/>
          <w:szCs w:val="18"/>
        </w:rPr>
      </w:pPr>
      <w:r w:rsidRPr="00725DA3">
        <w:rPr>
          <w:i/>
          <w:szCs w:val="18"/>
          <w:vertAlign w:val="superscript"/>
        </w:rPr>
        <w:t>1</w:t>
      </w:r>
      <w:r>
        <w:rPr>
          <w:i/>
          <w:szCs w:val="18"/>
          <w:vertAlign w:val="superscript"/>
        </w:rPr>
        <w:t>7</w:t>
      </w:r>
      <w:r w:rsidRPr="00725DA3">
        <w:rPr>
          <w:i/>
          <w:szCs w:val="18"/>
        </w:rPr>
        <w:t xml:space="preserve"> </w:t>
      </w:r>
      <w:r w:rsidR="00972457" w:rsidRPr="00972457">
        <w:rPr>
          <w:i/>
          <w:szCs w:val="18"/>
        </w:rPr>
        <w:t>700,000 to &lt; 800,000</w:t>
      </w:r>
    </w:p>
    <w:p w14:paraId="19EDB477" w14:textId="3D7F0A41" w:rsidR="006B4E38" w:rsidRDefault="006B4E38" w:rsidP="006B4E38">
      <w:pPr>
        <w:pStyle w:val="TableFooter"/>
        <w:jc w:val="left"/>
        <w:rPr>
          <w:i/>
          <w:szCs w:val="18"/>
        </w:rPr>
      </w:pPr>
      <w:r w:rsidRPr="00725DA3">
        <w:rPr>
          <w:i/>
          <w:szCs w:val="18"/>
          <w:vertAlign w:val="superscript"/>
        </w:rPr>
        <w:t>1</w:t>
      </w:r>
      <w:r>
        <w:rPr>
          <w:i/>
          <w:szCs w:val="18"/>
          <w:vertAlign w:val="superscript"/>
        </w:rPr>
        <w:t>8</w:t>
      </w:r>
      <w:r w:rsidRPr="00725DA3">
        <w:rPr>
          <w:i/>
          <w:szCs w:val="18"/>
        </w:rPr>
        <w:t xml:space="preserve"> $</w:t>
      </w:r>
      <w:r w:rsidR="00972457" w:rsidRPr="00972457">
        <w:rPr>
          <w:i/>
          <w:szCs w:val="18"/>
        </w:rPr>
        <w:t>20 million to &lt; $30 million</w:t>
      </w:r>
    </w:p>
    <w:p w14:paraId="39DF734C" w14:textId="757C54A0" w:rsidR="006B4E38" w:rsidRDefault="006B4E38" w:rsidP="006B4E38">
      <w:pPr>
        <w:pStyle w:val="TableFooter"/>
        <w:jc w:val="left"/>
        <w:rPr>
          <w:i/>
          <w:szCs w:val="18"/>
        </w:rPr>
      </w:pPr>
      <w:r w:rsidRPr="00725DA3">
        <w:rPr>
          <w:i/>
          <w:szCs w:val="18"/>
          <w:vertAlign w:val="superscript"/>
        </w:rPr>
        <w:t>1</w:t>
      </w:r>
      <w:r>
        <w:rPr>
          <w:i/>
          <w:szCs w:val="18"/>
          <w:vertAlign w:val="superscript"/>
        </w:rPr>
        <w:t>9</w:t>
      </w:r>
      <w:r w:rsidRPr="00725DA3">
        <w:rPr>
          <w:i/>
          <w:szCs w:val="18"/>
        </w:rPr>
        <w:t xml:space="preserve"> $</w:t>
      </w:r>
      <w:r w:rsidR="00972457" w:rsidRPr="00972457">
        <w:rPr>
          <w:i/>
          <w:szCs w:val="18"/>
        </w:rPr>
        <w:t>30 million to &lt; $40 million</w:t>
      </w:r>
    </w:p>
    <w:p w14:paraId="05FA9DC2" w14:textId="2523FF5A" w:rsidR="006B4E38" w:rsidRDefault="006B4E38" w:rsidP="006B4E38">
      <w:pPr>
        <w:pStyle w:val="TableFooter"/>
        <w:jc w:val="left"/>
        <w:rPr>
          <w:i/>
          <w:szCs w:val="18"/>
        </w:rPr>
      </w:pPr>
      <w:r>
        <w:rPr>
          <w:i/>
          <w:szCs w:val="18"/>
          <w:vertAlign w:val="superscript"/>
        </w:rPr>
        <w:t>2</w:t>
      </w:r>
      <w:r w:rsidRPr="00725DA3">
        <w:rPr>
          <w:i/>
          <w:szCs w:val="18"/>
          <w:vertAlign w:val="superscript"/>
        </w:rPr>
        <w:t>0</w:t>
      </w:r>
      <w:r w:rsidRPr="00725DA3">
        <w:rPr>
          <w:i/>
          <w:szCs w:val="18"/>
        </w:rPr>
        <w:t xml:space="preserve"> $</w:t>
      </w:r>
      <w:r w:rsidR="00972457" w:rsidRPr="00972457">
        <w:rPr>
          <w:i/>
          <w:szCs w:val="18"/>
        </w:rPr>
        <w:t>50 million to &lt; $60 million</w:t>
      </w:r>
    </w:p>
    <w:p w14:paraId="1251787D" w14:textId="479F0DCC" w:rsidR="006B4E38" w:rsidRDefault="006B4E38" w:rsidP="006B4E38">
      <w:pPr>
        <w:pStyle w:val="TableFooter"/>
        <w:jc w:val="left"/>
        <w:rPr>
          <w:i/>
          <w:szCs w:val="18"/>
        </w:rPr>
      </w:pPr>
      <w:r>
        <w:rPr>
          <w:i/>
          <w:szCs w:val="18"/>
          <w:vertAlign w:val="superscript"/>
        </w:rPr>
        <w:t>21</w:t>
      </w:r>
      <w:r w:rsidRPr="00725DA3">
        <w:rPr>
          <w:i/>
          <w:szCs w:val="18"/>
        </w:rPr>
        <w:t xml:space="preserve"> $</w:t>
      </w:r>
      <w:r w:rsidR="00972457" w:rsidRPr="00972457">
        <w:rPr>
          <w:i/>
          <w:szCs w:val="18"/>
        </w:rPr>
        <w:t>60 million to &lt; $70 million</w:t>
      </w:r>
    </w:p>
    <w:p w14:paraId="16BDDD95" w14:textId="27E75280" w:rsidR="006B4E38" w:rsidRDefault="006B4E38" w:rsidP="006B4E38">
      <w:pPr>
        <w:pStyle w:val="TableFooter"/>
        <w:jc w:val="left"/>
        <w:rPr>
          <w:i/>
          <w:szCs w:val="18"/>
        </w:rPr>
      </w:pPr>
      <w:r>
        <w:rPr>
          <w:i/>
          <w:szCs w:val="18"/>
          <w:vertAlign w:val="superscript"/>
        </w:rPr>
        <w:t>22</w:t>
      </w:r>
      <w:r w:rsidRPr="00725DA3">
        <w:rPr>
          <w:i/>
          <w:szCs w:val="18"/>
        </w:rPr>
        <w:t xml:space="preserve"> $</w:t>
      </w:r>
      <w:r w:rsidR="00972457" w:rsidRPr="00972457">
        <w:rPr>
          <w:i/>
          <w:szCs w:val="18"/>
        </w:rPr>
        <w:t>80 million to &lt; $90 million</w:t>
      </w:r>
    </w:p>
    <w:p w14:paraId="2913494B" w14:textId="41297B6B" w:rsidR="006B4E38" w:rsidRDefault="006B4E38" w:rsidP="006B4E38">
      <w:pPr>
        <w:pStyle w:val="TableFooter"/>
        <w:jc w:val="left"/>
        <w:rPr>
          <w:i/>
          <w:szCs w:val="18"/>
        </w:rPr>
      </w:pPr>
      <w:r>
        <w:rPr>
          <w:i/>
          <w:szCs w:val="18"/>
          <w:vertAlign w:val="superscript"/>
        </w:rPr>
        <w:t>23</w:t>
      </w:r>
      <w:r w:rsidRPr="00725DA3">
        <w:rPr>
          <w:i/>
          <w:szCs w:val="18"/>
        </w:rPr>
        <w:t xml:space="preserve"> $</w:t>
      </w:r>
      <w:r w:rsidR="00972457" w:rsidRPr="00972457">
        <w:rPr>
          <w:i/>
          <w:szCs w:val="18"/>
        </w:rPr>
        <w:t>100 million to &lt; $200 million</w:t>
      </w:r>
    </w:p>
    <w:p w14:paraId="275D17D0" w14:textId="7BD8FDFB" w:rsidR="006B4E38" w:rsidRDefault="006B4E38" w:rsidP="006B4E38">
      <w:pPr>
        <w:pStyle w:val="TableFooter"/>
        <w:jc w:val="left"/>
        <w:rPr>
          <w:i/>
          <w:szCs w:val="18"/>
        </w:rPr>
      </w:pPr>
      <w:r>
        <w:rPr>
          <w:i/>
          <w:szCs w:val="18"/>
          <w:vertAlign w:val="superscript"/>
        </w:rPr>
        <w:t>24</w:t>
      </w:r>
      <w:r w:rsidRPr="00725DA3">
        <w:rPr>
          <w:i/>
          <w:szCs w:val="18"/>
        </w:rPr>
        <w:t xml:space="preserve"> $</w:t>
      </w:r>
      <w:r w:rsidR="00972457" w:rsidRPr="00972457">
        <w:rPr>
          <w:i/>
          <w:szCs w:val="18"/>
        </w:rPr>
        <w:t>0 to &lt; $10 million</w:t>
      </w:r>
    </w:p>
    <w:p w14:paraId="753F79BA" w14:textId="692B7D9B" w:rsidR="006B4E38" w:rsidRDefault="006B4E38" w:rsidP="006B4E38">
      <w:pPr>
        <w:pStyle w:val="TableFooter"/>
        <w:jc w:val="left"/>
        <w:rPr>
          <w:i/>
          <w:szCs w:val="18"/>
        </w:rPr>
      </w:pPr>
      <w:r>
        <w:rPr>
          <w:i/>
          <w:szCs w:val="18"/>
          <w:vertAlign w:val="superscript"/>
        </w:rPr>
        <w:t>25</w:t>
      </w:r>
      <w:r w:rsidRPr="00725DA3">
        <w:rPr>
          <w:i/>
          <w:szCs w:val="18"/>
        </w:rPr>
        <w:t xml:space="preserve"> $</w:t>
      </w:r>
      <w:r w:rsidR="003D1771" w:rsidRPr="003D1771">
        <w:rPr>
          <w:i/>
          <w:szCs w:val="18"/>
        </w:rPr>
        <w:t>10 million to &lt; $20 million</w:t>
      </w:r>
    </w:p>
    <w:p w14:paraId="6232673D" w14:textId="4D251429" w:rsidR="006B4E38" w:rsidRPr="00CF7D68" w:rsidRDefault="006B4E38" w:rsidP="00C856F6">
      <w:pPr>
        <w:pStyle w:val="TableFooter"/>
        <w:jc w:val="left"/>
        <w:rPr>
          <w:vertAlign w:val="superscript"/>
        </w:rPr>
      </w:pPr>
      <w:r>
        <w:rPr>
          <w:i/>
          <w:szCs w:val="18"/>
          <w:vertAlign w:val="superscript"/>
        </w:rPr>
        <w:t>26</w:t>
      </w:r>
      <w:r w:rsidRPr="00725DA3">
        <w:rPr>
          <w:i/>
          <w:szCs w:val="18"/>
        </w:rPr>
        <w:t xml:space="preserve"> $</w:t>
      </w:r>
      <w:r w:rsidR="003D1771" w:rsidRPr="003D1771">
        <w:rPr>
          <w:i/>
          <w:szCs w:val="18"/>
        </w:rPr>
        <w:t>40 million to &lt; $50 million</w:t>
      </w:r>
    </w:p>
    <w:p w14:paraId="04A19FDD" w14:textId="16FB4AC1" w:rsidR="00D606DF" w:rsidRPr="00CF7D68" w:rsidRDefault="00D606DF" w:rsidP="00D606DF">
      <w:pPr>
        <w:pStyle w:val="ExecSumBodyText"/>
        <w:ind w:left="709" w:hanging="709"/>
      </w:pPr>
      <w:r w:rsidRPr="00CF7D68">
        <w:t xml:space="preserve">The estimated net cost to the PBS/RPBS for </w:t>
      </w:r>
      <w:proofErr w:type="spellStart"/>
      <w:r w:rsidRPr="00CF7D68">
        <w:t>finerenone</w:t>
      </w:r>
      <w:proofErr w:type="spellEnd"/>
      <w:r w:rsidRPr="00CF7D68">
        <w:t xml:space="preserve"> was </w:t>
      </w:r>
      <w:r w:rsidR="002F040A" w:rsidRPr="002F040A">
        <w:t>$20 million to &lt; $30 million</w:t>
      </w:r>
      <w:r w:rsidRPr="00CF7D68">
        <w:t xml:space="preserve"> in Year 1, increasing to </w:t>
      </w:r>
      <w:r w:rsidR="002F040A" w:rsidRPr="002F040A">
        <w:t>$80 million to &lt; $90 million</w:t>
      </w:r>
      <w:r w:rsidRPr="00CF7D68">
        <w:t xml:space="preserve"> in Year 6, a total of $</w:t>
      </w:r>
      <w:r w:rsidR="002F040A" w:rsidRPr="002F040A">
        <w:t>200 million to &lt; $300 million</w:t>
      </w:r>
      <w:r w:rsidRPr="00CF7D68">
        <w:t xml:space="preserve"> over the first 6</w:t>
      </w:r>
      <w:r w:rsidR="002A0F70">
        <w:t> </w:t>
      </w:r>
      <w:r w:rsidRPr="00CF7D68">
        <w:t xml:space="preserve">years of listing (original uncorrected estimate </w:t>
      </w:r>
      <w:r w:rsidR="002F040A" w:rsidRPr="002F040A">
        <w:t>$200 million to &lt; $300 million</w:t>
      </w:r>
      <w:r w:rsidRPr="00CF7D68">
        <w:t xml:space="preserve">). </w:t>
      </w:r>
    </w:p>
    <w:p w14:paraId="4D7DFCA7" w14:textId="36FA591A" w:rsidR="00D606DF" w:rsidRPr="00CF7D68" w:rsidRDefault="00D606DF" w:rsidP="00D606DF">
      <w:pPr>
        <w:pStyle w:val="ExecSumBodyText"/>
        <w:ind w:left="709" w:hanging="709"/>
        <w:rPr>
          <w:iCs/>
        </w:rPr>
      </w:pPr>
      <w:r w:rsidRPr="00CF7D68">
        <w:rPr>
          <w:iCs/>
        </w:rPr>
        <w:t xml:space="preserve">Overall, the approach used in the submission </w:t>
      </w:r>
      <w:r w:rsidR="00C04DF4" w:rsidRPr="00CF7D68">
        <w:rPr>
          <w:iCs/>
        </w:rPr>
        <w:t>did not adequately</w:t>
      </w:r>
      <w:r w:rsidRPr="00CF7D68">
        <w:rPr>
          <w:iCs/>
        </w:rPr>
        <w:t xml:space="preserve"> identify the pool of patients who would be eligible for treatment with </w:t>
      </w:r>
      <w:proofErr w:type="spellStart"/>
      <w:r w:rsidRPr="00CF7D68">
        <w:rPr>
          <w:iCs/>
        </w:rPr>
        <w:t>finerenone</w:t>
      </w:r>
      <w:proofErr w:type="spellEnd"/>
      <w:r w:rsidRPr="00CF7D68">
        <w:rPr>
          <w:iCs/>
        </w:rPr>
        <w:t xml:space="preserve">. Eligible population estimates were inappropriately based on a prevalent pool of CKD patients rather than patients with diabetic kidney disease. The majority of subsequent inputs used to determine the eligible population were also based on the broader CKD population (CKD diagnosis rate, proportion with serum potassium &lt;5 mmol/L, patients on </w:t>
      </w:r>
      <w:proofErr w:type="spellStart"/>
      <w:r w:rsidRPr="00CF7D68">
        <w:rPr>
          <w:iCs/>
        </w:rPr>
        <w:t>ACEi</w:t>
      </w:r>
      <w:proofErr w:type="spellEnd"/>
      <w:r w:rsidRPr="00CF7D68">
        <w:rPr>
          <w:iCs/>
        </w:rPr>
        <w:t xml:space="preserve">/ARB) that </w:t>
      </w:r>
      <w:r w:rsidR="00F127C2" w:rsidRPr="00CF7D68">
        <w:rPr>
          <w:iCs/>
        </w:rPr>
        <w:t>are</w:t>
      </w:r>
      <w:r w:rsidRPr="00CF7D68">
        <w:rPr>
          <w:iCs/>
        </w:rPr>
        <w:t xml:space="preserve"> unlikely to be applicable to the subgroup of patients with CKD who have a primary diagnosis of diabetes.</w:t>
      </w:r>
      <w:r w:rsidR="003864E0" w:rsidRPr="00CF7D68">
        <w:rPr>
          <w:iCs/>
        </w:rPr>
        <w:t xml:space="preserve"> </w:t>
      </w:r>
      <w:r w:rsidR="003864E0" w:rsidRPr="00CF7D68">
        <w:t>The ESC advised that CKD diagnosis among patients with diabetes is likely to be higher compared to a non-diabetic CKD patient population.</w:t>
      </w:r>
    </w:p>
    <w:p w14:paraId="75527858" w14:textId="680315F3" w:rsidR="00D606DF" w:rsidRPr="00CF7D68" w:rsidRDefault="00D606DF" w:rsidP="00D606DF">
      <w:pPr>
        <w:pStyle w:val="ExecSumBodyText"/>
        <w:ind w:left="709" w:hanging="709"/>
        <w:rPr>
          <w:iCs/>
        </w:rPr>
      </w:pPr>
      <w:r w:rsidRPr="00CF7D68">
        <w:rPr>
          <w:iCs/>
        </w:rPr>
        <w:t xml:space="preserve">In 2011-12, the total prevalence of adults with diabetic kidney disease was 1.7% (comprising 1.1% with cardiovascular disease, </w:t>
      </w:r>
      <w:proofErr w:type="gramStart"/>
      <w:r w:rsidRPr="00CF7D68">
        <w:rPr>
          <w:iCs/>
        </w:rPr>
        <w:t>diabetes</w:t>
      </w:r>
      <w:proofErr w:type="gramEnd"/>
      <w:r w:rsidRPr="00CF7D68">
        <w:rPr>
          <w:iCs/>
        </w:rPr>
        <w:t xml:space="preserve"> and CKD and 0.6% with diabetes and CKD only) (AIHW 2014 report). This represents approximately 358,402 Australians in Year 1 of listing (calculated as 1.7% </w:t>
      </w:r>
      <w:r w:rsidR="00C04DF4" w:rsidRPr="00CF7D68">
        <w:rPr>
          <w:rFonts w:cstheme="minorHAnsi"/>
          <w:iCs/>
        </w:rPr>
        <w:t>×</w:t>
      </w:r>
      <w:r w:rsidRPr="00CF7D68">
        <w:rPr>
          <w:iCs/>
        </w:rPr>
        <w:t xml:space="preserve"> 21,082,471 projected Australian population age </w:t>
      </w:r>
      <w:r w:rsidR="00F127C2" w:rsidRPr="00CF7D68">
        <w:rPr>
          <w:iCs/>
          <w:u w:val="single"/>
        </w:rPr>
        <w:t>&gt;</w:t>
      </w:r>
      <w:r w:rsidRPr="00CF7D68">
        <w:rPr>
          <w:iCs/>
        </w:rPr>
        <w:t xml:space="preserve">18 years in 2023, ABS 3222.0). The </w:t>
      </w:r>
      <w:r w:rsidR="00510177" w:rsidRPr="00CF7D68">
        <w:t xml:space="preserve">ESC considered that the </w:t>
      </w:r>
      <w:r w:rsidRPr="00CF7D68">
        <w:rPr>
          <w:iCs/>
        </w:rPr>
        <w:t xml:space="preserve">size of the eligible </w:t>
      </w:r>
      <w:r w:rsidR="0062491A" w:rsidRPr="00CF7D68">
        <w:rPr>
          <w:iCs/>
        </w:rPr>
        <w:t>diabetic kidney disease</w:t>
      </w:r>
      <w:r w:rsidRPr="00CF7D68">
        <w:rPr>
          <w:iCs/>
        </w:rPr>
        <w:t xml:space="preserve"> population who are also treated with </w:t>
      </w:r>
      <w:proofErr w:type="spellStart"/>
      <w:r w:rsidRPr="00CF7D68">
        <w:rPr>
          <w:iCs/>
        </w:rPr>
        <w:t>ACEi</w:t>
      </w:r>
      <w:proofErr w:type="spellEnd"/>
      <w:r w:rsidRPr="00CF7D68">
        <w:rPr>
          <w:iCs/>
        </w:rPr>
        <w:t>/ARB, do not have serum potassium levels greater than 5</w:t>
      </w:r>
      <w:r w:rsidR="004B1916" w:rsidRPr="00CF7D68">
        <w:rPr>
          <w:iCs/>
        </w:rPr>
        <w:t> </w:t>
      </w:r>
      <w:r w:rsidRPr="00CF7D68">
        <w:rPr>
          <w:iCs/>
        </w:rPr>
        <w:t>mmol/L and have persistent albuminuria is likely to be substantially smaller than estimated in the submission.</w:t>
      </w:r>
      <w:r w:rsidR="001D30F4" w:rsidRPr="00CF7D68">
        <w:rPr>
          <w:iCs/>
        </w:rPr>
        <w:t xml:space="preserve"> </w:t>
      </w:r>
    </w:p>
    <w:p w14:paraId="77DFB476" w14:textId="0FE6C77D" w:rsidR="00D606DF" w:rsidRPr="00CF7D68" w:rsidRDefault="00D606DF" w:rsidP="00357BD7">
      <w:pPr>
        <w:pStyle w:val="ExecSumBodyText"/>
        <w:ind w:left="709" w:hanging="709"/>
        <w:rPr>
          <w:iCs/>
        </w:rPr>
      </w:pPr>
      <w:r w:rsidRPr="00CF7D68">
        <w:rPr>
          <w:iCs/>
        </w:rPr>
        <w:t xml:space="preserve">The submission acknowledged that SGLT2 inhibitors are likely to be considered as part of standard of care but did not consider the potential impact of greater use of these agents on the uptake of </w:t>
      </w:r>
      <w:proofErr w:type="spellStart"/>
      <w:r w:rsidRPr="00CF7D68">
        <w:rPr>
          <w:iCs/>
        </w:rPr>
        <w:t>finerenone</w:t>
      </w:r>
      <w:proofErr w:type="spellEnd"/>
      <w:r w:rsidRPr="00CF7D68">
        <w:rPr>
          <w:iCs/>
        </w:rPr>
        <w:t xml:space="preserve">. SGLT2 inhibitors and </w:t>
      </w:r>
      <w:r w:rsidR="007715D3" w:rsidRPr="00CF7D68">
        <w:rPr>
          <w:iCs/>
        </w:rPr>
        <w:t>GLP1</w:t>
      </w:r>
      <w:r w:rsidRPr="00CF7D68">
        <w:rPr>
          <w:iCs/>
        </w:rPr>
        <w:t xml:space="preserve"> analogues (in combination with metformin) </w:t>
      </w:r>
      <w:r w:rsidR="00343672" w:rsidRPr="00CF7D68">
        <w:rPr>
          <w:iCs/>
        </w:rPr>
        <w:t>are expected</w:t>
      </w:r>
      <w:r w:rsidRPr="00CF7D68">
        <w:rPr>
          <w:iCs/>
        </w:rPr>
        <w:t xml:space="preserve"> to reduce cardiorenal complications, therefore the proportion of patients who require an additional treatment for renal complications is likely to be lower with current standard of care.</w:t>
      </w:r>
    </w:p>
    <w:p w14:paraId="5C1B13AB" w14:textId="65BD876A" w:rsidR="00D606DF" w:rsidRPr="00CF7D68" w:rsidRDefault="00D606DF" w:rsidP="00357BD7">
      <w:pPr>
        <w:pStyle w:val="ExecSumBodyText"/>
        <w:ind w:left="709" w:hanging="709"/>
        <w:rPr>
          <w:iCs/>
        </w:rPr>
      </w:pPr>
      <w:r w:rsidRPr="00CF7D68">
        <w:rPr>
          <w:iCs/>
        </w:rPr>
        <w:t xml:space="preserve">Treatment utilisation estimates may be overestimated based on assumed uptake rates that were meant to account for discontinuations due to death or commencement of </w:t>
      </w:r>
      <w:r w:rsidRPr="00CF7D68">
        <w:rPr>
          <w:iCs/>
        </w:rPr>
        <w:lastRenderedPageBreak/>
        <w:t>renal replacement therapy. The</w:t>
      </w:r>
      <w:r w:rsidR="00510177" w:rsidRPr="00CF7D68">
        <w:rPr>
          <w:iCs/>
        </w:rPr>
        <w:t xml:space="preserve"> </w:t>
      </w:r>
      <w:r w:rsidR="00510177" w:rsidRPr="00CF7D68">
        <w:t>ESC considered that the</w:t>
      </w:r>
      <w:r w:rsidRPr="00CF7D68">
        <w:rPr>
          <w:iCs/>
        </w:rPr>
        <w:t xml:space="preserve"> uptake rates appeared high when considering discontinuation rates observed in the trials at 4 years (30-40% in FIDELIO-DKD, FIGARO-DKD and FIDELITY). Uptake rates in the PBS population are highly uncertain as it will depend on patient characteristics which were inadequately described in the submission.</w:t>
      </w:r>
    </w:p>
    <w:p w14:paraId="15CE6A41" w14:textId="51DBA7B4" w:rsidR="00D606DF" w:rsidRPr="00CF7D68" w:rsidRDefault="00D606DF" w:rsidP="00357BD7">
      <w:pPr>
        <w:pStyle w:val="ExecSumBodyText"/>
        <w:ind w:left="709" w:hanging="709"/>
        <w:rPr>
          <w:iCs/>
        </w:rPr>
      </w:pPr>
      <w:r w:rsidRPr="00CF7D68">
        <w:rPr>
          <w:iCs/>
        </w:rPr>
        <w:t>The submission did not consider the potentially substantial proportion of patients with diabetic kidney disease who have comorbid heart failure and/or treatment-resistant essential hypertension for which steroidal mineralocorticoid receptor antagonists (e.g. spironolactone, eplerenone) are recommended treatment options.</w:t>
      </w:r>
      <w:r w:rsidR="007B5DDD" w:rsidRPr="00CF7D68">
        <w:rPr>
          <w:iCs/>
        </w:rPr>
        <w:t xml:space="preserve"> </w:t>
      </w:r>
      <w:r w:rsidR="00510177" w:rsidRPr="00CF7D68">
        <w:t xml:space="preserve">The ESC considered that the potential displacement of these therapies could be managed via restriction criteria that </w:t>
      </w:r>
      <w:r w:rsidR="007B5DDD" w:rsidRPr="00CF7D68">
        <w:t xml:space="preserve">explicitly exclude patients on other </w:t>
      </w:r>
      <w:r w:rsidR="00510177" w:rsidRPr="00CF7D68">
        <w:t>MRAs</w:t>
      </w:r>
      <w:r w:rsidR="007B5DDD" w:rsidRPr="00CF7D68">
        <w:t xml:space="preserve"> or patients with established </w:t>
      </w:r>
      <w:proofErr w:type="spellStart"/>
      <w:r w:rsidR="007B5DDD" w:rsidRPr="00CF7D68">
        <w:t>HFrEF</w:t>
      </w:r>
      <w:proofErr w:type="spellEnd"/>
      <w:r w:rsidR="007B5DDD" w:rsidRPr="00CF7D68">
        <w:t xml:space="preserve"> and an indication for a</w:t>
      </w:r>
      <w:r w:rsidR="00510177" w:rsidRPr="00CF7D68">
        <w:t>n MRA</w:t>
      </w:r>
      <w:r w:rsidR="007B5DDD" w:rsidRPr="00CF7D68">
        <w:t>.</w:t>
      </w:r>
    </w:p>
    <w:p w14:paraId="3D79CAE1" w14:textId="3157722A" w:rsidR="00104786" w:rsidRPr="00104786" w:rsidRDefault="00D606DF" w:rsidP="00873ACF">
      <w:pPr>
        <w:pStyle w:val="ExecSumBodyText"/>
        <w:ind w:left="709" w:hanging="709"/>
      </w:pPr>
      <w:r w:rsidRPr="00CF7D68">
        <w:rPr>
          <w:iCs/>
        </w:rPr>
        <w:t>The submission did not account for additional costs associated with the monitoring and treatment of hyperkalaemia. The approach was also inconsistent with the economic analysis of the submission, which included additional costs due to hyperkalaemia events with and without hospitalisation.</w:t>
      </w:r>
      <w:r w:rsidR="003D3490" w:rsidRPr="00CF7D68">
        <w:rPr>
          <w:iCs/>
        </w:rPr>
        <w:t xml:space="preserve"> </w:t>
      </w:r>
      <w:r w:rsidR="003D3490" w:rsidRPr="00CF7D68">
        <w:t>The ESC agreed</w:t>
      </w:r>
      <w:r w:rsidR="00A91BD0" w:rsidRPr="00CF7D68">
        <w:t xml:space="preserve"> with the </w:t>
      </w:r>
      <w:r w:rsidR="000C2810" w:rsidRPr="00CF7D68">
        <w:t xml:space="preserve">PSCR </w:t>
      </w:r>
      <w:r w:rsidR="003D3490" w:rsidRPr="00CF7D68">
        <w:t xml:space="preserve">that Australian clinicians are generally well versed in the monitoring and management of hyperkalaemia, but </w:t>
      </w:r>
      <w:r w:rsidR="000C2810" w:rsidRPr="00CF7D68">
        <w:t>considered</w:t>
      </w:r>
      <w:r w:rsidR="003D3490" w:rsidRPr="00CF7D68">
        <w:t xml:space="preserve"> that additional costs in monitoring and </w:t>
      </w:r>
      <w:r w:rsidR="003D3490" w:rsidRPr="00ED7936">
        <w:rPr>
          <w:iCs/>
        </w:rPr>
        <w:t xml:space="preserve">management would ensue. </w:t>
      </w:r>
      <w:r w:rsidR="001A2F96" w:rsidRPr="00104786">
        <w:rPr>
          <w:rFonts w:eastAsiaTheme="majorEastAsia" w:cstheme="majorBidi"/>
          <w:b/>
          <w:i/>
          <w:iCs/>
          <w:spacing w:val="5"/>
          <w:kern w:val="28"/>
          <w:sz w:val="28"/>
          <w:szCs w:val="36"/>
        </w:rPr>
        <w:t xml:space="preserve"> </w:t>
      </w:r>
    </w:p>
    <w:p w14:paraId="6015A395" w14:textId="4C4B90D7" w:rsidR="00576972" w:rsidRPr="00CF7D68" w:rsidRDefault="00576972" w:rsidP="00606FBA">
      <w:pPr>
        <w:pStyle w:val="3-SubsectionHeading"/>
      </w:pPr>
      <w:bookmarkStart w:id="61" w:name="_Toc22897649"/>
      <w:bookmarkStart w:id="62" w:name="_Toc103772423"/>
      <w:r w:rsidRPr="00CF7D68">
        <w:t>Financial Management – Risk Sharing Arrangements</w:t>
      </w:r>
      <w:bookmarkEnd w:id="61"/>
      <w:bookmarkEnd w:id="62"/>
    </w:p>
    <w:p w14:paraId="271A8627" w14:textId="329DF976" w:rsidR="00357BD7" w:rsidRPr="00CF7D68" w:rsidRDefault="00357BD7" w:rsidP="00357BD7">
      <w:pPr>
        <w:pStyle w:val="ExecSumBodyText"/>
        <w:ind w:left="709" w:hanging="709"/>
      </w:pPr>
      <w:r w:rsidRPr="00CF7D68">
        <w:t xml:space="preserve">The submission stated that the sponsor is willing to work with the Department </w:t>
      </w:r>
      <w:r w:rsidR="00C04DF4" w:rsidRPr="00CF7D68">
        <w:t xml:space="preserve">of Health </w:t>
      </w:r>
      <w:r w:rsidRPr="00CF7D68">
        <w:t xml:space="preserve">to managing uncertainty in the financial impact of listing </w:t>
      </w:r>
      <w:proofErr w:type="spellStart"/>
      <w:r w:rsidRPr="00CF7D68">
        <w:t>finerenone</w:t>
      </w:r>
      <w:proofErr w:type="spellEnd"/>
      <w:r w:rsidRPr="00CF7D68">
        <w:t xml:space="preserve"> on the PBS/RPBS through available mechanisms, including but not limited to a review of the proposed clinical criteria and/or a risk-sharing arrangement.</w:t>
      </w:r>
      <w:r w:rsidR="00510177" w:rsidRPr="00CF7D68">
        <w:t xml:space="preserve"> </w:t>
      </w:r>
      <w:r w:rsidR="00510177" w:rsidRPr="00CF7D68">
        <w:rPr>
          <w:iCs/>
        </w:rPr>
        <w:t xml:space="preserve">The ESC noted the </w:t>
      </w:r>
      <w:r w:rsidR="00F04AB0" w:rsidRPr="00CF7D68">
        <w:rPr>
          <w:iCs/>
        </w:rPr>
        <w:t xml:space="preserve">high and uncertain estimated impact on PBS expenditure and advised that the PBAC consider appropriate risk-sharing arrangements. </w:t>
      </w:r>
      <w:bookmarkStart w:id="63" w:name="_Hlk108614914"/>
      <w:r w:rsidR="00D56721" w:rsidRPr="00CF7D68">
        <w:rPr>
          <w:iCs/>
        </w:rPr>
        <w:t xml:space="preserve">The pre-PBAC response stated the </w:t>
      </w:r>
      <w:r w:rsidR="001608E6" w:rsidRPr="00CF7D68">
        <w:rPr>
          <w:iCs/>
        </w:rPr>
        <w:t>s</w:t>
      </w:r>
      <w:r w:rsidR="00D56721" w:rsidRPr="00CF7D68">
        <w:rPr>
          <w:iCs/>
        </w:rPr>
        <w:t>ponsor was willing to consider a risk-sharing arrangement in order to manage any remaining uncertainty in the financial estimates.</w:t>
      </w:r>
      <w:bookmarkEnd w:id="63"/>
    </w:p>
    <w:p w14:paraId="04757E0F" w14:textId="14543BD1" w:rsidR="003C53CC" w:rsidRPr="00CF7D68" w:rsidRDefault="003C53CC" w:rsidP="003C53CC">
      <w:pPr>
        <w:pStyle w:val="ExecSumBodyText"/>
        <w:numPr>
          <w:ilvl w:val="0"/>
          <w:numId w:val="0"/>
        </w:numPr>
        <w:rPr>
          <w:i/>
        </w:rPr>
      </w:pPr>
      <w:r w:rsidRPr="00CF7D68">
        <w:rPr>
          <w:i/>
        </w:rPr>
        <w:t>For more detail on PBAC’s view, see section 7 PBAC outcome.</w:t>
      </w:r>
    </w:p>
    <w:p w14:paraId="4C43990C" w14:textId="77777777" w:rsidR="00644C08" w:rsidRPr="00CF7D68" w:rsidRDefault="00644C08" w:rsidP="00E90169">
      <w:pPr>
        <w:pStyle w:val="2-SectionHeading"/>
      </w:pPr>
      <w:bookmarkStart w:id="64" w:name="_Hlk76381249"/>
      <w:bookmarkStart w:id="65" w:name="_Hlk76377955"/>
      <w:r w:rsidRPr="00CF7D68">
        <w:t>PBAC Outcome</w:t>
      </w:r>
    </w:p>
    <w:p w14:paraId="0B06A981" w14:textId="232A2640" w:rsidR="0042700B" w:rsidRPr="00CF7D68" w:rsidRDefault="0042700B" w:rsidP="00644C08">
      <w:pPr>
        <w:widowControl w:val="0"/>
        <w:numPr>
          <w:ilvl w:val="1"/>
          <w:numId w:val="1"/>
        </w:numPr>
        <w:spacing w:after="120"/>
        <w:ind w:left="720" w:hanging="720"/>
        <w:rPr>
          <w:rFonts w:asciiTheme="minorHAnsi" w:hAnsiTheme="minorHAnsi"/>
          <w:snapToGrid w:val="0"/>
        </w:rPr>
      </w:pPr>
      <w:r w:rsidRPr="00CF7D68">
        <w:rPr>
          <w:rFonts w:asciiTheme="minorHAnsi" w:hAnsiTheme="minorHAnsi"/>
          <w:snapToGrid w:val="0"/>
        </w:rPr>
        <w:t xml:space="preserve">The PBAC did not recommend </w:t>
      </w:r>
      <w:r w:rsidR="00FC6D38">
        <w:rPr>
          <w:rFonts w:asciiTheme="minorHAnsi" w:hAnsiTheme="minorHAnsi"/>
          <w:snapToGrid w:val="0"/>
        </w:rPr>
        <w:t xml:space="preserve">the PBS listing </w:t>
      </w:r>
      <w:r w:rsidR="00CD5BF4">
        <w:rPr>
          <w:rFonts w:asciiTheme="minorHAnsi" w:hAnsiTheme="minorHAnsi"/>
          <w:snapToGrid w:val="0"/>
        </w:rPr>
        <w:t xml:space="preserve">of </w:t>
      </w:r>
      <w:proofErr w:type="spellStart"/>
      <w:r w:rsidRPr="00CF7D68">
        <w:rPr>
          <w:rFonts w:asciiTheme="minorHAnsi" w:hAnsiTheme="minorHAnsi"/>
          <w:snapToGrid w:val="0"/>
        </w:rPr>
        <w:t>finerenone</w:t>
      </w:r>
      <w:proofErr w:type="spellEnd"/>
      <w:r w:rsidRPr="00CF7D68">
        <w:rPr>
          <w:rFonts w:asciiTheme="minorHAnsi" w:hAnsiTheme="minorHAnsi"/>
          <w:snapToGrid w:val="0"/>
        </w:rPr>
        <w:t xml:space="preserve"> for the treatment of diabetic kidney disease. The PBAC </w:t>
      </w:r>
      <w:r w:rsidR="00CD5BF4">
        <w:rPr>
          <w:rFonts w:asciiTheme="minorHAnsi" w:hAnsiTheme="minorHAnsi"/>
          <w:snapToGrid w:val="0"/>
        </w:rPr>
        <w:t xml:space="preserve">had low confidence </w:t>
      </w:r>
      <w:r w:rsidR="002E1761">
        <w:rPr>
          <w:rFonts w:asciiTheme="minorHAnsi" w:hAnsiTheme="minorHAnsi"/>
          <w:snapToGrid w:val="0"/>
        </w:rPr>
        <w:t xml:space="preserve">(due to imprecision </w:t>
      </w:r>
      <w:r w:rsidR="00510AC2">
        <w:rPr>
          <w:rFonts w:asciiTheme="minorHAnsi" w:hAnsiTheme="minorHAnsi"/>
          <w:snapToGrid w:val="0"/>
        </w:rPr>
        <w:t xml:space="preserve">and heterogeneity) </w:t>
      </w:r>
      <w:r w:rsidR="00CD5BF4">
        <w:rPr>
          <w:rFonts w:asciiTheme="minorHAnsi" w:hAnsiTheme="minorHAnsi"/>
          <w:snapToGrid w:val="0"/>
        </w:rPr>
        <w:t xml:space="preserve">in the clinical evidence presented for </w:t>
      </w:r>
      <w:proofErr w:type="spellStart"/>
      <w:r w:rsidR="00CD5BF4">
        <w:rPr>
          <w:rFonts w:asciiTheme="minorHAnsi" w:hAnsiTheme="minorHAnsi"/>
          <w:snapToGrid w:val="0"/>
        </w:rPr>
        <w:t>finerenone</w:t>
      </w:r>
      <w:proofErr w:type="spellEnd"/>
      <w:r w:rsidR="00510AC2">
        <w:rPr>
          <w:rFonts w:asciiTheme="minorHAnsi" w:hAnsiTheme="minorHAnsi"/>
          <w:snapToGrid w:val="0"/>
        </w:rPr>
        <w:t xml:space="preserve">, particularly </w:t>
      </w:r>
      <w:r w:rsidR="00E323DA">
        <w:rPr>
          <w:rFonts w:asciiTheme="minorHAnsi" w:hAnsiTheme="minorHAnsi"/>
          <w:snapToGrid w:val="0"/>
        </w:rPr>
        <w:t xml:space="preserve">in </w:t>
      </w:r>
      <w:r w:rsidR="00510AC2">
        <w:rPr>
          <w:rFonts w:asciiTheme="minorHAnsi" w:hAnsiTheme="minorHAnsi"/>
          <w:snapToGrid w:val="0"/>
        </w:rPr>
        <w:t xml:space="preserve">the incremental benefit achieved over and above standard of care (including </w:t>
      </w:r>
      <w:proofErr w:type="spellStart"/>
      <w:r w:rsidR="00510AC2">
        <w:rPr>
          <w:rFonts w:asciiTheme="minorHAnsi" w:hAnsiTheme="minorHAnsi"/>
          <w:snapToGrid w:val="0"/>
        </w:rPr>
        <w:t>ACEi</w:t>
      </w:r>
      <w:proofErr w:type="spellEnd"/>
      <w:r w:rsidR="00510AC2">
        <w:rPr>
          <w:rFonts w:asciiTheme="minorHAnsi" w:hAnsiTheme="minorHAnsi"/>
          <w:snapToGrid w:val="0"/>
        </w:rPr>
        <w:t xml:space="preserve">/ARB and SGLT2 treatment). </w:t>
      </w:r>
      <w:r w:rsidR="00E422D8">
        <w:rPr>
          <w:rFonts w:asciiTheme="minorHAnsi" w:hAnsiTheme="minorHAnsi"/>
          <w:snapToGrid w:val="0"/>
        </w:rPr>
        <w:t xml:space="preserve">It also considered that </w:t>
      </w:r>
      <w:proofErr w:type="spellStart"/>
      <w:r w:rsidR="00E422D8">
        <w:rPr>
          <w:rFonts w:asciiTheme="minorHAnsi" w:hAnsiTheme="minorHAnsi"/>
          <w:snapToGrid w:val="0"/>
        </w:rPr>
        <w:t>finerenone</w:t>
      </w:r>
      <w:proofErr w:type="spellEnd"/>
      <w:r w:rsidR="00E422D8">
        <w:rPr>
          <w:rFonts w:asciiTheme="minorHAnsi" w:hAnsiTheme="minorHAnsi"/>
          <w:snapToGrid w:val="0"/>
        </w:rPr>
        <w:t xml:space="preserve"> had a more limited role in clinical practice than had been suggested by the submission</w:t>
      </w:r>
      <w:r w:rsidR="00510AC2">
        <w:rPr>
          <w:rFonts w:asciiTheme="minorHAnsi" w:hAnsiTheme="minorHAnsi"/>
          <w:snapToGrid w:val="0"/>
        </w:rPr>
        <w:t xml:space="preserve"> and would be restricted to those who were intolerant to SGLT2 inhibitors</w:t>
      </w:r>
      <w:r w:rsidR="00E323DA">
        <w:rPr>
          <w:rFonts w:asciiTheme="minorHAnsi" w:hAnsiTheme="minorHAnsi"/>
          <w:snapToGrid w:val="0"/>
        </w:rPr>
        <w:t>, or who had persistent proteinuria despite SGLT2</w:t>
      </w:r>
      <w:r w:rsidR="00594A7C">
        <w:rPr>
          <w:rFonts w:asciiTheme="minorHAnsi" w:hAnsiTheme="minorHAnsi"/>
          <w:snapToGrid w:val="0"/>
        </w:rPr>
        <w:t xml:space="preserve"> inhibitor</w:t>
      </w:r>
      <w:r w:rsidR="00E323DA">
        <w:rPr>
          <w:rFonts w:asciiTheme="minorHAnsi" w:hAnsiTheme="minorHAnsi"/>
          <w:snapToGrid w:val="0"/>
        </w:rPr>
        <w:t xml:space="preserve"> (and </w:t>
      </w:r>
      <w:proofErr w:type="spellStart"/>
      <w:r w:rsidR="00E323DA">
        <w:rPr>
          <w:rFonts w:asciiTheme="minorHAnsi" w:hAnsiTheme="minorHAnsi"/>
          <w:snapToGrid w:val="0"/>
        </w:rPr>
        <w:t>ACEi</w:t>
      </w:r>
      <w:proofErr w:type="spellEnd"/>
      <w:r w:rsidR="00E323DA">
        <w:rPr>
          <w:rFonts w:asciiTheme="minorHAnsi" w:hAnsiTheme="minorHAnsi"/>
          <w:snapToGrid w:val="0"/>
        </w:rPr>
        <w:t>/ARB) treatment</w:t>
      </w:r>
      <w:r w:rsidR="00E422D8">
        <w:rPr>
          <w:rFonts w:asciiTheme="minorHAnsi" w:hAnsiTheme="minorHAnsi"/>
          <w:snapToGrid w:val="0"/>
        </w:rPr>
        <w:t xml:space="preserve">. </w:t>
      </w:r>
      <w:r w:rsidR="004A5842" w:rsidRPr="00FD6F10">
        <w:rPr>
          <w:rFonts w:asciiTheme="minorHAnsi" w:hAnsiTheme="minorHAnsi"/>
          <w:snapToGrid w:val="0"/>
        </w:rPr>
        <w:t xml:space="preserve">The PBAC considered the economic model </w:t>
      </w:r>
      <w:r w:rsidR="00E422D8">
        <w:rPr>
          <w:rFonts w:asciiTheme="minorHAnsi" w:hAnsiTheme="minorHAnsi"/>
          <w:snapToGrid w:val="0"/>
        </w:rPr>
        <w:t>was unreliable</w:t>
      </w:r>
      <w:r w:rsidR="00F53597">
        <w:rPr>
          <w:rFonts w:asciiTheme="minorHAnsi" w:hAnsiTheme="minorHAnsi"/>
          <w:snapToGrid w:val="0"/>
        </w:rPr>
        <w:t xml:space="preserve">, </w:t>
      </w:r>
      <w:r w:rsidR="00E422D8">
        <w:rPr>
          <w:rFonts w:asciiTheme="minorHAnsi" w:hAnsiTheme="minorHAnsi"/>
          <w:snapToGrid w:val="0"/>
        </w:rPr>
        <w:t>and</w:t>
      </w:r>
      <w:r w:rsidR="00F53597">
        <w:rPr>
          <w:rFonts w:asciiTheme="minorHAnsi" w:hAnsiTheme="minorHAnsi"/>
          <w:snapToGrid w:val="0"/>
        </w:rPr>
        <w:t xml:space="preserve"> had likely underestimated the incremental cost-</w:t>
      </w:r>
      <w:r w:rsidR="00F53597">
        <w:rPr>
          <w:rFonts w:asciiTheme="minorHAnsi" w:hAnsiTheme="minorHAnsi"/>
          <w:snapToGrid w:val="0"/>
        </w:rPr>
        <w:lastRenderedPageBreak/>
        <w:t>effectiveness ratio, which appeared to be well above that previously accepted for similar conditions</w:t>
      </w:r>
      <w:r w:rsidR="004A5842" w:rsidRPr="00FD6F10">
        <w:rPr>
          <w:rFonts w:asciiTheme="minorHAnsi" w:hAnsiTheme="minorHAnsi"/>
          <w:snapToGrid w:val="0"/>
        </w:rPr>
        <w:t>.</w:t>
      </w:r>
    </w:p>
    <w:p w14:paraId="3A8AC2F7" w14:textId="3AD47ADF" w:rsidR="006A1064" w:rsidRPr="00CF7D68" w:rsidRDefault="008F550F" w:rsidP="00644C08">
      <w:pPr>
        <w:widowControl w:val="0"/>
        <w:numPr>
          <w:ilvl w:val="1"/>
          <w:numId w:val="1"/>
        </w:numPr>
        <w:spacing w:after="120"/>
        <w:ind w:left="720" w:hanging="720"/>
        <w:rPr>
          <w:rFonts w:asciiTheme="minorHAnsi" w:hAnsiTheme="minorHAnsi"/>
          <w:snapToGrid w:val="0"/>
        </w:rPr>
      </w:pPr>
      <w:r w:rsidRPr="00CF7D68">
        <w:rPr>
          <w:rFonts w:asciiTheme="minorHAnsi" w:hAnsiTheme="minorHAnsi"/>
          <w:snapToGrid w:val="0"/>
        </w:rPr>
        <w:t xml:space="preserve">The PBAC </w:t>
      </w:r>
      <w:r w:rsidR="00403959">
        <w:rPr>
          <w:rFonts w:asciiTheme="minorHAnsi" w:hAnsiTheme="minorHAnsi"/>
          <w:snapToGrid w:val="0"/>
        </w:rPr>
        <w:t xml:space="preserve">noted </w:t>
      </w:r>
      <w:r w:rsidR="009775D3">
        <w:rPr>
          <w:rFonts w:asciiTheme="minorHAnsi" w:hAnsiTheme="minorHAnsi"/>
          <w:snapToGrid w:val="0"/>
        </w:rPr>
        <w:t xml:space="preserve">the consumer comments and sponsor hearing described </w:t>
      </w:r>
      <w:r w:rsidR="00403959">
        <w:rPr>
          <w:rFonts w:asciiTheme="minorHAnsi" w:hAnsiTheme="minorHAnsi"/>
          <w:snapToGrid w:val="0"/>
        </w:rPr>
        <w:t>the</w:t>
      </w:r>
      <w:r w:rsidR="00E60A99">
        <w:rPr>
          <w:rFonts w:asciiTheme="minorHAnsi" w:hAnsiTheme="minorHAnsi"/>
          <w:snapToGrid w:val="0"/>
        </w:rPr>
        <w:t xml:space="preserve"> ongoing need for more effective treatments for diabetic kidney disease, </w:t>
      </w:r>
      <w:r w:rsidR="00E60A99" w:rsidRPr="00D947DF">
        <w:rPr>
          <w:rFonts w:asciiTheme="minorHAnsi" w:hAnsiTheme="minorHAnsi"/>
          <w:snapToGrid w:val="0"/>
        </w:rPr>
        <w:t>however the</w:t>
      </w:r>
      <w:r w:rsidR="00403959" w:rsidRPr="00D947DF">
        <w:rPr>
          <w:rFonts w:asciiTheme="minorHAnsi" w:hAnsiTheme="minorHAnsi"/>
          <w:snapToGrid w:val="0"/>
        </w:rPr>
        <w:t xml:space="preserve"> PBAC</w:t>
      </w:r>
      <w:r w:rsidR="00E90169">
        <w:rPr>
          <w:rFonts w:asciiTheme="minorHAnsi" w:hAnsiTheme="minorHAnsi"/>
          <w:snapToGrid w:val="0"/>
        </w:rPr>
        <w:t xml:space="preserve"> </w:t>
      </w:r>
      <w:r w:rsidR="00403959" w:rsidRPr="00E90169">
        <w:rPr>
          <w:rFonts w:asciiTheme="minorHAnsi" w:hAnsiTheme="minorHAnsi"/>
          <w:snapToGrid w:val="0"/>
        </w:rPr>
        <w:t>consider</w:t>
      </w:r>
      <w:r w:rsidR="00AC318F" w:rsidRPr="00E90169">
        <w:rPr>
          <w:rFonts w:asciiTheme="minorHAnsi" w:hAnsiTheme="minorHAnsi"/>
          <w:snapToGrid w:val="0"/>
        </w:rPr>
        <w:t>ed</w:t>
      </w:r>
      <w:r w:rsidR="00403959" w:rsidRPr="00D947DF">
        <w:rPr>
          <w:rFonts w:asciiTheme="minorHAnsi" w:hAnsiTheme="minorHAnsi"/>
          <w:snapToGrid w:val="0"/>
        </w:rPr>
        <w:t xml:space="preserve"> that the</w:t>
      </w:r>
      <w:r w:rsidR="00E60A99" w:rsidRPr="00D947DF">
        <w:rPr>
          <w:rFonts w:asciiTheme="minorHAnsi" w:hAnsiTheme="minorHAnsi"/>
          <w:snapToGrid w:val="0"/>
        </w:rPr>
        <w:t xml:space="preserve"> modest </w:t>
      </w:r>
      <w:r w:rsidR="000760B9" w:rsidRPr="00AC0A6E">
        <w:rPr>
          <w:rFonts w:asciiTheme="minorHAnsi" w:hAnsiTheme="minorHAnsi"/>
          <w:snapToGrid w:val="0"/>
        </w:rPr>
        <w:t xml:space="preserve">treatment effect </w:t>
      </w:r>
      <w:r w:rsidR="00E60A99" w:rsidRPr="00AC0A6E">
        <w:rPr>
          <w:rFonts w:asciiTheme="minorHAnsi" w:hAnsiTheme="minorHAnsi"/>
          <w:snapToGrid w:val="0"/>
        </w:rPr>
        <w:t xml:space="preserve">seen with </w:t>
      </w:r>
      <w:proofErr w:type="spellStart"/>
      <w:r w:rsidR="00E60A99" w:rsidRPr="00AC0A6E">
        <w:rPr>
          <w:rFonts w:asciiTheme="minorHAnsi" w:hAnsiTheme="minorHAnsi"/>
          <w:snapToGrid w:val="0"/>
        </w:rPr>
        <w:t>finerenone</w:t>
      </w:r>
      <w:proofErr w:type="spellEnd"/>
      <w:r w:rsidR="00E60A99" w:rsidRPr="00AC0A6E">
        <w:rPr>
          <w:rFonts w:asciiTheme="minorHAnsi" w:hAnsiTheme="minorHAnsi"/>
          <w:snapToGrid w:val="0"/>
        </w:rPr>
        <w:t xml:space="preserve"> would be expected to </w:t>
      </w:r>
      <w:proofErr w:type="gramStart"/>
      <w:r w:rsidR="00AC318F" w:rsidRPr="00E90169">
        <w:rPr>
          <w:rFonts w:asciiTheme="minorHAnsi" w:hAnsiTheme="minorHAnsi"/>
          <w:snapToGrid w:val="0"/>
        </w:rPr>
        <w:t>only marginally</w:t>
      </w:r>
      <w:r w:rsidR="00E60A99" w:rsidRPr="00D947DF">
        <w:rPr>
          <w:rFonts w:asciiTheme="minorHAnsi" w:hAnsiTheme="minorHAnsi"/>
          <w:snapToGrid w:val="0"/>
        </w:rPr>
        <w:t xml:space="preserve"> address this need</w:t>
      </w:r>
      <w:proofErr w:type="gramEnd"/>
      <w:r w:rsidR="00F22E4C" w:rsidRPr="00D947DF">
        <w:rPr>
          <w:rFonts w:asciiTheme="minorHAnsi" w:hAnsiTheme="minorHAnsi"/>
          <w:snapToGrid w:val="0"/>
        </w:rPr>
        <w:t>.</w:t>
      </w:r>
      <w:r w:rsidR="00843819">
        <w:rPr>
          <w:rFonts w:asciiTheme="minorHAnsi" w:hAnsiTheme="minorHAnsi"/>
          <w:snapToGrid w:val="0"/>
        </w:rPr>
        <w:t xml:space="preserve">  </w:t>
      </w:r>
    </w:p>
    <w:p w14:paraId="532F6A0F" w14:textId="5A03B3F5" w:rsidR="00692271" w:rsidRPr="00D778E8" w:rsidRDefault="00843819" w:rsidP="00CD5BF4">
      <w:pPr>
        <w:widowControl w:val="0"/>
        <w:numPr>
          <w:ilvl w:val="1"/>
          <w:numId w:val="1"/>
        </w:numPr>
        <w:spacing w:after="240"/>
        <w:ind w:left="720" w:hanging="720"/>
      </w:pPr>
      <w:bookmarkStart w:id="66" w:name="_Ref110800847"/>
      <w:r w:rsidRPr="001166E9">
        <w:rPr>
          <w:snapToGrid w:val="0"/>
        </w:rPr>
        <w:t xml:space="preserve">The submission positioned </w:t>
      </w:r>
      <w:proofErr w:type="spellStart"/>
      <w:r w:rsidRPr="001166E9">
        <w:rPr>
          <w:snapToGrid w:val="0"/>
        </w:rPr>
        <w:t>finerenone</w:t>
      </w:r>
      <w:proofErr w:type="spellEnd"/>
      <w:r w:rsidRPr="001166E9">
        <w:rPr>
          <w:snapToGrid w:val="0"/>
        </w:rPr>
        <w:t xml:space="preserve"> as an additional line of therapy after lifestyle advice, </w:t>
      </w:r>
      <w:proofErr w:type="spellStart"/>
      <w:r w:rsidRPr="001166E9">
        <w:rPr>
          <w:snapToGrid w:val="0"/>
        </w:rPr>
        <w:t>ACEi</w:t>
      </w:r>
      <w:proofErr w:type="spellEnd"/>
      <w:r w:rsidRPr="001166E9">
        <w:rPr>
          <w:snapToGrid w:val="0"/>
        </w:rPr>
        <w:t xml:space="preserve"> or ARB treatment (unless contraindicated) and standard diabetes management in patients with diabetic kidney disease who have persistent high-to-very high albuminuria levels. The PBAC noted </w:t>
      </w:r>
      <w:r w:rsidR="00692271" w:rsidRPr="001166E9">
        <w:rPr>
          <w:snapToGrid w:val="0"/>
        </w:rPr>
        <w:t xml:space="preserve">that the </w:t>
      </w:r>
      <w:r w:rsidR="00692271" w:rsidRPr="001166E9">
        <w:rPr>
          <w:iCs/>
        </w:rPr>
        <w:t xml:space="preserve">2022 American Diabetes Association Chronic Kidney Disease Guidelines positioned </w:t>
      </w:r>
      <w:proofErr w:type="spellStart"/>
      <w:r w:rsidR="00692271" w:rsidRPr="001166E9">
        <w:rPr>
          <w:iCs/>
        </w:rPr>
        <w:t>finerenone</w:t>
      </w:r>
      <w:proofErr w:type="spellEnd"/>
      <w:r w:rsidR="00692271" w:rsidRPr="001166E9">
        <w:rPr>
          <w:iCs/>
        </w:rPr>
        <w:t xml:space="preserve"> as a treatment option in patients who are at increased risk of cardiovascular events or chronic kidney disease progression or are unable to use an SGLT2 inhibitor</w:t>
      </w:r>
      <w:r w:rsidR="007A0637">
        <w:rPr>
          <w:iCs/>
        </w:rPr>
        <w:t xml:space="preserve">, with similar positioning in the </w:t>
      </w:r>
      <w:r w:rsidR="007A0637" w:rsidRPr="007A0637">
        <w:rPr>
          <w:iCs/>
        </w:rPr>
        <w:t xml:space="preserve">draft </w:t>
      </w:r>
      <w:r w:rsidR="007A0637" w:rsidRPr="007A0637">
        <w:t>KDIGO 2022 guidelines</w:t>
      </w:r>
      <w:r w:rsidR="00692271" w:rsidRPr="001166E9">
        <w:rPr>
          <w:iCs/>
        </w:rPr>
        <w:t xml:space="preserve">. </w:t>
      </w:r>
      <w:r w:rsidR="00CD5BF4" w:rsidRPr="001166E9">
        <w:rPr>
          <w:iCs/>
        </w:rPr>
        <w:t xml:space="preserve">The PBAC recalled that it had accepted the effectiveness of dapagliflozin for CKD at its March 2022 meeting. </w:t>
      </w:r>
      <w:r w:rsidR="00692271" w:rsidRPr="000012FD">
        <w:rPr>
          <w:iCs/>
        </w:rPr>
        <w:t>The PBAC also noted that the treatment effects were limited in patients with less than very high albuminuria (discussed below)</w:t>
      </w:r>
      <w:r w:rsidR="00692271" w:rsidRPr="00CD5BF4">
        <w:rPr>
          <w:iCs/>
        </w:rPr>
        <w:t xml:space="preserve">. In view of this, the PBAC considered that </w:t>
      </w:r>
      <w:proofErr w:type="spellStart"/>
      <w:r w:rsidR="00692271" w:rsidRPr="00CD5BF4">
        <w:rPr>
          <w:iCs/>
        </w:rPr>
        <w:t>finerenone</w:t>
      </w:r>
      <w:proofErr w:type="spellEnd"/>
      <w:r w:rsidR="00692271" w:rsidRPr="00CD5BF4">
        <w:rPr>
          <w:iCs/>
        </w:rPr>
        <w:t xml:space="preserve"> likely had a more limited place in therapy for use in patients with very high albuminuria </w:t>
      </w:r>
      <w:r w:rsidR="00CD5BF4" w:rsidRPr="00CD5BF4">
        <w:rPr>
          <w:iCs/>
        </w:rPr>
        <w:t>(</w:t>
      </w:r>
      <w:r w:rsidR="000012FD" w:rsidRPr="000012FD">
        <w:rPr>
          <w:iCs/>
        </w:rPr>
        <w:t>urinary albumin-to-creatinine ratio</w:t>
      </w:r>
      <w:r w:rsidR="00873ACF">
        <w:rPr>
          <w:iCs/>
        </w:rPr>
        <w:t xml:space="preserve"> (UACR)</w:t>
      </w:r>
      <w:r w:rsidR="000012FD" w:rsidRPr="000012FD">
        <w:rPr>
          <w:iCs/>
        </w:rPr>
        <w:t xml:space="preserve"> of 300 mg/g (33.9 mg/mmol) or greater</w:t>
      </w:r>
      <w:r w:rsidR="00CD5BF4">
        <w:rPr>
          <w:iCs/>
        </w:rPr>
        <w:t xml:space="preserve">), </w:t>
      </w:r>
      <w:r w:rsidR="001166E9">
        <w:rPr>
          <w:iCs/>
        </w:rPr>
        <w:t xml:space="preserve">excluding patients with </w:t>
      </w:r>
      <w:r w:rsidR="000012FD" w:rsidRPr="00CF7D68">
        <w:rPr>
          <w:iCs/>
        </w:rPr>
        <w:t>heart failure with reduced ejection fraction (</w:t>
      </w:r>
      <w:proofErr w:type="spellStart"/>
      <w:r w:rsidR="000012FD" w:rsidRPr="00CF7D68">
        <w:rPr>
          <w:iCs/>
        </w:rPr>
        <w:t>HFrEF</w:t>
      </w:r>
      <w:proofErr w:type="spellEnd"/>
      <w:r w:rsidR="000012FD" w:rsidRPr="00CF7D68">
        <w:rPr>
          <w:iCs/>
        </w:rPr>
        <w:t>)</w:t>
      </w:r>
      <w:r w:rsidR="001166E9">
        <w:rPr>
          <w:iCs/>
        </w:rPr>
        <w:t>, and</w:t>
      </w:r>
      <w:r w:rsidR="00CD5BF4" w:rsidRPr="00CD5BF4">
        <w:rPr>
          <w:iCs/>
        </w:rPr>
        <w:t xml:space="preserve"> </w:t>
      </w:r>
      <w:r w:rsidR="00692271" w:rsidRPr="00CD5BF4">
        <w:rPr>
          <w:iCs/>
        </w:rPr>
        <w:t xml:space="preserve">as an add-on to standard of care comprising an </w:t>
      </w:r>
      <w:proofErr w:type="spellStart"/>
      <w:r w:rsidR="00692271" w:rsidRPr="00CD5BF4">
        <w:rPr>
          <w:iCs/>
        </w:rPr>
        <w:t>ACEi</w:t>
      </w:r>
      <w:proofErr w:type="spellEnd"/>
      <w:r w:rsidR="00692271" w:rsidRPr="00CD5BF4">
        <w:rPr>
          <w:iCs/>
        </w:rPr>
        <w:t xml:space="preserve"> or ARB </w:t>
      </w:r>
      <w:r w:rsidR="009775D3" w:rsidRPr="001166E9">
        <w:rPr>
          <w:iCs/>
        </w:rPr>
        <w:t xml:space="preserve">and SGLT2i </w:t>
      </w:r>
      <w:r w:rsidR="00692271" w:rsidRPr="001166E9">
        <w:rPr>
          <w:iCs/>
        </w:rPr>
        <w:t>unless contraindicated.</w:t>
      </w:r>
      <w:bookmarkEnd w:id="66"/>
      <w:r w:rsidR="00841C2D" w:rsidRPr="00CD5BF4">
        <w:rPr>
          <w:iCs/>
        </w:rPr>
        <w:t xml:space="preserve"> </w:t>
      </w:r>
    </w:p>
    <w:p w14:paraId="7935C364" w14:textId="03F5EB5F" w:rsidR="00915FD6" w:rsidRPr="00CF7D68" w:rsidRDefault="00915FD6" w:rsidP="00915FD6">
      <w:pPr>
        <w:widowControl w:val="0"/>
        <w:numPr>
          <w:ilvl w:val="1"/>
          <w:numId w:val="1"/>
        </w:numPr>
        <w:spacing w:after="120"/>
        <w:ind w:left="720" w:hanging="720"/>
        <w:rPr>
          <w:rFonts w:asciiTheme="minorHAnsi" w:hAnsiTheme="minorHAnsi"/>
          <w:snapToGrid w:val="0"/>
        </w:rPr>
      </w:pPr>
      <w:r>
        <w:rPr>
          <w:rFonts w:asciiTheme="minorHAnsi" w:hAnsiTheme="minorHAnsi"/>
          <w:snapToGrid w:val="0"/>
        </w:rPr>
        <w:t>The PBAC considered that the nominated comparator of ‘standard of care’ was appropriate</w:t>
      </w:r>
      <w:r w:rsidR="006A1064">
        <w:rPr>
          <w:rFonts w:asciiTheme="minorHAnsi" w:hAnsiTheme="minorHAnsi"/>
          <w:snapToGrid w:val="0"/>
        </w:rPr>
        <w:t xml:space="preserve"> but </w:t>
      </w:r>
      <w:r w:rsidR="007854E8">
        <w:rPr>
          <w:rFonts w:asciiTheme="minorHAnsi" w:hAnsiTheme="minorHAnsi"/>
          <w:snapToGrid w:val="0"/>
        </w:rPr>
        <w:t xml:space="preserve">was inconsistent with current clinical practice as </w:t>
      </w:r>
      <w:r w:rsidR="006A1064">
        <w:rPr>
          <w:rFonts w:asciiTheme="minorHAnsi" w:hAnsiTheme="minorHAnsi"/>
          <w:snapToGrid w:val="0"/>
        </w:rPr>
        <w:t>defined</w:t>
      </w:r>
      <w:r w:rsidR="00467903">
        <w:rPr>
          <w:rFonts w:asciiTheme="minorHAnsi" w:hAnsiTheme="minorHAnsi"/>
          <w:snapToGrid w:val="0"/>
        </w:rPr>
        <w:t xml:space="preserve"> in the submission</w:t>
      </w:r>
      <w:r w:rsidR="006A1064">
        <w:rPr>
          <w:rFonts w:asciiTheme="minorHAnsi" w:hAnsiTheme="minorHAnsi"/>
          <w:snapToGrid w:val="0"/>
        </w:rPr>
        <w:t>.</w:t>
      </w:r>
      <w:r>
        <w:rPr>
          <w:rFonts w:asciiTheme="minorHAnsi" w:hAnsiTheme="minorHAnsi"/>
          <w:snapToGrid w:val="0"/>
        </w:rPr>
        <w:t xml:space="preserve"> </w:t>
      </w:r>
      <w:r w:rsidR="006A1064">
        <w:rPr>
          <w:rFonts w:asciiTheme="minorHAnsi" w:hAnsiTheme="minorHAnsi"/>
          <w:snapToGrid w:val="0"/>
        </w:rPr>
        <w:t>T</w:t>
      </w:r>
      <w:r>
        <w:rPr>
          <w:rFonts w:asciiTheme="minorHAnsi" w:hAnsiTheme="minorHAnsi"/>
          <w:snapToGrid w:val="0"/>
        </w:rPr>
        <w:t xml:space="preserve">he PBAC proposed a more restricted definition </w:t>
      </w:r>
      <w:r w:rsidR="00467903">
        <w:rPr>
          <w:rFonts w:asciiTheme="minorHAnsi" w:hAnsiTheme="minorHAnsi"/>
          <w:snapToGrid w:val="0"/>
        </w:rPr>
        <w:t xml:space="preserve">of standard of care </w:t>
      </w:r>
      <w:r>
        <w:rPr>
          <w:rFonts w:asciiTheme="minorHAnsi" w:hAnsiTheme="minorHAnsi"/>
          <w:snapToGrid w:val="0"/>
        </w:rPr>
        <w:t xml:space="preserve">comprising an </w:t>
      </w:r>
      <w:proofErr w:type="spellStart"/>
      <w:r>
        <w:rPr>
          <w:rFonts w:asciiTheme="minorHAnsi" w:hAnsiTheme="minorHAnsi"/>
          <w:snapToGrid w:val="0"/>
        </w:rPr>
        <w:t>ACEi</w:t>
      </w:r>
      <w:proofErr w:type="spellEnd"/>
      <w:r>
        <w:rPr>
          <w:rFonts w:asciiTheme="minorHAnsi" w:hAnsiTheme="minorHAnsi"/>
          <w:snapToGrid w:val="0"/>
        </w:rPr>
        <w:t xml:space="preserve"> or ARB and SGLT</w:t>
      </w:r>
      <w:r w:rsidR="00063E39">
        <w:rPr>
          <w:rFonts w:asciiTheme="minorHAnsi" w:hAnsiTheme="minorHAnsi"/>
          <w:snapToGrid w:val="0"/>
        </w:rPr>
        <w:t>2</w:t>
      </w:r>
      <w:r>
        <w:rPr>
          <w:rFonts w:asciiTheme="minorHAnsi" w:hAnsiTheme="minorHAnsi"/>
          <w:snapToGrid w:val="0"/>
        </w:rPr>
        <w:t xml:space="preserve"> inhibitor (unless contraindicated), in line with the more limited clinical position </w:t>
      </w:r>
      <w:r w:rsidR="006A1064">
        <w:rPr>
          <w:rFonts w:asciiTheme="minorHAnsi" w:hAnsiTheme="minorHAnsi"/>
          <w:snapToGrid w:val="0"/>
        </w:rPr>
        <w:t>proposed</w:t>
      </w:r>
      <w:r>
        <w:rPr>
          <w:rFonts w:asciiTheme="minorHAnsi" w:hAnsiTheme="minorHAnsi"/>
          <w:snapToGrid w:val="0"/>
        </w:rPr>
        <w:t xml:space="preserve"> above</w:t>
      </w:r>
      <w:r w:rsidR="00E323DA">
        <w:rPr>
          <w:rFonts w:asciiTheme="minorHAnsi" w:hAnsiTheme="minorHAnsi"/>
          <w:snapToGrid w:val="0"/>
        </w:rPr>
        <w:t xml:space="preserve">, and a level of albuminuria that was consistent with </w:t>
      </w:r>
      <w:r w:rsidR="00AC2068">
        <w:rPr>
          <w:rFonts w:asciiTheme="minorHAnsi" w:hAnsiTheme="minorHAnsi"/>
          <w:snapToGrid w:val="0"/>
        </w:rPr>
        <w:t xml:space="preserve">the recommended CKD </w:t>
      </w:r>
      <w:r w:rsidR="00E323DA">
        <w:rPr>
          <w:rFonts w:asciiTheme="minorHAnsi" w:hAnsiTheme="minorHAnsi"/>
          <w:snapToGrid w:val="0"/>
        </w:rPr>
        <w:t>listing of dapa</w:t>
      </w:r>
      <w:r w:rsidR="000E19DB">
        <w:rPr>
          <w:rFonts w:asciiTheme="minorHAnsi" w:hAnsiTheme="minorHAnsi"/>
          <w:snapToGrid w:val="0"/>
        </w:rPr>
        <w:t>glif</w:t>
      </w:r>
      <w:r w:rsidR="00AC2068">
        <w:rPr>
          <w:rFonts w:asciiTheme="minorHAnsi" w:hAnsiTheme="minorHAnsi"/>
          <w:snapToGrid w:val="0"/>
        </w:rPr>
        <w:t>l</w:t>
      </w:r>
      <w:r w:rsidR="000E19DB">
        <w:rPr>
          <w:rFonts w:asciiTheme="minorHAnsi" w:hAnsiTheme="minorHAnsi"/>
          <w:snapToGrid w:val="0"/>
        </w:rPr>
        <w:t>ozin</w:t>
      </w:r>
      <w:r>
        <w:rPr>
          <w:rFonts w:asciiTheme="minorHAnsi" w:hAnsiTheme="minorHAnsi"/>
          <w:snapToGrid w:val="0"/>
        </w:rPr>
        <w:t>. The PBAC agreed with the submission’s arguments that SGLT</w:t>
      </w:r>
      <w:r w:rsidR="006A1064">
        <w:rPr>
          <w:rFonts w:asciiTheme="minorHAnsi" w:hAnsiTheme="minorHAnsi"/>
          <w:snapToGrid w:val="0"/>
        </w:rPr>
        <w:t>2</w:t>
      </w:r>
      <w:r>
        <w:rPr>
          <w:rFonts w:asciiTheme="minorHAnsi" w:hAnsiTheme="minorHAnsi"/>
          <w:snapToGrid w:val="0"/>
        </w:rPr>
        <w:t xml:space="preserve"> inhibitors were considered part of current standard of care for patients with diabetic kidney disease.</w:t>
      </w:r>
      <w:r w:rsidR="00493182">
        <w:rPr>
          <w:rFonts w:asciiTheme="minorHAnsi" w:hAnsiTheme="minorHAnsi"/>
          <w:snapToGrid w:val="0"/>
        </w:rPr>
        <w:t xml:space="preserve"> </w:t>
      </w:r>
    </w:p>
    <w:p w14:paraId="5E7F0F70" w14:textId="32F41127" w:rsidR="006A1064" w:rsidRPr="00AC0A6E" w:rsidRDefault="00FD3220" w:rsidP="00510CCF">
      <w:pPr>
        <w:widowControl w:val="0"/>
        <w:numPr>
          <w:ilvl w:val="1"/>
          <w:numId w:val="1"/>
        </w:numPr>
        <w:spacing w:after="120"/>
        <w:ind w:left="720" w:hanging="720"/>
        <w:rPr>
          <w:rFonts w:asciiTheme="minorHAnsi" w:hAnsiTheme="minorHAnsi"/>
          <w:snapToGrid w:val="0"/>
        </w:rPr>
      </w:pPr>
      <w:r w:rsidRPr="00894DDA">
        <w:rPr>
          <w:rFonts w:asciiTheme="minorHAnsi" w:hAnsiTheme="minorHAnsi"/>
          <w:snapToGrid w:val="0"/>
        </w:rPr>
        <w:t>The primary clinical evidence</w:t>
      </w:r>
      <w:r w:rsidR="000760B9" w:rsidRPr="00D12292">
        <w:rPr>
          <w:rFonts w:asciiTheme="minorHAnsi" w:hAnsiTheme="minorHAnsi"/>
          <w:snapToGrid w:val="0"/>
        </w:rPr>
        <w:t xml:space="preserve"> in the submission </w:t>
      </w:r>
      <w:r w:rsidR="006A1064" w:rsidRPr="00D12292">
        <w:rPr>
          <w:rFonts w:asciiTheme="minorHAnsi" w:hAnsiTheme="minorHAnsi"/>
          <w:snapToGrid w:val="0"/>
        </w:rPr>
        <w:t>was</w:t>
      </w:r>
      <w:r w:rsidR="000760B9" w:rsidRPr="00D12292">
        <w:rPr>
          <w:rFonts w:asciiTheme="minorHAnsi" w:hAnsiTheme="minorHAnsi"/>
          <w:snapToGrid w:val="0"/>
        </w:rPr>
        <w:t xml:space="preserve"> 2 head-to-head randomised double-blind trials</w:t>
      </w:r>
      <w:r w:rsidR="006A1064" w:rsidRPr="00D12292">
        <w:rPr>
          <w:rFonts w:asciiTheme="minorHAnsi" w:hAnsiTheme="minorHAnsi"/>
          <w:snapToGrid w:val="0"/>
        </w:rPr>
        <w:t xml:space="preserve"> of different design</w:t>
      </w:r>
      <w:r w:rsidR="000760B9" w:rsidRPr="00D12292">
        <w:rPr>
          <w:rFonts w:asciiTheme="minorHAnsi" w:hAnsiTheme="minorHAnsi"/>
          <w:snapToGrid w:val="0"/>
        </w:rPr>
        <w:t xml:space="preserve"> </w:t>
      </w:r>
      <w:r w:rsidR="006A1064" w:rsidRPr="00D12292">
        <w:rPr>
          <w:rFonts w:asciiTheme="minorHAnsi" w:hAnsiTheme="minorHAnsi"/>
          <w:snapToGrid w:val="0"/>
        </w:rPr>
        <w:t>(</w:t>
      </w:r>
      <w:r w:rsidRPr="00D12292">
        <w:rPr>
          <w:rFonts w:asciiTheme="minorHAnsi" w:hAnsiTheme="minorHAnsi"/>
          <w:snapToGrid w:val="0"/>
        </w:rPr>
        <w:t xml:space="preserve">FIDELIO-DKD </w:t>
      </w:r>
      <w:r w:rsidR="007058E0" w:rsidRPr="00D12292">
        <w:rPr>
          <w:rFonts w:asciiTheme="minorHAnsi" w:hAnsiTheme="minorHAnsi"/>
          <w:snapToGrid w:val="0"/>
        </w:rPr>
        <w:t xml:space="preserve">and </w:t>
      </w:r>
      <w:r w:rsidR="00B84A4F" w:rsidRPr="00D12292">
        <w:rPr>
          <w:rFonts w:asciiTheme="minorHAnsi" w:hAnsiTheme="minorHAnsi"/>
          <w:snapToGrid w:val="0"/>
        </w:rPr>
        <w:t>FIGARO-DKD</w:t>
      </w:r>
      <w:r w:rsidR="006A1064" w:rsidRPr="00D12292">
        <w:rPr>
          <w:rFonts w:asciiTheme="minorHAnsi" w:hAnsiTheme="minorHAnsi"/>
          <w:snapToGrid w:val="0"/>
        </w:rPr>
        <w:t>)</w:t>
      </w:r>
      <w:r w:rsidR="00B84A4F" w:rsidRPr="00D12292">
        <w:rPr>
          <w:rFonts w:asciiTheme="minorHAnsi" w:hAnsiTheme="minorHAnsi"/>
          <w:snapToGrid w:val="0"/>
        </w:rPr>
        <w:t xml:space="preserve"> and </w:t>
      </w:r>
      <w:r w:rsidR="007058E0" w:rsidRPr="00D12292">
        <w:rPr>
          <w:rFonts w:asciiTheme="minorHAnsi" w:hAnsiTheme="minorHAnsi"/>
          <w:snapToGrid w:val="0"/>
        </w:rPr>
        <w:t xml:space="preserve">a </w:t>
      </w:r>
      <w:r w:rsidR="00B84A4F" w:rsidRPr="00D12292">
        <w:rPr>
          <w:rFonts w:asciiTheme="minorHAnsi" w:hAnsiTheme="minorHAnsi"/>
          <w:snapToGrid w:val="0"/>
        </w:rPr>
        <w:t xml:space="preserve">pooled analysis of individual patient data from </w:t>
      </w:r>
      <w:r w:rsidR="00555A0E" w:rsidRPr="00D12292">
        <w:rPr>
          <w:rFonts w:asciiTheme="minorHAnsi" w:hAnsiTheme="minorHAnsi"/>
          <w:snapToGrid w:val="0"/>
        </w:rPr>
        <w:t xml:space="preserve">these trials (FIDELITY), </w:t>
      </w:r>
      <w:r w:rsidR="007058E0" w:rsidRPr="00D12292">
        <w:rPr>
          <w:rFonts w:asciiTheme="minorHAnsi" w:hAnsiTheme="minorHAnsi"/>
          <w:snapToGrid w:val="0"/>
        </w:rPr>
        <w:t xml:space="preserve">comparing </w:t>
      </w:r>
      <w:proofErr w:type="spellStart"/>
      <w:r w:rsidR="007058E0" w:rsidRPr="00D12292">
        <w:rPr>
          <w:rFonts w:asciiTheme="minorHAnsi" w:hAnsiTheme="minorHAnsi"/>
          <w:snapToGrid w:val="0"/>
        </w:rPr>
        <w:t>finerenone</w:t>
      </w:r>
      <w:proofErr w:type="spellEnd"/>
      <w:r w:rsidR="007058E0" w:rsidRPr="00D12292">
        <w:rPr>
          <w:rFonts w:asciiTheme="minorHAnsi" w:hAnsiTheme="minorHAnsi"/>
          <w:snapToGrid w:val="0"/>
        </w:rPr>
        <w:t xml:space="preserve"> plus standard care with placebo plus standard care.</w:t>
      </w:r>
      <w:r w:rsidR="00181E2D" w:rsidRPr="00CF7D68">
        <w:t xml:space="preserve"> </w:t>
      </w:r>
      <w:r w:rsidR="006A1064">
        <w:t xml:space="preserve">The PBAC noted that FIDELIO-DKD and FIGARO-DKD had different primary endpoints and baseline </w:t>
      </w:r>
      <w:r w:rsidR="00EA69E8">
        <w:t>population characteristics</w:t>
      </w:r>
      <w:r w:rsidR="00D12292">
        <w:t xml:space="preserve"> and risk</w:t>
      </w:r>
      <w:r w:rsidR="00720346">
        <w:t>, and that both trials had very low baseline use of SGLT2 inhibitors.</w:t>
      </w:r>
      <w:r w:rsidR="00D12292">
        <w:t xml:space="preserve"> Th</w:t>
      </w:r>
      <w:r w:rsidR="005979D3">
        <w:t xml:space="preserve">is </w:t>
      </w:r>
      <w:r w:rsidR="00D12292">
        <w:t xml:space="preserve">heterogeneity introduced uncertainty to the FIDELITY analysis. </w:t>
      </w:r>
      <w:r w:rsidR="00467903">
        <w:t xml:space="preserve">The PBAC also noted that the submission had presented a comparison between FIDELITY and the </w:t>
      </w:r>
      <w:proofErr w:type="spellStart"/>
      <w:r w:rsidR="00467903">
        <w:t>OneNil</w:t>
      </w:r>
      <w:proofErr w:type="spellEnd"/>
      <w:r w:rsidR="00467903">
        <w:t xml:space="preserve"> database as a way of supporting applicability of the trial data to the Australian PBS population, however </w:t>
      </w:r>
      <w:r w:rsidR="009701A8" w:rsidRPr="009701A8">
        <w:t xml:space="preserve">neither the </w:t>
      </w:r>
      <w:proofErr w:type="spellStart"/>
      <w:r w:rsidR="009701A8" w:rsidRPr="009701A8">
        <w:t>OneNil</w:t>
      </w:r>
      <w:proofErr w:type="spellEnd"/>
      <w:r w:rsidR="009701A8" w:rsidRPr="009701A8">
        <w:t xml:space="preserve"> database nor the FIDELITY </w:t>
      </w:r>
      <w:r w:rsidR="005979D3">
        <w:t>population</w:t>
      </w:r>
      <w:r w:rsidR="009701A8" w:rsidRPr="009701A8">
        <w:t xml:space="preserve"> represented the PBS population of interest</w:t>
      </w:r>
      <w:r w:rsidR="00467903">
        <w:t xml:space="preserve"> </w:t>
      </w:r>
      <w:r w:rsidR="009701A8">
        <w:t xml:space="preserve">(those treated with an SGLT2 </w:t>
      </w:r>
      <w:r w:rsidR="009701A8">
        <w:lastRenderedPageBreak/>
        <w:t>inhibitor). Instead, t</w:t>
      </w:r>
      <w:r w:rsidR="00D12292">
        <w:t xml:space="preserve">he estimates of </w:t>
      </w:r>
      <w:proofErr w:type="spellStart"/>
      <w:r w:rsidR="00D12292">
        <w:t>finerenone</w:t>
      </w:r>
      <w:proofErr w:type="spellEnd"/>
      <w:r w:rsidR="00D12292">
        <w:t xml:space="preserve"> treatment effect in </w:t>
      </w:r>
      <w:r w:rsidR="009701A8">
        <w:t xml:space="preserve">this subgroup </w:t>
      </w:r>
      <w:r w:rsidR="00D12292">
        <w:t xml:space="preserve">relied on a small post hoc subgroup analysis </w:t>
      </w:r>
      <w:r w:rsidR="005979D3">
        <w:t xml:space="preserve">from </w:t>
      </w:r>
      <w:r w:rsidR="00D12292">
        <w:t xml:space="preserve">FIDELITY with discordant and imprecise effects seen in the individual </w:t>
      </w:r>
      <w:r w:rsidR="005979D3" w:rsidRPr="004B4A02">
        <w:rPr>
          <w:rFonts w:asciiTheme="minorHAnsi" w:hAnsiTheme="minorHAnsi"/>
          <w:snapToGrid w:val="0"/>
        </w:rPr>
        <w:t>FIDELIO-DKD and FIGARO-DKD</w:t>
      </w:r>
      <w:r w:rsidR="00B300E5">
        <w:rPr>
          <w:rFonts w:asciiTheme="minorHAnsi" w:hAnsiTheme="minorHAnsi"/>
          <w:snapToGrid w:val="0"/>
        </w:rPr>
        <w:t xml:space="preserve"> (discussed below)</w:t>
      </w:r>
      <w:r w:rsidR="00D12292">
        <w:t>. Overall, the PBAC had low confidence in the clinical evidence presented</w:t>
      </w:r>
      <w:r w:rsidR="009701A8">
        <w:t xml:space="preserve"> for this subgroup</w:t>
      </w:r>
      <w:r w:rsidR="00D12292">
        <w:t>.</w:t>
      </w:r>
      <w:r w:rsidR="000E19DB">
        <w:t xml:space="preserve"> This is also reflected in </w:t>
      </w:r>
      <w:r w:rsidR="00594A7C">
        <w:t>the</w:t>
      </w:r>
      <w:r w:rsidR="000E19DB">
        <w:t xml:space="preserve"> design of the CONFIDENCE trial</w:t>
      </w:r>
      <w:r w:rsidR="008A09E0">
        <w:t xml:space="preserve"> (</w:t>
      </w:r>
      <w:r w:rsidR="008A09E0" w:rsidRPr="00AC2068">
        <w:t>NCT05254002</w:t>
      </w:r>
      <w:r w:rsidR="008A09E0">
        <w:t>)</w:t>
      </w:r>
      <w:r w:rsidR="000E19DB">
        <w:t>, a trial currently recruiting</w:t>
      </w:r>
      <w:r w:rsidR="00594A7C">
        <w:t xml:space="preserve"> to investigate</w:t>
      </w:r>
      <w:r w:rsidR="000E19DB">
        <w:t xml:space="preserve"> </w:t>
      </w:r>
      <w:proofErr w:type="spellStart"/>
      <w:r w:rsidR="000E19DB">
        <w:t>finer</w:t>
      </w:r>
      <w:r w:rsidR="001A24ED">
        <w:t>enone</w:t>
      </w:r>
      <w:proofErr w:type="spellEnd"/>
      <w:r w:rsidR="001A24ED">
        <w:t xml:space="preserve"> v</w:t>
      </w:r>
      <w:r w:rsidR="008A09E0">
        <w:t>ersu</w:t>
      </w:r>
      <w:r w:rsidR="001A24ED">
        <w:t>s empaglif</w:t>
      </w:r>
      <w:r w:rsidR="00AC2068">
        <w:t>l</w:t>
      </w:r>
      <w:r w:rsidR="001A24ED">
        <w:t>ozin v</w:t>
      </w:r>
      <w:r w:rsidR="008A09E0">
        <w:t>ersu</w:t>
      </w:r>
      <w:r w:rsidR="001A24ED">
        <w:t xml:space="preserve">s combined therapy, which could only be ethically justified if there was equipoise regarding the additive benefit of </w:t>
      </w:r>
      <w:proofErr w:type="spellStart"/>
      <w:r w:rsidR="001A24ED">
        <w:t>finere</w:t>
      </w:r>
      <w:r w:rsidR="008A09E0">
        <w:t>n</w:t>
      </w:r>
      <w:r w:rsidR="001A24ED">
        <w:t>one</w:t>
      </w:r>
      <w:proofErr w:type="spellEnd"/>
      <w:r w:rsidR="001A24ED">
        <w:t xml:space="preserve"> to </w:t>
      </w:r>
      <w:r w:rsidR="008A09E0">
        <w:t xml:space="preserve">an </w:t>
      </w:r>
      <w:r w:rsidR="001A24ED">
        <w:t>SGLT2</w:t>
      </w:r>
      <w:r w:rsidR="008A09E0">
        <w:t xml:space="preserve"> </w:t>
      </w:r>
      <w:r w:rsidR="001A24ED">
        <w:t>i</w:t>
      </w:r>
      <w:r w:rsidR="008A09E0">
        <w:t>nhibitor</w:t>
      </w:r>
      <w:r w:rsidR="001A24ED">
        <w:t>.</w:t>
      </w:r>
    </w:p>
    <w:p w14:paraId="3A193113" w14:textId="535F2A99" w:rsidR="00926EA2" w:rsidRPr="00B300E5" w:rsidRDefault="009701A8">
      <w:pPr>
        <w:widowControl w:val="0"/>
        <w:numPr>
          <w:ilvl w:val="1"/>
          <w:numId w:val="1"/>
        </w:numPr>
        <w:spacing w:after="120"/>
        <w:ind w:left="720" w:hanging="720"/>
        <w:rPr>
          <w:rFonts w:asciiTheme="minorHAnsi" w:hAnsiTheme="minorHAnsi"/>
          <w:snapToGrid w:val="0"/>
          <w:color w:val="4F81BD" w:themeColor="accent1"/>
        </w:rPr>
      </w:pPr>
      <w:r>
        <w:t xml:space="preserve">In terms of comparative </w:t>
      </w:r>
      <w:r w:rsidR="005979D3">
        <w:t>benefits</w:t>
      </w:r>
      <w:r>
        <w:t xml:space="preserve"> in the broader FIDELITY </w:t>
      </w:r>
      <w:r w:rsidR="005979D3">
        <w:t>population</w:t>
      </w:r>
      <w:r>
        <w:t xml:space="preserve">, </w:t>
      </w:r>
      <w:r w:rsidRPr="00B300E5">
        <w:rPr>
          <w:rFonts w:asciiTheme="minorHAnsi" w:hAnsiTheme="minorHAnsi"/>
          <w:snapToGrid w:val="0"/>
        </w:rPr>
        <w:t>t</w:t>
      </w:r>
      <w:r w:rsidR="007058E0" w:rsidRPr="00B300E5">
        <w:rPr>
          <w:rFonts w:asciiTheme="minorHAnsi" w:hAnsiTheme="minorHAnsi"/>
          <w:snapToGrid w:val="0"/>
        </w:rPr>
        <w:t xml:space="preserve">he PBAC noted </w:t>
      </w:r>
      <w:r w:rsidR="007058E0" w:rsidRPr="00CF7D68">
        <w:t xml:space="preserve">treatment with </w:t>
      </w:r>
      <w:proofErr w:type="spellStart"/>
      <w:r w:rsidR="007058E0" w:rsidRPr="00CF7D68">
        <w:t>finerenone</w:t>
      </w:r>
      <w:proofErr w:type="spellEnd"/>
      <w:r w:rsidR="007058E0" w:rsidRPr="00CF7D68">
        <w:t xml:space="preserve"> was associated with a statistically significant reduction in</w:t>
      </w:r>
      <w:r w:rsidR="005979D3">
        <w:t xml:space="preserve"> </w:t>
      </w:r>
      <w:r w:rsidR="007058E0" w:rsidRPr="00CF7D68">
        <w:t xml:space="preserve">composite </w:t>
      </w:r>
      <w:r w:rsidR="005979D3">
        <w:t xml:space="preserve">time to first </w:t>
      </w:r>
      <w:r w:rsidR="007A1237" w:rsidRPr="00CF7D68">
        <w:t>renal</w:t>
      </w:r>
      <w:r w:rsidR="007058E0" w:rsidRPr="00CF7D68">
        <w:t xml:space="preserve"> </w:t>
      </w:r>
      <w:r w:rsidR="00181E2D" w:rsidRPr="00CF7D68">
        <w:t xml:space="preserve">and </w:t>
      </w:r>
      <w:r w:rsidR="00B300E5">
        <w:t xml:space="preserve">first </w:t>
      </w:r>
      <w:r w:rsidR="00181E2D" w:rsidRPr="00CF7D68">
        <w:t xml:space="preserve">cardiovascular </w:t>
      </w:r>
      <w:r w:rsidR="007058E0" w:rsidRPr="00CF7D68">
        <w:t>event compared to placebo</w:t>
      </w:r>
      <w:r w:rsidR="00781979">
        <w:t xml:space="preserve"> (</w:t>
      </w:r>
      <w:r w:rsidR="009A211F">
        <w:t>see </w:t>
      </w:r>
      <w:r w:rsidR="00781979">
        <w:fldChar w:fldCharType="begin"/>
      </w:r>
      <w:r w:rsidR="00781979">
        <w:instrText xml:space="preserve"> REF _Ref103265940 \h </w:instrText>
      </w:r>
      <w:r w:rsidR="00781979">
        <w:fldChar w:fldCharType="separate"/>
      </w:r>
      <w:r w:rsidR="00BA74E2" w:rsidRPr="00CF7D68">
        <w:t xml:space="preserve">Table </w:t>
      </w:r>
      <w:r w:rsidR="00BA74E2">
        <w:rPr>
          <w:noProof/>
        </w:rPr>
        <w:t>7</w:t>
      </w:r>
      <w:r w:rsidR="00781979">
        <w:fldChar w:fldCharType="end"/>
      </w:r>
      <w:r w:rsidR="00781979">
        <w:t>)</w:t>
      </w:r>
      <w:r w:rsidR="007058E0" w:rsidRPr="00CF7D68">
        <w:t>.</w:t>
      </w:r>
      <w:r w:rsidR="00781979">
        <w:t xml:space="preserve"> It agreed with the ESC’s assessment that a claim of modestly superior efficacy was reasonable for the </w:t>
      </w:r>
      <w:r w:rsidR="00563524">
        <w:t xml:space="preserve">duration of the trials and the </w:t>
      </w:r>
      <w:r w:rsidR="00781979">
        <w:t>broader trial populations</w:t>
      </w:r>
      <w:r w:rsidR="002A6307">
        <w:t xml:space="preserve">, and further </w:t>
      </w:r>
      <w:r w:rsidR="00181E2D" w:rsidRPr="00894DDA">
        <w:t>noted that the</w:t>
      </w:r>
      <w:r w:rsidR="007058E0" w:rsidRPr="00657708">
        <w:t xml:space="preserve"> composite risk of </w:t>
      </w:r>
      <w:r w:rsidR="00181E2D" w:rsidRPr="00657708">
        <w:t xml:space="preserve">renal </w:t>
      </w:r>
      <w:r w:rsidR="007058E0" w:rsidRPr="00657708">
        <w:t xml:space="preserve">events </w:t>
      </w:r>
      <w:r w:rsidR="002A6307" w:rsidRPr="00E90169">
        <w:t xml:space="preserve">in the individual trials </w:t>
      </w:r>
      <w:r w:rsidR="007058E0" w:rsidRPr="00894DDA">
        <w:t xml:space="preserve">was </w:t>
      </w:r>
      <w:r w:rsidR="003B6DB7" w:rsidRPr="002A6307">
        <w:t xml:space="preserve">driven </w:t>
      </w:r>
      <w:r w:rsidR="007A1237" w:rsidRPr="002A6307">
        <w:t xml:space="preserve">by a reduction in patients experiencing a sustained </w:t>
      </w:r>
      <w:r w:rsidR="007A1237" w:rsidRPr="00B300E5">
        <w:rPr>
          <w:u w:val="single"/>
        </w:rPr>
        <w:t>&gt;</w:t>
      </w:r>
      <w:r w:rsidR="007A1237" w:rsidRPr="002A6307">
        <w:t>40% relative decrease in eGFR from baseline</w:t>
      </w:r>
      <w:r w:rsidR="002A6307" w:rsidRPr="00E90169">
        <w:t xml:space="preserve">, rather than a reduction in renal failure or renal death (see </w:t>
      </w:r>
      <w:r w:rsidR="002A6307" w:rsidRPr="00E90169">
        <w:fldChar w:fldCharType="begin"/>
      </w:r>
      <w:r w:rsidR="002A6307" w:rsidRPr="00E90169">
        <w:instrText xml:space="preserve"> REF _Ref103265541 \h </w:instrText>
      </w:r>
      <w:r w:rsidR="002A6307" w:rsidRPr="00E90169">
        <w:fldChar w:fldCharType="separate"/>
      </w:r>
      <w:r w:rsidR="00AE5D6E" w:rsidRPr="00CF7D68">
        <w:t xml:space="preserve">Table </w:t>
      </w:r>
      <w:r w:rsidR="00AE5D6E">
        <w:rPr>
          <w:noProof/>
        </w:rPr>
        <w:t>6</w:t>
      </w:r>
      <w:r w:rsidR="002A6307" w:rsidRPr="00E90169">
        <w:fldChar w:fldCharType="end"/>
      </w:r>
      <w:r w:rsidR="002A6307" w:rsidRPr="00E90169">
        <w:t>)</w:t>
      </w:r>
      <w:r w:rsidR="00181E2D" w:rsidRPr="00894DDA">
        <w:t xml:space="preserve">. </w:t>
      </w:r>
      <w:r w:rsidR="00C71E52">
        <w:t>In addition</w:t>
      </w:r>
      <w:r w:rsidR="002A6307">
        <w:t>, whilst the PBAC noted the evaluation comment that the</w:t>
      </w:r>
      <w:r w:rsidR="009A211F">
        <w:t xml:space="preserve"> FIDELITY</w:t>
      </w:r>
      <w:r w:rsidR="002A6307">
        <w:t xml:space="preserve"> pre-specified subgroup analyses of cardiovascular outcomes did not suggest any major treatment effect modifications, it was </w:t>
      </w:r>
      <w:r w:rsidR="009A211F">
        <w:t xml:space="preserve">concerned that the pre-specified subgroup analyses of renal outcomes </w:t>
      </w:r>
      <w:r w:rsidR="009A211F" w:rsidRPr="00894DDA">
        <w:t xml:space="preserve">suggested </w:t>
      </w:r>
      <w:r w:rsidR="00D02139" w:rsidRPr="009A211F">
        <w:t xml:space="preserve">little </w:t>
      </w:r>
      <w:r w:rsidR="00B512CB" w:rsidRPr="009A211F">
        <w:t>to</w:t>
      </w:r>
      <w:r w:rsidR="00D02139" w:rsidRPr="009A211F">
        <w:t xml:space="preserve"> </w:t>
      </w:r>
      <w:r w:rsidR="000E2829" w:rsidRPr="009A211F">
        <w:t xml:space="preserve">no treatment benefit was observed for patients </w:t>
      </w:r>
      <w:r w:rsidR="00B512CB" w:rsidRPr="009A211F">
        <w:t xml:space="preserve">with less than </w:t>
      </w:r>
      <w:r w:rsidR="000E2829" w:rsidRPr="009A211F">
        <w:t>very high albuminuria at baseline (&lt;300 mg/g)</w:t>
      </w:r>
      <w:r w:rsidR="009A211F" w:rsidRPr="00E90169">
        <w:t xml:space="preserve"> (see paragraph </w:t>
      </w:r>
      <w:r w:rsidR="009A211F" w:rsidRPr="00E90169">
        <w:fldChar w:fldCharType="begin"/>
      </w:r>
      <w:r w:rsidR="009A211F" w:rsidRPr="00E90169">
        <w:instrText xml:space="preserve"> REF _Ref110678670 \r \h </w:instrText>
      </w:r>
      <w:r w:rsidR="009A211F" w:rsidRPr="00E90169">
        <w:fldChar w:fldCharType="separate"/>
      </w:r>
      <w:r w:rsidR="00AE5D6E">
        <w:t>6.20</w:t>
      </w:r>
      <w:r w:rsidR="009A211F" w:rsidRPr="00E90169">
        <w:fldChar w:fldCharType="end"/>
      </w:r>
      <w:r w:rsidR="009A211F" w:rsidRPr="00E90169">
        <w:t>).</w:t>
      </w:r>
      <w:r w:rsidR="00D02139" w:rsidRPr="00894DDA">
        <w:t xml:space="preserve"> </w:t>
      </w:r>
      <w:r w:rsidR="009A211F" w:rsidRPr="00E90169">
        <w:t>Given this, it</w:t>
      </w:r>
      <w:r w:rsidR="009A211F" w:rsidRPr="00894DDA">
        <w:t xml:space="preserve"> </w:t>
      </w:r>
      <w:r w:rsidR="00D02139" w:rsidRPr="00657708">
        <w:t xml:space="preserve">advised that the </w:t>
      </w:r>
      <w:r w:rsidR="0073553B" w:rsidRPr="00657708">
        <w:t xml:space="preserve">proposed </w:t>
      </w:r>
      <w:r w:rsidR="00D02139" w:rsidRPr="00657708">
        <w:t xml:space="preserve">PBS restriction be </w:t>
      </w:r>
      <w:r w:rsidR="00020348" w:rsidRPr="009A211F">
        <w:t>amended</w:t>
      </w:r>
      <w:r w:rsidR="00D02139" w:rsidRPr="009A211F">
        <w:t xml:space="preserve"> to include a clinical criterion limiting treatment to patients with a </w:t>
      </w:r>
      <w:r w:rsidR="00873ACF">
        <w:t>UACR</w:t>
      </w:r>
      <w:r w:rsidR="00D02139" w:rsidRPr="009A211F">
        <w:t xml:space="preserve"> of 300 mg/g (33.9 mg/mmol) or greater.</w:t>
      </w:r>
      <w:r w:rsidR="002B7191">
        <w:t xml:space="preserve"> Finally, the PBAC considered that the benefits observed in FIDELITY were not well translated to support the size of the comparative gains in the proposed PBS population, given likely different baseline risks between populations </w:t>
      </w:r>
      <w:r w:rsidR="00743686">
        <w:t>as well as uncertain treatment effects in the</w:t>
      </w:r>
      <w:r w:rsidR="00A54FF0">
        <w:t xml:space="preserve"> subgroup of patients treated with an</w:t>
      </w:r>
      <w:r w:rsidR="00743686">
        <w:t xml:space="preserve"> SGLT2 inhibitor</w:t>
      </w:r>
      <w:r w:rsidR="009A5D25">
        <w:t>s</w:t>
      </w:r>
      <w:r w:rsidR="00743686">
        <w:t xml:space="preserve">. </w:t>
      </w:r>
    </w:p>
    <w:p w14:paraId="400A6C75" w14:textId="6E720F69" w:rsidR="00D40427" w:rsidRDefault="00753F65" w:rsidP="00D40427">
      <w:pPr>
        <w:widowControl w:val="0"/>
        <w:numPr>
          <w:ilvl w:val="1"/>
          <w:numId w:val="1"/>
        </w:numPr>
        <w:spacing w:after="120"/>
        <w:ind w:left="720" w:hanging="720"/>
      </w:pPr>
      <w:r w:rsidRPr="00CF7D68">
        <w:t xml:space="preserve">The PBAC considered </w:t>
      </w:r>
      <w:r w:rsidR="004A426D" w:rsidRPr="00CF7D68">
        <w:t xml:space="preserve">that </w:t>
      </w:r>
      <w:r w:rsidRPr="00CF7D68">
        <w:t>the magnitude of treatment benefit for patients receiving an SGLT2 inhibitor</w:t>
      </w:r>
      <w:r w:rsidR="00020348">
        <w:t xml:space="preserve"> was</w:t>
      </w:r>
      <w:r w:rsidRPr="00CF7D68">
        <w:t xml:space="preserve"> highly uncertain due to </w:t>
      </w:r>
      <w:r w:rsidR="003D7AFA">
        <w:t xml:space="preserve">a </w:t>
      </w:r>
      <w:r w:rsidRPr="00CF7D68">
        <w:t>small number of patients in the clinical trials receiv</w:t>
      </w:r>
      <w:r w:rsidR="004A426D" w:rsidRPr="00CF7D68">
        <w:t>ing</w:t>
      </w:r>
      <w:r w:rsidRPr="00CF7D68">
        <w:t xml:space="preserve"> </w:t>
      </w:r>
      <w:r w:rsidR="00EA7EED">
        <w:t>this class of drugs</w:t>
      </w:r>
      <w:r w:rsidRPr="00CF7D68">
        <w:t xml:space="preserve"> (6.7%</w:t>
      </w:r>
      <w:r w:rsidR="00802AEE">
        <w:t xml:space="preserve"> in FIDELITY</w:t>
      </w:r>
      <w:r w:rsidRPr="00CF7D68">
        <w:t>)</w:t>
      </w:r>
      <w:r w:rsidR="00921D7B">
        <w:t>, which</w:t>
      </w:r>
      <w:r w:rsidR="00020348">
        <w:t xml:space="preserve"> resulted</w:t>
      </w:r>
      <w:r w:rsidRPr="00CF7D68">
        <w:t xml:space="preserve"> in </w:t>
      </w:r>
      <w:r w:rsidR="00E90169">
        <w:t>imprecise</w:t>
      </w:r>
      <w:r w:rsidR="00D40427" w:rsidRPr="00CF7D68">
        <w:t xml:space="preserve"> </w:t>
      </w:r>
      <w:r w:rsidRPr="00CF7D68">
        <w:t>and inconsistent results across the clinical trial subgroup analyses</w:t>
      </w:r>
      <w:r w:rsidR="003D7AFA">
        <w:t xml:space="preserve"> for this group</w:t>
      </w:r>
      <w:r w:rsidR="00D40427">
        <w:t xml:space="preserve"> (see </w:t>
      </w:r>
      <w:r w:rsidR="00D40427">
        <w:fldChar w:fldCharType="begin"/>
      </w:r>
      <w:r w:rsidR="00D40427">
        <w:instrText xml:space="preserve"> REF _Ref110682787 \h </w:instrText>
      </w:r>
      <w:r w:rsidR="00D40427">
        <w:fldChar w:fldCharType="separate"/>
      </w:r>
      <w:r w:rsidR="00AE5D6E">
        <w:t xml:space="preserve">Table </w:t>
      </w:r>
      <w:r w:rsidR="00AE5D6E">
        <w:rPr>
          <w:noProof/>
        </w:rPr>
        <w:t>8</w:t>
      </w:r>
      <w:r w:rsidR="00D40427">
        <w:fldChar w:fldCharType="end"/>
      </w:r>
      <w:r w:rsidR="00D40427">
        <w:t xml:space="preserve"> and </w:t>
      </w:r>
      <w:r w:rsidR="00D40427">
        <w:fldChar w:fldCharType="begin"/>
      </w:r>
      <w:r w:rsidR="00D40427">
        <w:instrText xml:space="preserve"> REF _Ref110682789 \h </w:instrText>
      </w:r>
      <w:r w:rsidR="00D40427">
        <w:fldChar w:fldCharType="separate"/>
      </w:r>
      <w:r w:rsidR="00AE5D6E">
        <w:t xml:space="preserve">Table </w:t>
      </w:r>
      <w:r w:rsidR="00AE5D6E">
        <w:rPr>
          <w:noProof/>
        </w:rPr>
        <w:t>9</w:t>
      </w:r>
      <w:r w:rsidR="00D40427">
        <w:fldChar w:fldCharType="end"/>
      </w:r>
      <w:r w:rsidR="00D40427">
        <w:t xml:space="preserve">). Given this uncertainty, </w:t>
      </w:r>
      <w:r w:rsidR="00880F84">
        <w:t>the PBAC considered that conservative estimates of treatment effect in these patients would be most appropriate.</w:t>
      </w:r>
    </w:p>
    <w:p w14:paraId="5DBA9797" w14:textId="022C9AC5" w:rsidR="00894DDA" w:rsidRPr="000760B9" w:rsidRDefault="00EA7EED">
      <w:pPr>
        <w:widowControl w:val="0"/>
        <w:numPr>
          <w:ilvl w:val="1"/>
          <w:numId w:val="1"/>
        </w:numPr>
        <w:spacing w:after="120"/>
        <w:ind w:left="720" w:hanging="720"/>
        <w:rPr>
          <w:rFonts w:asciiTheme="minorHAnsi" w:hAnsiTheme="minorHAnsi"/>
          <w:snapToGrid w:val="0"/>
        </w:rPr>
      </w:pPr>
      <w:r w:rsidRPr="00D947DF">
        <w:t>In terms of the comparative harms</w:t>
      </w:r>
      <w:r w:rsidRPr="00E90169">
        <w:t xml:space="preserve">, the PBAC </w:t>
      </w:r>
      <w:r w:rsidR="00C4273E" w:rsidRPr="00E90169">
        <w:t xml:space="preserve">noted that </w:t>
      </w:r>
      <w:proofErr w:type="spellStart"/>
      <w:r w:rsidR="00C4273E" w:rsidRPr="00E90169">
        <w:t>finerenone</w:t>
      </w:r>
      <w:proofErr w:type="spellEnd"/>
      <w:r w:rsidR="00C4273E" w:rsidRPr="00E90169">
        <w:t xml:space="preserve"> treatment was associated with a decreased incidence of serious adverse events compared to placebo, but associated with increased treatment-related adverse events and adverse events leading to discontinuation, in particular a significant increase in hyperkalaemia (</w:t>
      </w:r>
      <w:r w:rsidR="00C4273E" w:rsidRPr="00E90169">
        <w:fldChar w:fldCharType="begin"/>
      </w:r>
      <w:r w:rsidR="00C4273E" w:rsidRPr="00E90169">
        <w:instrText xml:space="preserve"> REF _Ref103267369 \h </w:instrText>
      </w:r>
      <w:r w:rsidR="00C4273E">
        <w:instrText xml:space="preserve"> \* MERGEFORMAT </w:instrText>
      </w:r>
      <w:r w:rsidR="00C4273E" w:rsidRPr="00E90169">
        <w:fldChar w:fldCharType="separate"/>
      </w:r>
      <w:r w:rsidR="00AE5D6E" w:rsidRPr="00CF7D68">
        <w:t xml:space="preserve">Table </w:t>
      </w:r>
      <w:r w:rsidR="00AE5D6E">
        <w:rPr>
          <w:noProof/>
        </w:rPr>
        <w:t>10</w:t>
      </w:r>
      <w:r w:rsidR="00C4273E" w:rsidRPr="00E90169">
        <w:fldChar w:fldCharType="end"/>
      </w:r>
      <w:r w:rsidR="00C4273E" w:rsidRPr="00E90169">
        <w:t xml:space="preserve">). </w:t>
      </w:r>
      <w:r w:rsidR="00EC125C">
        <w:t xml:space="preserve">Given that the reduction in serious adverse events was partly driven by a reduction in complications associated with </w:t>
      </w:r>
      <w:r w:rsidR="00D32542">
        <w:t xml:space="preserve">diabetic </w:t>
      </w:r>
      <w:r w:rsidR="00EC125C">
        <w:t xml:space="preserve">kidney disease, and that the risk of hyperkalaemia was likely to be greater outside the tightly controlled environment </w:t>
      </w:r>
      <w:r w:rsidR="00EC125C">
        <w:lastRenderedPageBreak/>
        <w:t xml:space="preserve">of a clinical trial, the PBAC did not consider that a claim of </w:t>
      </w:r>
      <w:r w:rsidR="00D32542">
        <w:t>compara</w:t>
      </w:r>
      <w:r w:rsidR="00753ED1">
        <w:t>ble</w:t>
      </w:r>
      <w:r w:rsidR="00EC125C">
        <w:t xml:space="preserve"> safety to placebo was adequately supported. </w:t>
      </w:r>
    </w:p>
    <w:p w14:paraId="1BFC700D" w14:textId="24F5B819" w:rsidR="00C045D6" w:rsidRPr="00AC0A6E" w:rsidRDefault="00AC318F" w:rsidP="00AC0A6E">
      <w:pPr>
        <w:widowControl w:val="0"/>
        <w:numPr>
          <w:ilvl w:val="1"/>
          <w:numId w:val="1"/>
        </w:numPr>
        <w:spacing w:after="120"/>
        <w:ind w:left="720" w:hanging="720"/>
        <w:rPr>
          <w:rFonts w:asciiTheme="minorHAnsi" w:hAnsiTheme="minorHAnsi"/>
          <w:bCs/>
          <w:iCs/>
          <w:snapToGrid w:val="0"/>
        </w:rPr>
      </w:pPr>
      <w:r w:rsidRPr="00D947DF">
        <w:rPr>
          <w:rFonts w:asciiTheme="minorHAnsi" w:hAnsiTheme="minorHAnsi"/>
          <w:snapToGrid w:val="0"/>
        </w:rPr>
        <w:t>The PBAC noted that the submission presented a Markov state-transition cohort model with 24 health states</w:t>
      </w:r>
      <w:bookmarkStart w:id="67" w:name="_Ref110800883"/>
      <w:r w:rsidR="00C045D6">
        <w:rPr>
          <w:rFonts w:asciiTheme="minorHAnsi" w:hAnsiTheme="minorHAnsi"/>
          <w:snapToGrid w:val="0"/>
        </w:rPr>
        <w:t>, and</w:t>
      </w:r>
      <w:r w:rsidR="00E07B14" w:rsidRPr="00CF7D68">
        <w:rPr>
          <w:rFonts w:asciiTheme="minorHAnsi" w:hAnsiTheme="minorHAnsi"/>
          <w:snapToGrid w:val="0"/>
        </w:rPr>
        <w:t xml:space="preserve"> </w:t>
      </w:r>
      <w:r w:rsidR="00C045D6">
        <w:rPr>
          <w:rFonts w:asciiTheme="minorHAnsi" w:hAnsiTheme="minorHAnsi"/>
          <w:snapToGrid w:val="0"/>
        </w:rPr>
        <w:t xml:space="preserve">that </w:t>
      </w:r>
      <w:r w:rsidR="00E07B14" w:rsidRPr="00CF7D68">
        <w:rPr>
          <w:rFonts w:asciiTheme="minorHAnsi" w:hAnsiTheme="minorHAnsi"/>
          <w:snapToGrid w:val="0"/>
        </w:rPr>
        <w:t>the base case</w:t>
      </w:r>
      <w:r>
        <w:rPr>
          <w:rFonts w:asciiTheme="minorHAnsi" w:hAnsiTheme="minorHAnsi"/>
          <w:snapToGrid w:val="0"/>
        </w:rPr>
        <w:t xml:space="preserve"> incremental cost-effectiveness ratio (</w:t>
      </w:r>
      <w:r w:rsidR="00E07B14" w:rsidRPr="00CF7D68">
        <w:rPr>
          <w:rFonts w:asciiTheme="minorHAnsi" w:hAnsiTheme="minorHAnsi"/>
          <w:snapToGrid w:val="0"/>
        </w:rPr>
        <w:t>ICER</w:t>
      </w:r>
      <w:r>
        <w:rPr>
          <w:rFonts w:asciiTheme="minorHAnsi" w:hAnsiTheme="minorHAnsi"/>
          <w:snapToGrid w:val="0"/>
        </w:rPr>
        <w:t>)</w:t>
      </w:r>
      <w:r w:rsidR="00E07B14" w:rsidRPr="00CF7D68">
        <w:rPr>
          <w:rFonts w:asciiTheme="minorHAnsi" w:hAnsiTheme="minorHAnsi"/>
          <w:snapToGrid w:val="0"/>
        </w:rPr>
        <w:t xml:space="preserve"> was revised during the evaluation </w:t>
      </w:r>
      <w:r>
        <w:rPr>
          <w:rFonts w:asciiTheme="minorHAnsi" w:hAnsiTheme="minorHAnsi"/>
          <w:snapToGrid w:val="0"/>
        </w:rPr>
        <w:t xml:space="preserve">from </w:t>
      </w:r>
      <w:r w:rsidR="00B72EAB" w:rsidRPr="00B72EAB">
        <w:rPr>
          <w:rFonts w:asciiTheme="minorHAnsi" w:hAnsiTheme="minorHAnsi"/>
          <w:snapToGrid w:val="0"/>
        </w:rPr>
        <w:t>$5,000 to &lt;</w:t>
      </w:r>
      <w:r w:rsidR="00B72EAB">
        <w:rPr>
          <w:rFonts w:asciiTheme="minorHAnsi" w:hAnsiTheme="minorHAnsi"/>
          <w:snapToGrid w:val="0"/>
        </w:rPr>
        <w:t> </w:t>
      </w:r>
      <w:r w:rsidR="00B72EAB" w:rsidRPr="00B72EAB">
        <w:rPr>
          <w:rFonts w:asciiTheme="minorHAnsi" w:hAnsiTheme="minorHAnsi"/>
          <w:snapToGrid w:val="0"/>
        </w:rPr>
        <w:t>$15,000</w:t>
      </w:r>
      <w:r>
        <w:rPr>
          <w:rFonts w:asciiTheme="minorHAnsi" w:hAnsiTheme="minorHAnsi"/>
          <w:snapToGrid w:val="0"/>
        </w:rPr>
        <w:t xml:space="preserve"> to</w:t>
      </w:r>
      <w:r w:rsidR="002D255C">
        <w:rPr>
          <w:rFonts w:asciiTheme="minorHAnsi" w:hAnsiTheme="minorHAnsi"/>
          <w:snapToGrid w:val="0"/>
        </w:rPr>
        <w:t xml:space="preserve"> </w:t>
      </w:r>
      <w:r w:rsidR="002D255C">
        <w:rPr>
          <w:rFonts w:asciiTheme="minorHAnsi" w:hAnsiTheme="minorHAnsi"/>
          <w:snapToGrid w:val="0"/>
        </w:rPr>
        <w:br/>
      </w:r>
      <w:r w:rsidR="00254E06" w:rsidRPr="00254E06">
        <w:rPr>
          <w:rFonts w:asciiTheme="minorHAnsi" w:hAnsiTheme="minorHAnsi"/>
          <w:snapToGrid w:val="0"/>
        </w:rPr>
        <w:t>$55,000 to &lt;</w:t>
      </w:r>
      <w:r w:rsidR="00B72EAB">
        <w:rPr>
          <w:rFonts w:asciiTheme="minorHAnsi" w:hAnsiTheme="minorHAnsi"/>
          <w:snapToGrid w:val="0"/>
        </w:rPr>
        <w:t> </w:t>
      </w:r>
      <w:r w:rsidR="00254E06" w:rsidRPr="00254E06">
        <w:rPr>
          <w:rFonts w:asciiTheme="minorHAnsi" w:hAnsiTheme="minorHAnsi"/>
          <w:snapToGrid w:val="0"/>
        </w:rPr>
        <w:t>$75,000</w:t>
      </w:r>
      <w:r>
        <w:rPr>
          <w:rFonts w:asciiTheme="minorHAnsi" w:hAnsiTheme="minorHAnsi"/>
          <w:snapToGrid w:val="0"/>
        </w:rPr>
        <w:t xml:space="preserve"> per QALY gained </w:t>
      </w:r>
      <w:r w:rsidR="00C045D6">
        <w:rPr>
          <w:rFonts w:asciiTheme="minorHAnsi" w:hAnsiTheme="minorHAnsi"/>
          <w:snapToGrid w:val="0"/>
        </w:rPr>
        <w:t>(</w:t>
      </w:r>
      <w:r>
        <w:rPr>
          <w:rFonts w:asciiTheme="minorHAnsi" w:hAnsiTheme="minorHAnsi"/>
          <w:snapToGrid w:val="0"/>
        </w:rPr>
        <w:fldChar w:fldCharType="begin"/>
      </w:r>
      <w:r>
        <w:rPr>
          <w:rFonts w:asciiTheme="minorHAnsi" w:hAnsiTheme="minorHAnsi"/>
          <w:snapToGrid w:val="0"/>
        </w:rPr>
        <w:instrText xml:space="preserve"> REF _Ref110786964 \h </w:instrText>
      </w:r>
      <w:r>
        <w:rPr>
          <w:rFonts w:asciiTheme="minorHAnsi" w:hAnsiTheme="minorHAnsi"/>
          <w:snapToGrid w:val="0"/>
        </w:rPr>
      </w:r>
      <w:r>
        <w:rPr>
          <w:rFonts w:asciiTheme="minorHAnsi" w:hAnsiTheme="minorHAnsi"/>
          <w:snapToGrid w:val="0"/>
        </w:rPr>
        <w:fldChar w:fldCharType="separate"/>
      </w:r>
      <w:r w:rsidR="00BA74E2" w:rsidRPr="00CF7D68">
        <w:t xml:space="preserve">Table </w:t>
      </w:r>
      <w:r w:rsidR="00BA74E2">
        <w:rPr>
          <w:noProof/>
        </w:rPr>
        <w:t>16</w:t>
      </w:r>
      <w:r>
        <w:rPr>
          <w:rFonts w:asciiTheme="minorHAnsi" w:hAnsiTheme="minorHAnsi"/>
          <w:snapToGrid w:val="0"/>
        </w:rPr>
        <w:fldChar w:fldCharType="end"/>
      </w:r>
      <w:r w:rsidR="00E07B14" w:rsidRPr="00CF7D68">
        <w:rPr>
          <w:rFonts w:asciiTheme="minorHAnsi" w:hAnsiTheme="minorHAnsi"/>
          <w:snapToGrid w:val="0"/>
        </w:rPr>
        <w:t>)</w:t>
      </w:r>
      <w:r w:rsidR="00E35D02" w:rsidRPr="00D947DF">
        <w:rPr>
          <w:rFonts w:asciiTheme="minorHAnsi" w:hAnsiTheme="minorHAnsi"/>
          <w:snapToGrid w:val="0"/>
        </w:rPr>
        <w:t>.</w:t>
      </w:r>
      <w:r w:rsidR="00C045D6">
        <w:rPr>
          <w:rFonts w:asciiTheme="minorHAnsi" w:hAnsiTheme="minorHAnsi"/>
          <w:snapToGrid w:val="0"/>
        </w:rPr>
        <w:t xml:space="preserve"> The PBAC considered that the model’s o</w:t>
      </w:r>
      <w:r w:rsidR="00C045D6" w:rsidRPr="00AC0A6E">
        <w:rPr>
          <w:rFonts w:asciiTheme="minorHAnsi" w:hAnsiTheme="minorHAnsi"/>
          <w:bCs/>
          <w:iCs/>
          <w:snapToGrid w:val="0"/>
        </w:rPr>
        <w:t>ptimistic structure and inputs</w:t>
      </w:r>
      <w:r w:rsidR="00C045D6" w:rsidRPr="00E90169">
        <w:rPr>
          <w:rFonts w:asciiTheme="minorHAnsi" w:hAnsiTheme="minorHAnsi"/>
          <w:bCs/>
          <w:iCs/>
          <w:snapToGrid w:val="0"/>
        </w:rPr>
        <w:t xml:space="preserve"> </w:t>
      </w:r>
      <w:r w:rsidR="00B300E5">
        <w:rPr>
          <w:rFonts w:asciiTheme="minorHAnsi" w:hAnsiTheme="minorHAnsi"/>
          <w:bCs/>
          <w:iCs/>
          <w:snapToGrid w:val="0"/>
        </w:rPr>
        <w:t xml:space="preserve">discussed below </w:t>
      </w:r>
      <w:r w:rsidR="00C045D6" w:rsidRPr="00E90169">
        <w:rPr>
          <w:rFonts w:asciiTheme="minorHAnsi" w:hAnsiTheme="minorHAnsi"/>
          <w:bCs/>
          <w:iCs/>
          <w:snapToGrid w:val="0"/>
        </w:rPr>
        <w:t xml:space="preserve">meant that the </w:t>
      </w:r>
      <w:r w:rsidR="00C045D6" w:rsidRPr="009D4CCA">
        <w:rPr>
          <w:rFonts w:asciiTheme="minorHAnsi" w:hAnsiTheme="minorHAnsi"/>
          <w:bCs/>
          <w:iCs/>
          <w:snapToGrid w:val="0"/>
        </w:rPr>
        <w:t>alternative base case</w:t>
      </w:r>
      <w:r w:rsidR="00C045D6" w:rsidRPr="00C045D6">
        <w:rPr>
          <w:rFonts w:asciiTheme="minorHAnsi" w:hAnsiTheme="minorHAnsi"/>
          <w:bCs/>
          <w:iCs/>
          <w:snapToGrid w:val="0"/>
        </w:rPr>
        <w:t xml:space="preserve"> ICER of </w:t>
      </w:r>
      <w:r w:rsidR="00254E06" w:rsidRPr="00254E06">
        <w:rPr>
          <w:rFonts w:asciiTheme="minorHAnsi" w:hAnsiTheme="minorHAnsi"/>
          <w:bCs/>
          <w:iCs/>
          <w:snapToGrid w:val="0"/>
        </w:rPr>
        <w:t>$55,000 to &lt;</w:t>
      </w:r>
      <w:r w:rsidR="00B72EAB">
        <w:rPr>
          <w:rFonts w:asciiTheme="minorHAnsi" w:hAnsiTheme="minorHAnsi"/>
          <w:bCs/>
          <w:iCs/>
          <w:snapToGrid w:val="0"/>
        </w:rPr>
        <w:t> </w:t>
      </w:r>
      <w:r w:rsidR="00254E06" w:rsidRPr="00254E06">
        <w:rPr>
          <w:rFonts w:asciiTheme="minorHAnsi" w:hAnsiTheme="minorHAnsi"/>
          <w:bCs/>
          <w:iCs/>
          <w:snapToGrid w:val="0"/>
        </w:rPr>
        <w:t>$75,000</w:t>
      </w:r>
      <w:r w:rsidR="00C045D6" w:rsidRPr="00C045D6">
        <w:rPr>
          <w:rFonts w:asciiTheme="minorHAnsi" w:hAnsiTheme="minorHAnsi"/>
          <w:bCs/>
          <w:iCs/>
          <w:snapToGrid w:val="0"/>
        </w:rPr>
        <w:t xml:space="preserve"> remained uncertain and likely underestimated. Furthermore, the PBAC considered that the value proposition at this ICER was not supported, given that it was higher than the range generally accepted for chronic conditions and noting that </w:t>
      </w:r>
      <w:r w:rsidR="00C045D6">
        <w:rPr>
          <w:rFonts w:asciiTheme="minorHAnsi" w:hAnsiTheme="minorHAnsi"/>
          <w:bCs/>
          <w:iCs/>
          <w:snapToGrid w:val="0"/>
        </w:rPr>
        <w:t>PBAC</w:t>
      </w:r>
      <w:r w:rsidR="00C045D6" w:rsidRPr="00AC0A6E">
        <w:rPr>
          <w:rFonts w:asciiTheme="minorHAnsi" w:hAnsiTheme="minorHAnsi"/>
          <w:bCs/>
          <w:iCs/>
          <w:snapToGrid w:val="0"/>
        </w:rPr>
        <w:t xml:space="preserve"> had recently recommended dapagliflozin for </w:t>
      </w:r>
      <w:r w:rsidR="00B86DBD">
        <w:rPr>
          <w:rFonts w:asciiTheme="minorHAnsi" w:hAnsiTheme="minorHAnsi"/>
          <w:bCs/>
          <w:iCs/>
          <w:snapToGrid w:val="0"/>
        </w:rPr>
        <w:t>CKD</w:t>
      </w:r>
      <w:r w:rsidR="00C045D6" w:rsidRPr="00AC0A6E">
        <w:rPr>
          <w:rFonts w:asciiTheme="minorHAnsi" w:hAnsiTheme="minorHAnsi"/>
          <w:bCs/>
          <w:iCs/>
          <w:snapToGrid w:val="0"/>
        </w:rPr>
        <w:t>, which had dominated</w:t>
      </w:r>
      <w:r w:rsidR="00C045D6">
        <w:rPr>
          <w:rFonts w:asciiTheme="minorHAnsi" w:hAnsiTheme="minorHAnsi"/>
          <w:bCs/>
          <w:iCs/>
          <w:snapToGrid w:val="0"/>
        </w:rPr>
        <w:t xml:space="preserve"> standard of care</w:t>
      </w:r>
      <w:r w:rsidR="00C045D6" w:rsidRPr="00AC0A6E">
        <w:rPr>
          <w:rFonts w:asciiTheme="minorHAnsi" w:hAnsiTheme="minorHAnsi"/>
          <w:bCs/>
          <w:iCs/>
          <w:snapToGrid w:val="0"/>
        </w:rPr>
        <w:t xml:space="preserve"> in its economic modelling</w:t>
      </w:r>
      <w:r w:rsidR="004C3D9C">
        <w:rPr>
          <w:rFonts w:asciiTheme="minorHAnsi" w:hAnsiTheme="minorHAnsi"/>
          <w:bCs/>
          <w:iCs/>
          <w:snapToGrid w:val="0"/>
        </w:rPr>
        <w:t xml:space="preserve"> and where the trial data had shown a substantial added benefit in terms of reduction in end-stage kidney disease and death</w:t>
      </w:r>
      <w:r w:rsidR="00C045D6" w:rsidRPr="00AC0A6E">
        <w:rPr>
          <w:rFonts w:asciiTheme="minorHAnsi" w:hAnsiTheme="minorHAnsi"/>
          <w:bCs/>
          <w:iCs/>
          <w:snapToGrid w:val="0"/>
        </w:rPr>
        <w:t xml:space="preserve">. Although the PBAC had considered the dapagliflozin model </w:t>
      </w:r>
      <w:r w:rsidR="00753ED1">
        <w:rPr>
          <w:rFonts w:asciiTheme="minorHAnsi" w:hAnsiTheme="minorHAnsi"/>
          <w:bCs/>
          <w:iCs/>
          <w:snapToGrid w:val="0"/>
        </w:rPr>
        <w:t>was not robust</w:t>
      </w:r>
      <w:r w:rsidR="00C045D6" w:rsidRPr="00E90169">
        <w:rPr>
          <w:rFonts w:asciiTheme="minorHAnsi" w:hAnsiTheme="minorHAnsi"/>
          <w:bCs/>
          <w:iCs/>
          <w:snapToGrid w:val="0"/>
        </w:rPr>
        <w:t xml:space="preserve">, it </w:t>
      </w:r>
      <w:r w:rsidR="009032F4">
        <w:rPr>
          <w:rFonts w:asciiTheme="minorHAnsi" w:hAnsiTheme="minorHAnsi"/>
          <w:bCs/>
          <w:iCs/>
          <w:snapToGrid w:val="0"/>
        </w:rPr>
        <w:t xml:space="preserve">had </w:t>
      </w:r>
      <w:r w:rsidR="009D4CCA">
        <w:rPr>
          <w:rFonts w:asciiTheme="minorHAnsi" w:hAnsiTheme="minorHAnsi"/>
          <w:bCs/>
          <w:iCs/>
          <w:snapToGrid w:val="0"/>
        </w:rPr>
        <w:t>determine</w:t>
      </w:r>
      <w:r w:rsidR="009032F4">
        <w:rPr>
          <w:rFonts w:asciiTheme="minorHAnsi" w:hAnsiTheme="minorHAnsi"/>
          <w:bCs/>
          <w:iCs/>
          <w:snapToGrid w:val="0"/>
        </w:rPr>
        <w:t>d</w:t>
      </w:r>
      <w:r w:rsidR="00C045D6" w:rsidRPr="00E90169">
        <w:rPr>
          <w:rFonts w:asciiTheme="minorHAnsi" w:hAnsiTheme="minorHAnsi"/>
          <w:bCs/>
          <w:iCs/>
          <w:snapToGrid w:val="0"/>
        </w:rPr>
        <w:t xml:space="preserve"> </w:t>
      </w:r>
      <w:r w:rsidR="004C3D9C">
        <w:rPr>
          <w:rFonts w:asciiTheme="minorHAnsi" w:hAnsiTheme="minorHAnsi"/>
          <w:bCs/>
          <w:iCs/>
          <w:snapToGrid w:val="0"/>
        </w:rPr>
        <w:t>that</w:t>
      </w:r>
      <w:r w:rsidR="00C045D6" w:rsidRPr="00AC0A6E">
        <w:rPr>
          <w:rFonts w:asciiTheme="minorHAnsi" w:hAnsiTheme="minorHAnsi"/>
          <w:bCs/>
          <w:iCs/>
          <w:snapToGrid w:val="0"/>
        </w:rPr>
        <w:t xml:space="preserve"> listing would be co</w:t>
      </w:r>
      <w:r w:rsidR="00C045D6" w:rsidRPr="00E90169">
        <w:rPr>
          <w:rFonts w:asciiTheme="minorHAnsi" w:hAnsiTheme="minorHAnsi"/>
          <w:bCs/>
          <w:iCs/>
          <w:snapToGrid w:val="0"/>
        </w:rPr>
        <w:t>st-effective at the pr</w:t>
      </w:r>
      <w:r w:rsidR="00C045D6" w:rsidRPr="009D4CCA">
        <w:rPr>
          <w:rFonts w:asciiTheme="minorHAnsi" w:hAnsiTheme="minorHAnsi"/>
          <w:bCs/>
          <w:iCs/>
          <w:snapToGrid w:val="0"/>
        </w:rPr>
        <w:t xml:space="preserve">ice proposed </w:t>
      </w:r>
      <w:r w:rsidR="00C045D6" w:rsidRPr="00C045D6">
        <w:rPr>
          <w:rFonts w:asciiTheme="minorHAnsi" w:hAnsiTheme="minorHAnsi"/>
          <w:bCs/>
          <w:iCs/>
          <w:snapToGrid w:val="0"/>
        </w:rPr>
        <w:t>in that sponsor’s pre-PBAC response</w:t>
      </w:r>
      <w:r w:rsidR="006F1FD2">
        <w:rPr>
          <w:rFonts w:asciiTheme="minorHAnsi" w:hAnsiTheme="minorHAnsi"/>
          <w:bCs/>
          <w:iCs/>
          <w:snapToGrid w:val="0"/>
        </w:rPr>
        <w:t xml:space="preserve"> (paragraphs 7.7 and 7.8, dapagliflozin, PSD, July 2021 PBAC Meeting)</w:t>
      </w:r>
      <w:r w:rsidR="00C045D6" w:rsidRPr="00C045D6">
        <w:rPr>
          <w:rFonts w:asciiTheme="minorHAnsi" w:hAnsiTheme="minorHAnsi"/>
          <w:bCs/>
          <w:iCs/>
          <w:snapToGrid w:val="0"/>
        </w:rPr>
        <w:t xml:space="preserve">. Therefore, the PBAC concluded that </w:t>
      </w:r>
      <w:proofErr w:type="spellStart"/>
      <w:r w:rsidR="00C045D6" w:rsidRPr="00C045D6">
        <w:rPr>
          <w:rFonts w:asciiTheme="minorHAnsi" w:hAnsiTheme="minorHAnsi"/>
          <w:bCs/>
          <w:iCs/>
          <w:snapToGrid w:val="0"/>
        </w:rPr>
        <w:t>finerenone</w:t>
      </w:r>
      <w:proofErr w:type="spellEnd"/>
      <w:r w:rsidR="00C045D6" w:rsidRPr="00C045D6">
        <w:rPr>
          <w:rFonts w:asciiTheme="minorHAnsi" w:hAnsiTheme="minorHAnsi"/>
          <w:bCs/>
          <w:iCs/>
          <w:snapToGrid w:val="0"/>
        </w:rPr>
        <w:t xml:space="preserve"> </w:t>
      </w:r>
      <w:r w:rsidR="00E53C95">
        <w:rPr>
          <w:rFonts w:asciiTheme="minorHAnsi" w:hAnsiTheme="minorHAnsi"/>
          <w:bCs/>
          <w:iCs/>
          <w:snapToGrid w:val="0"/>
        </w:rPr>
        <w:t xml:space="preserve">as an add-on to standard of care including an SGLT2 inhibitor, </w:t>
      </w:r>
      <w:r w:rsidR="00C045D6" w:rsidRPr="00C045D6">
        <w:rPr>
          <w:rFonts w:asciiTheme="minorHAnsi" w:hAnsiTheme="minorHAnsi"/>
          <w:bCs/>
          <w:iCs/>
          <w:snapToGrid w:val="0"/>
        </w:rPr>
        <w:t xml:space="preserve">was unlikely to be cost-effective at a price greater than </w:t>
      </w:r>
      <w:r w:rsidR="00B86DBD">
        <w:rPr>
          <w:rFonts w:asciiTheme="minorHAnsi" w:hAnsiTheme="minorHAnsi"/>
          <w:bCs/>
          <w:iCs/>
          <w:snapToGrid w:val="0"/>
        </w:rPr>
        <w:t xml:space="preserve">that </w:t>
      </w:r>
      <w:r w:rsidR="00C045D6" w:rsidRPr="00AC0A6E">
        <w:rPr>
          <w:rFonts w:asciiTheme="minorHAnsi" w:hAnsiTheme="minorHAnsi"/>
          <w:bCs/>
          <w:iCs/>
          <w:snapToGrid w:val="0"/>
        </w:rPr>
        <w:t xml:space="preserve">accepted for dapagliflozin for CKD. </w:t>
      </w:r>
      <w:bookmarkEnd w:id="67"/>
    </w:p>
    <w:p w14:paraId="2D7D184F" w14:textId="150755DA" w:rsidR="003D7AFA" w:rsidRPr="00CF7D68" w:rsidRDefault="00E35D02" w:rsidP="00AC0A6E">
      <w:pPr>
        <w:widowControl w:val="0"/>
        <w:numPr>
          <w:ilvl w:val="1"/>
          <w:numId w:val="1"/>
        </w:numPr>
        <w:spacing w:after="120"/>
        <w:ind w:left="720" w:hanging="720"/>
        <w:rPr>
          <w:rFonts w:asciiTheme="minorHAnsi" w:hAnsiTheme="minorHAnsi"/>
          <w:snapToGrid w:val="0"/>
        </w:rPr>
      </w:pPr>
      <w:bookmarkStart w:id="68" w:name="_Ref110800885"/>
      <w:r w:rsidRPr="00CF7D68">
        <w:rPr>
          <w:rFonts w:asciiTheme="minorHAnsi" w:hAnsiTheme="minorHAnsi"/>
          <w:snapToGrid w:val="0"/>
        </w:rPr>
        <w:t xml:space="preserve">The PBAC </w:t>
      </w:r>
      <w:r w:rsidR="00F143DC">
        <w:rPr>
          <w:rFonts w:asciiTheme="minorHAnsi" w:hAnsiTheme="minorHAnsi"/>
          <w:snapToGrid w:val="0"/>
        </w:rPr>
        <w:t>noted that</w:t>
      </w:r>
      <w:r w:rsidRPr="00CF7D68">
        <w:rPr>
          <w:rFonts w:asciiTheme="minorHAnsi" w:hAnsiTheme="minorHAnsi"/>
          <w:snapToGrid w:val="0"/>
        </w:rPr>
        <w:t xml:space="preserve"> the economic model </w:t>
      </w:r>
      <w:r w:rsidR="00F143DC">
        <w:rPr>
          <w:rFonts w:asciiTheme="minorHAnsi" w:hAnsiTheme="minorHAnsi"/>
          <w:snapToGrid w:val="0"/>
        </w:rPr>
        <w:t xml:space="preserve">was </w:t>
      </w:r>
      <w:r w:rsidRPr="00CF7D68">
        <w:rPr>
          <w:rFonts w:asciiTheme="minorHAnsi" w:hAnsiTheme="minorHAnsi"/>
          <w:snapToGrid w:val="0"/>
        </w:rPr>
        <w:t xml:space="preserve">sensitive to </w:t>
      </w:r>
      <w:r w:rsidR="00AD025A">
        <w:rPr>
          <w:rFonts w:asciiTheme="minorHAnsi" w:hAnsiTheme="minorHAnsi"/>
          <w:snapToGrid w:val="0"/>
        </w:rPr>
        <w:t xml:space="preserve">a number of inputs and assumptions, including </w:t>
      </w:r>
      <w:r w:rsidRPr="00CF7D68">
        <w:rPr>
          <w:rFonts w:asciiTheme="minorHAnsi" w:hAnsiTheme="minorHAnsi"/>
          <w:snapToGrid w:val="0"/>
        </w:rPr>
        <w:t>the baselin</w:t>
      </w:r>
      <w:r w:rsidR="00AD025A">
        <w:rPr>
          <w:rFonts w:asciiTheme="minorHAnsi" w:hAnsiTheme="minorHAnsi"/>
          <w:snapToGrid w:val="0"/>
        </w:rPr>
        <w:t>e</w:t>
      </w:r>
      <w:r w:rsidRPr="00CF7D68">
        <w:rPr>
          <w:rFonts w:asciiTheme="minorHAnsi" w:hAnsiTheme="minorHAnsi"/>
          <w:snapToGrid w:val="0"/>
        </w:rPr>
        <w:t xml:space="preserve"> risk of the </w:t>
      </w:r>
      <w:r w:rsidR="003D7AFA">
        <w:rPr>
          <w:rFonts w:asciiTheme="minorHAnsi" w:hAnsiTheme="minorHAnsi"/>
          <w:snapToGrid w:val="0"/>
        </w:rPr>
        <w:t xml:space="preserve">modelled </w:t>
      </w:r>
      <w:r w:rsidRPr="00CF7D68">
        <w:rPr>
          <w:rFonts w:asciiTheme="minorHAnsi" w:hAnsiTheme="minorHAnsi"/>
          <w:snapToGrid w:val="0"/>
        </w:rPr>
        <w:t xml:space="preserve">patient population, </w:t>
      </w:r>
      <w:r w:rsidR="00E71A94" w:rsidRPr="00CF7D68">
        <w:rPr>
          <w:rFonts w:asciiTheme="minorHAnsi" w:hAnsiTheme="minorHAnsi"/>
          <w:snapToGrid w:val="0"/>
        </w:rPr>
        <w:t xml:space="preserve">the </w:t>
      </w:r>
      <w:r w:rsidRPr="00CF7D68">
        <w:rPr>
          <w:rFonts w:asciiTheme="minorHAnsi" w:hAnsiTheme="minorHAnsi"/>
          <w:snapToGrid w:val="0"/>
        </w:rPr>
        <w:t>treatment effect</w:t>
      </w:r>
      <w:r w:rsidR="00F143DC">
        <w:rPr>
          <w:rFonts w:asciiTheme="minorHAnsi" w:hAnsiTheme="minorHAnsi"/>
          <w:snapToGrid w:val="0"/>
        </w:rPr>
        <w:t>s applied</w:t>
      </w:r>
      <w:r w:rsidRPr="00CF7D68">
        <w:rPr>
          <w:rFonts w:asciiTheme="minorHAnsi" w:hAnsiTheme="minorHAnsi"/>
          <w:snapToGrid w:val="0"/>
        </w:rPr>
        <w:t>, the cost of dialysis</w:t>
      </w:r>
      <w:r w:rsidR="004A426D" w:rsidRPr="00CF7D68">
        <w:rPr>
          <w:rFonts w:asciiTheme="minorHAnsi" w:hAnsiTheme="minorHAnsi"/>
          <w:snapToGrid w:val="0"/>
        </w:rPr>
        <w:t>,</w:t>
      </w:r>
      <w:r w:rsidRPr="00CF7D68">
        <w:rPr>
          <w:rFonts w:asciiTheme="minorHAnsi" w:hAnsiTheme="minorHAnsi"/>
          <w:snapToGrid w:val="0"/>
        </w:rPr>
        <w:t xml:space="preserve"> and </w:t>
      </w:r>
      <w:r w:rsidR="003D7AFA">
        <w:rPr>
          <w:rFonts w:asciiTheme="minorHAnsi" w:hAnsiTheme="minorHAnsi"/>
          <w:snapToGrid w:val="0"/>
        </w:rPr>
        <w:t>extrapolation of</w:t>
      </w:r>
      <w:r w:rsidR="00E71A94" w:rsidRPr="00CF7D68">
        <w:rPr>
          <w:rFonts w:asciiTheme="minorHAnsi" w:hAnsiTheme="minorHAnsi"/>
          <w:snapToGrid w:val="0"/>
        </w:rPr>
        <w:t xml:space="preserve"> disease progression, hyperkalaemia</w:t>
      </w:r>
      <w:r w:rsidR="003D7AFA">
        <w:rPr>
          <w:rFonts w:asciiTheme="minorHAnsi" w:hAnsiTheme="minorHAnsi"/>
          <w:snapToGrid w:val="0"/>
        </w:rPr>
        <w:t xml:space="preserve"> events</w:t>
      </w:r>
      <w:r w:rsidR="00E71A94" w:rsidRPr="00CF7D68">
        <w:rPr>
          <w:rFonts w:asciiTheme="minorHAnsi" w:hAnsiTheme="minorHAnsi"/>
          <w:snapToGrid w:val="0"/>
        </w:rPr>
        <w:t xml:space="preserve">, and treatment discontinuation. </w:t>
      </w:r>
      <w:r w:rsidR="00F143DC">
        <w:rPr>
          <w:rFonts w:asciiTheme="minorHAnsi" w:hAnsiTheme="minorHAnsi"/>
          <w:snapToGrid w:val="0"/>
        </w:rPr>
        <w:t>The PBAC advised that:</w:t>
      </w:r>
      <w:bookmarkEnd w:id="68"/>
    </w:p>
    <w:p w14:paraId="47C74D81" w14:textId="4EBFF1CE" w:rsidR="00CF7D68" w:rsidRPr="00165DB6" w:rsidRDefault="0079677F" w:rsidP="00E53C95">
      <w:pPr>
        <w:pStyle w:val="ListParagraph"/>
        <w:widowControl w:val="0"/>
        <w:numPr>
          <w:ilvl w:val="0"/>
          <w:numId w:val="48"/>
        </w:numPr>
        <w:spacing w:after="120"/>
        <w:rPr>
          <w:rFonts w:asciiTheme="minorHAnsi" w:hAnsiTheme="minorHAnsi"/>
          <w:snapToGrid w:val="0"/>
        </w:rPr>
      </w:pPr>
      <w:r>
        <w:rPr>
          <w:rFonts w:asciiTheme="minorHAnsi" w:hAnsiTheme="minorHAnsi"/>
          <w:snapToGrid w:val="0"/>
        </w:rPr>
        <w:t xml:space="preserve">It was inappropriate for the submission to have derived the baseline risk of the majority of modelled events from the individual patient data for placebo patients in the pooled FIDELITY analysis. </w:t>
      </w:r>
      <w:r w:rsidR="003D7AFA" w:rsidRPr="00E53C95">
        <w:rPr>
          <w:rFonts w:asciiTheme="minorHAnsi" w:hAnsiTheme="minorHAnsi"/>
          <w:snapToGrid w:val="0"/>
        </w:rPr>
        <w:t xml:space="preserve">The PBAC considered </w:t>
      </w:r>
      <w:r>
        <w:rPr>
          <w:rFonts w:asciiTheme="minorHAnsi" w:hAnsiTheme="minorHAnsi"/>
          <w:snapToGrid w:val="0"/>
        </w:rPr>
        <w:t xml:space="preserve">that </w:t>
      </w:r>
      <w:r w:rsidR="00776C62" w:rsidRPr="00E53C95">
        <w:rPr>
          <w:rFonts w:asciiTheme="minorHAnsi" w:hAnsiTheme="minorHAnsi"/>
          <w:snapToGrid w:val="0"/>
        </w:rPr>
        <w:t xml:space="preserve">the proposed PBS population would </w:t>
      </w:r>
      <w:r>
        <w:rPr>
          <w:rFonts w:asciiTheme="minorHAnsi" w:hAnsiTheme="minorHAnsi"/>
          <w:snapToGrid w:val="0"/>
        </w:rPr>
        <w:t>have</w:t>
      </w:r>
      <w:r w:rsidR="00776C62" w:rsidRPr="00E53C95">
        <w:rPr>
          <w:rFonts w:asciiTheme="minorHAnsi" w:hAnsiTheme="minorHAnsi"/>
          <w:snapToGrid w:val="0"/>
        </w:rPr>
        <w:t xml:space="preserve"> a lower underlying baseline risk compared with the placebo patients in the pivotal clinical trials. The PBAC </w:t>
      </w:r>
      <w:r w:rsidR="003D7AFA" w:rsidRPr="00E53C95">
        <w:rPr>
          <w:rFonts w:asciiTheme="minorHAnsi" w:hAnsiTheme="minorHAnsi"/>
          <w:snapToGrid w:val="0"/>
        </w:rPr>
        <w:t>advised</w:t>
      </w:r>
      <w:r w:rsidR="00776C62" w:rsidRPr="00E53C95">
        <w:rPr>
          <w:rFonts w:asciiTheme="minorHAnsi" w:hAnsiTheme="minorHAnsi"/>
          <w:snapToGrid w:val="0"/>
        </w:rPr>
        <w:t xml:space="preserve"> that </w:t>
      </w:r>
      <w:r w:rsidR="003D7AFA" w:rsidRPr="00E53C95">
        <w:rPr>
          <w:rFonts w:asciiTheme="minorHAnsi" w:hAnsiTheme="minorHAnsi"/>
          <w:snapToGrid w:val="0"/>
        </w:rPr>
        <w:t xml:space="preserve">the </w:t>
      </w:r>
      <w:r w:rsidR="00776C62" w:rsidRPr="00E53C95">
        <w:rPr>
          <w:rFonts w:asciiTheme="minorHAnsi" w:hAnsiTheme="minorHAnsi"/>
          <w:snapToGrid w:val="0"/>
        </w:rPr>
        <w:t xml:space="preserve">baseline risk </w:t>
      </w:r>
      <w:r w:rsidR="003D7AFA" w:rsidRPr="00E53C95">
        <w:rPr>
          <w:rFonts w:asciiTheme="minorHAnsi" w:hAnsiTheme="minorHAnsi"/>
          <w:snapToGrid w:val="0"/>
        </w:rPr>
        <w:t>in</w:t>
      </w:r>
      <w:r w:rsidR="00776C62" w:rsidRPr="00E53C95">
        <w:rPr>
          <w:rFonts w:asciiTheme="minorHAnsi" w:hAnsiTheme="minorHAnsi"/>
          <w:snapToGrid w:val="0"/>
        </w:rPr>
        <w:t xml:space="preserve"> the economic model</w:t>
      </w:r>
      <w:r w:rsidR="00AD025A" w:rsidRPr="00E53C95">
        <w:rPr>
          <w:rFonts w:asciiTheme="minorHAnsi" w:hAnsiTheme="minorHAnsi"/>
          <w:snapToGrid w:val="0"/>
        </w:rPr>
        <w:t xml:space="preserve"> </w:t>
      </w:r>
      <w:r w:rsidR="00B95437" w:rsidRPr="00E53C95">
        <w:rPr>
          <w:rFonts w:asciiTheme="minorHAnsi" w:hAnsiTheme="minorHAnsi"/>
          <w:snapToGrid w:val="0"/>
        </w:rPr>
        <w:t xml:space="preserve">be adjusted </w:t>
      </w:r>
      <w:r w:rsidR="008C0663" w:rsidRPr="00E53C95">
        <w:rPr>
          <w:rFonts w:asciiTheme="minorHAnsi" w:hAnsiTheme="minorHAnsi"/>
          <w:snapToGrid w:val="0"/>
        </w:rPr>
        <w:t xml:space="preserve">to </w:t>
      </w:r>
      <w:r w:rsidR="00776C62" w:rsidRPr="00E53C95">
        <w:rPr>
          <w:rFonts w:asciiTheme="minorHAnsi" w:hAnsiTheme="minorHAnsi"/>
          <w:snapToGrid w:val="0"/>
        </w:rPr>
        <w:t>reflect</w:t>
      </w:r>
      <w:r w:rsidR="00CF7D68" w:rsidRPr="00E53C95">
        <w:rPr>
          <w:rFonts w:asciiTheme="minorHAnsi" w:hAnsiTheme="minorHAnsi"/>
          <w:snapToGrid w:val="0"/>
        </w:rPr>
        <w:t xml:space="preserve"> </w:t>
      </w:r>
      <w:r w:rsidR="003D7AFA" w:rsidRPr="00E53C95">
        <w:rPr>
          <w:rFonts w:asciiTheme="minorHAnsi" w:hAnsiTheme="minorHAnsi"/>
          <w:snapToGrid w:val="0"/>
        </w:rPr>
        <w:t xml:space="preserve">the proposed PBS population, including </w:t>
      </w:r>
      <w:r w:rsidR="00E53C95">
        <w:rPr>
          <w:rFonts w:asciiTheme="minorHAnsi" w:hAnsiTheme="minorHAnsi"/>
          <w:snapToGrid w:val="0"/>
        </w:rPr>
        <w:t>use only in patients with very high albuminuria</w:t>
      </w:r>
      <w:r w:rsidR="00002858">
        <w:rPr>
          <w:rFonts w:asciiTheme="minorHAnsi" w:hAnsiTheme="minorHAnsi"/>
          <w:snapToGrid w:val="0"/>
        </w:rPr>
        <w:t>,</w:t>
      </w:r>
      <w:r w:rsidR="00E53C95">
        <w:rPr>
          <w:rFonts w:asciiTheme="minorHAnsi" w:hAnsiTheme="minorHAnsi"/>
          <w:snapToGrid w:val="0"/>
        </w:rPr>
        <w:t xml:space="preserve"> and </w:t>
      </w:r>
      <w:r>
        <w:rPr>
          <w:rFonts w:asciiTheme="minorHAnsi" w:hAnsiTheme="minorHAnsi"/>
          <w:snapToGrid w:val="0"/>
        </w:rPr>
        <w:t xml:space="preserve">expected </w:t>
      </w:r>
      <w:r w:rsidR="00E53C95">
        <w:rPr>
          <w:rFonts w:asciiTheme="minorHAnsi" w:hAnsiTheme="minorHAnsi"/>
          <w:snapToGrid w:val="0"/>
        </w:rPr>
        <w:t xml:space="preserve">use of </w:t>
      </w:r>
      <w:r>
        <w:rPr>
          <w:rFonts w:asciiTheme="minorHAnsi" w:hAnsiTheme="minorHAnsi"/>
          <w:snapToGrid w:val="0"/>
        </w:rPr>
        <w:t>concomitant SGLT2 inhibitor</w:t>
      </w:r>
      <w:r w:rsidR="00E53C95">
        <w:rPr>
          <w:rFonts w:asciiTheme="minorHAnsi" w:hAnsiTheme="minorHAnsi"/>
          <w:snapToGrid w:val="0"/>
        </w:rPr>
        <w:t xml:space="preserve"> therapy.</w:t>
      </w:r>
    </w:p>
    <w:p w14:paraId="1F3B316C" w14:textId="417E6F34" w:rsidR="000D303B" w:rsidRPr="00E53C95" w:rsidRDefault="00AC07D2" w:rsidP="00E53C95">
      <w:pPr>
        <w:pStyle w:val="ListParagraph"/>
        <w:widowControl w:val="0"/>
        <w:numPr>
          <w:ilvl w:val="0"/>
          <w:numId w:val="48"/>
        </w:numPr>
        <w:spacing w:after="120"/>
        <w:rPr>
          <w:rFonts w:asciiTheme="minorHAnsi" w:hAnsiTheme="minorHAnsi"/>
          <w:snapToGrid w:val="0"/>
        </w:rPr>
      </w:pPr>
      <w:r>
        <w:rPr>
          <w:rFonts w:asciiTheme="minorHAnsi" w:hAnsiTheme="minorHAnsi"/>
          <w:snapToGrid w:val="0"/>
        </w:rPr>
        <w:t>It was inappropriate for t</w:t>
      </w:r>
      <w:r w:rsidR="00DC45B5" w:rsidRPr="00E53C95">
        <w:rPr>
          <w:rFonts w:asciiTheme="minorHAnsi" w:hAnsiTheme="minorHAnsi"/>
          <w:snapToGrid w:val="0"/>
        </w:rPr>
        <w:t xml:space="preserve">he </w:t>
      </w:r>
      <w:r w:rsidR="00932653" w:rsidRPr="00E53C95">
        <w:rPr>
          <w:rFonts w:asciiTheme="minorHAnsi" w:hAnsiTheme="minorHAnsi"/>
          <w:snapToGrid w:val="0"/>
        </w:rPr>
        <w:t xml:space="preserve">submission </w:t>
      </w:r>
      <w:r>
        <w:rPr>
          <w:rFonts w:asciiTheme="minorHAnsi" w:hAnsiTheme="minorHAnsi"/>
          <w:snapToGrid w:val="0"/>
        </w:rPr>
        <w:t xml:space="preserve">to have </w:t>
      </w:r>
      <w:r w:rsidR="00932653" w:rsidRPr="00E53C95">
        <w:rPr>
          <w:rFonts w:asciiTheme="minorHAnsi" w:hAnsiTheme="minorHAnsi"/>
          <w:snapToGrid w:val="0"/>
        </w:rPr>
        <w:t>assumed</w:t>
      </w:r>
      <w:r w:rsidR="000437AF" w:rsidRPr="00E53C95">
        <w:rPr>
          <w:rFonts w:asciiTheme="minorHAnsi" w:hAnsiTheme="minorHAnsi"/>
          <w:snapToGrid w:val="0"/>
        </w:rPr>
        <w:t xml:space="preserve"> independent treatment effects for progression in chronic kidney disease </w:t>
      </w:r>
      <w:r w:rsidR="000437AF" w:rsidRPr="00165DB6">
        <w:rPr>
          <w:rFonts w:asciiTheme="minorHAnsi" w:hAnsiTheme="minorHAnsi"/>
          <w:snapToGrid w:val="0"/>
        </w:rPr>
        <w:t>and progression to dialysis</w:t>
      </w:r>
      <w:r w:rsidRPr="00165DB6">
        <w:rPr>
          <w:rFonts w:asciiTheme="minorHAnsi" w:hAnsiTheme="minorHAnsi"/>
          <w:snapToGrid w:val="0"/>
        </w:rPr>
        <w:t>, agreeing with the ESC that</w:t>
      </w:r>
      <w:r w:rsidR="000437AF" w:rsidRPr="00165DB6">
        <w:rPr>
          <w:rFonts w:asciiTheme="minorHAnsi" w:hAnsiTheme="minorHAnsi"/>
          <w:snapToGrid w:val="0"/>
        </w:rPr>
        <w:t xml:space="preserve"> </w:t>
      </w:r>
      <w:r w:rsidR="00E42DF4" w:rsidRPr="00165DB6">
        <w:rPr>
          <w:rFonts w:asciiTheme="minorHAnsi" w:hAnsiTheme="minorHAnsi"/>
          <w:snapToGrid w:val="0"/>
        </w:rPr>
        <w:t>both</w:t>
      </w:r>
      <w:r w:rsidR="000437AF" w:rsidRPr="00165DB6">
        <w:rPr>
          <w:rFonts w:asciiTheme="minorHAnsi" w:hAnsiTheme="minorHAnsi"/>
          <w:snapToGrid w:val="0"/>
        </w:rPr>
        <w:t xml:space="preserve"> treatment effects share a high degree of overlap</w:t>
      </w:r>
      <w:r w:rsidR="00054D5E" w:rsidRPr="00165DB6">
        <w:rPr>
          <w:rFonts w:asciiTheme="minorHAnsi" w:hAnsiTheme="minorHAnsi"/>
          <w:snapToGrid w:val="0"/>
        </w:rPr>
        <w:t xml:space="preserve"> (the PBAC noted this was adjusted in the evaluation alternative base case in </w:t>
      </w:r>
      <w:r w:rsidR="00054D5E" w:rsidRPr="00165DB6">
        <w:rPr>
          <w:rFonts w:asciiTheme="minorHAnsi" w:hAnsiTheme="minorHAnsi"/>
          <w:snapToGrid w:val="0"/>
        </w:rPr>
        <w:fldChar w:fldCharType="begin"/>
      </w:r>
      <w:r w:rsidR="00054D5E" w:rsidRPr="00165DB6">
        <w:rPr>
          <w:rFonts w:asciiTheme="minorHAnsi" w:hAnsiTheme="minorHAnsi"/>
          <w:snapToGrid w:val="0"/>
        </w:rPr>
        <w:instrText xml:space="preserve"> REF _Ref110786964 \h </w:instrText>
      </w:r>
      <w:r w:rsidR="00165DB6">
        <w:rPr>
          <w:rFonts w:asciiTheme="minorHAnsi" w:hAnsiTheme="minorHAnsi"/>
          <w:snapToGrid w:val="0"/>
        </w:rPr>
        <w:instrText xml:space="preserve"> \* MERGEFORMAT </w:instrText>
      </w:r>
      <w:r w:rsidR="00054D5E" w:rsidRPr="00165DB6">
        <w:rPr>
          <w:rFonts w:asciiTheme="minorHAnsi" w:hAnsiTheme="minorHAnsi"/>
          <w:snapToGrid w:val="0"/>
        </w:rPr>
      </w:r>
      <w:r w:rsidR="00054D5E" w:rsidRPr="00165DB6">
        <w:rPr>
          <w:rFonts w:asciiTheme="minorHAnsi" w:hAnsiTheme="minorHAnsi"/>
          <w:snapToGrid w:val="0"/>
        </w:rPr>
        <w:fldChar w:fldCharType="separate"/>
      </w:r>
      <w:r w:rsidR="00AE5D6E" w:rsidRPr="00165DB6">
        <w:t xml:space="preserve">Table </w:t>
      </w:r>
      <w:r w:rsidR="00AE5D6E" w:rsidRPr="00165DB6">
        <w:rPr>
          <w:noProof/>
        </w:rPr>
        <w:t>16</w:t>
      </w:r>
      <w:r w:rsidR="00054D5E" w:rsidRPr="00165DB6">
        <w:rPr>
          <w:rFonts w:asciiTheme="minorHAnsi" w:hAnsiTheme="minorHAnsi"/>
          <w:snapToGrid w:val="0"/>
        </w:rPr>
        <w:fldChar w:fldCharType="end"/>
      </w:r>
      <w:r w:rsidR="00054D5E" w:rsidRPr="00165DB6">
        <w:rPr>
          <w:rFonts w:asciiTheme="minorHAnsi" w:hAnsiTheme="minorHAnsi"/>
          <w:snapToGrid w:val="0"/>
        </w:rPr>
        <w:t>)</w:t>
      </w:r>
      <w:r w:rsidR="000437AF" w:rsidRPr="00165DB6">
        <w:rPr>
          <w:iCs/>
        </w:rPr>
        <w:t xml:space="preserve">. </w:t>
      </w:r>
      <w:r w:rsidR="00F4555A" w:rsidRPr="00165DB6">
        <w:rPr>
          <w:iCs/>
        </w:rPr>
        <w:t xml:space="preserve">The PBAC also noted that the submission assumed no effect modification from SGLT2 inhibitor use. The PBAC considered that </w:t>
      </w:r>
      <w:r w:rsidR="001166E9" w:rsidRPr="00165DB6">
        <w:rPr>
          <w:iCs/>
        </w:rPr>
        <w:t xml:space="preserve">the analyses used to support this assertion were imprecise due to the large confidence intervals and assuming no effect modification favoured </w:t>
      </w:r>
      <w:proofErr w:type="spellStart"/>
      <w:r w:rsidR="001166E9" w:rsidRPr="00165DB6">
        <w:rPr>
          <w:iCs/>
        </w:rPr>
        <w:t>finerenone</w:t>
      </w:r>
      <w:proofErr w:type="spellEnd"/>
      <w:r w:rsidR="00F4555A" w:rsidRPr="00165DB6">
        <w:rPr>
          <w:iCs/>
        </w:rPr>
        <w:t xml:space="preserve">. </w:t>
      </w:r>
      <w:r w:rsidR="00932653" w:rsidRPr="00165DB6">
        <w:rPr>
          <w:rFonts w:asciiTheme="minorHAnsi" w:hAnsiTheme="minorHAnsi"/>
          <w:snapToGrid w:val="0"/>
        </w:rPr>
        <w:t xml:space="preserve">The PBAC </w:t>
      </w:r>
      <w:r w:rsidR="00E42DF4" w:rsidRPr="00165DB6">
        <w:rPr>
          <w:rFonts w:asciiTheme="minorHAnsi" w:hAnsiTheme="minorHAnsi"/>
          <w:snapToGrid w:val="0"/>
        </w:rPr>
        <w:t>further</w:t>
      </w:r>
      <w:r w:rsidR="00932653" w:rsidRPr="00165DB6">
        <w:rPr>
          <w:rFonts w:asciiTheme="minorHAnsi" w:hAnsiTheme="minorHAnsi"/>
          <w:snapToGrid w:val="0"/>
        </w:rPr>
        <w:t xml:space="preserve"> noted that t</w:t>
      </w:r>
      <w:r w:rsidR="00C445F6" w:rsidRPr="00165DB6">
        <w:rPr>
          <w:rFonts w:asciiTheme="minorHAnsi" w:hAnsiTheme="minorHAnsi"/>
          <w:snapToGrid w:val="0"/>
        </w:rPr>
        <w:t xml:space="preserve">he submission assumed </w:t>
      </w:r>
      <w:r w:rsidR="00C445F6" w:rsidRPr="00165DB6">
        <w:rPr>
          <w:iCs/>
        </w:rPr>
        <w:t>that treatment effect was maintained while on treatment</w:t>
      </w:r>
      <w:r w:rsidR="00932653" w:rsidRPr="00165DB6">
        <w:rPr>
          <w:iCs/>
        </w:rPr>
        <w:t xml:space="preserve"> and constructed </w:t>
      </w:r>
      <w:r w:rsidR="00932653" w:rsidRPr="00657708">
        <w:rPr>
          <w:iCs/>
        </w:rPr>
        <w:t xml:space="preserve">new composite endpoints for first non-fatal cardiovascular event and subsequent cardiovascular </w:t>
      </w:r>
      <w:r w:rsidR="00932653" w:rsidRPr="00657708">
        <w:rPr>
          <w:iCs/>
        </w:rPr>
        <w:lastRenderedPageBreak/>
        <w:t>event.</w:t>
      </w:r>
      <w:r w:rsidR="00932653" w:rsidRPr="00E53C95">
        <w:rPr>
          <w:rFonts w:asciiTheme="minorHAnsi" w:hAnsiTheme="minorHAnsi"/>
          <w:snapToGrid w:val="0"/>
        </w:rPr>
        <w:t xml:space="preserve"> </w:t>
      </w:r>
      <w:r w:rsidR="00932653" w:rsidRPr="00657708">
        <w:rPr>
          <w:iCs/>
        </w:rPr>
        <w:t>T</w:t>
      </w:r>
      <w:r w:rsidR="00C445F6" w:rsidRPr="00657708">
        <w:rPr>
          <w:iCs/>
        </w:rPr>
        <w:t xml:space="preserve">he PBAC considered that </w:t>
      </w:r>
      <w:r w:rsidR="00932653" w:rsidRPr="00657708">
        <w:rPr>
          <w:iCs/>
        </w:rPr>
        <w:t>these</w:t>
      </w:r>
      <w:r w:rsidR="000D303B" w:rsidRPr="00657708">
        <w:rPr>
          <w:iCs/>
        </w:rPr>
        <w:t xml:space="preserve"> assumption</w:t>
      </w:r>
      <w:r w:rsidR="00F4555A" w:rsidRPr="00657708">
        <w:rPr>
          <w:iCs/>
        </w:rPr>
        <w:t>s</w:t>
      </w:r>
      <w:r w:rsidR="000D303B" w:rsidRPr="00657708">
        <w:rPr>
          <w:iCs/>
        </w:rPr>
        <w:t xml:space="preserve"> </w:t>
      </w:r>
      <w:r w:rsidR="00932653" w:rsidRPr="00657708">
        <w:rPr>
          <w:iCs/>
        </w:rPr>
        <w:t>were</w:t>
      </w:r>
      <w:r w:rsidR="00C445F6" w:rsidRPr="00657708">
        <w:rPr>
          <w:iCs/>
        </w:rPr>
        <w:t xml:space="preserve"> not adequately supported by the clinical </w:t>
      </w:r>
      <w:r w:rsidR="00932653" w:rsidRPr="00657708">
        <w:rPr>
          <w:iCs/>
        </w:rPr>
        <w:t xml:space="preserve">trial </w:t>
      </w:r>
      <w:r w:rsidR="00C445F6" w:rsidRPr="00657708">
        <w:rPr>
          <w:iCs/>
        </w:rPr>
        <w:t>data</w:t>
      </w:r>
      <w:r w:rsidR="00932653" w:rsidRPr="00657708">
        <w:rPr>
          <w:iCs/>
        </w:rPr>
        <w:t xml:space="preserve"> and overestimated the treatment effect</w:t>
      </w:r>
      <w:r w:rsidR="00E42DF4" w:rsidRPr="00657708">
        <w:rPr>
          <w:iCs/>
        </w:rPr>
        <w:t xml:space="preserve"> of </w:t>
      </w:r>
      <w:proofErr w:type="spellStart"/>
      <w:r w:rsidR="00E42DF4" w:rsidRPr="00657708">
        <w:rPr>
          <w:iCs/>
        </w:rPr>
        <w:t>finerenone</w:t>
      </w:r>
      <w:proofErr w:type="spellEnd"/>
      <w:r w:rsidR="00932653" w:rsidRPr="00657708">
        <w:rPr>
          <w:iCs/>
        </w:rPr>
        <w:t>.</w:t>
      </w:r>
    </w:p>
    <w:p w14:paraId="2135B516" w14:textId="1EFEEB47" w:rsidR="00E71A94" w:rsidRPr="00657708" w:rsidRDefault="00054D5E" w:rsidP="00002858">
      <w:pPr>
        <w:pStyle w:val="ListParagraph"/>
        <w:widowControl w:val="0"/>
        <w:numPr>
          <w:ilvl w:val="0"/>
          <w:numId w:val="48"/>
        </w:numPr>
        <w:spacing w:after="120"/>
        <w:rPr>
          <w:rFonts w:asciiTheme="minorHAnsi" w:hAnsiTheme="minorHAnsi"/>
          <w:snapToGrid w:val="0"/>
        </w:rPr>
      </w:pPr>
      <w:r>
        <w:rPr>
          <w:rFonts w:asciiTheme="minorHAnsi" w:hAnsiTheme="minorHAnsi"/>
          <w:snapToGrid w:val="0"/>
        </w:rPr>
        <w:t>T</w:t>
      </w:r>
      <w:r w:rsidR="00F1664C" w:rsidRPr="00657708">
        <w:rPr>
          <w:rFonts w:asciiTheme="minorHAnsi" w:hAnsiTheme="minorHAnsi"/>
          <w:snapToGrid w:val="0"/>
        </w:rPr>
        <w:t xml:space="preserve">he </w:t>
      </w:r>
      <w:r w:rsidR="00644884" w:rsidRPr="00D947DF">
        <w:rPr>
          <w:iCs/>
        </w:rPr>
        <w:t xml:space="preserve">model structure did not </w:t>
      </w:r>
      <w:r w:rsidR="00644884" w:rsidRPr="00F1664C">
        <w:t xml:space="preserve">appropriately </w:t>
      </w:r>
      <w:r w:rsidR="00644884" w:rsidRPr="00D947DF">
        <w:rPr>
          <w:iCs/>
        </w:rPr>
        <w:t>account for the relationship between renal disease progression, risk of hyperkalaemia, and</w:t>
      </w:r>
      <w:r w:rsidR="00F1664C" w:rsidRPr="00AC0A6E">
        <w:rPr>
          <w:iCs/>
        </w:rPr>
        <w:t xml:space="preserve"> </w:t>
      </w:r>
      <w:r w:rsidR="00644884" w:rsidRPr="00AC0A6E">
        <w:rPr>
          <w:iCs/>
        </w:rPr>
        <w:t>treatment discontinuation</w:t>
      </w:r>
      <w:r>
        <w:rPr>
          <w:iCs/>
        </w:rPr>
        <w:t>, which should have been connected</w:t>
      </w:r>
      <w:r w:rsidR="00F1664C" w:rsidRPr="00AC0A6E">
        <w:rPr>
          <w:iCs/>
        </w:rPr>
        <w:t>. The PBAC agreed with</w:t>
      </w:r>
      <w:r w:rsidR="00F1664C" w:rsidRPr="00E90169">
        <w:rPr>
          <w:iCs/>
        </w:rPr>
        <w:t xml:space="preserve"> the </w:t>
      </w:r>
      <w:r w:rsidR="00644884" w:rsidRPr="00F1664C">
        <w:t xml:space="preserve">ESC </w:t>
      </w:r>
      <w:r w:rsidR="00F1664C" w:rsidRPr="00F1664C">
        <w:t xml:space="preserve">advice </w:t>
      </w:r>
      <w:r w:rsidR="00644884" w:rsidRPr="00F1664C">
        <w:t>that</w:t>
      </w:r>
      <w:r w:rsidR="00F1664C">
        <w:t xml:space="preserve"> </w:t>
      </w:r>
      <w:r w:rsidR="00A90EA4">
        <w:t>treatment discontinuation</w:t>
      </w:r>
      <w:r w:rsidR="00644884" w:rsidRPr="00F1664C">
        <w:t xml:space="preserve"> and</w:t>
      </w:r>
      <w:r w:rsidR="00F1664C">
        <w:t xml:space="preserve"> </w:t>
      </w:r>
      <w:r w:rsidR="00644884" w:rsidRPr="00F1664C">
        <w:t xml:space="preserve">hyperkalaemia events in the extrapolated period </w:t>
      </w:r>
      <w:r w:rsidR="00F1664C">
        <w:t xml:space="preserve">did not reflect </w:t>
      </w:r>
      <w:r w:rsidR="00A90EA4">
        <w:t>clinical practice</w:t>
      </w:r>
      <w:r w:rsidR="00F1664C">
        <w:t xml:space="preserve"> w</w:t>
      </w:r>
      <w:r w:rsidR="00436B16">
        <w:t>h</w:t>
      </w:r>
      <w:r w:rsidR="00F1664C">
        <w:t xml:space="preserve">ere </w:t>
      </w:r>
      <w:r w:rsidR="00F1664C" w:rsidRPr="00D947DF">
        <w:rPr>
          <w:iCs/>
        </w:rPr>
        <w:t xml:space="preserve">both hyperkalaemia and discontinuation </w:t>
      </w:r>
      <w:r w:rsidR="00436B16" w:rsidRPr="00AC0A6E">
        <w:rPr>
          <w:iCs/>
        </w:rPr>
        <w:t xml:space="preserve">become </w:t>
      </w:r>
      <w:r w:rsidR="00F1664C" w:rsidRPr="00AC0A6E">
        <w:rPr>
          <w:iCs/>
        </w:rPr>
        <w:t xml:space="preserve">more </w:t>
      </w:r>
      <w:r w:rsidR="00A90EA4" w:rsidRPr="00AC0A6E">
        <w:rPr>
          <w:iCs/>
        </w:rPr>
        <w:t>likely</w:t>
      </w:r>
      <w:r w:rsidR="00F1664C" w:rsidRPr="00AC0A6E">
        <w:rPr>
          <w:iCs/>
        </w:rPr>
        <w:t xml:space="preserve"> </w:t>
      </w:r>
      <w:r w:rsidR="00436B16" w:rsidRPr="00AC0A6E">
        <w:rPr>
          <w:iCs/>
        </w:rPr>
        <w:t>as</w:t>
      </w:r>
      <w:r w:rsidR="00F1664C" w:rsidRPr="00AC0A6E">
        <w:rPr>
          <w:iCs/>
        </w:rPr>
        <w:t xml:space="preserve"> renal function</w:t>
      </w:r>
      <w:r w:rsidR="00436B16" w:rsidRPr="00AC0A6E">
        <w:rPr>
          <w:iCs/>
        </w:rPr>
        <w:t xml:space="preserve"> </w:t>
      </w:r>
      <w:r w:rsidR="001F714B" w:rsidRPr="00AC0A6E">
        <w:rPr>
          <w:iCs/>
        </w:rPr>
        <w:t>impairment progresses</w:t>
      </w:r>
      <w:r w:rsidR="00F1664C" w:rsidRPr="00E90169">
        <w:rPr>
          <w:iCs/>
        </w:rPr>
        <w:t xml:space="preserve">. </w:t>
      </w:r>
    </w:p>
    <w:p w14:paraId="5A827572" w14:textId="17A00DF4" w:rsidR="00F1664C" w:rsidRPr="00002858" w:rsidRDefault="00F1664C" w:rsidP="00002858">
      <w:pPr>
        <w:pStyle w:val="ListParagraph"/>
        <w:widowControl w:val="0"/>
        <w:numPr>
          <w:ilvl w:val="0"/>
          <w:numId w:val="48"/>
        </w:numPr>
        <w:spacing w:after="120"/>
        <w:rPr>
          <w:rFonts w:asciiTheme="minorHAnsi" w:hAnsiTheme="minorHAnsi"/>
          <w:snapToGrid w:val="0"/>
        </w:rPr>
      </w:pPr>
      <w:r w:rsidRPr="00002858">
        <w:rPr>
          <w:rFonts w:asciiTheme="minorHAnsi" w:hAnsiTheme="minorHAnsi"/>
          <w:snapToGrid w:val="0"/>
        </w:rPr>
        <w:t xml:space="preserve">The </w:t>
      </w:r>
      <w:r w:rsidR="00A90EA4" w:rsidRPr="00002858">
        <w:rPr>
          <w:rFonts w:asciiTheme="minorHAnsi" w:hAnsiTheme="minorHAnsi"/>
          <w:snapToGrid w:val="0"/>
        </w:rPr>
        <w:t xml:space="preserve">costs applied to the </w:t>
      </w:r>
      <w:r w:rsidRPr="00002858">
        <w:rPr>
          <w:rFonts w:asciiTheme="minorHAnsi" w:hAnsiTheme="minorHAnsi"/>
          <w:snapToGrid w:val="0"/>
        </w:rPr>
        <w:t xml:space="preserve">dialysis health state were </w:t>
      </w:r>
      <w:r w:rsidR="00D2395E" w:rsidRPr="00002858">
        <w:rPr>
          <w:rFonts w:asciiTheme="minorHAnsi" w:hAnsiTheme="minorHAnsi"/>
          <w:snapToGrid w:val="0"/>
        </w:rPr>
        <w:t>overestimated</w:t>
      </w:r>
      <w:r w:rsidR="00790BF0">
        <w:rPr>
          <w:rFonts w:asciiTheme="minorHAnsi" w:hAnsiTheme="minorHAnsi"/>
          <w:snapToGrid w:val="0"/>
        </w:rPr>
        <w:t xml:space="preserve"> as </w:t>
      </w:r>
      <w:r w:rsidR="00104786">
        <w:rPr>
          <w:rFonts w:asciiTheme="minorHAnsi" w:hAnsiTheme="minorHAnsi"/>
          <w:snapToGrid w:val="0"/>
        </w:rPr>
        <w:t>suggested in the</w:t>
      </w:r>
      <w:r w:rsidR="00790BF0">
        <w:rPr>
          <w:rFonts w:asciiTheme="minorHAnsi" w:hAnsiTheme="minorHAnsi"/>
          <w:snapToGrid w:val="0"/>
        </w:rPr>
        <w:t xml:space="preserve"> ESC advice</w:t>
      </w:r>
      <w:r w:rsidR="00054D5E">
        <w:rPr>
          <w:rFonts w:asciiTheme="minorHAnsi" w:hAnsiTheme="minorHAnsi"/>
          <w:snapToGrid w:val="0"/>
        </w:rPr>
        <w:t xml:space="preserve">, and the costs applied in the evaluation alternative base case in </w:t>
      </w:r>
      <w:r w:rsidR="00054D5E">
        <w:rPr>
          <w:rFonts w:asciiTheme="minorHAnsi" w:hAnsiTheme="minorHAnsi"/>
          <w:snapToGrid w:val="0"/>
        </w:rPr>
        <w:fldChar w:fldCharType="begin"/>
      </w:r>
      <w:r w:rsidR="00054D5E">
        <w:rPr>
          <w:rFonts w:asciiTheme="minorHAnsi" w:hAnsiTheme="minorHAnsi"/>
          <w:snapToGrid w:val="0"/>
        </w:rPr>
        <w:instrText xml:space="preserve"> REF _Ref110786964 \h </w:instrText>
      </w:r>
      <w:r w:rsidR="00054D5E">
        <w:rPr>
          <w:rFonts w:asciiTheme="minorHAnsi" w:hAnsiTheme="minorHAnsi"/>
          <w:snapToGrid w:val="0"/>
        </w:rPr>
      </w:r>
      <w:r w:rsidR="00054D5E">
        <w:rPr>
          <w:rFonts w:asciiTheme="minorHAnsi" w:hAnsiTheme="minorHAnsi"/>
          <w:snapToGrid w:val="0"/>
        </w:rPr>
        <w:fldChar w:fldCharType="separate"/>
      </w:r>
      <w:r w:rsidR="00AE5D6E" w:rsidRPr="00CF7D68">
        <w:t xml:space="preserve">Table </w:t>
      </w:r>
      <w:r w:rsidR="00AE5D6E">
        <w:rPr>
          <w:noProof/>
        </w:rPr>
        <w:t>16</w:t>
      </w:r>
      <w:r w:rsidR="00054D5E">
        <w:rPr>
          <w:rFonts w:asciiTheme="minorHAnsi" w:hAnsiTheme="minorHAnsi"/>
          <w:snapToGrid w:val="0"/>
        </w:rPr>
        <w:fldChar w:fldCharType="end"/>
      </w:r>
      <w:r w:rsidR="00A90EA4" w:rsidRPr="00002858">
        <w:rPr>
          <w:rFonts w:asciiTheme="minorHAnsi" w:hAnsiTheme="minorHAnsi"/>
          <w:snapToGrid w:val="0"/>
        </w:rPr>
        <w:t xml:space="preserve"> </w:t>
      </w:r>
      <w:r w:rsidR="00D2395E" w:rsidRPr="00CF7D68">
        <w:t xml:space="preserve">more accurately reflected current Australian </w:t>
      </w:r>
      <w:r w:rsidR="00054D5E">
        <w:t>practice</w:t>
      </w:r>
      <w:r w:rsidR="00D2395E">
        <w:t>.</w:t>
      </w:r>
    </w:p>
    <w:p w14:paraId="46F526CE" w14:textId="538956D2" w:rsidR="00E71A94" w:rsidRPr="00002858" w:rsidRDefault="00E71A94" w:rsidP="00002858">
      <w:pPr>
        <w:pStyle w:val="ListParagraph"/>
        <w:widowControl w:val="0"/>
        <w:numPr>
          <w:ilvl w:val="0"/>
          <w:numId w:val="48"/>
        </w:numPr>
        <w:spacing w:after="120"/>
        <w:rPr>
          <w:rFonts w:asciiTheme="minorHAnsi" w:hAnsiTheme="minorHAnsi"/>
          <w:snapToGrid w:val="0"/>
        </w:rPr>
      </w:pPr>
      <w:r w:rsidRPr="00002858">
        <w:rPr>
          <w:rFonts w:asciiTheme="minorHAnsi" w:hAnsiTheme="minorHAnsi"/>
          <w:snapToGrid w:val="0"/>
        </w:rPr>
        <w:t xml:space="preserve">The uncertainties associated with the economic model could be managed through a re-specified economic analysis that included more conservative assumptions and </w:t>
      </w:r>
      <w:r w:rsidR="00761559" w:rsidRPr="00002858">
        <w:rPr>
          <w:rFonts w:asciiTheme="minorHAnsi" w:hAnsiTheme="minorHAnsi"/>
          <w:snapToGrid w:val="0"/>
        </w:rPr>
        <w:t>a</w:t>
      </w:r>
      <w:r w:rsidRPr="00002858">
        <w:rPr>
          <w:rFonts w:asciiTheme="minorHAnsi" w:hAnsiTheme="minorHAnsi"/>
          <w:snapToGrid w:val="0"/>
        </w:rPr>
        <w:t xml:space="preserve"> model structure</w:t>
      </w:r>
      <w:r w:rsidR="00BB6B96" w:rsidRPr="00002858">
        <w:rPr>
          <w:rFonts w:asciiTheme="minorHAnsi" w:hAnsiTheme="minorHAnsi"/>
          <w:snapToGrid w:val="0"/>
        </w:rPr>
        <w:t xml:space="preserve"> that accurately reflected the relationship between the </w:t>
      </w:r>
      <w:r w:rsidR="00A90EA4" w:rsidRPr="00002858">
        <w:rPr>
          <w:rFonts w:asciiTheme="minorHAnsi" w:hAnsiTheme="minorHAnsi"/>
          <w:snapToGrid w:val="0"/>
        </w:rPr>
        <w:t>risk of discontinuation and hyperkalaemia</w:t>
      </w:r>
      <w:r w:rsidR="00BB6B96" w:rsidRPr="00002858">
        <w:rPr>
          <w:rFonts w:asciiTheme="minorHAnsi" w:hAnsiTheme="minorHAnsi"/>
          <w:snapToGrid w:val="0"/>
        </w:rPr>
        <w:t xml:space="preserve"> and disease progression</w:t>
      </w:r>
      <w:r w:rsidRPr="00002858">
        <w:rPr>
          <w:rFonts w:asciiTheme="minorHAnsi" w:hAnsiTheme="minorHAnsi"/>
          <w:snapToGrid w:val="0"/>
        </w:rPr>
        <w:t xml:space="preserve">. </w:t>
      </w:r>
      <w:r w:rsidR="00054D5E">
        <w:rPr>
          <w:rFonts w:asciiTheme="minorHAnsi" w:hAnsiTheme="minorHAnsi"/>
          <w:snapToGrid w:val="0"/>
        </w:rPr>
        <w:t xml:space="preserve">The PBAC further advised that this model would need to reflect the more limited clinical position being proposed for </w:t>
      </w:r>
      <w:proofErr w:type="spellStart"/>
      <w:r w:rsidR="00054D5E">
        <w:rPr>
          <w:rFonts w:asciiTheme="minorHAnsi" w:hAnsiTheme="minorHAnsi"/>
          <w:snapToGrid w:val="0"/>
        </w:rPr>
        <w:t>finerenone</w:t>
      </w:r>
      <w:proofErr w:type="spellEnd"/>
      <w:r w:rsidR="00054D5E">
        <w:rPr>
          <w:rFonts w:asciiTheme="minorHAnsi" w:hAnsiTheme="minorHAnsi"/>
          <w:snapToGrid w:val="0"/>
        </w:rPr>
        <w:t xml:space="preserve"> (see </w:t>
      </w:r>
      <w:r w:rsidR="00054D5E" w:rsidRPr="006D0D8D">
        <w:rPr>
          <w:rFonts w:asciiTheme="minorHAnsi" w:hAnsiTheme="minorHAnsi"/>
          <w:snapToGrid w:val="0"/>
        </w:rPr>
        <w:t xml:space="preserve">paragraph </w:t>
      </w:r>
      <w:r w:rsidR="00054D5E" w:rsidRPr="006D0D8D">
        <w:rPr>
          <w:rFonts w:asciiTheme="minorHAnsi" w:hAnsiTheme="minorHAnsi"/>
          <w:snapToGrid w:val="0"/>
        </w:rPr>
        <w:fldChar w:fldCharType="begin"/>
      </w:r>
      <w:r w:rsidR="00054D5E" w:rsidRPr="006D0D8D">
        <w:rPr>
          <w:rFonts w:asciiTheme="minorHAnsi" w:hAnsiTheme="minorHAnsi"/>
          <w:snapToGrid w:val="0"/>
        </w:rPr>
        <w:instrText xml:space="preserve"> REF _Ref110800847 \r \h  \* MERGEFORMAT </w:instrText>
      </w:r>
      <w:r w:rsidR="00054D5E" w:rsidRPr="006D0D8D">
        <w:rPr>
          <w:rFonts w:asciiTheme="minorHAnsi" w:hAnsiTheme="minorHAnsi"/>
          <w:snapToGrid w:val="0"/>
        </w:rPr>
      </w:r>
      <w:r w:rsidR="00054D5E" w:rsidRPr="006D0D8D">
        <w:rPr>
          <w:rFonts w:asciiTheme="minorHAnsi" w:hAnsiTheme="minorHAnsi"/>
          <w:snapToGrid w:val="0"/>
        </w:rPr>
        <w:fldChar w:fldCharType="separate"/>
      </w:r>
      <w:r w:rsidR="00BA74E2">
        <w:rPr>
          <w:rFonts w:asciiTheme="minorHAnsi" w:hAnsiTheme="minorHAnsi"/>
          <w:snapToGrid w:val="0"/>
        </w:rPr>
        <w:t>7.3</w:t>
      </w:r>
      <w:r w:rsidR="00054D5E" w:rsidRPr="006D0D8D">
        <w:rPr>
          <w:rFonts w:asciiTheme="minorHAnsi" w:hAnsiTheme="minorHAnsi"/>
          <w:snapToGrid w:val="0"/>
        </w:rPr>
        <w:fldChar w:fldCharType="end"/>
      </w:r>
      <w:r w:rsidR="00054D5E">
        <w:rPr>
          <w:rFonts w:asciiTheme="minorHAnsi" w:hAnsiTheme="minorHAnsi"/>
          <w:snapToGrid w:val="0"/>
        </w:rPr>
        <w:t>).</w:t>
      </w:r>
    </w:p>
    <w:p w14:paraId="3945C11F" w14:textId="3947E40C" w:rsidR="00FD6F10" w:rsidRPr="00D3459C" w:rsidRDefault="00763E7B" w:rsidP="00BA74E2">
      <w:pPr>
        <w:widowControl w:val="0"/>
        <w:numPr>
          <w:ilvl w:val="1"/>
          <w:numId w:val="1"/>
        </w:numPr>
        <w:spacing w:after="120"/>
        <w:ind w:left="720" w:hanging="720"/>
        <w:rPr>
          <w:rFonts w:asciiTheme="minorHAnsi" w:hAnsiTheme="minorHAnsi"/>
          <w:snapToGrid w:val="0"/>
        </w:rPr>
      </w:pPr>
      <w:bookmarkStart w:id="69" w:name="_Ref110800921"/>
      <w:r w:rsidRPr="00D3459C">
        <w:rPr>
          <w:rFonts w:asciiTheme="minorHAnsi" w:hAnsiTheme="minorHAnsi"/>
          <w:snapToGrid w:val="0"/>
        </w:rPr>
        <w:t>The PBAC noted that</w:t>
      </w:r>
      <w:r w:rsidR="00CE2910" w:rsidRPr="00D3459C">
        <w:rPr>
          <w:rFonts w:asciiTheme="minorHAnsi" w:hAnsiTheme="minorHAnsi"/>
          <w:snapToGrid w:val="0"/>
        </w:rPr>
        <w:t xml:space="preserve"> the </w:t>
      </w:r>
      <w:r w:rsidR="00790BF0" w:rsidRPr="00D3459C">
        <w:rPr>
          <w:rFonts w:asciiTheme="minorHAnsi" w:hAnsiTheme="minorHAnsi"/>
          <w:snapToGrid w:val="0"/>
        </w:rPr>
        <w:t xml:space="preserve">submission’s </w:t>
      </w:r>
      <w:r w:rsidR="00CE2910" w:rsidRPr="00D3459C">
        <w:rPr>
          <w:rFonts w:asciiTheme="minorHAnsi" w:hAnsiTheme="minorHAnsi"/>
          <w:snapToGrid w:val="0"/>
        </w:rPr>
        <w:t>approach</w:t>
      </w:r>
      <w:r w:rsidR="00790BF0" w:rsidRPr="00D3459C">
        <w:rPr>
          <w:rFonts w:asciiTheme="minorHAnsi" w:hAnsiTheme="minorHAnsi"/>
          <w:snapToGrid w:val="0"/>
        </w:rPr>
        <w:t xml:space="preserve"> to</w:t>
      </w:r>
      <w:r w:rsidR="00CE2910" w:rsidRPr="00D3459C">
        <w:rPr>
          <w:rFonts w:asciiTheme="minorHAnsi" w:hAnsiTheme="minorHAnsi"/>
          <w:snapToGrid w:val="0"/>
        </w:rPr>
        <w:t xml:space="preserve"> the financial estimates </w:t>
      </w:r>
      <w:r w:rsidR="00790BF0" w:rsidRPr="00D3459C">
        <w:rPr>
          <w:rFonts w:asciiTheme="minorHAnsi" w:hAnsiTheme="minorHAnsi"/>
          <w:snapToGrid w:val="0"/>
        </w:rPr>
        <w:t>was intended to be modelled on</w:t>
      </w:r>
      <w:r w:rsidR="00CE2910" w:rsidRPr="00D3459C">
        <w:rPr>
          <w:rFonts w:asciiTheme="minorHAnsi" w:hAnsiTheme="minorHAnsi"/>
          <w:snapToGrid w:val="0"/>
        </w:rPr>
        <w:t xml:space="preserve"> that of the </w:t>
      </w:r>
      <w:r w:rsidR="00CE2910" w:rsidRPr="00CF7D68">
        <w:t>dapagliflozin</w:t>
      </w:r>
      <w:r w:rsidR="00CE2910">
        <w:t xml:space="preserve"> </w:t>
      </w:r>
      <w:r w:rsidR="00790BF0">
        <w:t xml:space="preserve">CKD </w:t>
      </w:r>
      <w:r w:rsidR="00CE2910">
        <w:t>submission (d</w:t>
      </w:r>
      <w:r w:rsidR="00CE2910" w:rsidRPr="00CF7D68">
        <w:t xml:space="preserve">apagliflozin PSD, </w:t>
      </w:r>
      <w:r w:rsidR="00CE2910">
        <w:t>November</w:t>
      </w:r>
      <w:r w:rsidR="00CE2910" w:rsidRPr="00CF7D68">
        <w:t xml:space="preserve"> 2021 PBAC meeting</w:t>
      </w:r>
      <w:r w:rsidR="00CE2910">
        <w:t>).</w:t>
      </w:r>
      <w:r w:rsidRPr="00D3459C">
        <w:rPr>
          <w:rFonts w:asciiTheme="minorHAnsi" w:hAnsiTheme="minorHAnsi"/>
          <w:snapToGrid w:val="0"/>
        </w:rPr>
        <w:t xml:space="preserve"> </w:t>
      </w:r>
      <w:r w:rsidR="00FD6F10" w:rsidRPr="00D3459C">
        <w:rPr>
          <w:rFonts w:asciiTheme="minorHAnsi" w:hAnsiTheme="minorHAnsi"/>
          <w:snapToGrid w:val="0"/>
        </w:rPr>
        <w:t xml:space="preserve">The PBAC </w:t>
      </w:r>
      <w:r w:rsidR="00CE2910" w:rsidRPr="00D3459C">
        <w:rPr>
          <w:rFonts w:asciiTheme="minorHAnsi" w:hAnsiTheme="minorHAnsi"/>
          <w:snapToGrid w:val="0"/>
        </w:rPr>
        <w:t xml:space="preserve">considered that this </w:t>
      </w:r>
      <w:r w:rsidR="00790BF0" w:rsidRPr="00D3459C">
        <w:rPr>
          <w:rFonts w:asciiTheme="minorHAnsi" w:hAnsiTheme="minorHAnsi"/>
          <w:snapToGrid w:val="0"/>
        </w:rPr>
        <w:t>had</w:t>
      </w:r>
      <w:r w:rsidR="00CE2910" w:rsidRPr="00D3459C">
        <w:rPr>
          <w:rFonts w:asciiTheme="minorHAnsi" w:hAnsiTheme="minorHAnsi"/>
          <w:snapToGrid w:val="0"/>
        </w:rPr>
        <w:t xml:space="preserve"> led to a</w:t>
      </w:r>
      <w:r w:rsidR="00790BF0" w:rsidRPr="00D3459C">
        <w:rPr>
          <w:rFonts w:asciiTheme="minorHAnsi" w:hAnsiTheme="minorHAnsi"/>
          <w:snapToGrid w:val="0"/>
        </w:rPr>
        <w:t xml:space="preserve"> likely</w:t>
      </w:r>
      <w:r w:rsidR="00CE2910" w:rsidRPr="00D3459C">
        <w:rPr>
          <w:rFonts w:asciiTheme="minorHAnsi" w:hAnsiTheme="minorHAnsi"/>
          <w:snapToGrid w:val="0"/>
        </w:rPr>
        <w:t xml:space="preserve"> overestimate of the eligible patient population</w:t>
      </w:r>
      <w:r w:rsidR="00790BF0" w:rsidRPr="00D3459C">
        <w:rPr>
          <w:rFonts w:asciiTheme="minorHAnsi" w:hAnsiTheme="minorHAnsi"/>
          <w:snapToGrid w:val="0"/>
        </w:rPr>
        <w:t xml:space="preserve"> as it agreed with the ESC that </w:t>
      </w:r>
      <w:r w:rsidR="00790BF0" w:rsidRPr="00D3459C">
        <w:rPr>
          <w:rFonts w:asciiTheme="minorHAnsi" w:hAnsiTheme="minorHAnsi"/>
          <w:iCs/>
          <w:snapToGrid w:val="0"/>
        </w:rPr>
        <w:t>diagnosis rates in the broader CKD population are unlikely to be applicable to patients with diabetes who are diagnosed with CKD</w:t>
      </w:r>
      <w:r w:rsidR="00CE2910" w:rsidRPr="00D3459C">
        <w:rPr>
          <w:rFonts w:asciiTheme="minorHAnsi" w:hAnsiTheme="minorHAnsi"/>
          <w:snapToGrid w:val="0"/>
        </w:rPr>
        <w:t xml:space="preserve">. </w:t>
      </w:r>
      <w:r w:rsidR="00EA15A0" w:rsidRPr="00D3459C">
        <w:rPr>
          <w:rFonts w:asciiTheme="minorHAnsi" w:hAnsiTheme="minorHAnsi"/>
          <w:snapToGrid w:val="0"/>
        </w:rPr>
        <w:t xml:space="preserve">Moreover, the estimates did not reflect the more limited clinical position proposed by PBAC for </w:t>
      </w:r>
      <w:proofErr w:type="spellStart"/>
      <w:r w:rsidR="00EA15A0" w:rsidRPr="00D3459C">
        <w:rPr>
          <w:rFonts w:asciiTheme="minorHAnsi" w:hAnsiTheme="minorHAnsi"/>
          <w:snapToGrid w:val="0"/>
        </w:rPr>
        <w:t>finerenone</w:t>
      </w:r>
      <w:proofErr w:type="spellEnd"/>
      <w:r w:rsidR="00EA15A0" w:rsidRPr="00D3459C">
        <w:rPr>
          <w:rFonts w:asciiTheme="minorHAnsi" w:hAnsiTheme="minorHAnsi"/>
          <w:snapToGrid w:val="0"/>
        </w:rPr>
        <w:t xml:space="preserve"> use following treatment with an </w:t>
      </w:r>
      <w:proofErr w:type="spellStart"/>
      <w:r w:rsidR="00EA15A0" w:rsidRPr="00D3459C">
        <w:rPr>
          <w:rFonts w:asciiTheme="minorHAnsi" w:hAnsiTheme="minorHAnsi"/>
          <w:snapToGrid w:val="0"/>
        </w:rPr>
        <w:t>ACEi</w:t>
      </w:r>
      <w:proofErr w:type="spellEnd"/>
      <w:r w:rsidR="00EA15A0" w:rsidRPr="00D3459C">
        <w:rPr>
          <w:rFonts w:asciiTheme="minorHAnsi" w:hAnsiTheme="minorHAnsi"/>
          <w:snapToGrid w:val="0"/>
        </w:rPr>
        <w:t xml:space="preserve">/ARB and SGLT2 inhibitor (unless contraindicated) and in patients with very high albuminuria. </w:t>
      </w:r>
      <w:r w:rsidR="00CE2910" w:rsidRPr="00D3459C">
        <w:rPr>
          <w:rFonts w:asciiTheme="minorHAnsi" w:hAnsiTheme="minorHAnsi"/>
          <w:snapToGrid w:val="0"/>
        </w:rPr>
        <w:t>The PBAC proposed</w:t>
      </w:r>
      <w:r w:rsidR="00697025" w:rsidRPr="00D3459C">
        <w:rPr>
          <w:rFonts w:asciiTheme="minorHAnsi" w:hAnsiTheme="minorHAnsi"/>
          <w:snapToGrid w:val="0"/>
        </w:rPr>
        <w:t xml:space="preserve"> an alternate approach that estimated the number of patients with diabetes according to the number of </w:t>
      </w:r>
      <w:r w:rsidR="00A90EA4" w:rsidRPr="00D3459C">
        <w:rPr>
          <w:rFonts w:asciiTheme="minorHAnsi" w:hAnsiTheme="minorHAnsi"/>
          <w:snapToGrid w:val="0"/>
        </w:rPr>
        <w:t>individuals</w:t>
      </w:r>
      <w:r w:rsidR="00697025" w:rsidRPr="00D3459C">
        <w:rPr>
          <w:rFonts w:asciiTheme="minorHAnsi" w:hAnsiTheme="minorHAnsi"/>
          <w:snapToGrid w:val="0"/>
        </w:rPr>
        <w:t xml:space="preserve"> receiving medicines for diabetes in Australia. After </w:t>
      </w:r>
      <w:r w:rsidRPr="00D3459C">
        <w:rPr>
          <w:rFonts w:asciiTheme="minorHAnsi" w:hAnsiTheme="minorHAnsi"/>
          <w:snapToGrid w:val="0"/>
        </w:rPr>
        <w:t>the consideration of</w:t>
      </w:r>
      <w:r w:rsidR="00697025" w:rsidRPr="00D3459C">
        <w:rPr>
          <w:rFonts w:asciiTheme="minorHAnsi" w:hAnsiTheme="minorHAnsi"/>
          <w:snapToGrid w:val="0"/>
        </w:rPr>
        <w:t xml:space="preserve"> the percentage of patients with</w:t>
      </w:r>
      <w:r w:rsidR="00D3459C" w:rsidRPr="00D3459C">
        <w:rPr>
          <w:rFonts w:asciiTheme="minorHAnsi" w:hAnsiTheme="minorHAnsi"/>
          <w:snapToGrid w:val="0"/>
        </w:rPr>
        <w:t xml:space="preserve"> </w:t>
      </w:r>
      <w:r w:rsidR="00697025" w:rsidRPr="00D3459C">
        <w:rPr>
          <w:rFonts w:asciiTheme="minorHAnsi" w:hAnsiTheme="minorHAnsi"/>
          <w:snapToGrid w:val="0"/>
        </w:rPr>
        <w:t xml:space="preserve">UACR &gt;300 mg/g (4.6%, </w:t>
      </w:r>
      <w:proofErr w:type="spellStart"/>
      <w:r w:rsidR="00697025" w:rsidRPr="00D3459C">
        <w:rPr>
          <w:rFonts w:asciiTheme="minorHAnsi" w:hAnsiTheme="minorHAnsi"/>
          <w:snapToGrid w:val="0"/>
        </w:rPr>
        <w:t>AusDiab</w:t>
      </w:r>
      <w:proofErr w:type="spellEnd"/>
      <w:r w:rsidR="00697025" w:rsidRPr="00D3459C">
        <w:rPr>
          <w:rFonts w:asciiTheme="minorHAnsi" w:hAnsiTheme="minorHAnsi"/>
          <w:snapToGrid w:val="0"/>
        </w:rPr>
        <w:t xml:space="preserve"> study), the percentage of </w:t>
      </w:r>
      <w:r w:rsidR="00EA15A0" w:rsidRPr="00D3459C">
        <w:rPr>
          <w:rFonts w:asciiTheme="minorHAnsi" w:hAnsiTheme="minorHAnsi"/>
          <w:snapToGrid w:val="0"/>
        </w:rPr>
        <w:t xml:space="preserve">high-risk CKD </w:t>
      </w:r>
      <w:r w:rsidR="00697025" w:rsidRPr="00D3459C">
        <w:rPr>
          <w:rFonts w:asciiTheme="minorHAnsi" w:hAnsiTheme="minorHAnsi"/>
          <w:snapToGrid w:val="0"/>
        </w:rPr>
        <w:t xml:space="preserve">patients </w:t>
      </w:r>
      <w:r w:rsidR="00A90EA4" w:rsidRPr="00D3459C">
        <w:rPr>
          <w:rFonts w:asciiTheme="minorHAnsi" w:hAnsiTheme="minorHAnsi"/>
          <w:snapToGrid w:val="0"/>
        </w:rPr>
        <w:t>receiving an</w:t>
      </w:r>
      <w:r w:rsidR="00697025" w:rsidRPr="00D3459C">
        <w:rPr>
          <w:rFonts w:asciiTheme="minorHAnsi" w:hAnsiTheme="minorHAnsi"/>
          <w:snapToGrid w:val="0"/>
        </w:rPr>
        <w:t xml:space="preserve"> </w:t>
      </w:r>
      <w:proofErr w:type="spellStart"/>
      <w:r w:rsidR="00697025" w:rsidRPr="00D3459C">
        <w:rPr>
          <w:rFonts w:asciiTheme="minorHAnsi" w:hAnsiTheme="minorHAnsi"/>
          <w:snapToGrid w:val="0"/>
        </w:rPr>
        <w:t>ACEi</w:t>
      </w:r>
      <w:proofErr w:type="spellEnd"/>
      <w:r w:rsidR="00697025" w:rsidRPr="00D3459C">
        <w:rPr>
          <w:rFonts w:asciiTheme="minorHAnsi" w:hAnsiTheme="minorHAnsi"/>
          <w:snapToGrid w:val="0"/>
        </w:rPr>
        <w:t xml:space="preserve"> or ARB (76%, CKD-FIX trial), </w:t>
      </w:r>
      <w:r w:rsidRPr="00D3459C">
        <w:rPr>
          <w:rFonts w:asciiTheme="minorHAnsi" w:hAnsiTheme="minorHAnsi"/>
          <w:snapToGrid w:val="0"/>
        </w:rPr>
        <w:t>the</w:t>
      </w:r>
      <w:r w:rsidR="00697025" w:rsidRPr="00D3459C">
        <w:rPr>
          <w:rFonts w:asciiTheme="minorHAnsi" w:hAnsiTheme="minorHAnsi"/>
          <w:snapToGrid w:val="0"/>
        </w:rPr>
        <w:t xml:space="preserve"> </w:t>
      </w:r>
      <w:r w:rsidRPr="00D3459C">
        <w:rPr>
          <w:rFonts w:asciiTheme="minorHAnsi" w:hAnsiTheme="minorHAnsi"/>
          <w:snapToGrid w:val="0"/>
        </w:rPr>
        <w:t xml:space="preserve">percentage of patients with persistent UACR &gt;300 mg/g (64%, DAPA-CKD trial), </w:t>
      </w:r>
      <w:r w:rsidR="00D42AB9" w:rsidRPr="00D3459C">
        <w:rPr>
          <w:rFonts w:asciiTheme="minorHAnsi" w:hAnsiTheme="minorHAnsi"/>
          <w:snapToGrid w:val="0"/>
        </w:rPr>
        <w:t>and</w:t>
      </w:r>
      <w:r w:rsidR="00D3459C" w:rsidRPr="00D3459C">
        <w:rPr>
          <w:rFonts w:asciiTheme="minorHAnsi" w:hAnsiTheme="minorHAnsi"/>
          <w:snapToGrid w:val="0"/>
        </w:rPr>
        <w:t xml:space="preserve"> </w:t>
      </w:r>
      <w:r w:rsidR="00D3459C">
        <w:rPr>
          <w:rFonts w:asciiTheme="minorHAnsi" w:hAnsiTheme="minorHAnsi"/>
          <w:snapToGrid w:val="0"/>
        </w:rPr>
        <w:t>the percentage</w:t>
      </w:r>
      <w:r w:rsidR="00D42AB9" w:rsidRPr="00D3459C">
        <w:rPr>
          <w:rFonts w:asciiTheme="minorHAnsi" w:hAnsiTheme="minorHAnsi"/>
          <w:snapToGrid w:val="0"/>
        </w:rPr>
        <w:t xml:space="preserve"> ineligible due to hyperkalaemia risk (</w:t>
      </w:r>
      <w:r w:rsidR="00D3459C">
        <w:rPr>
          <w:rFonts w:asciiTheme="minorHAnsi" w:hAnsiTheme="minorHAnsi"/>
          <w:snapToGrid w:val="0"/>
        </w:rPr>
        <w:t xml:space="preserve">up to </w:t>
      </w:r>
      <w:r w:rsidR="00D3459C" w:rsidRPr="00D3459C">
        <w:rPr>
          <w:rFonts w:asciiTheme="minorHAnsi" w:hAnsiTheme="minorHAnsi"/>
          <w:snapToGrid w:val="0"/>
        </w:rPr>
        <w:t>58.8%</w:t>
      </w:r>
      <w:r w:rsidR="00D3459C">
        <w:rPr>
          <w:rFonts w:asciiTheme="minorHAnsi" w:hAnsiTheme="minorHAnsi"/>
          <w:snapToGrid w:val="0"/>
        </w:rPr>
        <w:t>-</w:t>
      </w:r>
      <w:r w:rsidR="00D3459C" w:rsidRPr="00D3459C">
        <w:rPr>
          <w:rFonts w:asciiTheme="minorHAnsi" w:hAnsiTheme="minorHAnsi"/>
          <w:snapToGrid w:val="0"/>
        </w:rPr>
        <w:t>61.6%</w:t>
      </w:r>
      <w:r w:rsidR="00D42AB9" w:rsidRPr="00D3459C">
        <w:rPr>
          <w:rFonts w:asciiTheme="minorHAnsi" w:hAnsiTheme="minorHAnsi"/>
          <w:snapToGrid w:val="0"/>
        </w:rPr>
        <w:t xml:space="preserve"> of patients </w:t>
      </w:r>
      <w:r w:rsidR="00D3459C">
        <w:rPr>
          <w:rFonts w:asciiTheme="minorHAnsi" w:hAnsiTheme="minorHAnsi"/>
          <w:snapToGrid w:val="0"/>
        </w:rPr>
        <w:t xml:space="preserve">who </w:t>
      </w:r>
      <w:r w:rsidR="00D42AB9" w:rsidRPr="00D3459C">
        <w:rPr>
          <w:rFonts w:asciiTheme="minorHAnsi" w:hAnsiTheme="minorHAnsi"/>
          <w:snapToGrid w:val="0"/>
        </w:rPr>
        <w:t>failed screening in the trials</w:t>
      </w:r>
      <w:r w:rsidR="00D3459C" w:rsidRPr="00D3459C">
        <w:rPr>
          <w:rFonts w:asciiTheme="minorHAnsi" w:hAnsiTheme="minorHAnsi"/>
          <w:snapToGrid w:val="0"/>
        </w:rPr>
        <w:t>)</w:t>
      </w:r>
      <w:r w:rsidR="00D3459C">
        <w:rPr>
          <w:rFonts w:asciiTheme="minorHAnsi" w:hAnsiTheme="minorHAnsi"/>
          <w:snapToGrid w:val="0"/>
        </w:rPr>
        <w:t xml:space="preserve">, and then </w:t>
      </w:r>
      <w:r w:rsidRPr="00D3459C">
        <w:rPr>
          <w:rFonts w:asciiTheme="minorHAnsi" w:hAnsiTheme="minorHAnsi"/>
          <w:snapToGrid w:val="0"/>
        </w:rPr>
        <w:t xml:space="preserve">assuming </w:t>
      </w:r>
      <w:r w:rsidR="00F549BC" w:rsidRPr="00D3459C">
        <w:rPr>
          <w:rFonts w:asciiTheme="minorHAnsi" w:hAnsiTheme="minorHAnsi"/>
          <w:snapToGrid w:val="0"/>
        </w:rPr>
        <w:t>utilisation</w:t>
      </w:r>
      <w:r w:rsidR="001851EF" w:rsidRPr="00D3459C">
        <w:rPr>
          <w:rFonts w:asciiTheme="minorHAnsi" w:hAnsiTheme="minorHAnsi"/>
          <w:snapToGrid w:val="0"/>
        </w:rPr>
        <w:t xml:space="preserve"> </w:t>
      </w:r>
      <w:r w:rsidR="00EA15A0" w:rsidRPr="00D3459C">
        <w:rPr>
          <w:rFonts w:asciiTheme="minorHAnsi" w:hAnsiTheme="minorHAnsi"/>
          <w:snapToGrid w:val="0"/>
        </w:rPr>
        <w:t xml:space="preserve">scenarios between </w:t>
      </w:r>
      <w:r w:rsidR="00D3459C">
        <w:rPr>
          <w:rFonts w:asciiTheme="minorHAnsi" w:hAnsiTheme="minorHAnsi"/>
          <w:snapToGrid w:val="0"/>
        </w:rPr>
        <w:t>10</w:t>
      </w:r>
      <w:r w:rsidR="00EA15A0" w:rsidRPr="00D3459C">
        <w:rPr>
          <w:rFonts w:asciiTheme="minorHAnsi" w:hAnsiTheme="minorHAnsi"/>
          <w:snapToGrid w:val="0"/>
        </w:rPr>
        <w:t xml:space="preserve">% and </w:t>
      </w:r>
      <w:r w:rsidR="00D3459C">
        <w:rPr>
          <w:rFonts w:asciiTheme="minorHAnsi" w:hAnsiTheme="minorHAnsi" w:cstheme="minorHAnsi"/>
          <w:snapToGrid w:val="0"/>
        </w:rPr>
        <w:t>50</w:t>
      </w:r>
      <w:r w:rsidRPr="00D3459C">
        <w:rPr>
          <w:rFonts w:asciiTheme="minorHAnsi" w:hAnsiTheme="minorHAnsi"/>
          <w:snapToGrid w:val="0"/>
        </w:rPr>
        <w:t>%</w:t>
      </w:r>
      <w:r w:rsidR="00D3459C">
        <w:rPr>
          <w:rFonts w:asciiTheme="minorHAnsi" w:hAnsiTheme="minorHAnsi"/>
          <w:snapToGrid w:val="0"/>
        </w:rPr>
        <w:t xml:space="preserve"> (worst and best case scenarios)</w:t>
      </w:r>
      <w:r w:rsidRPr="00D3459C">
        <w:rPr>
          <w:rFonts w:asciiTheme="minorHAnsi" w:hAnsiTheme="minorHAnsi"/>
          <w:snapToGrid w:val="0"/>
        </w:rPr>
        <w:t xml:space="preserve">, the PBAC considered </w:t>
      </w:r>
      <w:r w:rsidR="00A90EA4" w:rsidRPr="00D3459C">
        <w:rPr>
          <w:rFonts w:asciiTheme="minorHAnsi" w:hAnsiTheme="minorHAnsi"/>
          <w:snapToGrid w:val="0"/>
        </w:rPr>
        <w:t xml:space="preserve">that </w:t>
      </w:r>
      <w:r w:rsidRPr="00D3459C">
        <w:rPr>
          <w:rFonts w:asciiTheme="minorHAnsi" w:hAnsiTheme="minorHAnsi"/>
          <w:snapToGrid w:val="0"/>
        </w:rPr>
        <w:t xml:space="preserve">the number of </w:t>
      </w:r>
      <w:r w:rsidR="00F549BC" w:rsidRPr="00D3459C">
        <w:rPr>
          <w:rFonts w:asciiTheme="minorHAnsi" w:hAnsiTheme="minorHAnsi"/>
          <w:snapToGrid w:val="0"/>
        </w:rPr>
        <w:t xml:space="preserve">treated </w:t>
      </w:r>
      <w:r w:rsidRPr="00D3459C">
        <w:rPr>
          <w:rFonts w:asciiTheme="minorHAnsi" w:hAnsiTheme="minorHAnsi"/>
          <w:snapToGrid w:val="0"/>
        </w:rPr>
        <w:t>patients</w:t>
      </w:r>
      <w:r w:rsidR="00F549BC" w:rsidRPr="00D3459C">
        <w:rPr>
          <w:rFonts w:asciiTheme="minorHAnsi" w:hAnsiTheme="minorHAnsi"/>
          <w:snapToGrid w:val="0"/>
        </w:rPr>
        <w:t xml:space="preserve"> would be substantially lower than had been estimated in the submission</w:t>
      </w:r>
      <w:r w:rsidRPr="00D3459C">
        <w:rPr>
          <w:rFonts w:asciiTheme="minorHAnsi" w:hAnsiTheme="minorHAnsi" w:cstheme="minorHAnsi"/>
          <w:snapToGrid w:val="0"/>
        </w:rPr>
        <w:t>.</w:t>
      </w:r>
      <w:bookmarkEnd w:id="69"/>
      <w:r w:rsidR="0078093B" w:rsidRPr="00D3459C">
        <w:rPr>
          <w:rFonts w:asciiTheme="minorHAnsi" w:hAnsiTheme="minorHAnsi" w:cstheme="minorHAnsi"/>
          <w:snapToGrid w:val="0"/>
        </w:rPr>
        <w:t xml:space="preserve"> </w:t>
      </w:r>
    </w:p>
    <w:p w14:paraId="05A69607" w14:textId="60309CAA" w:rsidR="00763E7B" w:rsidRDefault="00763E7B" w:rsidP="00763E7B">
      <w:pPr>
        <w:widowControl w:val="0"/>
        <w:numPr>
          <w:ilvl w:val="1"/>
          <w:numId w:val="1"/>
        </w:numPr>
        <w:spacing w:after="120"/>
        <w:ind w:left="720" w:hanging="720"/>
        <w:rPr>
          <w:rFonts w:asciiTheme="minorHAnsi" w:hAnsiTheme="minorHAnsi"/>
          <w:snapToGrid w:val="0"/>
        </w:rPr>
      </w:pPr>
      <w:r>
        <w:rPr>
          <w:rFonts w:asciiTheme="minorHAnsi" w:hAnsiTheme="minorHAnsi"/>
          <w:snapToGrid w:val="0"/>
        </w:rPr>
        <w:t xml:space="preserve">The PBAC considered a resubmission for </w:t>
      </w:r>
      <w:proofErr w:type="spellStart"/>
      <w:r>
        <w:rPr>
          <w:rFonts w:asciiTheme="minorHAnsi" w:hAnsiTheme="minorHAnsi"/>
          <w:snapToGrid w:val="0"/>
        </w:rPr>
        <w:t>finerenone</w:t>
      </w:r>
      <w:proofErr w:type="spellEnd"/>
      <w:r>
        <w:rPr>
          <w:rFonts w:asciiTheme="minorHAnsi" w:hAnsiTheme="minorHAnsi"/>
          <w:snapToGrid w:val="0"/>
        </w:rPr>
        <w:t xml:space="preserve"> should address the following issues:</w:t>
      </w:r>
    </w:p>
    <w:p w14:paraId="583A18FC" w14:textId="39208EFA" w:rsidR="00215EC6" w:rsidRDefault="00215EC6" w:rsidP="00BF0E68">
      <w:pPr>
        <w:pStyle w:val="ListParagraph"/>
        <w:widowControl w:val="0"/>
        <w:numPr>
          <w:ilvl w:val="0"/>
          <w:numId w:val="23"/>
        </w:numPr>
        <w:spacing w:after="120"/>
        <w:rPr>
          <w:rFonts w:asciiTheme="minorHAnsi" w:hAnsiTheme="minorHAnsi"/>
          <w:snapToGrid w:val="0"/>
        </w:rPr>
      </w:pPr>
      <w:r>
        <w:rPr>
          <w:rFonts w:asciiTheme="minorHAnsi" w:hAnsiTheme="minorHAnsi"/>
          <w:snapToGrid w:val="0"/>
        </w:rPr>
        <w:t xml:space="preserve">Update the PBS restriction in line with the more limited clinical position </w:t>
      </w:r>
      <w:proofErr w:type="gramStart"/>
      <w:r>
        <w:rPr>
          <w:rFonts w:asciiTheme="minorHAnsi" w:hAnsiTheme="minorHAnsi"/>
          <w:snapToGrid w:val="0"/>
        </w:rPr>
        <w:t>proposed;</w:t>
      </w:r>
      <w:proofErr w:type="gramEnd"/>
    </w:p>
    <w:p w14:paraId="43F6FEFF" w14:textId="107BF9E3" w:rsidR="00BF0E68" w:rsidRPr="006D0D8D" w:rsidRDefault="00BF0E68" w:rsidP="00BF0E68">
      <w:pPr>
        <w:pStyle w:val="ListParagraph"/>
        <w:widowControl w:val="0"/>
        <w:numPr>
          <w:ilvl w:val="0"/>
          <w:numId w:val="23"/>
        </w:numPr>
        <w:spacing w:after="120"/>
        <w:rPr>
          <w:rFonts w:asciiTheme="minorHAnsi" w:hAnsiTheme="minorHAnsi"/>
          <w:snapToGrid w:val="0"/>
        </w:rPr>
      </w:pPr>
      <w:r>
        <w:rPr>
          <w:rFonts w:asciiTheme="minorHAnsi" w:hAnsiTheme="minorHAnsi"/>
          <w:snapToGrid w:val="0"/>
        </w:rPr>
        <w:t>Revise the economic model as outlined in</w:t>
      </w:r>
      <w:r w:rsidR="00783EEF">
        <w:rPr>
          <w:rFonts w:asciiTheme="minorHAnsi" w:hAnsiTheme="minorHAnsi"/>
          <w:snapToGrid w:val="0"/>
        </w:rPr>
        <w:t xml:space="preserve"> </w:t>
      </w:r>
      <w:r w:rsidR="00783EEF" w:rsidRPr="006D0D8D">
        <w:rPr>
          <w:rFonts w:asciiTheme="minorHAnsi" w:hAnsiTheme="minorHAnsi"/>
          <w:snapToGrid w:val="0"/>
        </w:rPr>
        <w:t>paragraphs</w:t>
      </w:r>
      <w:r w:rsidRPr="006D0D8D">
        <w:rPr>
          <w:rFonts w:asciiTheme="minorHAnsi" w:hAnsiTheme="minorHAnsi"/>
          <w:snapToGrid w:val="0"/>
        </w:rPr>
        <w:t xml:space="preserve"> </w:t>
      </w:r>
      <w:r w:rsidR="00FE285A" w:rsidRPr="006D0D8D">
        <w:rPr>
          <w:rFonts w:asciiTheme="minorHAnsi" w:hAnsiTheme="minorHAnsi"/>
          <w:snapToGrid w:val="0"/>
        </w:rPr>
        <w:fldChar w:fldCharType="begin"/>
      </w:r>
      <w:r w:rsidR="00FE285A" w:rsidRPr="006D0D8D">
        <w:rPr>
          <w:rFonts w:asciiTheme="minorHAnsi" w:hAnsiTheme="minorHAnsi"/>
          <w:snapToGrid w:val="0"/>
        </w:rPr>
        <w:instrText xml:space="preserve"> REF _Ref110800883 \r \h </w:instrText>
      </w:r>
      <w:r w:rsidR="006D0D8D">
        <w:rPr>
          <w:rFonts w:asciiTheme="minorHAnsi" w:hAnsiTheme="minorHAnsi"/>
          <w:snapToGrid w:val="0"/>
        </w:rPr>
        <w:instrText xml:space="preserve"> \* MERGEFORMAT </w:instrText>
      </w:r>
      <w:r w:rsidR="00FE285A" w:rsidRPr="006D0D8D">
        <w:rPr>
          <w:rFonts w:asciiTheme="minorHAnsi" w:hAnsiTheme="minorHAnsi"/>
          <w:snapToGrid w:val="0"/>
        </w:rPr>
      </w:r>
      <w:r w:rsidR="00FE285A" w:rsidRPr="006D0D8D">
        <w:rPr>
          <w:rFonts w:asciiTheme="minorHAnsi" w:hAnsiTheme="minorHAnsi"/>
          <w:snapToGrid w:val="0"/>
        </w:rPr>
        <w:fldChar w:fldCharType="separate"/>
      </w:r>
      <w:r w:rsidR="00BA74E2">
        <w:rPr>
          <w:rFonts w:asciiTheme="minorHAnsi" w:hAnsiTheme="minorHAnsi"/>
          <w:snapToGrid w:val="0"/>
        </w:rPr>
        <w:t>7.9</w:t>
      </w:r>
      <w:r w:rsidR="00FE285A" w:rsidRPr="006D0D8D">
        <w:rPr>
          <w:rFonts w:asciiTheme="minorHAnsi" w:hAnsiTheme="minorHAnsi"/>
          <w:snapToGrid w:val="0"/>
        </w:rPr>
        <w:fldChar w:fldCharType="end"/>
      </w:r>
      <w:r w:rsidR="00FE285A" w:rsidRPr="006D0D8D">
        <w:rPr>
          <w:rFonts w:asciiTheme="minorHAnsi" w:hAnsiTheme="minorHAnsi"/>
          <w:snapToGrid w:val="0"/>
        </w:rPr>
        <w:t xml:space="preserve"> and </w:t>
      </w:r>
      <w:r w:rsidR="00FE285A" w:rsidRPr="006D0D8D">
        <w:rPr>
          <w:rFonts w:asciiTheme="minorHAnsi" w:hAnsiTheme="minorHAnsi"/>
          <w:snapToGrid w:val="0"/>
        </w:rPr>
        <w:fldChar w:fldCharType="begin"/>
      </w:r>
      <w:r w:rsidR="00FE285A" w:rsidRPr="006D0D8D">
        <w:rPr>
          <w:rFonts w:asciiTheme="minorHAnsi" w:hAnsiTheme="minorHAnsi"/>
          <w:snapToGrid w:val="0"/>
        </w:rPr>
        <w:instrText xml:space="preserve"> REF _Ref110800885 \r \h </w:instrText>
      </w:r>
      <w:r w:rsidR="006D0D8D">
        <w:rPr>
          <w:rFonts w:asciiTheme="minorHAnsi" w:hAnsiTheme="minorHAnsi"/>
          <w:snapToGrid w:val="0"/>
        </w:rPr>
        <w:instrText xml:space="preserve"> \* MERGEFORMAT </w:instrText>
      </w:r>
      <w:r w:rsidR="00FE285A" w:rsidRPr="006D0D8D">
        <w:rPr>
          <w:rFonts w:asciiTheme="minorHAnsi" w:hAnsiTheme="minorHAnsi"/>
          <w:snapToGrid w:val="0"/>
        </w:rPr>
      </w:r>
      <w:r w:rsidR="00FE285A" w:rsidRPr="006D0D8D">
        <w:rPr>
          <w:rFonts w:asciiTheme="minorHAnsi" w:hAnsiTheme="minorHAnsi"/>
          <w:snapToGrid w:val="0"/>
        </w:rPr>
        <w:fldChar w:fldCharType="separate"/>
      </w:r>
      <w:r w:rsidR="00BA74E2">
        <w:rPr>
          <w:rFonts w:asciiTheme="minorHAnsi" w:hAnsiTheme="minorHAnsi"/>
          <w:snapToGrid w:val="0"/>
        </w:rPr>
        <w:t>7.10</w:t>
      </w:r>
      <w:r w:rsidR="00FE285A" w:rsidRPr="006D0D8D">
        <w:rPr>
          <w:rFonts w:asciiTheme="minorHAnsi" w:hAnsiTheme="minorHAnsi"/>
          <w:snapToGrid w:val="0"/>
        </w:rPr>
        <w:fldChar w:fldCharType="end"/>
      </w:r>
      <w:r w:rsidR="00783EEF" w:rsidRPr="006D0D8D">
        <w:rPr>
          <w:rFonts w:asciiTheme="minorHAnsi" w:hAnsiTheme="minorHAnsi" w:cstheme="minorHAnsi"/>
          <w:snapToGrid w:val="0"/>
        </w:rPr>
        <w:t>; and</w:t>
      </w:r>
    </w:p>
    <w:p w14:paraId="30E1ABF1" w14:textId="623FDF66" w:rsidR="00783EEF" w:rsidRPr="006D0D8D" w:rsidRDefault="00783EEF" w:rsidP="0078331B">
      <w:pPr>
        <w:pStyle w:val="ListParagraph"/>
        <w:widowControl w:val="0"/>
        <w:numPr>
          <w:ilvl w:val="0"/>
          <w:numId w:val="23"/>
        </w:numPr>
        <w:spacing w:after="120"/>
        <w:rPr>
          <w:rFonts w:asciiTheme="minorHAnsi" w:hAnsiTheme="minorHAnsi"/>
          <w:snapToGrid w:val="0"/>
        </w:rPr>
      </w:pPr>
      <w:r w:rsidRPr="006D0D8D">
        <w:rPr>
          <w:rFonts w:asciiTheme="minorHAnsi" w:hAnsiTheme="minorHAnsi" w:cstheme="minorHAnsi"/>
          <w:snapToGrid w:val="0"/>
        </w:rPr>
        <w:t xml:space="preserve">Present revised financial estimates consistent with paragraph </w:t>
      </w:r>
      <w:r w:rsidR="00FE285A" w:rsidRPr="006D0D8D">
        <w:rPr>
          <w:rFonts w:asciiTheme="minorHAnsi" w:hAnsiTheme="minorHAnsi" w:cstheme="minorHAnsi"/>
          <w:snapToGrid w:val="0"/>
        </w:rPr>
        <w:fldChar w:fldCharType="begin"/>
      </w:r>
      <w:r w:rsidR="00FE285A" w:rsidRPr="006D0D8D">
        <w:rPr>
          <w:rFonts w:asciiTheme="minorHAnsi" w:hAnsiTheme="minorHAnsi" w:cstheme="minorHAnsi"/>
          <w:snapToGrid w:val="0"/>
        </w:rPr>
        <w:instrText xml:space="preserve"> REF _Ref110800921 \r \h </w:instrText>
      </w:r>
      <w:r w:rsidR="006D0D8D">
        <w:rPr>
          <w:rFonts w:asciiTheme="minorHAnsi" w:hAnsiTheme="minorHAnsi" w:cstheme="minorHAnsi"/>
          <w:snapToGrid w:val="0"/>
        </w:rPr>
        <w:instrText xml:space="preserve"> \* MERGEFORMAT </w:instrText>
      </w:r>
      <w:r w:rsidR="00FE285A" w:rsidRPr="006D0D8D">
        <w:rPr>
          <w:rFonts w:asciiTheme="minorHAnsi" w:hAnsiTheme="minorHAnsi" w:cstheme="minorHAnsi"/>
          <w:snapToGrid w:val="0"/>
        </w:rPr>
      </w:r>
      <w:r w:rsidR="00FE285A" w:rsidRPr="006D0D8D">
        <w:rPr>
          <w:rFonts w:asciiTheme="minorHAnsi" w:hAnsiTheme="minorHAnsi" w:cstheme="minorHAnsi"/>
          <w:snapToGrid w:val="0"/>
        </w:rPr>
        <w:fldChar w:fldCharType="separate"/>
      </w:r>
      <w:r w:rsidR="00BA74E2">
        <w:rPr>
          <w:rFonts w:asciiTheme="minorHAnsi" w:hAnsiTheme="minorHAnsi" w:cstheme="minorHAnsi"/>
          <w:snapToGrid w:val="0"/>
        </w:rPr>
        <w:t>7.11</w:t>
      </w:r>
      <w:r w:rsidR="00FE285A" w:rsidRPr="006D0D8D">
        <w:rPr>
          <w:rFonts w:asciiTheme="minorHAnsi" w:hAnsiTheme="minorHAnsi" w:cstheme="minorHAnsi"/>
          <w:snapToGrid w:val="0"/>
        </w:rPr>
        <w:fldChar w:fldCharType="end"/>
      </w:r>
      <w:r w:rsidRPr="006D0D8D">
        <w:rPr>
          <w:rFonts w:asciiTheme="minorHAnsi" w:hAnsiTheme="minorHAnsi" w:cstheme="minorHAnsi"/>
          <w:snapToGrid w:val="0"/>
        </w:rPr>
        <w:t>.</w:t>
      </w:r>
    </w:p>
    <w:p w14:paraId="362F993F" w14:textId="2F48E53C" w:rsidR="00783EEF" w:rsidRPr="004D4CF7" w:rsidRDefault="00783EEF" w:rsidP="00783EEF">
      <w:pPr>
        <w:widowControl w:val="0"/>
        <w:numPr>
          <w:ilvl w:val="1"/>
          <w:numId w:val="1"/>
        </w:numPr>
        <w:spacing w:after="120"/>
        <w:ind w:left="720" w:hanging="720"/>
        <w:rPr>
          <w:rFonts w:asciiTheme="minorHAnsi" w:hAnsiTheme="minorHAnsi"/>
          <w:bCs/>
          <w:snapToGrid w:val="0"/>
        </w:rPr>
      </w:pPr>
      <w:r w:rsidRPr="004D4CF7">
        <w:rPr>
          <w:rFonts w:asciiTheme="minorHAnsi" w:hAnsiTheme="minorHAnsi"/>
          <w:bCs/>
          <w:snapToGrid w:val="0"/>
        </w:rPr>
        <w:lastRenderedPageBreak/>
        <w:t>The resubmission may be lodged at any future standard due date for PBAC submissions using the standard re-entry pathway.</w:t>
      </w:r>
    </w:p>
    <w:p w14:paraId="5B16D11D" w14:textId="77777777" w:rsidR="00783EEF" w:rsidRPr="004D4CF7" w:rsidRDefault="00783EEF" w:rsidP="00783EEF">
      <w:pPr>
        <w:widowControl w:val="0"/>
        <w:numPr>
          <w:ilvl w:val="1"/>
          <w:numId w:val="1"/>
        </w:numPr>
        <w:spacing w:after="120"/>
        <w:ind w:left="720" w:hanging="720"/>
        <w:rPr>
          <w:rFonts w:asciiTheme="minorHAnsi" w:hAnsiTheme="minorHAnsi"/>
          <w:bCs/>
          <w:snapToGrid w:val="0"/>
        </w:rPr>
      </w:pPr>
      <w:r w:rsidRPr="004D4CF7">
        <w:rPr>
          <w:rFonts w:asciiTheme="minorHAnsi" w:hAnsiTheme="minorHAnsi"/>
          <w:bCs/>
          <w:snapToGrid w:val="0"/>
        </w:rPr>
        <w:t>The PBAC noted that this submission is eligible for an Independent Review.</w:t>
      </w:r>
    </w:p>
    <w:p w14:paraId="29AB0CD1" w14:textId="77777777" w:rsidR="00644C08" w:rsidRPr="00CF7D68" w:rsidRDefault="00644C08" w:rsidP="00644C08">
      <w:pPr>
        <w:spacing w:before="240"/>
        <w:rPr>
          <w:rFonts w:asciiTheme="minorHAnsi" w:hAnsiTheme="minorHAnsi"/>
          <w:b/>
          <w:bCs/>
          <w:snapToGrid w:val="0"/>
        </w:rPr>
      </w:pPr>
      <w:r w:rsidRPr="00CF7D68">
        <w:rPr>
          <w:rFonts w:asciiTheme="minorHAnsi" w:hAnsiTheme="minorHAnsi"/>
          <w:b/>
          <w:bCs/>
          <w:snapToGrid w:val="0"/>
        </w:rPr>
        <w:t>Outcome:</w:t>
      </w:r>
    </w:p>
    <w:p w14:paraId="7792EBFB" w14:textId="461986C9" w:rsidR="00644C08" w:rsidRPr="00672631" w:rsidRDefault="00644C08" w:rsidP="00672631">
      <w:pPr>
        <w:rPr>
          <w:rFonts w:asciiTheme="minorHAnsi" w:hAnsiTheme="minorHAnsi"/>
          <w:bCs/>
          <w:snapToGrid w:val="0"/>
        </w:rPr>
      </w:pPr>
      <w:r w:rsidRPr="00CF7D68">
        <w:rPr>
          <w:rFonts w:asciiTheme="minorHAnsi" w:hAnsiTheme="minorHAnsi"/>
          <w:bCs/>
          <w:snapToGrid w:val="0"/>
        </w:rPr>
        <w:t xml:space="preserve">Not recommended </w:t>
      </w:r>
      <w:bookmarkEnd w:id="64"/>
      <w:bookmarkEnd w:id="65"/>
    </w:p>
    <w:p w14:paraId="7714C20C" w14:textId="77777777" w:rsidR="00672631" w:rsidRPr="00DC6997" w:rsidRDefault="00672631" w:rsidP="00672631">
      <w:pPr>
        <w:pStyle w:val="2-SectionHeading"/>
        <w:numPr>
          <w:ilvl w:val="0"/>
          <w:numId w:val="1"/>
        </w:numPr>
        <w:ind w:left="709"/>
        <w:outlineLvl w:val="1"/>
      </w:pPr>
      <w:r w:rsidRPr="00DC6997">
        <w:t>Context for Decision</w:t>
      </w:r>
    </w:p>
    <w:p w14:paraId="72654031" w14:textId="77777777" w:rsidR="00672631" w:rsidRPr="00DC6997" w:rsidRDefault="00672631" w:rsidP="00672631">
      <w:pPr>
        <w:spacing w:after="120" w:line="259" w:lineRule="auto"/>
        <w:ind w:left="709"/>
        <w:rPr>
          <w:rFonts w:eastAsia="Calibri"/>
          <w:bCs/>
          <w:sz w:val="22"/>
          <w:szCs w:val="22"/>
          <w:lang w:val="en-GB" w:eastAsia="en-US"/>
        </w:rPr>
      </w:pPr>
      <w:r w:rsidRPr="00DC6997">
        <w:rPr>
          <w:rFonts w:eastAsia="Calibri"/>
          <w:bCs/>
          <w:sz w:val="22"/>
          <w:szCs w:val="22"/>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15C7F21" w14:textId="77777777" w:rsidR="00672631" w:rsidRPr="00DC6997" w:rsidRDefault="00672631" w:rsidP="00672631">
      <w:pPr>
        <w:pStyle w:val="2-SectionHeading"/>
        <w:numPr>
          <w:ilvl w:val="0"/>
          <w:numId w:val="1"/>
        </w:numPr>
        <w:outlineLvl w:val="1"/>
      </w:pPr>
      <w:r w:rsidRPr="00DC6997">
        <w:t>Sponsor’s Comment</w:t>
      </w:r>
    </w:p>
    <w:p w14:paraId="4C6C7015" w14:textId="597B20FE" w:rsidR="00672631" w:rsidRPr="00CF7D68" w:rsidRDefault="00DA44DD" w:rsidP="00C856F6">
      <w:pPr>
        <w:widowControl w:val="0"/>
        <w:ind w:left="709"/>
        <w:rPr>
          <w:rFonts w:asciiTheme="minorHAnsi" w:hAnsiTheme="minorHAnsi"/>
          <w:b/>
          <w:bCs/>
          <w:snapToGrid w:val="0"/>
        </w:rPr>
      </w:pPr>
      <w:r w:rsidRPr="00C856F6">
        <w:rPr>
          <w:rFonts w:asciiTheme="minorHAnsi" w:hAnsiTheme="minorHAnsi" w:cstheme="minorHAnsi"/>
          <w:color w:val="000000"/>
          <w:sz w:val="22"/>
          <w:szCs w:val="22"/>
        </w:rPr>
        <w:t xml:space="preserve">Bayer is disappointed by the PBAC’s decision not to recommend </w:t>
      </w:r>
      <w:proofErr w:type="spellStart"/>
      <w:r w:rsidRPr="00C856F6">
        <w:rPr>
          <w:rFonts w:asciiTheme="minorHAnsi" w:hAnsiTheme="minorHAnsi" w:cstheme="minorHAnsi"/>
          <w:color w:val="000000"/>
          <w:sz w:val="22"/>
          <w:szCs w:val="22"/>
        </w:rPr>
        <w:t>Finerenone</w:t>
      </w:r>
      <w:proofErr w:type="spellEnd"/>
      <w:r w:rsidRPr="00C856F6">
        <w:rPr>
          <w:rFonts w:asciiTheme="minorHAnsi" w:hAnsiTheme="minorHAnsi" w:cstheme="minorHAnsi"/>
          <w:color w:val="000000"/>
          <w:sz w:val="22"/>
          <w:szCs w:val="22"/>
        </w:rPr>
        <w:t xml:space="preserve"> for the treatment of diabetes kidney disease. Bayer remains committed to working with the PBAC to find a pathway forward to bring this treatment to Australian patients in a timely manner.</w:t>
      </w:r>
    </w:p>
    <w:sectPr w:rsidR="00672631" w:rsidRPr="00CF7D68" w:rsidSect="007B2A4D">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D8201" w14:textId="77777777" w:rsidR="00D94B59" w:rsidRDefault="00D94B59" w:rsidP="00124A51">
      <w:r>
        <w:separator/>
      </w:r>
    </w:p>
    <w:p w14:paraId="22710F7F" w14:textId="77777777" w:rsidR="00D94B59" w:rsidRDefault="00D94B59"/>
  </w:endnote>
  <w:endnote w:type="continuationSeparator" w:id="0">
    <w:p w14:paraId="60B7DE06" w14:textId="77777777" w:rsidR="00D94B59" w:rsidRDefault="00D94B59" w:rsidP="00124A51">
      <w:r>
        <w:continuationSeparator/>
      </w:r>
    </w:p>
    <w:p w14:paraId="08CD6B0B" w14:textId="77777777" w:rsidR="00D94B59" w:rsidRDefault="00D94B59"/>
  </w:endnote>
  <w:endnote w:type="continuationNotice" w:id="1">
    <w:p w14:paraId="76940E79" w14:textId="77777777" w:rsidR="00D94B59" w:rsidRDefault="00D94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1728" w14:textId="77777777" w:rsidR="00A973A1" w:rsidRDefault="00A97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C572" w14:textId="60EB291A" w:rsidR="006D0D8D" w:rsidRDefault="006D0D8D">
    <w:pPr>
      <w:pStyle w:val="Footer"/>
    </w:pPr>
  </w:p>
  <w:bookmarkStart w:id="71" w:name="_Hlk76375156"/>
  <w:p w14:paraId="778B5225" w14:textId="3894B30C" w:rsidR="006D0D8D" w:rsidRPr="003436D4" w:rsidRDefault="005235A4" w:rsidP="003436D4">
    <w:pPr>
      <w:pStyle w:val="Footer"/>
      <w:keepNext/>
      <w:ind w:left="360"/>
      <w:jc w:val="center"/>
      <w:rPr>
        <w:rFonts w:asciiTheme="minorHAnsi" w:hAnsiTheme="minorHAnsi"/>
      </w:rPr>
    </w:pPr>
    <w:r>
      <w:rPr>
        <w:noProof/>
      </w:rPr>
      <mc:AlternateContent>
        <mc:Choice Requires="wps">
          <w:drawing>
            <wp:anchor distT="0" distB="0" distL="114300" distR="114300" simplePos="0" relativeHeight="251659264" behindDoc="0" locked="0" layoutInCell="0" allowOverlap="1" wp14:anchorId="176F8177" wp14:editId="111B0125">
              <wp:simplePos x="0" y="0"/>
              <wp:positionH relativeFrom="page">
                <wp:align>left</wp:align>
              </wp:positionH>
              <wp:positionV relativeFrom="page">
                <wp:posOffset>10128738</wp:posOffset>
              </wp:positionV>
              <wp:extent cx="4579034" cy="375920"/>
              <wp:effectExtent l="0" t="0" r="0" b="5080"/>
              <wp:wrapNone/>
              <wp:docPr id="1" name="MSIPCMeec04a2883664f1d8785f9ed" descr="{&quot;HashCode&quot;:-242339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4579034"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587E9" w14:textId="2BAA1AE7" w:rsidR="00F052B2" w:rsidRPr="00F052B2" w:rsidRDefault="00F052B2" w:rsidP="00F052B2">
                          <w:pPr>
                            <w:jc w:val="right"/>
                            <w:rPr>
                              <w:rFonts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176F8177" id="_x0000_t202" coordsize="21600,21600" o:spt="202" path="m,l,21600r21600,l21600,xe">
              <v:stroke joinstyle="miter"/>
              <v:path gradientshapeok="t" o:connecttype="rect"/>
            </v:shapetype>
            <v:shape id="MSIPCMeec04a2883664f1d8785f9ed" o:spid="_x0000_s1026" type="#_x0000_t202" alt="{&quot;HashCode&quot;:-242339457,&quot;Height&quot;:842.0,&quot;Width&quot;:595.0,&quot;Placement&quot;:&quot;Footer&quot;,&quot;Index&quot;:&quot;Primary&quot;,&quot;Section&quot;:1,&quot;Top&quot;:0.0,&quot;Left&quot;:0.0}" style="position:absolute;left:0;text-align:left;margin-left:0;margin-top:797.55pt;width:360.55pt;height:29.6pt;z-index:251659264;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S0sgIAAEcFAAAOAAAAZHJzL2Uyb0RvYy54bWysVF9v2jAQf5+072D5YU8bCSFQYA0Vo2Kr&#10;RFskOvXZOA6JlPhc25Swad99Z8fQrdvTtBf7/p/vd3e+vGqbmjwLbSqQGe33YkqE5JBXcpfRrw/L&#10;D2NKjGUyZzVIkdGjMPRq9vbN5UFNRQIl1LnQBINIMz2ojJbWqmkUGV6KhpkeKCFRWYBumEVW76Jc&#10;swNGb+ooieNRdACdKw1cGIPS605JZz5+UQhu74vCCEvqjOLbrD+1P7fujGaXbLrTTJUVD89g//CK&#10;hlUSk55DXTPLyF5Xf4RqKq7BQGF7HJoIiqLiwteA1fTjV9VsSqaErwXBMeoMk/l/Yfnd81qTKsfe&#10;USJZgy263dysF7dC8DhlyXg8GI3Sop+PL8bDYiJySnJhOCL4/d3THuzHL8yUC8hFx00/JGkyGEzS&#10;4cX7oBfVrrRBO06TXhwUj1VuyyAfToZn+bpmXDRCnnw6kyWAFbqjQ4AbmYs2BOiuta4apo+/WW1w&#10;BHA2g10/+D6ACpL4nHglilNOFP5wo3FQZooIbRRiZNtP0DqYgtyg0HW8LXTjbuwlQT0O2fE8WKK1&#10;hKMQ4ZjEg5QSjrrBxXCS+MmLXryVNvazgIY4IqMaX+3niT2vjMWMaHoycckkLKu69sNbS3LI6Ggw&#10;jL3DWYMetURHV0P3VkfZdtuGAraQH7EuDd1SGMWXFSZfMWPXTOMWYCm42fYej6IGTAKBoqQE/e1v&#10;cmePw4laSg64VRk1T3umBSX1jcSxnfTT1K2hZ5DQnkiGaRwjtz2J5b5ZAG4sziQ+y5PO2NYnstDQ&#10;POLmz106VDHJMWlGtydyYZFDBf4cXMznnsaNU8yu5EZxF9rh6DB9aB+ZVgF4iy27g9Pisekr/Dvb&#10;rgPzvYWi8s1xyHZwBsBxW33Pws/ivoNfeW/18v/NfgIAAP//AwBQSwMEFAAGAAgAAAAhAMAN79rh&#10;AAAACgEAAA8AAABkcnMvZG93bnJldi54bWxMj0FPwzAMhe9I/IfISFymLW1HV1aaThPSTkgIxiSu&#10;WWvaisYpTbpl/HrMCW72e9bz94pNML044eg6SwriRQQCqbJ1R42Cw9tufg/CeU217i2hggs62JTX&#10;V4XOa3umVzztfSM4hFyuFbTeD7mUrmrRaLewAxJ7H3Y02vM6NrIe9ZnDTS+TKFpJozviD60e8LHF&#10;6nM/GQWzb1Mtn7Jd8v7y/DWFbTa7rMOk1O1N2D6A8Bj83zH84jM6lMx0tBPVTvQKuIhnNV2nMQj2&#10;syTm4cjSKr1bgiwL+b9C+QMAAP//AwBQSwECLQAUAAYACAAAACEAtoM4kv4AAADhAQAAEwAAAAAA&#10;AAAAAAAAAAAAAAAAW0NvbnRlbnRfVHlwZXNdLnhtbFBLAQItABQABgAIAAAAIQA4/SH/1gAAAJQB&#10;AAALAAAAAAAAAAAAAAAAAC8BAABfcmVscy8ucmVsc1BLAQItABQABgAIAAAAIQAhiQS0sgIAAEcF&#10;AAAOAAAAAAAAAAAAAAAAAC4CAABkcnMvZTJvRG9jLnhtbFBLAQItABQABgAIAAAAIQDADe/a4QAA&#10;AAoBAAAPAAAAAAAAAAAAAAAAAAwFAABkcnMvZG93bnJldi54bWxQSwUGAAAAAAQABADzAAAAGgYA&#10;AAAA&#10;" o:allowincell="f" filled="f" stroked="f" strokeweight=".5pt">
              <v:textbox inset=",0,20pt,0">
                <w:txbxContent>
                  <w:p w14:paraId="7E0587E9" w14:textId="2BAA1AE7" w:rsidR="00F052B2" w:rsidRPr="00F052B2" w:rsidRDefault="00F052B2" w:rsidP="00F052B2">
                    <w:pPr>
                      <w:jc w:val="right"/>
                      <w:rPr>
                        <w:rFonts w:cs="Calibri"/>
                        <w:color w:val="FF8939"/>
                        <w:sz w:val="44"/>
                      </w:rPr>
                    </w:pPr>
                  </w:p>
                </w:txbxContent>
              </v:textbox>
              <w10:wrap anchorx="page" anchory="page"/>
            </v:shape>
          </w:pict>
        </mc:Fallback>
      </mc:AlternateContent>
    </w:r>
    <w:r w:rsidR="006D0D8D" w:rsidRPr="00836F75">
      <w:rPr>
        <w:b/>
      </w:rPr>
      <w:fldChar w:fldCharType="begin"/>
    </w:r>
    <w:r w:rsidR="006D0D8D" w:rsidRPr="00836F75">
      <w:rPr>
        <w:b/>
      </w:rPr>
      <w:instrText xml:space="preserve"> PAGE   \* MERGEFORMAT </w:instrText>
    </w:r>
    <w:r w:rsidR="006D0D8D" w:rsidRPr="00836F75">
      <w:rPr>
        <w:b/>
      </w:rPr>
      <w:fldChar w:fldCharType="separate"/>
    </w:r>
    <w:r w:rsidR="006D0D8D" w:rsidRPr="00836F75">
      <w:rPr>
        <w:b/>
        <w:noProof/>
      </w:rPr>
      <w:t>1</w:t>
    </w:r>
    <w:r w:rsidR="006D0D8D" w:rsidRPr="00836F75">
      <w:rPr>
        <w:b/>
        <w:noProof/>
      </w:rPr>
      <w:fldChar w:fldCharType="end"/>
    </w:r>
    <w:bookmarkEnd w:id="7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E519" w14:textId="77777777" w:rsidR="00A973A1" w:rsidRDefault="00A97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0C53" w14:textId="77777777" w:rsidR="00D94B59" w:rsidRDefault="00D94B59" w:rsidP="00124A51">
      <w:r>
        <w:separator/>
      </w:r>
    </w:p>
    <w:p w14:paraId="6C10B4C0" w14:textId="77777777" w:rsidR="00D94B59" w:rsidRDefault="00D94B59"/>
  </w:footnote>
  <w:footnote w:type="continuationSeparator" w:id="0">
    <w:p w14:paraId="2424E3D7" w14:textId="77777777" w:rsidR="00D94B59" w:rsidRDefault="00D94B59" w:rsidP="00124A51">
      <w:r>
        <w:continuationSeparator/>
      </w:r>
    </w:p>
    <w:p w14:paraId="36458161" w14:textId="77777777" w:rsidR="00D94B59" w:rsidRDefault="00D94B59"/>
  </w:footnote>
  <w:footnote w:type="continuationNotice" w:id="1">
    <w:p w14:paraId="2D4DF5ED" w14:textId="77777777" w:rsidR="00D94B59" w:rsidRDefault="00D94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59FB" w14:textId="77777777" w:rsidR="00A973A1" w:rsidRDefault="00A97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3A2A" w14:textId="62A28774" w:rsidR="006D0D8D" w:rsidRPr="00056684" w:rsidRDefault="00672631" w:rsidP="003436D4">
    <w:pPr>
      <w:pStyle w:val="Header"/>
      <w:keepNext/>
      <w:ind w:left="360"/>
      <w:jc w:val="center"/>
      <w:rPr>
        <w:rFonts w:asciiTheme="minorHAnsi" w:hAnsiTheme="minorHAnsi"/>
        <w:i/>
        <w:color w:val="808080"/>
      </w:rPr>
    </w:pPr>
    <w:bookmarkStart w:id="70" w:name="_Hlk76375146"/>
    <w:r w:rsidRPr="00672631">
      <w:rPr>
        <w:rFonts w:asciiTheme="minorHAnsi" w:hAnsiTheme="minorHAnsi"/>
        <w:i/>
        <w:color w:val="808080"/>
      </w:rPr>
      <w:t xml:space="preserve">Public Summary Document </w:t>
    </w:r>
    <w:r w:rsidR="006D0D8D" w:rsidRPr="00056684">
      <w:rPr>
        <w:rFonts w:asciiTheme="minorHAnsi" w:hAnsiTheme="minorHAnsi"/>
        <w:i/>
        <w:color w:val="808080"/>
      </w:rPr>
      <w:t xml:space="preserve">– </w:t>
    </w:r>
    <w:r w:rsidR="006D0D8D">
      <w:rPr>
        <w:rFonts w:asciiTheme="minorHAnsi" w:hAnsiTheme="minorHAnsi"/>
        <w:i/>
        <w:color w:val="808080"/>
      </w:rPr>
      <w:t>July 2022</w:t>
    </w:r>
    <w:r w:rsidR="006D0D8D" w:rsidRPr="00056684">
      <w:rPr>
        <w:rFonts w:asciiTheme="minorHAnsi" w:hAnsiTheme="minorHAnsi"/>
        <w:i/>
        <w:color w:val="808080"/>
      </w:rPr>
      <w:t xml:space="preserve"> PBAC Meeting</w:t>
    </w:r>
  </w:p>
  <w:bookmarkEnd w:id="70"/>
  <w:p w14:paraId="5E83BD6D" w14:textId="6E4FDDD2" w:rsidR="006D0D8D" w:rsidRDefault="006D0D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605D" w14:textId="77777777" w:rsidR="00A973A1" w:rsidRDefault="00A9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A1526D"/>
    <w:multiLevelType w:val="hybridMultilevel"/>
    <w:tmpl w:val="B95C92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6080FAC"/>
    <w:multiLevelType w:val="hybridMultilevel"/>
    <w:tmpl w:val="EA4E4584"/>
    <w:lvl w:ilvl="0" w:tplc="419088E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44DD2"/>
    <w:multiLevelType w:val="hybridMultilevel"/>
    <w:tmpl w:val="67580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DB0319"/>
    <w:multiLevelType w:val="hybridMultilevel"/>
    <w:tmpl w:val="09160C2C"/>
    <w:lvl w:ilvl="0" w:tplc="4EB04FD4">
      <w:start w:val="118"/>
      <w:numFmt w:val="bullet"/>
      <w:lvlText w:val="•"/>
      <w:lvlJc w:val="left"/>
      <w:pPr>
        <w:ind w:left="916" w:hanging="360"/>
      </w:pPr>
      <w:rPr>
        <w:rFonts w:ascii="Calibri" w:eastAsia="Times New Roman" w:hAnsi="Calibri" w:cs="Calibri" w:hint="default"/>
      </w:rPr>
    </w:lvl>
    <w:lvl w:ilvl="1" w:tplc="0C090003" w:tentative="1">
      <w:start w:val="1"/>
      <w:numFmt w:val="bullet"/>
      <w:lvlText w:val="o"/>
      <w:lvlJc w:val="left"/>
      <w:pPr>
        <w:ind w:left="1636" w:hanging="360"/>
      </w:pPr>
      <w:rPr>
        <w:rFonts w:ascii="Courier New" w:hAnsi="Courier New" w:cs="Courier New" w:hint="default"/>
      </w:rPr>
    </w:lvl>
    <w:lvl w:ilvl="2" w:tplc="0C090005" w:tentative="1">
      <w:start w:val="1"/>
      <w:numFmt w:val="bullet"/>
      <w:lvlText w:val=""/>
      <w:lvlJc w:val="left"/>
      <w:pPr>
        <w:ind w:left="2356" w:hanging="360"/>
      </w:pPr>
      <w:rPr>
        <w:rFonts w:ascii="Wingdings" w:hAnsi="Wingdings" w:hint="default"/>
      </w:rPr>
    </w:lvl>
    <w:lvl w:ilvl="3" w:tplc="0C090001" w:tentative="1">
      <w:start w:val="1"/>
      <w:numFmt w:val="bullet"/>
      <w:lvlText w:val=""/>
      <w:lvlJc w:val="left"/>
      <w:pPr>
        <w:ind w:left="3076" w:hanging="360"/>
      </w:pPr>
      <w:rPr>
        <w:rFonts w:ascii="Symbol" w:hAnsi="Symbol" w:hint="default"/>
      </w:rPr>
    </w:lvl>
    <w:lvl w:ilvl="4" w:tplc="0C090003" w:tentative="1">
      <w:start w:val="1"/>
      <w:numFmt w:val="bullet"/>
      <w:lvlText w:val="o"/>
      <w:lvlJc w:val="left"/>
      <w:pPr>
        <w:ind w:left="3796" w:hanging="360"/>
      </w:pPr>
      <w:rPr>
        <w:rFonts w:ascii="Courier New" w:hAnsi="Courier New" w:cs="Courier New" w:hint="default"/>
      </w:rPr>
    </w:lvl>
    <w:lvl w:ilvl="5" w:tplc="0C090005" w:tentative="1">
      <w:start w:val="1"/>
      <w:numFmt w:val="bullet"/>
      <w:lvlText w:val=""/>
      <w:lvlJc w:val="left"/>
      <w:pPr>
        <w:ind w:left="4516" w:hanging="360"/>
      </w:pPr>
      <w:rPr>
        <w:rFonts w:ascii="Wingdings" w:hAnsi="Wingdings" w:hint="default"/>
      </w:rPr>
    </w:lvl>
    <w:lvl w:ilvl="6" w:tplc="0C090001" w:tentative="1">
      <w:start w:val="1"/>
      <w:numFmt w:val="bullet"/>
      <w:lvlText w:val=""/>
      <w:lvlJc w:val="left"/>
      <w:pPr>
        <w:ind w:left="5236" w:hanging="360"/>
      </w:pPr>
      <w:rPr>
        <w:rFonts w:ascii="Symbol" w:hAnsi="Symbol" w:hint="default"/>
      </w:rPr>
    </w:lvl>
    <w:lvl w:ilvl="7" w:tplc="0C090003" w:tentative="1">
      <w:start w:val="1"/>
      <w:numFmt w:val="bullet"/>
      <w:lvlText w:val="o"/>
      <w:lvlJc w:val="left"/>
      <w:pPr>
        <w:ind w:left="5956" w:hanging="360"/>
      </w:pPr>
      <w:rPr>
        <w:rFonts w:ascii="Courier New" w:hAnsi="Courier New" w:cs="Courier New" w:hint="default"/>
      </w:rPr>
    </w:lvl>
    <w:lvl w:ilvl="8" w:tplc="0C090005" w:tentative="1">
      <w:start w:val="1"/>
      <w:numFmt w:val="bullet"/>
      <w:lvlText w:val=""/>
      <w:lvlJc w:val="left"/>
      <w:pPr>
        <w:ind w:left="6676" w:hanging="360"/>
      </w:pPr>
      <w:rPr>
        <w:rFonts w:ascii="Wingdings" w:hAnsi="Wingdings" w:hint="default"/>
      </w:rPr>
    </w:lvl>
  </w:abstractNum>
  <w:abstractNum w:abstractNumId="8" w15:restartNumberingAfterBreak="0">
    <w:nsid w:val="18E366DD"/>
    <w:multiLevelType w:val="hybridMultilevel"/>
    <w:tmpl w:val="04CA1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DE7FEC"/>
    <w:multiLevelType w:val="hybridMultilevel"/>
    <w:tmpl w:val="62608A18"/>
    <w:lvl w:ilvl="0" w:tplc="4EC2C8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D87883"/>
    <w:multiLevelType w:val="hybridMultilevel"/>
    <w:tmpl w:val="0F8C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B22B53"/>
    <w:multiLevelType w:val="hybridMultilevel"/>
    <w:tmpl w:val="A6384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AC0E8A"/>
    <w:multiLevelType w:val="hybridMultilevel"/>
    <w:tmpl w:val="0568CF9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29A84B57"/>
    <w:multiLevelType w:val="hybridMultilevel"/>
    <w:tmpl w:val="99969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106172"/>
    <w:multiLevelType w:val="hybridMultilevel"/>
    <w:tmpl w:val="59A8E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034139"/>
    <w:multiLevelType w:val="hybridMultilevel"/>
    <w:tmpl w:val="E3AE511A"/>
    <w:lvl w:ilvl="0" w:tplc="C69E38BA">
      <w:start w:val="1"/>
      <w:numFmt w:val="bullet"/>
      <w:lvlText w:val="•"/>
      <w:lvlJc w:val="left"/>
      <w:pPr>
        <w:tabs>
          <w:tab w:val="num" w:pos="720"/>
        </w:tabs>
        <w:ind w:left="720" w:hanging="360"/>
      </w:pPr>
      <w:rPr>
        <w:rFonts w:ascii="Arial" w:hAnsi="Arial" w:hint="default"/>
      </w:rPr>
    </w:lvl>
    <w:lvl w:ilvl="1" w:tplc="A7D04E2A" w:tentative="1">
      <w:start w:val="1"/>
      <w:numFmt w:val="bullet"/>
      <w:lvlText w:val="•"/>
      <w:lvlJc w:val="left"/>
      <w:pPr>
        <w:tabs>
          <w:tab w:val="num" w:pos="1440"/>
        </w:tabs>
        <w:ind w:left="1440" w:hanging="360"/>
      </w:pPr>
      <w:rPr>
        <w:rFonts w:ascii="Arial" w:hAnsi="Arial" w:hint="default"/>
      </w:rPr>
    </w:lvl>
    <w:lvl w:ilvl="2" w:tplc="0030A6CC" w:tentative="1">
      <w:start w:val="1"/>
      <w:numFmt w:val="bullet"/>
      <w:lvlText w:val="•"/>
      <w:lvlJc w:val="left"/>
      <w:pPr>
        <w:tabs>
          <w:tab w:val="num" w:pos="2160"/>
        </w:tabs>
        <w:ind w:left="2160" w:hanging="360"/>
      </w:pPr>
      <w:rPr>
        <w:rFonts w:ascii="Arial" w:hAnsi="Arial" w:hint="default"/>
      </w:rPr>
    </w:lvl>
    <w:lvl w:ilvl="3" w:tplc="6D8874BC" w:tentative="1">
      <w:start w:val="1"/>
      <w:numFmt w:val="bullet"/>
      <w:lvlText w:val="•"/>
      <w:lvlJc w:val="left"/>
      <w:pPr>
        <w:tabs>
          <w:tab w:val="num" w:pos="2880"/>
        </w:tabs>
        <w:ind w:left="2880" w:hanging="360"/>
      </w:pPr>
      <w:rPr>
        <w:rFonts w:ascii="Arial" w:hAnsi="Arial" w:hint="default"/>
      </w:rPr>
    </w:lvl>
    <w:lvl w:ilvl="4" w:tplc="F438BD0A" w:tentative="1">
      <w:start w:val="1"/>
      <w:numFmt w:val="bullet"/>
      <w:lvlText w:val="•"/>
      <w:lvlJc w:val="left"/>
      <w:pPr>
        <w:tabs>
          <w:tab w:val="num" w:pos="3600"/>
        </w:tabs>
        <w:ind w:left="3600" w:hanging="360"/>
      </w:pPr>
      <w:rPr>
        <w:rFonts w:ascii="Arial" w:hAnsi="Arial" w:hint="default"/>
      </w:rPr>
    </w:lvl>
    <w:lvl w:ilvl="5" w:tplc="BAB405D6" w:tentative="1">
      <w:start w:val="1"/>
      <w:numFmt w:val="bullet"/>
      <w:lvlText w:val="•"/>
      <w:lvlJc w:val="left"/>
      <w:pPr>
        <w:tabs>
          <w:tab w:val="num" w:pos="4320"/>
        </w:tabs>
        <w:ind w:left="4320" w:hanging="360"/>
      </w:pPr>
      <w:rPr>
        <w:rFonts w:ascii="Arial" w:hAnsi="Arial" w:hint="default"/>
      </w:rPr>
    </w:lvl>
    <w:lvl w:ilvl="6" w:tplc="250216E6" w:tentative="1">
      <w:start w:val="1"/>
      <w:numFmt w:val="bullet"/>
      <w:lvlText w:val="•"/>
      <w:lvlJc w:val="left"/>
      <w:pPr>
        <w:tabs>
          <w:tab w:val="num" w:pos="5040"/>
        </w:tabs>
        <w:ind w:left="5040" w:hanging="360"/>
      </w:pPr>
      <w:rPr>
        <w:rFonts w:ascii="Arial" w:hAnsi="Arial" w:hint="default"/>
      </w:rPr>
    </w:lvl>
    <w:lvl w:ilvl="7" w:tplc="E14A73B6" w:tentative="1">
      <w:start w:val="1"/>
      <w:numFmt w:val="bullet"/>
      <w:lvlText w:val="•"/>
      <w:lvlJc w:val="left"/>
      <w:pPr>
        <w:tabs>
          <w:tab w:val="num" w:pos="5760"/>
        </w:tabs>
        <w:ind w:left="5760" w:hanging="360"/>
      </w:pPr>
      <w:rPr>
        <w:rFonts w:ascii="Arial" w:hAnsi="Arial" w:hint="default"/>
      </w:rPr>
    </w:lvl>
    <w:lvl w:ilvl="8" w:tplc="886293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B243EC"/>
    <w:multiLevelType w:val="hybridMultilevel"/>
    <w:tmpl w:val="0C685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1F356F"/>
    <w:multiLevelType w:val="hybridMultilevel"/>
    <w:tmpl w:val="5400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037044"/>
    <w:multiLevelType w:val="hybridMultilevel"/>
    <w:tmpl w:val="43847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3E5051"/>
    <w:multiLevelType w:val="hybridMultilevel"/>
    <w:tmpl w:val="0790718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857B8"/>
    <w:multiLevelType w:val="hybridMultilevel"/>
    <w:tmpl w:val="0ADCED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B64FA1"/>
    <w:multiLevelType w:val="hybridMultilevel"/>
    <w:tmpl w:val="586EDB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FF5DC3"/>
    <w:multiLevelType w:val="hybridMultilevel"/>
    <w:tmpl w:val="B69A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416E2D"/>
    <w:multiLevelType w:val="hybridMultilevel"/>
    <w:tmpl w:val="3F38967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1902D60"/>
    <w:multiLevelType w:val="multilevel"/>
    <w:tmpl w:val="DC60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22442"/>
    <w:multiLevelType w:val="hybridMultilevel"/>
    <w:tmpl w:val="E3E8E3B8"/>
    <w:lvl w:ilvl="0" w:tplc="9F54C19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C3675A"/>
    <w:multiLevelType w:val="multilevel"/>
    <w:tmpl w:val="10C015FC"/>
    <w:styleLink w:val="PBACstandardnumberstyle"/>
    <w:lvl w:ilvl="0">
      <w:start w:val="1"/>
      <w:numFmt w:val="upperLetter"/>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134"/>
        </w:tabs>
        <w:ind w:left="1134" w:hanging="1134"/>
      </w:pPr>
      <w:rPr>
        <w:rFonts w:hint="default"/>
      </w:rPr>
    </w:lvl>
    <w:lvl w:ilvl="5">
      <w:start w:val="1"/>
      <w:numFmt w:val="lowerRoman"/>
      <w:lvlText w:val="(%6)"/>
      <w:lvlJc w:val="lef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abstractNum w:abstractNumId="3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6E0D0C"/>
    <w:multiLevelType w:val="hybridMultilevel"/>
    <w:tmpl w:val="D1EA7A42"/>
    <w:lvl w:ilvl="0" w:tplc="0C090001">
      <w:start w:val="1"/>
      <w:numFmt w:val="bullet"/>
      <w:lvlText w:val=""/>
      <w:lvlJc w:val="left"/>
      <w:pPr>
        <w:ind w:left="720" w:hanging="360"/>
      </w:pPr>
      <w:rPr>
        <w:rFonts w:ascii="Symbol" w:hAnsi="Symbol" w:hint="default"/>
      </w:rPr>
    </w:lvl>
    <w:lvl w:ilvl="1" w:tplc="9B8CD30A">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A04B6A"/>
    <w:multiLevelType w:val="hybridMultilevel"/>
    <w:tmpl w:val="BCCEC0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7B3542C"/>
    <w:multiLevelType w:val="hybridMultilevel"/>
    <w:tmpl w:val="4B56AB4E"/>
    <w:lvl w:ilvl="0" w:tplc="5AA6ECF8">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4D033C"/>
    <w:multiLevelType w:val="multilevel"/>
    <w:tmpl w:val="2786CDE0"/>
    <w:lvl w:ilvl="0">
      <w:start w:val="1"/>
      <w:numFmt w:val="decimal"/>
      <w:pStyle w:val="2-SectionHeading"/>
      <w:lvlText w:val="%1"/>
      <w:lvlJc w:val="left"/>
      <w:pPr>
        <w:ind w:left="720" w:hanging="720"/>
      </w:pPr>
      <w:rPr>
        <w:rFonts w:hint="default"/>
        <w:b/>
        <w:i w:val="0"/>
        <w:iCs w:val="0"/>
      </w:rPr>
    </w:lvl>
    <w:lvl w:ilvl="1">
      <w:start w:val="1"/>
      <w:numFmt w:val="decimal"/>
      <w:pStyle w:val="ExecSum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893430"/>
    <w:multiLevelType w:val="hybridMultilevel"/>
    <w:tmpl w:val="9F48FEC6"/>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3" w15:restartNumberingAfterBreak="0">
    <w:nsid w:val="7F53672A"/>
    <w:multiLevelType w:val="hybridMultilevel"/>
    <w:tmpl w:val="B254B4F6"/>
    <w:lvl w:ilvl="0" w:tplc="D298D1FC">
      <w:start w:val="1"/>
      <w:numFmt w:val="decimal"/>
      <w:lvlText w:val="%1."/>
      <w:lvlJc w:val="left"/>
      <w:pPr>
        <w:ind w:left="829" w:hanging="360"/>
      </w:pPr>
      <w:rPr>
        <w:i w:val="0"/>
        <w:iCs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44" w15:restartNumberingAfterBreak="0">
    <w:nsid w:val="7FBB7C94"/>
    <w:multiLevelType w:val="hybridMultilevel"/>
    <w:tmpl w:val="15F4BAB6"/>
    <w:lvl w:ilvl="0" w:tplc="4D40F644">
      <w:start w:val="1"/>
      <w:numFmt w:val="bullet"/>
      <w:lvlText w:val="•"/>
      <w:lvlJc w:val="left"/>
      <w:pPr>
        <w:tabs>
          <w:tab w:val="num" w:pos="720"/>
        </w:tabs>
        <w:ind w:left="720" w:hanging="360"/>
      </w:pPr>
      <w:rPr>
        <w:rFonts w:ascii="Arial" w:hAnsi="Arial" w:hint="default"/>
      </w:rPr>
    </w:lvl>
    <w:lvl w:ilvl="1" w:tplc="2AD0F35A" w:tentative="1">
      <w:start w:val="1"/>
      <w:numFmt w:val="bullet"/>
      <w:lvlText w:val="•"/>
      <w:lvlJc w:val="left"/>
      <w:pPr>
        <w:tabs>
          <w:tab w:val="num" w:pos="1440"/>
        </w:tabs>
        <w:ind w:left="1440" w:hanging="360"/>
      </w:pPr>
      <w:rPr>
        <w:rFonts w:ascii="Arial" w:hAnsi="Arial" w:hint="default"/>
      </w:rPr>
    </w:lvl>
    <w:lvl w:ilvl="2" w:tplc="633A31B4" w:tentative="1">
      <w:start w:val="1"/>
      <w:numFmt w:val="bullet"/>
      <w:lvlText w:val="•"/>
      <w:lvlJc w:val="left"/>
      <w:pPr>
        <w:tabs>
          <w:tab w:val="num" w:pos="2160"/>
        </w:tabs>
        <w:ind w:left="2160" w:hanging="360"/>
      </w:pPr>
      <w:rPr>
        <w:rFonts w:ascii="Arial" w:hAnsi="Arial" w:hint="default"/>
      </w:rPr>
    </w:lvl>
    <w:lvl w:ilvl="3" w:tplc="4D3C7620" w:tentative="1">
      <w:start w:val="1"/>
      <w:numFmt w:val="bullet"/>
      <w:lvlText w:val="•"/>
      <w:lvlJc w:val="left"/>
      <w:pPr>
        <w:tabs>
          <w:tab w:val="num" w:pos="2880"/>
        </w:tabs>
        <w:ind w:left="2880" w:hanging="360"/>
      </w:pPr>
      <w:rPr>
        <w:rFonts w:ascii="Arial" w:hAnsi="Arial" w:hint="default"/>
      </w:rPr>
    </w:lvl>
    <w:lvl w:ilvl="4" w:tplc="26FE3B28" w:tentative="1">
      <w:start w:val="1"/>
      <w:numFmt w:val="bullet"/>
      <w:lvlText w:val="•"/>
      <w:lvlJc w:val="left"/>
      <w:pPr>
        <w:tabs>
          <w:tab w:val="num" w:pos="3600"/>
        </w:tabs>
        <w:ind w:left="3600" w:hanging="360"/>
      </w:pPr>
      <w:rPr>
        <w:rFonts w:ascii="Arial" w:hAnsi="Arial" w:hint="default"/>
      </w:rPr>
    </w:lvl>
    <w:lvl w:ilvl="5" w:tplc="F6F2699C" w:tentative="1">
      <w:start w:val="1"/>
      <w:numFmt w:val="bullet"/>
      <w:lvlText w:val="•"/>
      <w:lvlJc w:val="left"/>
      <w:pPr>
        <w:tabs>
          <w:tab w:val="num" w:pos="4320"/>
        </w:tabs>
        <w:ind w:left="4320" w:hanging="360"/>
      </w:pPr>
      <w:rPr>
        <w:rFonts w:ascii="Arial" w:hAnsi="Arial" w:hint="default"/>
      </w:rPr>
    </w:lvl>
    <w:lvl w:ilvl="6" w:tplc="048CAAE4" w:tentative="1">
      <w:start w:val="1"/>
      <w:numFmt w:val="bullet"/>
      <w:lvlText w:val="•"/>
      <w:lvlJc w:val="left"/>
      <w:pPr>
        <w:tabs>
          <w:tab w:val="num" w:pos="5040"/>
        </w:tabs>
        <w:ind w:left="5040" w:hanging="360"/>
      </w:pPr>
      <w:rPr>
        <w:rFonts w:ascii="Arial" w:hAnsi="Arial" w:hint="default"/>
      </w:rPr>
    </w:lvl>
    <w:lvl w:ilvl="7" w:tplc="7604DAAE" w:tentative="1">
      <w:start w:val="1"/>
      <w:numFmt w:val="bullet"/>
      <w:lvlText w:val="•"/>
      <w:lvlJc w:val="left"/>
      <w:pPr>
        <w:tabs>
          <w:tab w:val="num" w:pos="5760"/>
        </w:tabs>
        <w:ind w:left="5760" w:hanging="360"/>
      </w:pPr>
      <w:rPr>
        <w:rFonts w:ascii="Arial" w:hAnsi="Arial" w:hint="default"/>
      </w:rPr>
    </w:lvl>
    <w:lvl w:ilvl="8" w:tplc="FFD2C6FE" w:tentative="1">
      <w:start w:val="1"/>
      <w:numFmt w:val="bullet"/>
      <w:lvlText w:val="•"/>
      <w:lvlJc w:val="left"/>
      <w:pPr>
        <w:tabs>
          <w:tab w:val="num" w:pos="6480"/>
        </w:tabs>
        <w:ind w:left="6480" w:hanging="360"/>
      </w:pPr>
      <w:rPr>
        <w:rFonts w:ascii="Arial" w:hAnsi="Arial" w:hint="default"/>
      </w:rPr>
    </w:lvl>
  </w:abstractNum>
  <w:num w:numId="1">
    <w:abstractNumId w:val="41"/>
  </w:num>
  <w:num w:numId="2">
    <w:abstractNumId w:val="26"/>
  </w:num>
  <w:num w:numId="3">
    <w:abstractNumId w:val="0"/>
  </w:num>
  <w:num w:numId="4">
    <w:abstractNumId w:val="41"/>
  </w:num>
  <w:num w:numId="5">
    <w:abstractNumId w:val="16"/>
  </w:num>
  <w:num w:numId="6">
    <w:abstractNumId w:val="42"/>
  </w:num>
  <w:num w:numId="7">
    <w:abstractNumId w:val="32"/>
  </w:num>
  <w:num w:numId="8">
    <w:abstractNumId w:val="40"/>
  </w:num>
  <w:num w:numId="9">
    <w:abstractNumId w:val="43"/>
  </w:num>
  <w:num w:numId="10">
    <w:abstractNumId w:val="10"/>
  </w:num>
  <w:num w:numId="11">
    <w:abstractNumId w:val="35"/>
  </w:num>
  <w:num w:numId="12">
    <w:abstractNumId w:val="4"/>
  </w:num>
  <w:num w:numId="13">
    <w:abstractNumId w:val="30"/>
  </w:num>
  <w:num w:numId="14">
    <w:abstractNumId w:val="5"/>
  </w:num>
  <w:num w:numId="15">
    <w:abstractNumId w:val="1"/>
  </w:num>
  <w:num w:numId="16">
    <w:abstractNumId w:val="13"/>
  </w:num>
  <w:num w:numId="17">
    <w:abstractNumId w:val="17"/>
  </w:num>
  <w:num w:numId="18">
    <w:abstractNumId w:val="12"/>
  </w:num>
  <w:num w:numId="1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41"/>
  </w:num>
  <w:num w:numId="22">
    <w:abstractNumId w:val="33"/>
  </w:num>
  <w:num w:numId="23">
    <w:abstractNumId w:val="39"/>
  </w:num>
  <w:num w:numId="24">
    <w:abstractNumId w:val="44"/>
  </w:num>
  <w:num w:numId="25">
    <w:abstractNumId w:val="41"/>
  </w:num>
  <w:num w:numId="26">
    <w:abstractNumId w:val="19"/>
  </w:num>
  <w:num w:numId="27">
    <w:abstractNumId w:val="20"/>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1"/>
  </w:num>
  <w:num w:numId="31">
    <w:abstractNumId w:val="28"/>
  </w:num>
  <w:num w:numId="32">
    <w:abstractNumId w:val="23"/>
  </w:num>
  <w:num w:numId="33">
    <w:abstractNumId w:val="18"/>
  </w:num>
  <w:num w:numId="34">
    <w:abstractNumId w:val="38"/>
  </w:num>
  <w:num w:numId="35">
    <w:abstractNumId w:val="14"/>
  </w:num>
  <w:num w:numId="36">
    <w:abstractNumId w:val="31"/>
  </w:num>
  <w:num w:numId="37">
    <w:abstractNumId w:val="8"/>
  </w:num>
  <w:num w:numId="38">
    <w:abstractNumId w:val="22"/>
  </w:num>
  <w:num w:numId="39">
    <w:abstractNumId w:val="15"/>
  </w:num>
  <w:num w:numId="40">
    <w:abstractNumId w:val="9"/>
  </w:num>
  <w:num w:numId="41">
    <w:abstractNumId w:val="29"/>
  </w:num>
  <w:num w:numId="42">
    <w:abstractNumId w:val="7"/>
  </w:num>
  <w:num w:numId="43">
    <w:abstractNumId w:val="2"/>
  </w:num>
  <w:num w:numId="44">
    <w:abstractNumId w:val="27"/>
  </w:num>
  <w:num w:numId="45">
    <w:abstractNumId w:val="6"/>
  </w:num>
  <w:num w:numId="46">
    <w:abstractNumId w:val="34"/>
  </w:num>
  <w:num w:numId="47">
    <w:abstractNumId w:val="3"/>
  </w:num>
  <w:num w:numId="48">
    <w:abstractNumId w:val="24"/>
  </w:num>
  <w:num w:numId="49">
    <w:abstractNumId w:val="25"/>
  </w:num>
  <w:num w:numId="50">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582"/>
    <w:rsid w:val="00000790"/>
    <w:rsid w:val="00000CB1"/>
    <w:rsid w:val="0000110B"/>
    <w:rsid w:val="000012FD"/>
    <w:rsid w:val="00001796"/>
    <w:rsid w:val="000017D1"/>
    <w:rsid w:val="00001A8A"/>
    <w:rsid w:val="00002858"/>
    <w:rsid w:val="00002A08"/>
    <w:rsid w:val="00002F92"/>
    <w:rsid w:val="000032E2"/>
    <w:rsid w:val="00003499"/>
    <w:rsid w:val="000039B7"/>
    <w:rsid w:val="00003D21"/>
    <w:rsid w:val="00003E8A"/>
    <w:rsid w:val="00005E8F"/>
    <w:rsid w:val="00005F60"/>
    <w:rsid w:val="00006269"/>
    <w:rsid w:val="0000639A"/>
    <w:rsid w:val="000068B5"/>
    <w:rsid w:val="00006CFB"/>
    <w:rsid w:val="000100AE"/>
    <w:rsid w:val="00012168"/>
    <w:rsid w:val="00012561"/>
    <w:rsid w:val="00013247"/>
    <w:rsid w:val="0001330B"/>
    <w:rsid w:val="00014149"/>
    <w:rsid w:val="000146AA"/>
    <w:rsid w:val="00015621"/>
    <w:rsid w:val="0001587F"/>
    <w:rsid w:val="00015886"/>
    <w:rsid w:val="000159C5"/>
    <w:rsid w:val="00015ABD"/>
    <w:rsid w:val="000162EF"/>
    <w:rsid w:val="00016E84"/>
    <w:rsid w:val="0001740F"/>
    <w:rsid w:val="00017711"/>
    <w:rsid w:val="00017C1F"/>
    <w:rsid w:val="00020348"/>
    <w:rsid w:val="000207C9"/>
    <w:rsid w:val="00021FD4"/>
    <w:rsid w:val="0002225F"/>
    <w:rsid w:val="000222BC"/>
    <w:rsid w:val="00022FFE"/>
    <w:rsid w:val="00023763"/>
    <w:rsid w:val="000242F4"/>
    <w:rsid w:val="000244E7"/>
    <w:rsid w:val="00024BE0"/>
    <w:rsid w:val="00024C5E"/>
    <w:rsid w:val="00024D7F"/>
    <w:rsid w:val="00025611"/>
    <w:rsid w:val="000274B8"/>
    <w:rsid w:val="0003020A"/>
    <w:rsid w:val="00030BFF"/>
    <w:rsid w:val="00030D72"/>
    <w:rsid w:val="00031E07"/>
    <w:rsid w:val="000328AE"/>
    <w:rsid w:val="00032BC2"/>
    <w:rsid w:val="000332C5"/>
    <w:rsid w:val="00033863"/>
    <w:rsid w:val="000350D9"/>
    <w:rsid w:val="00035B62"/>
    <w:rsid w:val="00035D5E"/>
    <w:rsid w:val="00035DC0"/>
    <w:rsid w:val="00036357"/>
    <w:rsid w:val="00036829"/>
    <w:rsid w:val="00036D93"/>
    <w:rsid w:val="00037410"/>
    <w:rsid w:val="00037442"/>
    <w:rsid w:val="00037645"/>
    <w:rsid w:val="00040895"/>
    <w:rsid w:val="0004097B"/>
    <w:rsid w:val="0004144D"/>
    <w:rsid w:val="000435EE"/>
    <w:rsid w:val="0004373E"/>
    <w:rsid w:val="000437AF"/>
    <w:rsid w:val="00043C37"/>
    <w:rsid w:val="00045017"/>
    <w:rsid w:val="00045A2B"/>
    <w:rsid w:val="0004612E"/>
    <w:rsid w:val="0004698F"/>
    <w:rsid w:val="00047C16"/>
    <w:rsid w:val="000516DF"/>
    <w:rsid w:val="00051ECB"/>
    <w:rsid w:val="00052D6A"/>
    <w:rsid w:val="000539D0"/>
    <w:rsid w:val="00053F88"/>
    <w:rsid w:val="00054621"/>
    <w:rsid w:val="000546D7"/>
    <w:rsid w:val="00054D5E"/>
    <w:rsid w:val="00055BE0"/>
    <w:rsid w:val="00055DF6"/>
    <w:rsid w:val="000568E1"/>
    <w:rsid w:val="00056ECF"/>
    <w:rsid w:val="0006008C"/>
    <w:rsid w:val="000604DF"/>
    <w:rsid w:val="00060C87"/>
    <w:rsid w:val="00061B49"/>
    <w:rsid w:val="000620B5"/>
    <w:rsid w:val="00062364"/>
    <w:rsid w:val="00063E39"/>
    <w:rsid w:val="00064B57"/>
    <w:rsid w:val="000653B5"/>
    <w:rsid w:val="00066360"/>
    <w:rsid w:val="00066A6F"/>
    <w:rsid w:val="00066AF8"/>
    <w:rsid w:val="00066C6D"/>
    <w:rsid w:val="000674C0"/>
    <w:rsid w:val="00071248"/>
    <w:rsid w:val="00071CCF"/>
    <w:rsid w:val="000720B9"/>
    <w:rsid w:val="00072FAA"/>
    <w:rsid w:val="00073372"/>
    <w:rsid w:val="00073451"/>
    <w:rsid w:val="000737F7"/>
    <w:rsid w:val="00075315"/>
    <w:rsid w:val="000760B9"/>
    <w:rsid w:val="0007638F"/>
    <w:rsid w:val="000763C2"/>
    <w:rsid w:val="0007672F"/>
    <w:rsid w:val="00076B24"/>
    <w:rsid w:val="00076B54"/>
    <w:rsid w:val="00077170"/>
    <w:rsid w:val="000774F0"/>
    <w:rsid w:val="00077B98"/>
    <w:rsid w:val="00080909"/>
    <w:rsid w:val="000812CA"/>
    <w:rsid w:val="00081D02"/>
    <w:rsid w:val="00081D9A"/>
    <w:rsid w:val="00081E63"/>
    <w:rsid w:val="00081EC9"/>
    <w:rsid w:val="00082369"/>
    <w:rsid w:val="0008251D"/>
    <w:rsid w:val="0008258D"/>
    <w:rsid w:val="000828AC"/>
    <w:rsid w:val="00082A12"/>
    <w:rsid w:val="00083E99"/>
    <w:rsid w:val="00084D94"/>
    <w:rsid w:val="00084E96"/>
    <w:rsid w:val="00084FA8"/>
    <w:rsid w:val="00085471"/>
    <w:rsid w:val="000856C5"/>
    <w:rsid w:val="00085C31"/>
    <w:rsid w:val="0008694E"/>
    <w:rsid w:val="00086E80"/>
    <w:rsid w:val="000873EE"/>
    <w:rsid w:val="0008782D"/>
    <w:rsid w:val="00087CFE"/>
    <w:rsid w:val="000902D9"/>
    <w:rsid w:val="00090C7E"/>
    <w:rsid w:val="000922DE"/>
    <w:rsid w:val="000924A3"/>
    <w:rsid w:val="00092600"/>
    <w:rsid w:val="0009262B"/>
    <w:rsid w:val="00092CA8"/>
    <w:rsid w:val="00092D85"/>
    <w:rsid w:val="00093310"/>
    <w:rsid w:val="0009356E"/>
    <w:rsid w:val="000936CE"/>
    <w:rsid w:val="00094351"/>
    <w:rsid w:val="0009445C"/>
    <w:rsid w:val="00095200"/>
    <w:rsid w:val="00095B2F"/>
    <w:rsid w:val="00095F5B"/>
    <w:rsid w:val="00095FE5"/>
    <w:rsid w:val="00096284"/>
    <w:rsid w:val="00096930"/>
    <w:rsid w:val="000972A3"/>
    <w:rsid w:val="00097619"/>
    <w:rsid w:val="00097A85"/>
    <w:rsid w:val="000A04CD"/>
    <w:rsid w:val="000A0BA0"/>
    <w:rsid w:val="000A170E"/>
    <w:rsid w:val="000A17FC"/>
    <w:rsid w:val="000A1BC0"/>
    <w:rsid w:val="000A3E2F"/>
    <w:rsid w:val="000A4FBC"/>
    <w:rsid w:val="000A5D78"/>
    <w:rsid w:val="000A6039"/>
    <w:rsid w:val="000A7453"/>
    <w:rsid w:val="000A770D"/>
    <w:rsid w:val="000A7D08"/>
    <w:rsid w:val="000B0121"/>
    <w:rsid w:val="000B046F"/>
    <w:rsid w:val="000B0670"/>
    <w:rsid w:val="000B0E75"/>
    <w:rsid w:val="000B0EE2"/>
    <w:rsid w:val="000B15FD"/>
    <w:rsid w:val="000B18E5"/>
    <w:rsid w:val="000B1E64"/>
    <w:rsid w:val="000B2BE6"/>
    <w:rsid w:val="000B2DCB"/>
    <w:rsid w:val="000B3752"/>
    <w:rsid w:val="000B4C0B"/>
    <w:rsid w:val="000B52B4"/>
    <w:rsid w:val="000B5669"/>
    <w:rsid w:val="000B5B16"/>
    <w:rsid w:val="000B5CE0"/>
    <w:rsid w:val="000B6B70"/>
    <w:rsid w:val="000B6CAC"/>
    <w:rsid w:val="000B7612"/>
    <w:rsid w:val="000B78AE"/>
    <w:rsid w:val="000C0319"/>
    <w:rsid w:val="000C2810"/>
    <w:rsid w:val="000C28D5"/>
    <w:rsid w:val="000C3C2F"/>
    <w:rsid w:val="000C3DF9"/>
    <w:rsid w:val="000C436C"/>
    <w:rsid w:val="000C4584"/>
    <w:rsid w:val="000C4A5F"/>
    <w:rsid w:val="000C5D02"/>
    <w:rsid w:val="000C6713"/>
    <w:rsid w:val="000C6C0E"/>
    <w:rsid w:val="000C72EF"/>
    <w:rsid w:val="000C782D"/>
    <w:rsid w:val="000C7D97"/>
    <w:rsid w:val="000D055B"/>
    <w:rsid w:val="000D06D4"/>
    <w:rsid w:val="000D0D35"/>
    <w:rsid w:val="000D1BFC"/>
    <w:rsid w:val="000D1D5D"/>
    <w:rsid w:val="000D281A"/>
    <w:rsid w:val="000D2848"/>
    <w:rsid w:val="000D2F88"/>
    <w:rsid w:val="000D303B"/>
    <w:rsid w:val="000D326A"/>
    <w:rsid w:val="000D32BE"/>
    <w:rsid w:val="000D3F3E"/>
    <w:rsid w:val="000D4376"/>
    <w:rsid w:val="000D51FB"/>
    <w:rsid w:val="000D7433"/>
    <w:rsid w:val="000D784B"/>
    <w:rsid w:val="000E0189"/>
    <w:rsid w:val="000E0640"/>
    <w:rsid w:val="000E0BE1"/>
    <w:rsid w:val="000E0C24"/>
    <w:rsid w:val="000E135D"/>
    <w:rsid w:val="000E19DB"/>
    <w:rsid w:val="000E2354"/>
    <w:rsid w:val="000E252C"/>
    <w:rsid w:val="000E2829"/>
    <w:rsid w:val="000E47AC"/>
    <w:rsid w:val="000F00BA"/>
    <w:rsid w:val="000F152D"/>
    <w:rsid w:val="000F1DF2"/>
    <w:rsid w:val="000F30EC"/>
    <w:rsid w:val="000F316A"/>
    <w:rsid w:val="000F3C74"/>
    <w:rsid w:val="000F40B6"/>
    <w:rsid w:val="000F4A3A"/>
    <w:rsid w:val="000F4BB8"/>
    <w:rsid w:val="000F4FA9"/>
    <w:rsid w:val="000F53FB"/>
    <w:rsid w:val="000F5A29"/>
    <w:rsid w:val="000F678F"/>
    <w:rsid w:val="000F6A77"/>
    <w:rsid w:val="000F7127"/>
    <w:rsid w:val="000F7B54"/>
    <w:rsid w:val="000F7DBE"/>
    <w:rsid w:val="00100BC2"/>
    <w:rsid w:val="00100F8A"/>
    <w:rsid w:val="001028BA"/>
    <w:rsid w:val="001030B3"/>
    <w:rsid w:val="0010452E"/>
    <w:rsid w:val="00104786"/>
    <w:rsid w:val="00105689"/>
    <w:rsid w:val="00105A1F"/>
    <w:rsid w:val="00105AE2"/>
    <w:rsid w:val="001060C6"/>
    <w:rsid w:val="00106B80"/>
    <w:rsid w:val="001077B3"/>
    <w:rsid w:val="00107BD8"/>
    <w:rsid w:val="001100FF"/>
    <w:rsid w:val="0011032E"/>
    <w:rsid w:val="0011348B"/>
    <w:rsid w:val="00115982"/>
    <w:rsid w:val="00115F7D"/>
    <w:rsid w:val="001166E9"/>
    <w:rsid w:val="0011674E"/>
    <w:rsid w:val="00116C53"/>
    <w:rsid w:val="00116C8E"/>
    <w:rsid w:val="001202E0"/>
    <w:rsid w:val="00120B22"/>
    <w:rsid w:val="00121799"/>
    <w:rsid w:val="0012229A"/>
    <w:rsid w:val="001222FC"/>
    <w:rsid w:val="00122A16"/>
    <w:rsid w:val="00122E89"/>
    <w:rsid w:val="00122F17"/>
    <w:rsid w:val="001234FC"/>
    <w:rsid w:val="00123902"/>
    <w:rsid w:val="00124A51"/>
    <w:rsid w:val="00125F18"/>
    <w:rsid w:val="00126621"/>
    <w:rsid w:val="001268AD"/>
    <w:rsid w:val="00126B1D"/>
    <w:rsid w:val="0013012D"/>
    <w:rsid w:val="0013018B"/>
    <w:rsid w:val="001301E9"/>
    <w:rsid w:val="00130C9A"/>
    <w:rsid w:val="00130EDC"/>
    <w:rsid w:val="0013116D"/>
    <w:rsid w:val="00131D82"/>
    <w:rsid w:val="00132B22"/>
    <w:rsid w:val="00132CBA"/>
    <w:rsid w:val="0013308A"/>
    <w:rsid w:val="00133C7F"/>
    <w:rsid w:val="00133D36"/>
    <w:rsid w:val="00133D62"/>
    <w:rsid w:val="00134A1D"/>
    <w:rsid w:val="001359BF"/>
    <w:rsid w:val="0013606F"/>
    <w:rsid w:val="0013658E"/>
    <w:rsid w:val="001375E2"/>
    <w:rsid w:val="00137645"/>
    <w:rsid w:val="0014015A"/>
    <w:rsid w:val="001408AF"/>
    <w:rsid w:val="00140E99"/>
    <w:rsid w:val="00141C91"/>
    <w:rsid w:val="001423CD"/>
    <w:rsid w:val="001425E4"/>
    <w:rsid w:val="0014336B"/>
    <w:rsid w:val="00143F67"/>
    <w:rsid w:val="00144567"/>
    <w:rsid w:val="00144B5F"/>
    <w:rsid w:val="0014504D"/>
    <w:rsid w:val="00145540"/>
    <w:rsid w:val="001456B0"/>
    <w:rsid w:val="001457F1"/>
    <w:rsid w:val="0014612D"/>
    <w:rsid w:val="0015235F"/>
    <w:rsid w:val="0015275C"/>
    <w:rsid w:val="00153774"/>
    <w:rsid w:val="00153D0C"/>
    <w:rsid w:val="00153D71"/>
    <w:rsid w:val="00154D3F"/>
    <w:rsid w:val="00154F42"/>
    <w:rsid w:val="001550DF"/>
    <w:rsid w:val="00156F8F"/>
    <w:rsid w:val="00157130"/>
    <w:rsid w:val="001576B1"/>
    <w:rsid w:val="001578B7"/>
    <w:rsid w:val="00157B0C"/>
    <w:rsid w:val="0016047B"/>
    <w:rsid w:val="001608E6"/>
    <w:rsid w:val="00160A4C"/>
    <w:rsid w:val="001617E7"/>
    <w:rsid w:val="00161A4A"/>
    <w:rsid w:val="00162913"/>
    <w:rsid w:val="00163EFF"/>
    <w:rsid w:val="00163F66"/>
    <w:rsid w:val="0016402B"/>
    <w:rsid w:val="00164837"/>
    <w:rsid w:val="00165771"/>
    <w:rsid w:val="00165DB6"/>
    <w:rsid w:val="001661FB"/>
    <w:rsid w:val="001667B6"/>
    <w:rsid w:val="00166C1D"/>
    <w:rsid w:val="00166DA1"/>
    <w:rsid w:val="001671A0"/>
    <w:rsid w:val="0016767F"/>
    <w:rsid w:val="00167B4D"/>
    <w:rsid w:val="00170992"/>
    <w:rsid w:val="00171420"/>
    <w:rsid w:val="00171518"/>
    <w:rsid w:val="00171EE6"/>
    <w:rsid w:val="00172607"/>
    <w:rsid w:val="00172B3B"/>
    <w:rsid w:val="00173565"/>
    <w:rsid w:val="00173B07"/>
    <w:rsid w:val="00173BD9"/>
    <w:rsid w:val="001740EB"/>
    <w:rsid w:val="00174D60"/>
    <w:rsid w:val="00174F65"/>
    <w:rsid w:val="00175053"/>
    <w:rsid w:val="001751FA"/>
    <w:rsid w:val="0017670A"/>
    <w:rsid w:val="001770CC"/>
    <w:rsid w:val="00177267"/>
    <w:rsid w:val="00180577"/>
    <w:rsid w:val="00181D9C"/>
    <w:rsid w:val="00181E2D"/>
    <w:rsid w:val="00182458"/>
    <w:rsid w:val="00182AD9"/>
    <w:rsid w:val="00183802"/>
    <w:rsid w:val="00183FD1"/>
    <w:rsid w:val="00184B0E"/>
    <w:rsid w:val="00184CA9"/>
    <w:rsid w:val="001851EF"/>
    <w:rsid w:val="001852F8"/>
    <w:rsid w:val="00186515"/>
    <w:rsid w:val="0018683B"/>
    <w:rsid w:val="0018752F"/>
    <w:rsid w:val="0018755D"/>
    <w:rsid w:val="00190058"/>
    <w:rsid w:val="0019042B"/>
    <w:rsid w:val="00190A61"/>
    <w:rsid w:val="00190C36"/>
    <w:rsid w:val="00192D2B"/>
    <w:rsid w:val="00192F1B"/>
    <w:rsid w:val="00193838"/>
    <w:rsid w:val="00194072"/>
    <w:rsid w:val="00194AD8"/>
    <w:rsid w:val="00194C9D"/>
    <w:rsid w:val="00194F87"/>
    <w:rsid w:val="00195173"/>
    <w:rsid w:val="00195222"/>
    <w:rsid w:val="00195BC7"/>
    <w:rsid w:val="0019605F"/>
    <w:rsid w:val="0019610E"/>
    <w:rsid w:val="00196432"/>
    <w:rsid w:val="0019679A"/>
    <w:rsid w:val="001967B4"/>
    <w:rsid w:val="001975D8"/>
    <w:rsid w:val="001A023C"/>
    <w:rsid w:val="001A178E"/>
    <w:rsid w:val="001A1905"/>
    <w:rsid w:val="001A1E2C"/>
    <w:rsid w:val="001A24ED"/>
    <w:rsid w:val="001A26B5"/>
    <w:rsid w:val="001A2F96"/>
    <w:rsid w:val="001A3991"/>
    <w:rsid w:val="001A43FA"/>
    <w:rsid w:val="001A47C5"/>
    <w:rsid w:val="001A48EC"/>
    <w:rsid w:val="001A4902"/>
    <w:rsid w:val="001A4BC9"/>
    <w:rsid w:val="001A4CF5"/>
    <w:rsid w:val="001A59FB"/>
    <w:rsid w:val="001A5C4D"/>
    <w:rsid w:val="001A5E9E"/>
    <w:rsid w:val="001A604E"/>
    <w:rsid w:val="001A6354"/>
    <w:rsid w:val="001A6366"/>
    <w:rsid w:val="001A7AA1"/>
    <w:rsid w:val="001A7AE8"/>
    <w:rsid w:val="001B0BBF"/>
    <w:rsid w:val="001B0EBF"/>
    <w:rsid w:val="001B1F56"/>
    <w:rsid w:val="001B204E"/>
    <w:rsid w:val="001B2372"/>
    <w:rsid w:val="001B2A4C"/>
    <w:rsid w:val="001B3443"/>
    <w:rsid w:val="001B396C"/>
    <w:rsid w:val="001B425A"/>
    <w:rsid w:val="001B4D20"/>
    <w:rsid w:val="001B5180"/>
    <w:rsid w:val="001B73AA"/>
    <w:rsid w:val="001B7D1E"/>
    <w:rsid w:val="001C08B4"/>
    <w:rsid w:val="001C116E"/>
    <w:rsid w:val="001C289D"/>
    <w:rsid w:val="001C2A46"/>
    <w:rsid w:val="001C2A9B"/>
    <w:rsid w:val="001C3417"/>
    <w:rsid w:val="001C4299"/>
    <w:rsid w:val="001C4874"/>
    <w:rsid w:val="001C497E"/>
    <w:rsid w:val="001C4AC1"/>
    <w:rsid w:val="001C50AE"/>
    <w:rsid w:val="001C5BA5"/>
    <w:rsid w:val="001C5F94"/>
    <w:rsid w:val="001C6E66"/>
    <w:rsid w:val="001C772D"/>
    <w:rsid w:val="001C7E76"/>
    <w:rsid w:val="001D020E"/>
    <w:rsid w:val="001D082B"/>
    <w:rsid w:val="001D0F2B"/>
    <w:rsid w:val="001D1100"/>
    <w:rsid w:val="001D1391"/>
    <w:rsid w:val="001D171D"/>
    <w:rsid w:val="001D25D7"/>
    <w:rsid w:val="001D25E2"/>
    <w:rsid w:val="001D30F4"/>
    <w:rsid w:val="001D32D2"/>
    <w:rsid w:val="001D35B0"/>
    <w:rsid w:val="001D4182"/>
    <w:rsid w:val="001D50B2"/>
    <w:rsid w:val="001D5547"/>
    <w:rsid w:val="001D5810"/>
    <w:rsid w:val="001D6353"/>
    <w:rsid w:val="001D7645"/>
    <w:rsid w:val="001D7A40"/>
    <w:rsid w:val="001E0279"/>
    <w:rsid w:val="001E1E86"/>
    <w:rsid w:val="001E2115"/>
    <w:rsid w:val="001E238E"/>
    <w:rsid w:val="001E2483"/>
    <w:rsid w:val="001E2B1E"/>
    <w:rsid w:val="001E2CFF"/>
    <w:rsid w:val="001E2F24"/>
    <w:rsid w:val="001E30D4"/>
    <w:rsid w:val="001E34DF"/>
    <w:rsid w:val="001E46D9"/>
    <w:rsid w:val="001E49F3"/>
    <w:rsid w:val="001E52EB"/>
    <w:rsid w:val="001E5EDC"/>
    <w:rsid w:val="001E5F4A"/>
    <w:rsid w:val="001E61D2"/>
    <w:rsid w:val="001E740C"/>
    <w:rsid w:val="001E749E"/>
    <w:rsid w:val="001E7AC3"/>
    <w:rsid w:val="001E7AE6"/>
    <w:rsid w:val="001E7C3B"/>
    <w:rsid w:val="001E7DB3"/>
    <w:rsid w:val="001F1235"/>
    <w:rsid w:val="001F1CB3"/>
    <w:rsid w:val="001F223E"/>
    <w:rsid w:val="001F2FBF"/>
    <w:rsid w:val="001F331B"/>
    <w:rsid w:val="001F35DD"/>
    <w:rsid w:val="001F38B5"/>
    <w:rsid w:val="001F3C95"/>
    <w:rsid w:val="001F3E0D"/>
    <w:rsid w:val="001F4081"/>
    <w:rsid w:val="001F4295"/>
    <w:rsid w:val="001F714B"/>
    <w:rsid w:val="001F7361"/>
    <w:rsid w:val="001F7772"/>
    <w:rsid w:val="00200EF8"/>
    <w:rsid w:val="002011B0"/>
    <w:rsid w:val="00203181"/>
    <w:rsid w:val="0020322A"/>
    <w:rsid w:val="00203783"/>
    <w:rsid w:val="0020385F"/>
    <w:rsid w:val="00203B85"/>
    <w:rsid w:val="00206350"/>
    <w:rsid w:val="002068A0"/>
    <w:rsid w:val="00207021"/>
    <w:rsid w:val="0020732F"/>
    <w:rsid w:val="00207B16"/>
    <w:rsid w:val="00207D00"/>
    <w:rsid w:val="00207D97"/>
    <w:rsid w:val="002105C1"/>
    <w:rsid w:val="00210BA5"/>
    <w:rsid w:val="002116D7"/>
    <w:rsid w:val="00211907"/>
    <w:rsid w:val="00211F11"/>
    <w:rsid w:val="00213005"/>
    <w:rsid w:val="00213573"/>
    <w:rsid w:val="00213EF5"/>
    <w:rsid w:val="00213F03"/>
    <w:rsid w:val="00215110"/>
    <w:rsid w:val="00215EC6"/>
    <w:rsid w:val="0021626F"/>
    <w:rsid w:val="00216BF5"/>
    <w:rsid w:val="00216D8E"/>
    <w:rsid w:val="002176B6"/>
    <w:rsid w:val="00221C22"/>
    <w:rsid w:val="00222D81"/>
    <w:rsid w:val="00222E30"/>
    <w:rsid w:val="0022357F"/>
    <w:rsid w:val="00223B49"/>
    <w:rsid w:val="00223D5A"/>
    <w:rsid w:val="00224DD4"/>
    <w:rsid w:val="00225929"/>
    <w:rsid w:val="00225D08"/>
    <w:rsid w:val="002278A0"/>
    <w:rsid w:val="002301BB"/>
    <w:rsid w:val="002309CC"/>
    <w:rsid w:val="00230DB1"/>
    <w:rsid w:val="00231B38"/>
    <w:rsid w:val="00231BCA"/>
    <w:rsid w:val="0023209F"/>
    <w:rsid w:val="00232C75"/>
    <w:rsid w:val="00232EB9"/>
    <w:rsid w:val="0023300A"/>
    <w:rsid w:val="00233C01"/>
    <w:rsid w:val="0023413C"/>
    <w:rsid w:val="002346F0"/>
    <w:rsid w:val="002351D4"/>
    <w:rsid w:val="0023629D"/>
    <w:rsid w:val="00236F01"/>
    <w:rsid w:val="002371B6"/>
    <w:rsid w:val="00237255"/>
    <w:rsid w:val="00237A36"/>
    <w:rsid w:val="002402F6"/>
    <w:rsid w:val="0024123F"/>
    <w:rsid w:val="00241801"/>
    <w:rsid w:val="0024236B"/>
    <w:rsid w:val="002424AF"/>
    <w:rsid w:val="00242DB0"/>
    <w:rsid w:val="00243499"/>
    <w:rsid w:val="0024381C"/>
    <w:rsid w:val="002439DC"/>
    <w:rsid w:val="002441D2"/>
    <w:rsid w:val="002443A9"/>
    <w:rsid w:val="0024495C"/>
    <w:rsid w:val="00244DC8"/>
    <w:rsid w:val="002458BA"/>
    <w:rsid w:val="00245CE9"/>
    <w:rsid w:val="00245DBB"/>
    <w:rsid w:val="00245FE8"/>
    <w:rsid w:val="0024636C"/>
    <w:rsid w:val="002467DD"/>
    <w:rsid w:val="00247925"/>
    <w:rsid w:val="00250601"/>
    <w:rsid w:val="00250B01"/>
    <w:rsid w:val="00251006"/>
    <w:rsid w:val="002524D5"/>
    <w:rsid w:val="00253AAD"/>
    <w:rsid w:val="00253B1D"/>
    <w:rsid w:val="002545D5"/>
    <w:rsid w:val="00254998"/>
    <w:rsid w:val="00254DCF"/>
    <w:rsid w:val="00254E06"/>
    <w:rsid w:val="0025534B"/>
    <w:rsid w:val="0025535C"/>
    <w:rsid w:val="002556BA"/>
    <w:rsid w:val="00255BB7"/>
    <w:rsid w:val="00256150"/>
    <w:rsid w:val="002564A1"/>
    <w:rsid w:val="0025720D"/>
    <w:rsid w:val="00257541"/>
    <w:rsid w:val="00257A39"/>
    <w:rsid w:val="00257A77"/>
    <w:rsid w:val="00257AC4"/>
    <w:rsid w:val="002616ED"/>
    <w:rsid w:val="00261818"/>
    <w:rsid w:val="00261C59"/>
    <w:rsid w:val="00261EEF"/>
    <w:rsid w:val="00262251"/>
    <w:rsid w:val="00262A1A"/>
    <w:rsid w:val="00262A87"/>
    <w:rsid w:val="002630EA"/>
    <w:rsid w:val="00264D26"/>
    <w:rsid w:val="002650C6"/>
    <w:rsid w:val="00267642"/>
    <w:rsid w:val="00267A9C"/>
    <w:rsid w:val="00267AEA"/>
    <w:rsid w:val="002700E6"/>
    <w:rsid w:val="002702B9"/>
    <w:rsid w:val="00270B9F"/>
    <w:rsid w:val="002718A5"/>
    <w:rsid w:val="002721DA"/>
    <w:rsid w:val="00272691"/>
    <w:rsid w:val="0027294B"/>
    <w:rsid w:val="002732CD"/>
    <w:rsid w:val="002739D0"/>
    <w:rsid w:val="00273EB4"/>
    <w:rsid w:val="0027433E"/>
    <w:rsid w:val="00274682"/>
    <w:rsid w:val="0027538B"/>
    <w:rsid w:val="00275847"/>
    <w:rsid w:val="00275B85"/>
    <w:rsid w:val="00275C5A"/>
    <w:rsid w:val="002770BD"/>
    <w:rsid w:val="00277812"/>
    <w:rsid w:val="00281014"/>
    <w:rsid w:val="0028332A"/>
    <w:rsid w:val="00283F1C"/>
    <w:rsid w:val="00284FD3"/>
    <w:rsid w:val="002852EF"/>
    <w:rsid w:val="0028557B"/>
    <w:rsid w:val="0028665D"/>
    <w:rsid w:val="00286F6A"/>
    <w:rsid w:val="002879B0"/>
    <w:rsid w:val="00287D5B"/>
    <w:rsid w:val="00287FD6"/>
    <w:rsid w:val="002913EF"/>
    <w:rsid w:val="00291A68"/>
    <w:rsid w:val="00292152"/>
    <w:rsid w:val="00292C6C"/>
    <w:rsid w:val="00292CF2"/>
    <w:rsid w:val="00293C45"/>
    <w:rsid w:val="00294022"/>
    <w:rsid w:val="00295C0A"/>
    <w:rsid w:val="0029740B"/>
    <w:rsid w:val="00297A1A"/>
    <w:rsid w:val="002A057A"/>
    <w:rsid w:val="002A05C7"/>
    <w:rsid w:val="002A0759"/>
    <w:rsid w:val="002A0C5A"/>
    <w:rsid w:val="002A0F70"/>
    <w:rsid w:val="002A10CD"/>
    <w:rsid w:val="002A14AB"/>
    <w:rsid w:val="002A1937"/>
    <w:rsid w:val="002A1CA5"/>
    <w:rsid w:val="002A2213"/>
    <w:rsid w:val="002A2ADE"/>
    <w:rsid w:val="002A2F50"/>
    <w:rsid w:val="002A3829"/>
    <w:rsid w:val="002A42F6"/>
    <w:rsid w:val="002A4359"/>
    <w:rsid w:val="002A464A"/>
    <w:rsid w:val="002A4A94"/>
    <w:rsid w:val="002A5982"/>
    <w:rsid w:val="002A5E50"/>
    <w:rsid w:val="002A6307"/>
    <w:rsid w:val="002A677D"/>
    <w:rsid w:val="002A6A0B"/>
    <w:rsid w:val="002A7FA5"/>
    <w:rsid w:val="002B004D"/>
    <w:rsid w:val="002B05A1"/>
    <w:rsid w:val="002B09A4"/>
    <w:rsid w:val="002B0DC2"/>
    <w:rsid w:val="002B1BF0"/>
    <w:rsid w:val="002B1C1F"/>
    <w:rsid w:val="002B1DEF"/>
    <w:rsid w:val="002B2081"/>
    <w:rsid w:val="002B2998"/>
    <w:rsid w:val="002B3284"/>
    <w:rsid w:val="002B3F27"/>
    <w:rsid w:val="002B4144"/>
    <w:rsid w:val="002B432F"/>
    <w:rsid w:val="002B44D3"/>
    <w:rsid w:val="002B5543"/>
    <w:rsid w:val="002B62B3"/>
    <w:rsid w:val="002B6754"/>
    <w:rsid w:val="002B6CCE"/>
    <w:rsid w:val="002B6E6F"/>
    <w:rsid w:val="002B7191"/>
    <w:rsid w:val="002B7962"/>
    <w:rsid w:val="002C13F4"/>
    <w:rsid w:val="002C173E"/>
    <w:rsid w:val="002C1819"/>
    <w:rsid w:val="002C1846"/>
    <w:rsid w:val="002C19D7"/>
    <w:rsid w:val="002C2046"/>
    <w:rsid w:val="002C2510"/>
    <w:rsid w:val="002C255F"/>
    <w:rsid w:val="002C2775"/>
    <w:rsid w:val="002C27C1"/>
    <w:rsid w:val="002C2C52"/>
    <w:rsid w:val="002C3234"/>
    <w:rsid w:val="002C3939"/>
    <w:rsid w:val="002C3C3D"/>
    <w:rsid w:val="002C4CA7"/>
    <w:rsid w:val="002C5099"/>
    <w:rsid w:val="002C53FE"/>
    <w:rsid w:val="002C5889"/>
    <w:rsid w:val="002C62DD"/>
    <w:rsid w:val="002C691B"/>
    <w:rsid w:val="002C71CE"/>
    <w:rsid w:val="002C7AF3"/>
    <w:rsid w:val="002D03AA"/>
    <w:rsid w:val="002D08F8"/>
    <w:rsid w:val="002D1C1D"/>
    <w:rsid w:val="002D255C"/>
    <w:rsid w:val="002D4C69"/>
    <w:rsid w:val="002D4FB8"/>
    <w:rsid w:val="002D577C"/>
    <w:rsid w:val="002D6ED5"/>
    <w:rsid w:val="002D71D4"/>
    <w:rsid w:val="002D7DEF"/>
    <w:rsid w:val="002E00CC"/>
    <w:rsid w:val="002E0A75"/>
    <w:rsid w:val="002E0FFF"/>
    <w:rsid w:val="002E1071"/>
    <w:rsid w:val="002E15B9"/>
    <w:rsid w:val="002E1761"/>
    <w:rsid w:val="002E1841"/>
    <w:rsid w:val="002E2043"/>
    <w:rsid w:val="002E20AF"/>
    <w:rsid w:val="002E2158"/>
    <w:rsid w:val="002E2AE0"/>
    <w:rsid w:val="002E377B"/>
    <w:rsid w:val="002E4F02"/>
    <w:rsid w:val="002E61DE"/>
    <w:rsid w:val="002E67C1"/>
    <w:rsid w:val="002E7271"/>
    <w:rsid w:val="002E7510"/>
    <w:rsid w:val="002E7722"/>
    <w:rsid w:val="002E7D22"/>
    <w:rsid w:val="002F040A"/>
    <w:rsid w:val="002F07BA"/>
    <w:rsid w:val="002F0B0F"/>
    <w:rsid w:val="002F0DA9"/>
    <w:rsid w:val="002F1014"/>
    <w:rsid w:val="002F13AF"/>
    <w:rsid w:val="002F173E"/>
    <w:rsid w:val="002F1921"/>
    <w:rsid w:val="002F2229"/>
    <w:rsid w:val="002F3026"/>
    <w:rsid w:val="002F3B40"/>
    <w:rsid w:val="002F3EEE"/>
    <w:rsid w:val="002F404B"/>
    <w:rsid w:val="002F42AA"/>
    <w:rsid w:val="002F444D"/>
    <w:rsid w:val="002F643C"/>
    <w:rsid w:val="002F6481"/>
    <w:rsid w:val="002F70D3"/>
    <w:rsid w:val="002F71C0"/>
    <w:rsid w:val="002F74F1"/>
    <w:rsid w:val="00300086"/>
    <w:rsid w:val="00301017"/>
    <w:rsid w:val="0030155F"/>
    <w:rsid w:val="00302B7E"/>
    <w:rsid w:val="00302DB3"/>
    <w:rsid w:val="00302F0D"/>
    <w:rsid w:val="0030442B"/>
    <w:rsid w:val="003046B7"/>
    <w:rsid w:val="00305186"/>
    <w:rsid w:val="00305285"/>
    <w:rsid w:val="0030528A"/>
    <w:rsid w:val="0030587B"/>
    <w:rsid w:val="00306D98"/>
    <w:rsid w:val="003072DF"/>
    <w:rsid w:val="00307399"/>
    <w:rsid w:val="003073FE"/>
    <w:rsid w:val="0030772F"/>
    <w:rsid w:val="0030786C"/>
    <w:rsid w:val="0031031A"/>
    <w:rsid w:val="0031041B"/>
    <w:rsid w:val="00310981"/>
    <w:rsid w:val="00310E7F"/>
    <w:rsid w:val="00311175"/>
    <w:rsid w:val="003122B2"/>
    <w:rsid w:val="003124D9"/>
    <w:rsid w:val="00312594"/>
    <w:rsid w:val="00312CF4"/>
    <w:rsid w:val="00315498"/>
    <w:rsid w:val="00316474"/>
    <w:rsid w:val="00316C3B"/>
    <w:rsid w:val="0031782B"/>
    <w:rsid w:val="00317B11"/>
    <w:rsid w:val="00317E39"/>
    <w:rsid w:val="00322107"/>
    <w:rsid w:val="00322355"/>
    <w:rsid w:val="00322846"/>
    <w:rsid w:val="00322C1E"/>
    <w:rsid w:val="0032364F"/>
    <w:rsid w:val="00324AF3"/>
    <w:rsid w:val="00325ED1"/>
    <w:rsid w:val="00326089"/>
    <w:rsid w:val="00326DA7"/>
    <w:rsid w:val="003270E4"/>
    <w:rsid w:val="003277A7"/>
    <w:rsid w:val="0032789A"/>
    <w:rsid w:val="00330421"/>
    <w:rsid w:val="00330ACF"/>
    <w:rsid w:val="00330DAA"/>
    <w:rsid w:val="00330F5C"/>
    <w:rsid w:val="003310CA"/>
    <w:rsid w:val="0033147E"/>
    <w:rsid w:val="0033157E"/>
    <w:rsid w:val="00331694"/>
    <w:rsid w:val="00331DA6"/>
    <w:rsid w:val="00332A40"/>
    <w:rsid w:val="0033332C"/>
    <w:rsid w:val="00333468"/>
    <w:rsid w:val="0033361C"/>
    <w:rsid w:val="003339C5"/>
    <w:rsid w:val="00333A22"/>
    <w:rsid w:val="0033536D"/>
    <w:rsid w:val="00335485"/>
    <w:rsid w:val="00335882"/>
    <w:rsid w:val="00335C8F"/>
    <w:rsid w:val="00336440"/>
    <w:rsid w:val="003366C9"/>
    <w:rsid w:val="00336E5C"/>
    <w:rsid w:val="003371B0"/>
    <w:rsid w:val="003374B7"/>
    <w:rsid w:val="00340039"/>
    <w:rsid w:val="003404FA"/>
    <w:rsid w:val="00340DF1"/>
    <w:rsid w:val="00341C68"/>
    <w:rsid w:val="00342954"/>
    <w:rsid w:val="00342F89"/>
    <w:rsid w:val="003430FA"/>
    <w:rsid w:val="00343159"/>
    <w:rsid w:val="003431BB"/>
    <w:rsid w:val="00343672"/>
    <w:rsid w:val="003436D4"/>
    <w:rsid w:val="003448FD"/>
    <w:rsid w:val="00344BC8"/>
    <w:rsid w:val="003460B2"/>
    <w:rsid w:val="003466FB"/>
    <w:rsid w:val="0034694A"/>
    <w:rsid w:val="00346C59"/>
    <w:rsid w:val="003470E2"/>
    <w:rsid w:val="003517F9"/>
    <w:rsid w:val="0035183B"/>
    <w:rsid w:val="00351BA9"/>
    <w:rsid w:val="00351FC1"/>
    <w:rsid w:val="00352F9A"/>
    <w:rsid w:val="00353128"/>
    <w:rsid w:val="0035425C"/>
    <w:rsid w:val="003545ED"/>
    <w:rsid w:val="003546AC"/>
    <w:rsid w:val="00354744"/>
    <w:rsid w:val="00354F64"/>
    <w:rsid w:val="003559E1"/>
    <w:rsid w:val="0035613F"/>
    <w:rsid w:val="00356149"/>
    <w:rsid w:val="0035620E"/>
    <w:rsid w:val="003563A8"/>
    <w:rsid w:val="0035662D"/>
    <w:rsid w:val="00357BD7"/>
    <w:rsid w:val="00360345"/>
    <w:rsid w:val="0036133B"/>
    <w:rsid w:val="00361A05"/>
    <w:rsid w:val="003624C4"/>
    <w:rsid w:val="003627ED"/>
    <w:rsid w:val="00362D76"/>
    <w:rsid w:val="00363435"/>
    <w:rsid w:val="00363B00"/>
    <w:rsid w:val="00364ABE"/>
    <w:rsid w:val="0036519D"/>
    <w:rsid w:val="003654AC"/>
    <w:rsid w:val="00366613"/>
    <w:rsid w:val="00366BFC"/>
    <w:rsid w:val="00367812"/>
    <w:rsid w:val="00367BF9"/>
    <w:rsid w:val="003702DA"/>
    <w:rsid w:val="003710CF"/>
    <w:rsid w:val="00371DA8"/>
    <w:rsid w:val="00371DCE"/>
    <w:rsid w:val="0037358A"/>
    <w:rsid w:val="00373E6B"/>
    <w:rsid w:val="003750F6"/>
    <w:rsid w:val="00375F79"/>
    <w:rsid w:val="0037603D"/>
    <w:rsid w:val="003760FC"/>
    <w:rsid w:val="003778F4"/>
    <w:rsid w:val="00377D21"/>
    <w:rsid w:val="0038008A"/>
    <w:rsid w:val="00380781"/>
    <w:rsid w:val="003808B1"/>
    <w:rsid w:val="00381114"/>
    <w:rsid w:val="00381CAA"/>
    <w:rsid w:val="0038229C"/>
    <w:rsid w:val="00382C47"/>
    <w:rsid w:val="003831F5"/>
    <w:rsid w:val="0038365C"/>
    <w:rsid w:val="0038369B"/>
    <w:rsid w:val="00383873"/>
    <w:rsid w:val="00383B78"/>
    <w:rsid w:val="00384E2E"/>
    <w:rsid w:val="003852D0"/>
    <w:rsid w:val="00385A9D"/>
    <w:rsid w:val="003864BC"/>
    <w:rsid w:val="003864E0"/>
    <w:rsid w:val="00386FAB"/>
    <w:rsid w:val="0038744C"/>
    <w:rsid w:val="00387BDE"/>
    <w:rsid w:val="003902B1"/>
    <w:rsid w:val="0039179C"/>
    <w:rsid w:val="00391C2C"/>
    <w:rsid w:val="00392991"/>
    <w:rsid w:val="00395EF5"/>
    <w:rsid w:val="00396896"/>
    <w:rsid w:val="003968BB"/>
    <w:rsid w:val="00396FD0"/>
    <w:rsid w:val="003A0B72"/>
    <w:rsid w:val="003A0CB2"/>
    <w:rsid w:val="003A170D"/>
    <w:rsid w:val="003A174A"/>
    <w:rsid w:val="003A1A7A"/>
    <w:rsid w:val="003A2255"/>
    <w:rsid w:val="003A2392"/>
    <w:rsid w:val="003A2831"/>
    <w:rsid w:val="003A340C"/>
    <w:rsid w:val="003A359D"/>
    <w:rsid w:val="003A3CB6"/>
    <w:rsid w:val="003A3ED1"/>
    <w:rsid w:val="003A44DB"/>
    <w:rsid w:val="003A7246"/>
    <w:rsid w:val="003B00DD"/>
    <w:rsid w:val="003B0287"/>
    <w:rsid w:val="003B04BC"/>
    <w:rsid w:val="003B06BB"/>
    <w:rsid w:val="003B0769"/>
    <w:rsid w:val="003B126F"/>
    <w:rsid w:val="003B19DA"/>
    <w:rsid w:val="003B1DF2"/>
    <w:rsid w:val="003B3382"/>
    <w:rsid w:val="003B3442"/>
    <w:rsid w:val="003B3652"/>
    <w:rsid w:val="003B3971"/>
    <w:rsid w:val="003B3A7E"/>
    <w:rsid w:val="003B4A74"/>
    <w:rsid w:val="003B55D1"/>
    <w:rsid w:val="003B5656"/>
    <w:rsid w:val="003B5B61"/>
    <w:rsid w:val="003B6DB7"/>
    <w:rsid w:val="003C1654"/>
    <w:rsid w:val="003C1A45"/>
    <w:rsid w:val="003C1F5F"/>
    <w:rsid w:val="003C2808"/>
    <w:rsid w:val="003C3381"/>
    <w:rsid w:val="003C53CC"/>
    <w:rsid w:val="003C5542"/>
    <w:rsid w:val="003C577D"/>
    <w:rsid w:val="003C5AE9"/>
    <w:rsid w:val="003C5BD4"/>
    <w:rsid w:val="003C6665"/>
    <w:rsid w:val="003C7A51"/>
    <w:rsid w:val="003C7AEA"/>
    <w:rsid w:val="003C7D19"/>
    <w:rsid w:val="003C7D2F"/>
    <w:rsid w:val="003C7FE1"/>
    <w:rsid w:val="003D05DC"/>
    <w:rsid w:val="003D1771"/>
    <w:rsid w:val="003D1828"/>
    <w:rsid w:val="003D1DE4"/>
    <w:rsid w:val="003D1E31"/>
    <w:rsid w:val="003D1E9A"/>
    <w:rsid w:val="003D2422"/>
    <w:rsid w:val="003D2C88"/>
    <w:rsid w:val="003D31A8"/>
    <w:rsid w:val="003D3490"/>
    <w:rsid w:val="003D39A1"/>
    <w:rsid w:val="003D3A7C"/>
    <w:rsid w:val="003D3FBF"/>
    <w:rsid w:val="003D4873"/>
    <w:rsid w:val="003D4A30"/>
    <w:rsid w:val="003D4D97"/>
    <w:rsid w:val="003D5700"/>
    <w:rsid w:val="003D5B89"/>
    <w:rsid w:val="003D7452"/>
    <w:rsid w:val="003D79BB"/>
    <w:rsid w:val="003D7AFA"/>
    <w:rsid w:val="003D7C98"/>
    <w:rsid w:val="003D7C9E"/>
    <w:rsid w:val="003D7D9D"/>
    <w:rsid w:val="003E0543"/>
    <w:rsid w:val="003E0562"/>
    <w:rsid w:val="003E064C"/>
    <w:rsid w:val="003E1991"/>
    <w:rsid w:val="003E2074"/>
    <w:rsid w:val="003E2A1C"/>
    <w:rsid w:val="003E3FE5"/>
    <w:rsid w:val="003E42AC"/>
    <w:rsid w:val="003E4BF0"/>
    <w:rsid w:val="003E502B"/>
    <w:rsid w:val="003E5ECF"/>
    <w:rsid w:val="003E638C"/>
    <w:rsid w:val="003E67F5"/>
    <w:rsid w:val="003E69B6"/>
    <w:rsid w:val="003E6D68"/>
    <w:rsid w:val="003E6DD0"/>
    <w:rsid w:val="003E749E"/>
    <w:rsid w:val="003E7806"/>
    <w:rsid w:val="003E7F23"/>
    <w:rsid w:val="003F0E39"/>
    <w:rsid w:val="003F2C01"/>
    <w:rsid w:val="003F4156"/>
    <w:rsid w:val="003F41F3"/>
    <w:rsid w:val="003F5ADF"/>
    <w:rsid w:val="003F63B8"/>
    <w:rsid w:val="003F709B"/>
    <w:rsid w:val="00400B29"/>
    <w:rsid w:val="0040193C"/>
    <w:rsid w:val="0040201E"/>
    <w:rsid w:val="0040263F"/>
    <w:rsid w:val="00403053"/>
    <w:rsid w:val="00403959"/>
    <w:rsid w:val="00403AC5"/>
    <w:rsid w:val="0040504B"/>
    <w:rsid w:val="00405194"/>
    <w:rsid w:val="00405289"/>
    <w:rsid w:val="004059F4"/>
    <w:rsid w:val="00407FE5"/>
    <w:rsid w:val="004101B0"/>
    <w:rsid w:val="00410326"/>
    <w:rsid w:val="00410637"/>
    <w:rsid w:val="00410654"/>
    <w:rsid w:val="00410708"/>
    <w:rsid w:val="00410C24"/>
    <w:rsid w:val="00410EC7"/>
    <w:rsid w:val="0041192D"/>
    <w:rsid w:val="00411B39"/>
    <w:rsid w:val="00411BD5"/>
    <w:rsid w:val="00411EF1"/>
    <w:rsid w:val="004127A7"/>
    <w:rsid w:val="004127B3"/>
    <w:rsid w:val="004137AF"/>
    <w:rsid w:val="00413A1E"/>
    <w:rsid w:val="00414476"/>
    <w:rsid w:val="004144B3"/>
    <w:rsid w:val="00414528"/>
    <w:rsid w:val="00414C2E"/>
    <w:rsid w:val="004151CF"/>
    <w:rsid w:val="004156BA"/>
    <w:rsid w:val="004161F1"/>
    <w:rsid w:val="004162BB"/>
    <w:rsid w:val="00416364"/>
    <w:rsid w:val="00416BEE"/>
    <w:rsid w:val="00417E23"/>
    <w:rsid w:val="0042047F"/>
    <w:rsid w:val="00420AA6"/>
    <w:rsid w:val="00420B9F"/>
    <w:rsid w:val="00421417"/>
    <w:rsid w:val="0042192C"/>
    <w:rsid w:val="00422260"/>
    <w:rsid w:val="004226FF"/>
    <w:rsid w:val="00423007"/>
    <w:rsid w:val="00423412"/>
    <w:rsid w:val="0042413F"/>
    <w:rsid w:val="0042470A"/>
    <w:rsid w:val="0042535B"/>
    <w:rsid w:val="00426114"/>
    <w:rsid w:val="0042629A"/>
    <w:rsid w:val="0042700B"/>
    <w:rsid w:val="00427AC2"/>
    <w:rsid w:val="00430045"/>
    <w:rsid w:val="00430320"/>
    <w:rsid w:val="004304EA"/>
    <w:rsid w:val="0043070B"/>
    <w:rsid w:val="0043088D"/>
    <w:rsid w:val="00430C13"/>
    <w:rsid w:val="00431234"/>
    <w:rsid w:val="004319F8"/>
    <w:rsid w:val="00431E55"/>
    <w:rsid w:val="004321F6"/>
    <w:rsid w:val="00433044"/>
    <w:rsid w:val="00433B00"/>
    <w:rsid w:val="00433C22"/>
    <w:rsid w:val="00434088"/>
    <w:rsid w:val="00434715"/>
    <w:rsid w:val="004354EC"/>
    <w:rsid w:val="0043573F"/>
    <w:rsid w:val="00435F9B"/>
    <w:rsid w:val="00436252"/>
    <w:rsid w:val="00436B16"/>
    <w:rsid w:val="004375B9"/>
    <w:rsid w:val="00440139"/>
    <w:rsid w:val="0044073E"/>
    <w:rsid w:val="00441CF9"/>
    <w:rsid w:val="004428D0"/>
    <w:rsid w:val="00443190"/>
    <w:rsid w:val="00443CB8"/>
    <w:rsid w:val="00443E9F"/>
    <w:rsid w:val="00444185"/>
    <w:rsid w:val="004443A7"/>
    <w:rsid w:val="0044442C"/>
    <w:rsid w:val="00445941"/>
    <w:rsid w:val="00445A39"/>
    <w:rsid w:val="004464EB"/>
    <w:rsid w:val="00447208"/>
    <w:rsid w:val="00447D26"/>
    <w:rsid w:val="00447DFC"/>
    <w:rsid w:val="004502F8"/>
    <w:rsid w:val="00450D77"/>
    <w:rsid w:val="00451277"/>
    <w:rsid w:val="00451AD2"/>
    <w:rsid w:val="0045201E"/>
    <w:rsid w:val="0045266A"/>
    <w:rsid w:val="004527B2"/>
    <w:rsid w:val="00452D84"/>
    <w:rsid w:val="00453031"/>
    <w:rsid w:val="00453306"/>
    <w:rsid w:val="004533CA"/>
    <w:rsid w:val="00453800"/>
    <w:rsid w:val="00454C73"/>
    <w:rsid w:val="00455013"/>
    <w:rsid w:val="00455350"/>
    <w:rsid w:val="00455C68"/>
    <w:rsid w:val="00455D45"/>
    <w:rsid w:val="0045784B"/>
    <w:rsid w:val="0046069A"/>
    <w:rsid w:val="004609F2"/>
    <w:rsid w:val="004623FD"/>
    <w:rsid w:val="004624AE"/>
    <w:rsid w:val="00462ADF"/>
    <w:rsid w:val="004638A3"/>
    <w:rsid w:val="0046410B"/>
    <w:rsid w:val="00464154"/>
    <w:rsid w:val="004641D8"/>
    <w:rsid w:val="004644AC"/>
    <w:rsid w:val="00464595"/>
    <w:rsid w:val="0046474A"/>
    <w:rsid w:val="00464F74"/>
    <w:rsid w:val="00465065"/>
    <w:rsid w:val="00465717"/>
    <w:rsid w:val="0046579D"/>
    <w:rsid w:val="004658B5"/>
    <w:rsid w:val="00465BE3"/>
    <w:rsid w:val="004675AC"/>
    <w:rsid w:val="00467903"/>
    <w:rsid w:val="004713BB"/>
    <w:rsid w:val="00471EA5"/>
    <w:rsid w:val="00472A79"/>
    <w:rsid w:val="00472CA9"/>
    <w:rsid w:val="004737B9"/>
    <w:rsid w:val="00473A85"/>
    <w:rsid w:val="00473D38"/>
    <w:rsid w:val="00473F19"/>
    <w:rsid w:val="004742C9"/>
    <w:rsid w:val="00474A88"/>
    <w:rsid w:val="00475E22"/>
    <w:rsid w:val="0047602F"/>
    <w:rsid w:val="00476AB8"/>
    <w:rsid w:val="00476B44"/>
    <w:rsid w:val="0048088E"/>
    <w:rsid w:val="00480F2B"/>
    <w:rsid w:val="00481F70"/>
    <w:rsid w:val="00482086"/>
    <w:rsid w:val="00482720"/>
    <w:rsid w:val="00483242"/>
    <w:rsid w:val="004835E7"/>
    <w:rsid w:val="00484503"/>
    <w:rsid w:val="00486388"/>
    <w:rsid w:val="0048639D"/>
    <w:rsid w:val="00486551"/>
    <w:rsid w:val="004867E2"/>
    <w:rsid w:val="00486D56"/>
    <w:rsid w:val="00487E19"/>
    <w:rsid w:val="00490B17"/>
    <w:rsid w:val="004915A6"/>
    <w:rsid w:val="0049169C"/>
    <w:rsid w:val="00491B3A"/>
    <w:rsid w:val="00491DA8"/>
    <w:rsid w:val="00492CFD"/>
    <w:rsid w:val="00492EF2"/>
    <w:rsid w:val="00493182"/>
    <w:rsid w:val="00493455"/>
    <w:rsid w:val="00494207"/>
    <w:rsid w:val="004944BB"/>
    <w:rsid w:val="00494DD5"/>
    <w:rsid w:val="00495118"/>
    <w:rsid w:val="004962D2"/>
    <w:rsid w:val="004A0DA1"/>
    <w:rsid w:val="004A13D6"/>
    <w:rsid w:val="004A190B"/>
    <w:rsid w:val="004A39A4"/>
    <w:rsid w:val="004A3CBC"/>
    <w:rsid w:val="004A426D"/>
    <w:rsid w:val="004A49AB"/>
    <w:rsid w:val="004A52E9"/>
    <w:rsid w:val="004A5842"/>
    <w:rsid w:val="004A6040"/>
    <w:rsid w:val="004A6597"/>
    <w:rsid w:val="004A741D"/>
    <w:rsid w:val="004A766E"/>
    <w:rsid w:val="004A780D"/>
    <w:rsid w:val="004A7848"/>
    <w:rsid w:val="004B1916"/>
    <w:rsid w:val="004B1CB4"/>
    <w:rsid w:val="004B2293"/>
    <w:rsid w:val="004B267C"/>
    <w:rsid w:val="004B2F18"/>
    <w:rsid w:val="004B31DC"/>
    <w:rsid w:val="004B35A3"/>
    <w:rsid w:val="004B3726"/>
    <w:rsid w:val="004B3DDB"/>
    <w:rsid w:val="004B44FD"/>
    <w:rsid w:val="004B48D8"/>
    <w:rsid w:val="004B4979"/>
    <w:rsid w:val="004B5AC2"/>
    <w:rsid w:val="004B5CFC"/>
    <w:rsid w:val="004B6A00"/>
    <w:rsid w:val="004B6F79"/>
    <w:rsid w:val="004B774D"/>
    <w:rsid w:val="004B79F9"/>
    <w:rsid w:val="004B7D65"/>
    <w:rsid w:val="004C0EBD"/>
    <w:rsid w:val="004C134A"/>
    <w:rsid w:val="004C14E2"/>
    <w:rsid w:val="004C2891"/>
    <w:rsid w:val="004C3D9C"/>
    <w:rsid w:val="004C4061"/>
    <w:rsid w:val="004C4AED"/>
    <w:rsid w:val="004C5365"/>
    <w:rsid w:val="004C5EC9"/>
    <w:rsid w:val="004C6BC7"/>
    <w:rsid w:val="004C6DBE"/>
    <w:rsid w:val="004D00EE"/>
    <w:rsid w:val="004D0AFA"/>
    <w:rsid w:val="004D0E2F"/>
    <w:rsid w:val="004D2184"/>
    <w:rsid w:val="004D2C2D"/>
    <w:rsid w:val="004D32CB"/>
    <w:rsid w:val="004D4791"/>
    <w:rsid w:val="004D502B"/>
    <w:rsid w:val="004D51F4"/>
    <w:rsid w:val="004D69B5"/>
    <w:rsid w:val="004D7227"/>
    <w:rsid w:val="004D789D"/>
    <w:rsid w:val="004E0E7F"/>
    <w:rsid w:val="004E0EB8"/>
    <w:rsid w:val="004E1840"/>
    <w:rsid w:val="004E18E9"/>
    <w:rsid w:val="004E2ADC"/>
    <w:rsid w:val="004E2D1C"/>
    <w:rsid w:val="004E36AE"/>
    <w:rsid w:val="004E3A71"/>
    <w:rsid w:val="004E3D17"/>
    <w:rsid w:val="004E42EA"/>
    <w:rsid w:val="004E43B2"/>
    <w:rsid w:val="004E4413"/>
    <w:rsid w:val="004E5CC6"/>
    <w:rsid w:val="004E6A92"/>
    <w:rsid w:val="004E7D2B"/>
    <w:rsid w:val="004F0060"/>
    <w:rsid w:val="004F05B4"/>
    <w:rsid w:val="004F0829"/>
    <w:rsid w:val="004F19FB"/>
    <w:rsid w:val="004F1D02"/>
    <w:rsid w:val="004F2679"/>
    <w:rsid w:val="004F268D"/>
    <w:rsid w:val="004F2D43"/>
    <w:rsid w:val="004F2F21"/>
    <w:rsid w:val="004F3DE5"/>
    <w:rsid w:val="004F405F"/>
    <w:rsid w:val="004F4352"/>
    <w:rsid w:val="004F4611"/>
    <w:rsid w:val="004F54D2"/>
    <w:rsid w:val="004F6756"/>
    <w:rsid w:val="004F6913"/>
    <w:rsid w:val="004F72E0"/>
    <w:rsid w:val="004F73C9"/>
    <w:rsid w:val="004F7865"/>
    <w:rsid w:val="004F79BF"/>
    <w:rsid w:val="004F7AEC"/>
    <w:rsid w:val="005004A4"/>
    <w:rsid w:val="005006FA"/>
    <w:rsid w:val="00501347"/>
    <w:rsid w:val="0050174E"/>
    <w:rsid w:val="00501854"/>
    <w:rsid w:val="00501F06"/>
    <w:rsid w:val="0050219B"/>
    <w:rsid w:val="00502986"/>
    <w:rsid w:val="00503467"/>
    <w:rsid w:val="00503F17"/>
    <w:rsid w:val="005042FD"/>
    <w:rsid w:val="00504B15"/>
    <w:rsid w:val="00504E4B"/>
    <w:rsid w:val="005055A9"/>
    <w:rsid w:val="00505AB8"/>
    <w:rsid w:val="00505E66"/>
    <w:rsid w:val="005061D1"/>
    <w:rsid w:val="0050659C"/>
    <w:rsid w:val="00506928"/>
    <w:rsid w:val="00506BC6"/>
    <w:rsid w:val="005077EF"/>
    <w:rsid w:val="00507A52"/>
    <w:rsid w:val="005100FF"/>
    <w:rsid w:val="00510177"/>
    <w:rsid w:val="005105E2"/>
    <w:rsid w:val="00510AC2"/>
    <w:rsid w:val="00510CCF"/>
    <w:rsid w:val="005116FD"/>
    <w:rsid w:val="00511730"/>
    <w:rsid w:val="00511AD5"/>
    <w:rsid w:val="00511DC7"/>
    <w:rsid w:val="005122F4"/>
    <w:rsid w:val="0051393A"/>
    <w:rsid w:val="00513E58"/>
    <w:rsid w:val="005142C5"/>
    <w:rsid w:val="00514807"/>
    <w:rsid w:val="0051496F"/>
    <w:rsid w:val="00514D4B"/>
    <w:rsid w:val="0051501B"/>
    <w:rsid w:val="005152B5"/>
    <w:rsid w:val="005155C9"/>
    <w:rsid w:val="00515CA1"/>
    <w:rsid w:val="00515F56"/>
    <w:rsid w:val="005169DF"/>
    <w:rsid w:val="00517A01"/>
    <w:rsid w:val="005204DD"/>
    <w:rsid w:val="00520515"/>
    <w:rsid w:val="005208A1"/>
    <w:rsid w:val="0052123C"/>
    <w:rsid w:val="00521319"/>
    <w:rsid w:val="005220CD"/>
    <w:rsid w:val="005229ED"/>
    <w:rsid w:val="00522BC8"/>
    <w:rsid w:val="005235A4"/>
    <w:rsid w:val="00523C28"/>
    <w:rsid w:val="005246DA"/>
    <w:rsid w:val="00524E28"/>
    <w:rsid w:val="00524FC0"/>
    <w:rsid w:val="005250C2"/>
    <w:rsid w:val="005255D2"/>
    <w:rsid w:val="00525F4C"/>
    <w:rsid w:val="00526F7C"/>
    <w:rsid w:val="0052798F"/>
    <w:rsid w:val="00530910"/>
    <w:rsid w:val="00530BFC"/>
    <w:rsid w:val="0053176B"/>
    <w:rsid w:val="0053178B"/>
    <w:rsid w:val="00531BAC"/>
    <w:rsid w:val="005326F2"/>
    <w:rsid w:val="00533262"/>
    <w:rsid w:val="00533376"/>
    <w:rsid w:val="0053376D"/>
    <w:rsid w:val="00534204"/>
    <w:rsid w:val="00534466"/>
    <w:rsid w:val="005360D5"/>
    <w:rsid w:val="00536F42"/>
    <w:rsid w:val="00537182"/>
    <w:rsid w:val="005405A0"/>
    <w:rsid w:val="00540911"/>
    <w:rsid w:val="00541280"/>
    <w:rsid w:val="00541EDD"/>
    <w:rsid w:val="00542023"/>
    <w:rsid w:val="00542743"/>
    <w:rsid w:val="005429DA"/>
    <w:rsid w:val="00542C2D"/>
    <w:rsid w:val="00544A4B"/>
    <w:rsid w:val="00544F6A"/>
    <w:rsid w:val="0054676D"/>
    <w:rsid w:val="0054697B"/>
    <w:rsid w:val="00547732"/>
    <w:rsid w:val="005478BD"/>
    <w:rsid w:val="005479E3"/>
    <w:rsid w:val="00547AC7"/>
    <w:rsid w:val="005510AB"/>
    <w:rsid w:val="005514B2"/>
    <w:rsid w:val="00551985"/>
    <w:rsid w:val="00551CF4"/>
    <w:rsid w:val="005527D0"/>
    <w:rsid w:val="00552BD3"/>
    <w:rsid w:val="00552E41"/>
    <w:rsid w:val="00553191"/>
    <w:rsid w:val="005532A0"/>
    <w:rsid w:val="005533A6"/>
    <w:rsid w:val="005534D6"/>
    <w:rsid w:val="0055492A"/>
    <w:rsid w:val="00555109"/>
    <w:rsid w:val="00555295"/>
    <w:rsid w:val="00555A0E"/>
    <w:rsid w:val="005565A4"/>
    <w:rsid w:val="00556B35"/>
    <w:rsid w:val="0055741A"/>
    <w:rsid w:val="005611B7"/>
    <w:rsid w:val="005612AA"/>
    <w:rsid w:val="00561330"/>
    <w:rsid w:val="005618D4"/>
    <w:rsid w:val="005622E9"/>
    <w:rsid w:val="00562AE2"/>
    <w:rsid w:val="00562D6F"/>
    <w:rsid w:val="00563408"/>
    <w:rsid w:val="00563524"/>
    <w:rsid w:val="00564590"/>
    <w:rsid w:val="00565DF0"/>
    <w:rsid w:val="0056696F"/>
    <w:rsid w:val="0056723E"/>
    <w:rsid w:val="00567A54"/>
    <w:rsid w:val="0057138F"/>
    <w:rsid w:val="00572269"/>
    <w:rsid w:val="0057244A"/>
    <w:rsid w:val="0057283F"/>
    <w:rsid w:val="00572876"/>
    <w:rsid w:val="00572F26"/>
    <w:rsid w:val="00573371"/>
    <w:rsid w:val="005734BB"/>
    <w:rsid w:val="00574C15"/>
    <w:rsid w:val="005750C5"/>
    <w:rsid w:val="005751DE"/>
    <w:rsid w:val="005752DE"/>
    <w:rsid w:val="00575D8D"/>
    <w:rsid w:val="00576972"/>
    <w:rsid w:val="00577C56"/>
    <w:rsid w:val="0058007D"/>
    <w:rsid w:val="005809DC"/>
    <w:rsid w:val="0058238D"/>
    <w:rsid w:val="005835D3"/>
    <w:rsid w:val="00583699"/>
    <w:rsid w:val="0058499A"/>
    <w:rsid w:val="00585780"/>
    <w:rsid w:val="00585CDD"/>
    <w:rsid w:val="00586113"/>
    <w:rsid w:val="005865BE"/>
    <w:rsid w:val="00586EDF"/>
    <w:rsid w:val="00587058"/>
    <w:rsid w:val="00587B98"/>
    <w:rsid w:val="0059029F"/>
    <w:rsid w:val="00591957"/>
    <w:rsid w:val="0059487B"/>
    <w:rsid w:val="00594A7C"/>
    <w:rsid w:val="00595A78"/>
    <w:rsid w:val="005970B3"/>
    <w:rsid w:val="00597369"/>
    <w:rsid w:val="005979D3"/>
    <w:rsid w:val="00597BF9"/>
    <w:rsid w:val="005A18B3"/>
    <w:rsid w:val="005A3096"/>
    <w:rsid w:val="005A309A"/>
    <w:rsid w:val="005A373D"/>
    <w:rsid w:val="005A4A0A"/>
    <w:rsid w:val="005A50C9"/>
    <w:rsid w:val="005A53F2"/>
    <w:rsid w:val="005A56A5"/>
    <w:rsid w:val="005A58E8"/>
    <w:rsid w:val="005A5B56"/>
    <w:rsid w:val="005A5C6D"/>
    <w:rsid w:val="005A6300"/>
    <w:rsid w:val="005B0838"/>
    <w:rsid w:val="005B0B3D"/>
    <w:rsid w:val="005B0B58"/>
    <w:rsid w:val="005B3345"/>
    <w:rsid w:val="005B47C9"/>
    <w:rsid w:val="005B4E53"/>
    <w:rsid w:val="005B5857"/>
    <w:rsid w:val="005B6579"/>
    <w:rsid w:val="005B65E0"/>
    <w:rsid w:val="005B6C0F"/>
    <w:rsid w:val="005B75E3"/>
    <w:rsid w:val="005B7730"/>
    <w:rsid w:val="005B7CFF"/>
    <w:rsid w:val="005C07B0"/>
    <w:rsid w:val="005C0C10"/>
    <w:rsid w:val="005C1B83"/>
    <w:rsid w:val="005C25FF"/>
    <w:rsid w:val="005C2795"/>
    <w:rsid w:val="005C2D55"/>
    <w:rsid w:val="005C346B"/>
    <w:rsid w:val="005C3B1A"/>
    <w:rsid w:val="005C5C87"/>
    <w:rsid w:val="005C681F"/>
    <w:rsid w:val="005C693C"/>
    <w:rsid w:val="005D044D"/>
    <w:rsid w:val="005D0ABD"/>
    <w:rsid w:val="005D18AD"/>
    <w:rsid w:val="005D1AA4"/>
    <w:rsid w:val="005D26B4"/>
    <w:rsid w:val="005D2AF1"/>
    <w:rsid w:val="005D2C64"/>
    <w:rsid w:val="005D4242"/>
    <w:rsid w:val="005D4266"/>
    <w:rsid w:val="005D5465"/>
    <w:rsid w:val="005D635E"/>
    <w:rsid w:val="005D6AA4"/>
    <w:rsid w:val="005D7259"/>
    <w:rsid w:val="005E00A0"/>
    <w:rsid w:val="005E1291"/>
    <w:rsid w:val="005E22F2"/>
    <w:rsid w:val="005E3336"/>
    <w:rsid w:val="005E33B4"/>
    <w:rsid w:val="005E6C93"/>
    <w:rsid w:val="005E6CBC"/>
    <w:rsid w:val="005E72FF"/>
    <w:rsid w:val="005E7356"/>
    <w:rsid w:val="005E73C0"/>
    <w:rsid w:val="005E78D4"/>
    <w:rsid w:val="005E7D52"/>
    <w:rsid w:val="005F0881"/>
    <w:rsid w:val="005F1C64"/>
    <w:rsid w:val="005F200F"/>
    <w:rsid w:val="005F226C"/>
    <w:rsid w:val="005F2706"/>
    <w:rsid w:val="005F2888"/>
    <w:rsid w:val="005F441A"/>
    <w:rsid w:val="005F52D5"/>
    <w:rsid w:val="005F5D6F"/>
    <w:rsid w:val="005F67E4"/>
    <w:rsid w:val="005F6A8F"/>
    <w:rsid w:val="005F6BB7"/>
    <w:rsid w:val="005F707C"/>
    <w:rsid w:val="005F712D"/>
    <w:rsid w:val="005F7588"/>
    <w:rsid w:val="0060018D"/>
    <w:rsid w:val="0060068E"/>
    <w:rsid w:val="00600C12"/>
    <w:rsid w:val="0060170D"/>
    <w:rsid w:val="00603098"/>
    <w:rsid w:val="0060341A"/>
    <w:rsid w:val="00603A72"/>
    <w:rsid w:val="00603DB9"/>
    <w:rsid w:val="0060489F"/>
    <w:rsid w:val="00605247"/>
    <w:rsid w:val="00606FBA"/>
    <w:rsid w:val="00607669"/>
    <w:rsid w:val="006076F4"/>
    <w:rsid w:val="006077D8"/>
    <w:rsid w:val="00607AFD"/>
    <w:rsid w:val="00607DEC"/>
    <w:rsid w:val="00610195"/>
    <w:rsid w:val="0061101F"/>
    <w:rsid w:val="00611985"/>
    <w:rsid w:val="006123DF"/>
    <w:rsid w:val="006123EA"/>
    <w:rsid w:val="00612977"/>
    <w:rsid w:val="00612E4C"/>
    <w:rsid w:val="00612F97"/>
    <w:rsid w:val="0061345D"/>
    <w:rsid w:val="00613B58"/>
    <w:rsid w:val="00613DE3"/>
    <w:rsid w:val="00614E89"/>
    <w:rsid w:val="00614ECA"/>
    <w:rsid w:val="00615241"/>
    <w:rsid w:val="0061549B"/>
    <w:rsid w:val="00615547"/>
    <w:rsid w:val="00615669"/>
    <w:rsid w:val="00615B7B"/>
    <w:rsid w:val="00616802"/>
    <w:rsid w:val="006177D0"/>
    <w:rsid w:val="00617AA4"/>
    <w:rsid w:val="00617E12"/>
    <w:rsid w:val="00620C25"/>
    <w:rsid w:val="00621477"/>
    <w:rsid w:val="00621540"/>
    <w:rsid w:val="00621A62"/>
    <w:rsid w:val="00621ADA"/>
    <w:rsid w:val="00622A86"/>
    <w:rsid w:val="00623853"/>
    <w:rsid w:val="00623F7B"/>
    <w:rsid w:val="0062491A"/>
    <w:rsid w:val="00625A25"/>
    <w:rsid w:val="00625C2A"/>
    <w:rsid w:val="00625E57"/>
    <w:rsid w:val="00625E60"/>
    <w:rsid w:val="00626613"/>
    <w:rsid w:val="006268AE"/>
    <w:rsid w:val="006276FD"/>
    <w:rsid w:val="0063158F"/>
    <w:rsid w:val="00631D6B"/>
    <w:rsid w:val="0063200B"/>
    <w:rsid w:val="00632183"/>
    <w:rsid w:val="006330A1"/>
    <w:rsid w:val="0063479F"/>
    <w:rsid w:val="00634A86"/>
    <w:rsid w:val="006353F0"/>
    <w:rsid w:val="006357B5"/>
    <w:rsid w:val="00635B99"/>
    <w:rsid w:val="006364A1"/>
    <w:rsid w:val="00636595"/>
    <w:rsid w:val="0063678E"/>
    <w:rsid w:val="00636A60"/>
    <w:rsid w:val="00636E22"/>
    <w:rsid w:val="0063756D"/>
    <w:rsid w:val="0063798F"/>
    <w:rsid w:val="00637BFD"/>
    <w:rsid w:val="006400EA"/>
    <w:rsid w:val="006413DC"/>
    <w:rsid w:val="00641C4E"/>
    <w:rsid w:val="00641EE3"/>
    <w:rsid w:val="00641F95"/>
    <w:rsid w:val="00641FB3"/>
    <w:rsid w:val="00642E7B"/>
    <w:rsid w:val="00642F1D"/>
    <w:rsid w:val="006431D1"/>
    <w:rsid w:val="006433B7"/>
    <w:rsid w:val="0064364D"/>
    <w:rsid w:val="0064409C"/>
    <w:rsid w:val="006442C6"/>
    <w:rsid w:val="0064434C"/>
    <w:rsid w:val="006444AF"/>
    <w:rsid w:val="00644884"/>
    <w:rsid w:val="00644C08"/>
    <w:rsid w:val="00646C09"/>
    <w:rsid w:val="00646D21"/>
    <w:rsid w:val="006471CC"/>
    <w:rsid w:val="00647535"/>
    <w:rsid w:val="0064756A"/>
    <w:rsid w:val="00647A29"/>
    <w:rsid w:val="0065079F"/>
    <w:rsid w:val="006521A3"/>
    <w:rsid w:val="00652A28"/>
    <w:rsid w:val="0065379F"/>
    <w:rsid w:val="00654700"/>
    <w:rsid w:val="00654B99"/>
    <w:rsid w:val="00654FE9"/>
    <w:rsid w:val="00655965"/>
    <w:rsid w:val="00656188"/>
    <w:rsid w:val="00656CE8"/>
    <w:rsid w:val="0065715A"/>
    <w:rsid w:val="00657708"/>
    <w:rsid w:val="006601D0"/>
    <w:rsid w:val="006610F1"/>
    <w:rsid w:val="00661C6B"/>
    <w:rsid w:val="00663801"/>
    <w:rsid w:val="00664161"/>
    <w:rsid w:val="00664252"/>
    <w:rsid w:val="006647BA"/>
    <w:rsid w:val="00664BA3"/>
    <w:rsid w:val="0066560F"/>
    <w:rsid w:val="00665877"/>
    <w:rsid w:val="00665C1F"/>
    <w:rsid w:val="00666379"/>
    <w:rsid w:val="00667215"/>
    <w:rsid w:val="006679DC"/>
    <w:rsid w:val="006705A0"/>
    <w:rsid w:val="00671004"/>
    <w:rsid w:val="00671DA4"/>
    <w:rsid w:val="00672599"/>
    <w:rsid w:val="00672631"/>
    <w:rsid w:val="00672646"/>
    <w:rsid w:val="00674509"/>
    <w:rsid w:val="00674E42"/>
    <w:rsid w:val="00677F68"/>
    <w:rsid w:val="0068020E"/>
    <w:rsid w:val="006813F8"/>
    <w:rsid w:val="006814A5"/>
    <w:rsid w:val="00682112"/>
    <w:rsid w:val="00682124"/>
    <w:rsid w:val="00682BA6"/>
    <w:rsid w:val="00682D14"/>
    <w:rsid w:val="00683F36"/>
    <w:rsid w:val="00685691"/>
    <w:rsid w:val="0068570C"/>
    <w:rsid w:val="00686957"/>
    <w:rsid w:val="00687024"/>
    <w:rsid w:val="006872BA"/>
    <w:rsid w:val="00687C90"/>
    <w:rsid w:val="0069001A"/>
    <w:rsid w:val="006900C9"/>
    <w:rsid w:val="00690795"/>
    <w:rsid w:val="00691648"/>
    <w:rsid w:val="006917D7"/>
    <w:rsid w:val="00692271"/>
    <w:rsid w:val="00693ED7"/>
    <w:rsid w:val="006941F0"/>
    <w:rsid w:val="00694289"/>
    <w:rsid w:val="0069434C"/>
    <w:rsid w:val="00694CFF"/>
    <w:rsid w:val="00694F44"/>
    <w:rsid w:val="0069510B"/>
    <w:rsid w:val="00695A65"/>
    <w:rsid w:val="00696F51"/>
    <w:rsid w:val="00697025"/>
    <w:rsid w:val="00697432"/>
    <w:rsid w:val="006979A5"/>
    <w:rsid w:val="006A1064"/>
    <w:rsid w:val="006A13AB"/>
    <w:rsid w:val="006A1B8A"/>
    <w:rsid w:val="006A2073"/>
    <w:rsid w:val="006A2CD7"/>
    <w:rsid w:val="006A67AB"/>
    <w:rsid w:val="006A69C3"/>
    <w:rsid w:val="006A6A71"/>
    <w:rsid w:val="006A6B99"/>
    <w:rsid w:val="006A6CF9"/>
    <w:rsid w:val="006A7211"/>
    <w:rsid w:val="006A7798"/>
    <w:rsid w:val="006A7E5F"/>
    <w:rsid w:val="006A7FB2"/>
    <w:rsid w:val="006B1BAD"/>
    <w:rsid w:val="006B23A6"/>
    <w:rsid w:val="006B261B"/>
    <w:rsid w:val="006B2C90"/>
    <w:rsid w:val="006B3420"/>
    <w:rsid w:val="006B35E6"/>
    <w:rsid w:val="006B3BAE"/>
    <w:rsid w:val="006B465A"/>
    <w:rsid w:val="006B4E38"/>
    <w:rsid w:val="006B5422"/>
    <w:rsid w:val="006B6DD0"/>
    <w:rsid w:val="006B734D"/>
    <w:rsid w:val="006C0399"/>
    <w:rsid w:val="006C1153"/>
    <w:rsid w:val="006C1749"/>
    <w:rsid w:val="006C1D2C"/>
    <w:rsid w:val="006C1D82"/>
    <w:rsid w:val="006C2A8E"/>
    <w:rsid w:val="006C3255"/>
    <w:rsid w:val="006C3F26"/>
    <w:rsid w:val="006C4983"/>
    <w:rsid w:val="006C4BAA"/>
    <w:rsid w:val="006C4EE0"/>
    <w:rsid w:val="006C55C5"/>
    <w:rsid w:val="006C7BCE"/>
    <w:rsid w:val="006C7D95"/>
    <w:rsid w:val="006D0D17"/>
    <w:rsid w:val="006D0D1A"/>
    <w:rsid w:val="006D0D28"/>
    <w:rsid w:val="006D0D8D"/>
    <w:rsid w:val="006D1276"/>
    <w:rsid w:val="006D1584"/>
    <w:rsid w:val="006D3892"/>
    <w:rsid w:val="006D3C7D"/>
    <w:rsid w:val="006D4659"/>
    <w:rsid w:val="006D5330"/>
    <w:rsid w:val="006D5D5F"/>
    <w:rsid w:val="006D63AB"/>
    <w:rsid w:val="006D68FB"/>
    <w:rsid w:val="006D7CC1"/>
    <w:rsid w:val="006E0CD8"/>
    <w:rsid w:val="006E150A"/>
    <w:rsid w:val="006E2437"/>
    <w:rsid w:val="006E27EC"/>
    <w:rsid w:val="006E2868"/>
    <w:rsid w:val="006E4081"/>
    <w:rsid w:val="006E4288"/>
    <w:rsid w:val="006E4F0C"/>
    <w:rsid w:val="006E57FA"/>
    <w:rsid w:val="006F0189"/>
    <w:rsid w:val="006F01C8"/>
    <w:rsid w:val="006F0BB2"/>
    <w:rsid w:val="006F1783"/>
    <w:rsid w:val="006F1FD2"/>
    <w:rsid w:val="006F270F"/>
    <w:rsid w:val="006F2D3C"/>
    <w:rsid w:val="006F306C"/>
    <w:rsid w:val="006F4DE6"/>
    <w:rsid w:val="006F5D36"/>
    <w:rsid w:val="006F63A5"/>
    <w:rsid w:val="00700E60"/>
    <w:rsid w:val="0070142B"/>
    <w:rsid w:val="00701A0B"/>
    <w:rsid w:val="00701B90"/>
    <w:rsid w:val="00701C0D"/>
    <w:rsid w:val="0070232D"/>
    <w:rsid w:val="0070276E"/>
    <w:rsid w:val="0070284B"/>
    <w:rsid w:val="007028C5"/>
    <w:rsid w:val="00702AE0"/>
    <w:rsid w:val="00702F8F"/>
    <w:rsid w:val="00703518"/>
    <w:rsid w:val="007044C8"/>
    <w:rsid w:val="00704EE2"/>
    <w:rsid w:val="007058E0"/>
    <w:rsid w:val="00706D17"/>
    <w:rsid w:val="007079FC"/>
    <w:rsid w:val="00707DDB"/>
    <w:rsid w:val="00707E78"/>
    <w:rsid w:val="00711108"/>
    <w:rsid w:val="00711485"/>
    <w:rsid w:val="00711609"/>
    <w:rsid w:val="0071160C"/>
    <w:rsid w:val="00711A36"/>
    <w:rsid w:val="00711D44"/>
    <w:rsid w:val="00712E3E"/>
    <w:rsid w:val="007134FB"/>
    <w:rsid w:val="00713EE9"/>
    <w:rsid w:val="007140B7"/>
    <w:rsid w:val="00714783"/>
    <w:rsid w:val="00714C26"/>
    <w:rsid w:val="007151D6"/>
    <w:rsid w:val="0071529C"/>
    <w:rsid w:val="00715876"/>
    <w:rsid w:val="007164BA"/>
    <w:rsid w:val="007170DA"/>
    <w:rsid w:val="007172AD"/>
    <w:rsid w:val="00717583"/>
    <w:rsid w:val="007177E2"/>
    <w:rsid w:val="007200A1"/>
    <w:rsid w:val="00720346"/>
    <w:rsid w:val="00720801"/>
    <w:rsid w:val="0072257D"/>
    <w:rsid w:val="00722B1B"/>
    <w:rsid w:val="007238AA"/>
    <w:rsid w:val="00723C84"/>
    <w:rsid w:val="0072416F"/>
    <w:rsid w:val="007261D8"/>
    <w:rsid w:val="00726CDC"/>
    <w:rsid w:val="00727C94"/>
    <w:rsid w:val="00727F81"/>
    <w:rsid w:val="00730E78"/>
    <w:rsid w:val="00731B0A"/>
    <w:rsid w:val="00731EAE"/>
    <w:rsid w:val="00733073"/>
    <w:rsid w:val="007330EE"/>
    <w:rsid w:val="00734712"/>
    <w:rsid w:val="007349B4"/>
    <w:rsid w:val="00734D0F"/>
    <w:rsid w:val="00734F2E"/>
    <w:rsid w:val="00734F77"/>
    <w:rsid w:val="00735033"/>
    <w:rsid w:val="00735328"/>
    <w:rsid w:val="0073553B"/>
    <w:rsid w:val="00735694"/>
    <w:rsid w:val="0073674B"/>
    <w:rsid w:val="0073685B"/>
    <w:rsid w:val="00737BC5"/>
    <w:rsid w:val="0074001D"/>
    <w:rsid w:val="0074032C"/>
    <w:rsid w:val="00740642"/>
    <w:rsid w:val="00740D25"/>
    <w:rsid w:val="00741659"/>
    <w:rsid w:val="0074233F"/>
    <w:rsid w:val="007423E8"/>
    <w:rsid w:val="0074261C"/>
    <w:rsid w:val="00742B16"/>
    <w:rsid w:val="00742FF7"/>
    <w:rsid w:val="00743686"/>
    <w:rsid w:val="00743CDB"/>
    <w:rsid w:val="007449BF"/>
    <w:rsid w:val="007449EB"/>
    <w:rsid w:val="007450B3"/>
    <w:rsid w:val="007455BF"/>
    <w:rsid w:val="007466AA"/>
    <w:rsid w:val="00746BC0"/>
    <w:rsid w:val="0075027A"/>
    <w:rsid w:val="00751046"/>
    <w:rsid w:val="007510B4"/>
    <w:rsid w:val="00751605"/>
    <w:rsid w:val="00752142"/>
    <w:rsid w:val="007523F9"/>
    <w:rsid w:val="00752474"/>
    <w:rsid w:val="00752662"/>
    <w:rsid w:val="0075357E"/>
    <w:rsid w:val="00753E7A"/>
    <w:rsid w:val="00753ED1"/>
    <w:rsid w:val="00753F65"/>
    <w:rsid w:val="007550DD"/>
    <w:rsid w:val="007561FD"/>
    <w:rsid w:val="00756369"/>
    <w:rsid w:val="007566B6"/>
    <w:rsid w:val="007573E8"/>
    <w:rsid w:val="007575BE"/>
    <w:rsid w:val="00757620"/>
    <w:rsid w:val="0076013C"/>
    <w:rsid w:val="00760996"/>
    <w:rsid w:val="00760C4E"/>
    <w:rsid w:val="00760C91"/>
    <w:rsid w:val="00760F9E"/>
    <w:rsid w:val="007614E8"/>
    <w:rsid w:val="00761559"/>
    <w:rsid w:val="00761DD5"/>
    <w:rsid w:val="007627BE"/>
    <w:rsid w:val="007630FF"/>
    <w:rsid w:val="00763494"/>
    <w:rsid w:val="00763611"/>
    <w:rsid w:val="00763E7B"/>
    <w:rsid w:val="00764CA7"/>
    <w:rsid w:val="00764F03"/>
    <w:rsid w:val="007653B6"/>
    <w:rsid w:val="00765B1A"/>
    <w:rsid w:val="00766099"/>
    <w:rsid w:val="00766654"/>
    <w:rsid w:val="00767691"/>
    <w:rsid w:val="007676B2"/>
    <w:rsid w:val="00767984"/>
    <w:rsid w:val="0077097E"/>
    <w:rsid w:val="00770A8B"/>
    <w:rsid w:val="00771083"/>
    <w:rsid w:val="007715D3"/>
    <w:rsid w:val="00771ECA"/>
    <w:rsid w:val="0077289A"/>
    <w:rsid w:val="007730CB"/>
    <w:rsid w:val="007734C2"/>
    <w:rsid w:val="00773699"/>
    <w:rsid w:val="007739BD"/>
    <w:rsid w:val="00773FD7"/>
    <w:rsid w:val="007748E3"/>
    <w:rsid w:val="0077494A"/>
    <w:rsid w:val="00776264"/>
    <w:rsid w:val="007766D7"/>
    <w:rsid w:val="00776C62"/>
    <w:rsid w:val="00776CE9"/>
    <w:rsid w:val="00777335"/>
    <w:rsid w:val="00777F5E"/>
    <w:rsid w:val="0078093B"/>
    <w:rsid w:val="00781979"/>
    <w:rsid w:val="00783167"/>
    <w:rsid w:val="0078331B"/>
    <w:rsid w:val="00783EEF"/>
    <w:rsid w:val="0078414F"/>
    <w:rsid w:val="007843F2"/>
    <w:rsid w:val="00785220"/>
    <w:rsid w:val="007854E8"/>
    <w:rsid w:val="00785940"/>
    <w:rsid w:val="00785A9F"/>
    <w:rsid w:val="00786787"/>
    <w:rsid w:val="00786A5C"/>
    <w:rsid w:val="007873B6"/>
    <w:rsid w:val="00787C60"/>
    <w:rsid w:val="00787F86"/>
    <w:rsid w:val="007909DB"/>
    <w:rsid w:val="00790B2B"/>
    <w:rsid w:val="00790BF0"/>
    <w:rsid w:val="00790C3C"/>
    <w:rsid w:val="00791503"/>
    <w:rsid w:val="007916D1"/>
    <w:rsid w:val="007925DF"/>
    <w:rsid w:val="00795070"/>
    <w:rsid w:val="00796490"/>
    <w:rsid w:val="00796600"/>
    <w:rsid w:val="0079677F"/>
    <w:rsid w:val="007968D5"/>
    <w:rsid w:val="007969DB"/>
    <w:rsid w:val="00797078"/>
    <w:rsid w:val="007A002B"/>
    <w:rsid w:val="007A0637"/>
    <w:rsid w:val="007A08AA"/>
    <w:rsid w:val="007A0A12"/>
    <w:rsid w:val="007A0AFD"/>
    <w:rsid w:val="007A1237"/>
    <w:rsid w:val="007A132D"/>
    <w:rsid w:val="007A1345"/>
    <w:rsid w:val="007A1477"/>
    <w:rsid w:val="007A2510"/>
    <w:rsid w:val="007A2A34"/>
    <w:rsid w:val="007A2DDB"/>
    <w:rsid w:val="007A39F1"/>
    <w:rsid w:val="007A4169"/>
    <w:rsid w:val="007A4813"/>
    <w:rsid w:val="007A70BA"/>
    <w:rsid w:val="007B0D68"/>
    <w:rsid w:val="007B1152"/>
    <w:rsid w:val="007B251D"/>
    <w:rsid w:val="007B2878"/>
    <w:rsid w:val="007B2A4D"/>
    <w:rsid w:val="007B4F58"/>
    <w:rsid w:val="007B528D"/>
    <w:rsid w:val="007B5DDD"/>
    <w:rsid w:val="007B63CA"/>
    <w:rsid w:val="007B6DC2"/>
    <w:rsid w:val="007B77D1"/>
    <w:rsid w:val="007B7A67"/>
    <w:rsid w:val="007C02F3"/>
    <w:rsid w:val="007C07C7"/>
    <w:rsid w:val="007C105F"/>
    <w:rsid w:val="007C1134"/>
    <w:rsid w:val="007C1CD9"/>
    <w:rsid w:val="007C2F41"/>
    <w:rsid w:val="007C32EF"/>
    <w:rsid w:val="007C3429"/>
    <w:rsid w:val="007C361D"/>
    <w:rsid w:val="007C3A29"/>
    <w:rsid w:val="007C4B84"/>
    <w:rsid w:val="007C5AEE"/>
    <w:rsid w:val="007C671C"/>
    <w:rsid w:val="007C70FF"/>
    <w:rsid w:val="007C7C25"/>
    <w:rsid w:val="007D004F"/>
    <w:rsid w:val="007D0B38"/>
    <w:rsid w:val="007D2AAC"/>
    <w:rsid w:val="007D2DF4"/>
    <w:rsid w:val="007D34B9"/>
    <w:rsid w:val="007D3539"/>
    <w:rsid w:val="007D3710"/>
    <w:rsid w:val="007D3BA2"/>
    <w:rsid w:val="007D5440"/>
    <w:rsid w:val="007D5864"/>
    <w:rsid w:val="007D5D28"/>
    <w:rsid w:val="007D69EB"/>
    <w:rsid w:val="007D79B6"/>
    <w:rsid w:val="007D7A51"/>
    <w:rsid w:val="007E0105"/>
    <w:rsid w:val="007E0736"/>
    <w:rsid w:val="007E074D"/>
    <w:rsid w:val="007E0A46"/>
    <w:rsid w:val="007E128F"/>
    <w:rsid w:val="007E16F6"/>
    <w:rsid w:val="007E25B7"/>
    <w:rsid w:val="007E2950"/>
    <w:rsid w:val="007E2FAD"/>
    <w:rsid w:val="007E33E8"/>
    <w:rsid w:val="007E4DA4"/>
    <w:rsid w:val="007E5471"/>
    <w:rsid w:val="007E577C"/>
    <w:rsid w:val="007E5DD2"/>
    <w:rsid w:val="007E742B"/>
    <w:rsid w:val="007E75E9"/>
    <w:rsid w:val="007F06BA"/>
    <w:rsid w:val="007F1017"/>
    <w:rsid w:val="007F222D"/>
    <w:rsid w:val="007F3351"/>
    <w:rsid w:val="007F36C2"/>
    <w:rsid w:val="007F3E92"/>
    <w:rsid w:val="007F4A3F"/>
    <w:rsid w:val="007F4A61"/>
    <w:rsid w:val="007F5255"/>
    <w:rsid w:val="007F54BD"/>
    <w:rsid w:val="007F56CC"/>
    <w:rsid w:val="007F5A3F"/>
    <w:rsid w:val="007F5C73"/>
    <w:rsid w:val="007F61C2"/>
    <w:rsid w:val="007F7600"/>
    <w:rsid w:val="007F7767"/>
    <w:rsid w:val="008001FB"/>
    <w:rsid w:val="00801058"/>
    <w:rsid w:val="0080170E"/>
    <w:rsid w:val="008028E0"/>
    <w:rsid w:val="00802AEE"/>
    <w:rsid w:val="00804AA1"/>
    <w:rsid w:val="008050F9"/>
    <w:rsid w:val="00805142"/>
    <w:rsid w:val="0080567F"/>
    <w:rsid w:val="00805FCE"/>
    <w:rsid w:val="0080632F"/>
    <w:rsid w:val="00806DE8"/>
    <w:rsid w:val="00807A8B"/>
    <w:rsid w:val="008104AE"/>
    <w:rsid w:val="00811383"/>
    <w:rsid w:val="00811386"/>
    <w:rsid w:val="00812007"/>
    <w:rsid w:val="00812149"/>
    <w:rsid w:val="00812CAC"/>
    <w:rsid w:val="0081355E"/>
    <w:rsid w:val="00814CE0"/>
    <w:rsid w:val="00816361"/>
    <w:rsid w:val="0081636E"/>
    <w:rsid w:val="008166EF"/>
    <w:rsid w:val="00816A91"/>
    <w:rsid w:val="00816FEF"/>
    <w:rsid w:val="00820436"/>
    <w:rsid w:val="008208C0"/>
    <w:rsid w:val="00820A66"/>
    <w:rsid w:val="00820A8C"/>
    <w:rsid w:val="00821543"/>
    <w:rsid w:val="008215EE"/>
    <w:rsid w:val="008215FB"/>
    <w:rsid w:val="00823174"/>
    <w:rsid w:val="008245B4"/>
    <w:rsid w:val="00825751"/>
    <w:rsid w:val="008262B2"/>
    <w:rsid w:val="008264EB"/>
    <w:rsid w:val="00826A1C"/>
    <w:rsid w:val="00826D1F"/>
    <w:rsid w:val="00827E09"/>
    <w:rsid w:val="0083062D"/>
    <w:rsid w:val="0083101D"/>
    <w:rsid w:val="008317D0"/>
    <w:rsid w:val="00831975"/>
    <w:rsid w:val="0083254F"/>
    <w:rsid w:val="00832869"/>
    <w:rsid w:val="00832C71"/>
    <w:rsid w:val="008336AE"/>
    <w:rsid w:val="00833B05"/>
    <w:rsid w:val="00834D98"/>
    <w:rsid w:val="00835121"/>
    <w:rsid w:val="008352A9"/>
    <w:rsid w:val="00835314"/>
    <w:rsid w:val="00835FDF"/>
    <w:rsid w:val="008362B4"/>
    <w:rsid w:val="00836516"/>
    <w:rsid w:val="008367D2"/>
    <w:rsid w:val="00836B04"/>
    <w:rsid w:val="00836D82"/>
    <w:rsid w:val="00837950"/>
    <w:rsid w:val="00840045"/>
    <w:rsid w:val="00840CA2"/>
    <w:rsid w:val="00841550"/>
    <w:rsid w:val="00841C2D"/>
    <w:rsid w:val="00842207"/>
    <w:rsid w:val="0084341F"/>
    <w:rsid w:val="0084374F"/>
    <w:rsid w:val="00843819"/>
    <w:rsid w:val="008440B6"/>
    <w:rsid w:val="00844A22"/>
    <w:rsid w:val="008462CE"/>
    <w:rsid w:val="00847703"/>
    <w:rsid w:val="008477C2"/>
    <w:rsid w:val="00847973"/>
    <w:rsid w:val="00847DF5"/>
    <w:rsid w:val="0085089F"/>
    <w:rsid w:val="008510AA"/>
    <w:rsid w:val="0085151F"/>
    <w:rsid w:val="0085170B"/>
    <w:rsid w:val="00851A92"/>
    <w:rsid w:val="00851E67"/>
    <w:rsid w:val="008521F8"/>
    <w:rsid w:val="00852E64"/>
    <w:rsid w:val="0085309D"/>
    <w:rsid w:val="008531A0"/>
    <w:rsid w:val="0085378D"/>
    <w:rsid w:val="008542CC"/>
    <w:rsid w:val="00855300"/>
    <w:rsid w:val="00855328"/>
    <w:rsid w:val="008556C4"/>
    <w:rsid w:val="00856897"/>
    <w:rsid w:val="00856E9A"/>
    <w:rsid w:val="00857D23"/>
    <w:rsid w:val="0086075D"/>
    <w:rsid w:val="008612BF"/>
    <w:rsid w:val="0086134A"/>
    <w:rsid w:val="00861FCA"/>
    <w:rsid w:val="008621F4"/>
    <w:rsid w:val="00862502"/>
    <w:rsid w:val="00862776"/>
    <w:rsid w:val="00862CC1"/>
    <w:rsid w:val="00863695"/>
    <w:rsid w:val="00863D0C"/>
    <w:rsid w:val="0086512E"/>
    <w:rsid w:val="008652CD"/>
    <w:rsid w:val="008660D4"/>
    <w:rsid w:val="008666F4"/>
    <w:rsid w:val="008677DE"/>
    <w:rsid w:val="008710BF"/>
    <w:rsid w:val="00871FA9"/>
    <w:rsid w:val="008728E9"/>
    <w:rsid w:val="00872EFC"/>
    <w:rsid w:val="008731E8"/>
    <w:rsid w:val="00873293"/>
    <w:rsid w:val="008737DD"/>
    <w:rsid w:val="00873ACF"/>
    <w:rsid w:val="00875C20"/>
    <w:rsid w:val="00876DA1"/>
    <w:rsid w:val="008773E6"/>
    <w:rsid w:val="008775E5"/>
    <w:rsid w:val="00880ADF"/>
    <w:rsid w:val="00880E34"/>
    <w:rsid w:val="00880F84"/>
    <w:rsid w:val="008811E4"/>
    <w:rsid w:val="008816E1"/>
    <w:rsid w:val="00882874"/>
    <w:rsid w:val="00882E3C"/>
    <w:rsid w:val="00883787"/>
    <w:rsid w:val="008837C8"/>
    <w:rsid w:val="00884579"/>
    <w:rsid w:val="008848A6"/>
    <w:rsid w:val="00884CBD"/>
    <w:rsid w:val="008855E4"/>
    <w:rsid w:val="00885847"/>
    <w:rsid w:val="0088589E"/>
    <w:rsid w:val="00886144"/>
    <w:rsid w:val="008863C6"/>
    <w:rsid w:val="00886CD2"/>
    <w:rsid w:val="00891170"/>
    <w:rsid w:val="00891E6F"/>
    <w:rsid w:val="00892119"/>
    <w:rsid w:val="0089275D"/>
    <w:rsid w:val="00892A36"/>
    <w:rsid w:val="00893239"/>
    <w:rsid w:val="00894489"/>
    <w:rsid w:val="008947D2"/>
    <w:rsid w:val="00894DDA"/>
    <w:rsid w:val="008963A5"/>
    <w:rsid w:val="0089665E"/>
    <w:rsid w:val="00896D5D"/>
    <w:rsid w:val="00897BF2"/>
    <w:rsid w:val="00897CC4"/>
    <w:rsid w:val="008A083E"/>
    <w:rsid w:val="008A0987"/>
    <w:rsid w:val="008A09E0"/>
    <w:rsid w:val="008A110B"/>
    <w:rsid w:val="008A134B"/>
    <w:rsid w:val="008A3363"/>
    <w:rsid w:val="008A3371"/>
    <w:rsid w:val="008A3500"/>
    <w:rsid w:val="008A3788"/>
    <w:rsid w:val="008A38F6"/>
    <w:rsid w:val="008A3C3E"/>
    <w:rsid w:val="008A3F6C"/>
    <w:rsid w:val="008A4DA6"/>
    <w:rsid w:val="008A4E29"/>
    <w:rsid w:val="008A4E2E"/>
    <w:rsid w:val="008A5CD9"/>
    <w:rsid w:val="008A6049"/>
    <w:rsid w:val="008A6D32"/>
    <w:rsid w:val="008A79DE"/>
    <w:rsid w:val="008B06B5"/>
    <w:rsid w:val="008B0B34"/>
    <w:rsid w:val="008B1161"/>
    <w:rsid w:val="008B155A"/>
    <w:rsid w:val="008B1757"/>
    <w:rsid w:val="008B18D1"/>
    <w:rsid w:val="008B1D74"/>
    <w:rsid w:val="008B2A25"/>
    <w:rsid w:val="008B2E61"/>
    <w:rsid w:val="008B395C"/>
    <w:rsid w:val="008B4A72"/>
    <w:rsid w:val="008B7992"/>
    <w:rsid w:val="008B7D7E"/>
    <w:rsid w:val="008C0663"/>
    <w:rsid w:val="008C0F8F"/>
    <w:rsid w:val="008C174F"/>
    <w:rsid w:val="008C3C7B"/>
    <w:rsid w:val="008C4534"/>
    <w:rsid w:val="008C5610"/>
    <w:rsid w:val="008C5739"/>
    <w:rsid w:val="008C6B24"/>
    <w:rsid w:val="008C7CEE"/>
    <w:rsid w:val="008C7ECB"/>
    <w:rsid w:val="008D0DAD"/>
    <w:rsid w:val="008D163D"/>
    <w:rsid w:val="008D29F4"/>
    <w:rsid w:val="008D3758"/>
    <w:rsid w:val="008D3B86"/>
    <w:rsid w:val="008D4755"/>
    <w:rsid w:val="008D4C3D"/>
    <w:rsid w:val="008D5B97"/>
    <w:rsid w:val="008D6BF3"/>
    <w:rsid w:val="008D743C"/>
    <w:rsid w:val="008D7C72"/>
    <w:rsid w:val="008E0D3C"/>
    <w:rsid w:val="008E11D7"/>
    <w:rsid w:val="008E1764"/>
    <w:rsid w:val="008E1B3B"/>
    <w:rsid w:val="008E1B9E"/>
    <w:rsid w:val="008E1D87"/>
    <w:rsid w:val="008E220F"/>
    <w:rsid w:val="008E22B0"/>
    <w:rsid w:val="008E2366"/>
    <w:rsid w:val="008E280E"/>
    <w:rsid w:val="008E2D11"/>
    <w:rsid w:val="008E35B6"/>
    <w:rsid w:val="008E473A"/>
    <w:rsid w:val="008E4A35"/>
    <w:rsid w:val="008E4DA9"/>
    <w:rsid w:val="008E53A5"/>
    <w:rsid w:val="008E554B"/>
    <w:rsid w:val="008E55AB"/>
    <w:rsid w:val="008E573D"/>
    <w:rsid w:val="008E5870"/>
    <w:rsid w:val="008E5A58"/>
    <w:rsid w:val="008F03F0"/>
    <w:rsid w:val="008F0ED8"/>
    <w:rsid w:val="008F120A"/>
    <w:rsid w:val="008F15D4"/>
    <w:rsid w:val="008F27E0"/>
    <w:rsid w:val="008F2F9C"/>
    <w:rsid w:val="008F34DE"/>
    <w:rsid w:val="008F3DEA"/>
    <w:rsid w:val="008F3F3F"/>
    <w:rsid w:val="008F4892"/>
    <w:rsid w:val="008F48EB"/>
    <w:rsid w:val="008F4B73"/>
    <w:rsid w:val="008F4F0B"/>
    <w:rsid w:val="008F550F"/>
    <w:rsid w:val="008F595A"/>
    <w:rsid w:val="008F7023"/>
    <w:rsid w:val="008F7635"/>
    <w:rsid w:val="008F7E93"/>
    <w:rsid w:val="00900007"/>
    <w:rsid w:val="009003F6"/>
    <w:rsid w:val="00901618"/>
    <w:rsid w:val="00902C2D"/>
    <w:rsid w:val="009032F4"/>
    <w:rsid w:val="00903DB4"/>
    <w:rsid w:val="00904320"/>
    <w:rsid w:val="009044EC"/>
    <w:rsid w:val="009046C4"/>
    <w:rsid w:val="009058C6"/>
    <w:rsid w:val="009062A5"/>
    <w:rsid w:val="00906C33"/>
    <w:rsid w:val="009074E9"/>
    <w:rsid w:val="00910A1E"/>
    <w:rsid w:val="00910FA7"/>
    <w:rsid w:val="00911272"/>
    <w:rsid w:val="00911984"/>
    <w:rsid w:val="009134A4"/>
    <w:rsid w:val="009135D6"/>
    <w:rsid w:val="00913E5B"/>
    <w:rsid w:val="00914026"/>
    <w:rsid w:val="009140EF"/>
    <w:rsid w:val="009149EF"/>
    <w:rsid w:val="00914C77"/>
    <w:rsid w:val="00915FD6"/>
    <w:rsid w:val="00917740"/>
    <w:rsid w:val="009214C3"/>
    <w:rsid w:val="00921ACB"/>
    <w:rsid w:val="00921D7B"/>
    <w:rsid w:val="0092225F"/>
    <w:rsid w:val="009230D7"/>
    <w:rsid w:val="0092369B"/>
    <w:rsid w:val="00923788"/>
    <w:rsid w:val="00923C61"/>
    <w:rsid w:val="009248C8"/>
    <w:rsid w:val="009269B1"/>
    <w:rsid w:val="00926CE7"/>
    <w:rsid w:val="00926EA2"/>
    <w:rsid w:val="00930D17"/>
    <w:rsid w:val="00932653"/>
    <w:rsid w:val="009328F1"/>
    <w:rsid w:val="00933447"/>
    <w:rsid w:val="00933BFD"/>
    <w:rsid w:val="00934988"/>
    <w:rsid w:val="009361B5"/>
    <w:rsid w:val="00937089"/>
    <w:rsid w:val="00937566"/>
    <w:rsid w:val="0094111C"/>
    <w:rsid w:val="00942DDE"/>
    <w:rsid w:val="00944CDC"/>
    <w:rsid w:val="00944F8A"/>
    <w:rsid w:val="00945794"/>
    <w:rsid w:val="00945B19"/>
    <w:rsid w:val="009460A3"/>
    <w:rsid w:val="00947746"/>
    <w:rsid w:val="00947883"/>
    <w:rsid w:val="009510A2"/>
    <w:rsid w:val="009514E4"/>
    <w:rsid w:val="00953257"/>
    <w:rsid w:val="0095335A"/>
    <w:rsid w:val="00953A10"/>
    <w:rsid w:val="0095474C"/>
    <w:rsid w:val="00961319"/>
    <w:rsid w:val="00961EC5"/>
    <w:rsid w:val="00962CB9"/>
    <w:rsid w:val="009635E5"/>
    <w:rsid w:val="00963F96"/>
    <w:rsid w:val="00964312"/>
    <w:rsid w:val="0096484E"/>
    <w:rsid w:val="009648E0"/>
    <w:rsid w:val="00964B13"/>
    <w:rsid w:val="00965B8A"/>
    <w:rsid w:val="00966F22"/>
    <w:rsid w:val="00967A24"/>
    <w:rsid w:val="00967C32"/>
    <w:rsid w:val="009701A8"/>
    <w:rsid w:val="00970616"/>
    <w:rsid w:val="0097071F"/>
    <w:rsid w:val="00970AAB"/>
    <w:rsid w:val="009712E3"/>
    <w:rsid w:val="009717AC"/>
    <w:rsid w:val="009717D4"/>
    <w:rsid w:val="00972457"/>
    <w:rsid w:val="00972CF0"/>
    <w:rsid w:val="00972E00"/>
    <w:rsid w:val="00972EC2"/>
    <w:rsid w:val="009751C1"/>
    <w:rsid w:val="00975E26"/>
    <w:rsid w:val="00975EF4"/>
    <w:rsid w:val="009772F7"/>
    <w:rsid w:val="009775D3"/>
    <w:rsid w:val="00980F4B"/>
    <w:rsid w:val="009811F1"/>
    <w:rsid w:val="00982037"/>
    <w:rsid w:val="00983E57"/>
    <w:rsid w:val="009852B0"/>
    <w:rsid w:val="00985890"/>
    <w:rsid w:val="00985DE2"/>
    <w:rsid w:val="0098675D"/>
    <w:rsid w:val="00986C9A"/>
    <w:rsid w:val="00986EB0"/>
    <w:rsid w:val="00990386"/>
    <w:rsid w:val="00990901"/>
    <w:rsid w:val="00990E1C"/>
    <w:rsid w:val="0099169C"/>
    <w:rsid w:val="00992111"/>
    <w:rsid w:val="00992184"/>
    <w:rsid w:val="009926E0"/>
    <w:rsid w:val="00992D53"/>
    <w:rsid w:val="00992EE5"/>
    <w:rsid w:val="00993ACE"/>
    <w:rsid w:val="009941CD"/>
    <w:rsid w:val="00994318"/>
    <w:rsid w:val="0099451E"/>
    <w:rsid w:val="009954EE"/>
    <w:rsid w:val="00995A7E"/>
    <w:rsid w:val="00995C48"/>
    <w:rsid w:val="009963D5"/>
    <w:rsid w:val="00996B1A"/>
    <w:rsid w:val="0099702A"/>
    <w:rsid w:val="00997D74"/>
    <w:rsid w:val="009A010B"/>
    <w:rsid w:val="009A0928"/>
    <w:rsid w:val="009A0C95"/>
    <w:rsid w:val="009A102A"/>
    <w:rsid w:val="009A1523"/>
    <w:rsid w:val="009A211F"/>
    <w:rsid w:val="009A2DCC"/>
    <w:rsid w:val="009A2E3C"/>
    <w:rsid w:val="009A3069"/>
    <w:rsid w:val="009A325A"/>
    <w:rsid w:val="009A3305"/>
    <w:rsid w:val="009A347F"/>
    <w:rsid w:val="009A507D"/>
    <w:rsid w:val="009A52B7"/>
    <w:rsid w:val="009A5ABC"/>
    <w:rsid w:val="009A5D25"/>
    <w:rsid w:val="009A66FA"/>
    <w:rsid w:val="009A67EB"/>
    <w:rsid w:val="009A739A"/>
    <w:rsid w:val="009A7488"/>
    <w:rsid w:val="009A7F10"/>
    <w:rsid w:val="009B077D"/>
    <w:rsid w:val="009B1955"/>
    <w:rsid w:val="009B2765"/>
    <w:rsid w:val="009B2AF1"/>
    <w:rsid w:val="009B2BA6"/>
    <w:rsid w:val="009B3182"/>
    <w:rsid w:val="009B3AD1"/>
    <w:rsid w:val="009B3E26"/>
    <w:rsid w:val="009B5476"/>
    <w:rsid w:val="009B5AF5"/>
    <w:rsid w:val="009B5F40"/>
    <w:rsid w:val="009B60E0"/>
    <w:rsid w:val="009B62EA"/>
    <w:rsid w:val="009B7B49"/>
    <w:rsid w:val="009C0C92"/>
    <w:rsid w:val="009C2477"/>
    <w:rsid w:val="009C35AE"/>
    <w:rsid w:val="009C3706"/>
    <w:rsid w:val="009C3A3A"/>
    <w:rsid w:val="009C3D9B"/>
    <w:rsid w:val="009C4FFB"/>
    <w:rsid w:val="009C5AC4"/>
    <w:rsid w:val="009C6821"/>
    <w:rsid w:val="009C689F"/>
    <w:rsid w:val="009C6CEA"/>
    <w:rsid w:val="009C7B85"/>
    <w:rsid w:val="009D0254"/>
    <w:rsid w:val="009D1A64"/>
    <w:rsid w:val="009D2BC9"/>
    <w:rsid w:val="009D2F5A"/>
    <w:rsid w:val="009D4606"/>
    <w:rsid w:val="009D4CCA"/>
    <w:rsid w:val="009D57BE"/>
    <w:rsid w:val="009D5B91"/>
    <w:rsid w:val="009D674A"/>
    <w:rsid w:val="009D6C75"/>
    <w:rsid w:val="009D6E97"/>
    <w:rsid w:val="009D792E"/>
    <w:rsid w:val="009E06B4"/>
    <w:rsid w:val="009E0DFE"/>
    <w:rsid w:val="009E0EC6"/>
    <w:rsid w:val="009E2B90"/>
    <w:rsid w:val="009E31F6"/>
    <w:rsid w:val="009E3E40"/>
    <w:rsid w:val="009E4BAB"/>
    <w:rsid w:val="009E4C07"/>
    <w:rsid w:val="009E5743"/>
    <w:rsid w:val="009E6D8B"/>
    <w:rsid w:val="009E72F1"/>
    <w:rsid w:val="009E75F7"/>
    <w:rsid w:val="009E7A8A"/>
    <w:rsid w:val="009E7F25"/>
    <w:rsid w:val="009F050D"/>
    <w:rsid w:val="009F0FFB"/>
    <w:rsid w:val="009F135D"/>
    <w:rsid w:val="009F16C2"/>
    <w:rsid w:val="009F192B"/>
    <w:rsid w:val="009F2B36"/>
    <w:rsid w:val="009F3DA0"/>
    <w:rsid w:val="009F5A11"/>
    <w:rsid w:val="009F5C05"/>
    <w:rsid w:val="009F669A"/>
    <w:rsid w:val="009F743A"/>
    <w:rsid w:val="00A006B0"/>
    <w:rsid w:val="00A01184"/>
    <w:rsid w:val="00A019E6"/>
    <w:rsid w:val="00A022F6"/>
    <w:rsid w:val="00A037C2"/>
    <w:rsid w:val="00A03D43"/>
    <w:rsid w:val="00A04380"/>
    <w:rsid w:val="00A05236"/>
    <w:rsid w:val="00A05472"/>
    <w:rsid w:val="00A057BA"/>
    <w:rsid w:val="00A058A1"/>
    <w:rsid w:val="00A05C32"/>
    <w:rsid w:val="00A05C92"/>
    <w:rsid w:val="00A0653F"/>
    <w:rsid w:val="00A065BB"/>
    <w:rsid w:val="00A07A00"/>
    <w:rsid w:val="00A07A94"/>
    <w:rsid w:val="00A07B80"/>
    <w:rsid w:val="00A07C72"/>
    <w:rsid w:val="00A102F8"/>
    <w:rsid w:val="00A10559"/>
    <w:rsid w:val="00A11167"/>
    <w:rsid w:val="00A11CD0"/>
    <w:rsid w:val="00A11ED5"/>
    <w:rsid w:val="00A126C7"/>
    <w:rsid w:val="00A128CF"/>
    <w:rsid w:val="00A129B0"/>
    <w:rsid w:val="00A12F95"/>
    <w:rsid w:val="00A130FE"/>
    <w:rsid w:val="00A1310E"/>
    <w:rsid w:val="00A131B0"/>
    <w:rsid w:val="00A13948"/>
    <w:rsid w:val="00A13B3F"/>
    <w:rsid w:val="00A1438D"/>
    <w:rsid w:val="00A14876"/>
    <w:rsid w:val="00A14C6C"/>
    <w:rsid w:val="00A14EE9"/>
    <w:rsid w:val="00A1555B"/>
    <w:rsid w:val="00A155C5"/>
    <w:rsid w:val="00A16AD8"/>
    <w:rsid w:val="00A17080"/>
    <w:rsid w:val="00A17FCD"/>
    <w:rsid w:val="00A219F0"/>
    <w:rsid w:val="00A21C95"/>
    <w:rsid w:val="00A21CF3"/>
    <w:rsid w:val="00A21D85"/>
    <w:rsid w:val="00A22145"/>
    <w:rsid w:val="00A22B99"/>
    <w:rsid w:val="00A23609"/>
    <w:rsid w:val="00A24421"/>
    <w:rsid w:val="00A2447B"/>
    <w:rsid w:val="00A24813"/>
    <w:rsid w:val="00A251A0"/>
    <w:rsid w:val="00A25C1B"/>
    <w:rsid w:val="00A25D9F"/>
    <w:rsid w:val="00A27024"/>
    <w:rsid w:val="00A27AEC"/>
    <w:rsid w:val="00A308EB"/>
    <w:rsid w:val="00A310D1"/>
    <w:rsid w:val="00A320DB"/>
    <w:rsid w:val="00A32FE4"/>
    <w:rsid w:val="00A33A05"/>
    <w:rsid w:val="00A34F32"/>
    <w:rsid w:val="00A34FB8"/>
    <w:rsid w:val="00A35D16"/>
    <w:rsid w:val="00A3633D"/>
    <w:rsid w:val="00A37307"/>
    <w:rsid w:val="00A37BCD"/>
    <w:rsid w:val="00A37C57"/>
    <w:rsid w:val="00A37F12"/>
    <w:rsid w:val="00A41638"/>
    <w:rsid w:val="00A41689"/>
    <w:rsid w:val="00A41AFE"/>
    <w:rsid w:val="00A41F65"/>
    <w:rsid w:val="00A42443"/>
    <w:rsid w:val="00A42475"/>
    <w:rsid w:val="00A42592"/>
    <w:rsid w:val="00A431F6"/>
    <w:rsid w:val="00A432BE"/>
    <w:rsid w:val="00A433E4"/>
    <w:rsid w:val="00A4360C"/>
    <w:rsid w:val="00A43B83"/>
    <w:rsid w:val="00A43C59"/>
    <w:rsid w:val="00A46043"/>
    <w:rsid w:val="00A46927"/>
    <w:rsid w:val="00A46C60"/>
    <w:rsid w:val="00A472C1"/>
    <w:rsid w:val="00A4762A"/>
    <w:rsid w:val="00A50842"/>
    <w:rsid w:val="00A50ECD"/>
    <w:rsid w:val="00A511F2"/>
    <w:rsid w:val="00A5134F"/>
    <w:rsid w:val="00A518F3"/>
    <w:rsid w:val="00A5210A"/>
    <w:rsid w:val="00A52729"/>
    <w:rsid w:val="00A52877"/>
    <w:rsid w:val="00A5345F"/>
    <w:rsid w:val="00A53675"/>
    <w:rsid w:val="00A53F53"/>
    <w:rsid w:val="00A5465E"/>
    <w:rsid w:val="00A54FF0"/>
    <w:rsid w:val="00A554B0"/>
    <w:rsid w:val="00A564D7"/>
    <w:rsid w:val="00A56660"/>
    <w:rsid w:val="00A56B6A"/>
    <w:rsid w:val="00A576D5"/>
    <w:rsid w:val="00A578DC"/>
    <w:rsid w:val="00A57938"/>
    <w:rsid w:val="00A57C6A"/>
    <w:rsid w:val="00A6012A"/>
    <w:rsid w:val="00A60997"/>
    <w:rsid w:val="00A60BE2"/>
    <w:rsid w:val="00A6180A"/>
    <w:rsid w:val="00A61F58"/>
    <w:rsid w:val="00A636AB"/>
    <w:rsid w:val="00A63AD4"/>
    <w:rsid w:val="00A640E2"/>
    <w:rsid w:val="00A64D65"/>
    <w:rsid w:val="00A64E88"/>
    <w:rsid w:val="00A64EB5"/>
    <w:rsid w:val="00A6517A"/>
    <w:rsid w:val="00A655C5"/>
    <w:rsid w:val="00A65CC9"/>
    <w:rsid w:val="00A665BA"/>
    <w:rsid w:val="00A665EC"/>
    <w:rsid w:val="00A669B8"/>
    <w:rsid w:val="00A6725B"/>
    <w:rsid w:val="00A676B3"/>
    <w:rsid w:val="00A70350"/>
    <w:rsid w:val="00A70605"/>
    <w:rsid w:val="00A71474"/>
    <w:rsid w:val="00A720A4"/>
    <w:rsid w:val="00A73134"/>
    <w:rsid w:val="00A73807"/>
    <w:rsid w:val="00A74067"/>
    <w:rsid w:val="00A740C5"/>
    <w:rsid w:val="00A7493D"/>
    <w:rsid w:val="00A7552F"/>
    <w:rsid w:val="00A75DE4"/>
    <w:rsid w:val="00A76001"/>
    <w:rsid w:val="00A77488"/>
    <w:rsid w:val="00A777B2"/>
    <w:rsid w:val="00A77D95"/>
    <w:rsid w:val="00A8107D"/>
    <w:rsid w:val="00A81A30"/>
    <w:rsid w:val="00A81AE5"/>
    <w:rsid w:val="00A82521"/>
    <w:rsid w:val="00A825D4"/>
    <w:rsid w:val="00A828F6"/>
    <w:rsid w:val="00A82B73"/>
    <w:rsid w:val="00A82B7C"/>
    <w:rsid w:val="00A833CF"/>
    <w:rsid w:val="00A841D3"/>
    <w:rsid w:val="00A84B0E"/>
    <w:rsid w:val="00A85582"/>
    <w:rsid w:val="00A860E6"/>
    <w:rsid w:val="00A86B66"/>
    <w:rsid w:val="00A86E8B"/>
    <w:rsid w:val="00A87164"/>
    <w:rsid w:val="00A902FC"/>
    <w:rsid w:val="00A90EA4"/>
    <w:rsid w:val="00A91BD0"/>
    <w:rsid w:val="00A93072"/>
    <w:rsid w:val="00A938BD"/>
    <w:rsid w:val="00A93953"/>
    <w:rsid w:val="00A94DBD"/>
    <w:rsid w:val="00A95737"/>
    <w:rsid w:val="00A959D8"/>
    <w:rsid w:val="00A968AC"/>
    <w:rsid w:val="00A96ED5"/>
    <w:rsid w:val="00A973A1"/>
    <w:rsid w:val="00A97455"/>
    <w:rsid w:val="00A97700"/>
    <w:rsid w:val="00A97712"/>
    <w:rsid w:val="00A97AE8"/>
    <w:rsid w:val="00AA0519"/>
    <w:rsid w:val="00AA0728"/>
    <w:rsid w:val="00AA113D"/>
    <w:rsid w:val="00AA2AAC"/>
    <w:rsid w:val="00AA2FD4"/>
    <w:rsid w:val="00AA3E7A"/>
    <w:rsid w:val="00AA410E"/>
    <w:rsid w:val="00AA4BAF"/>
    <w:rsid w:val="00AA4D61"/>
    <w:rsid w:val="00AA6BD5"/>
    <w:rsid w:val="00AA6BD8"/>
    <w:rsid w:val="00AA6C7D"/>
    <w:rsid w:val="00AA79E2"/>
    <w:rsid w:val="00AA7FD6"/>
    <w:rsid w:val="00AB042A"/>
    <w:rsid w:val="00AB0B05"/>
    <w:rsid w:val="00AB19EF"/>
    <w:rsid w:val="00AB1CC2"/>
    <w:rsid w:val="00AB2353"/>
    <w:rsid w:val="00AB2D34"/>
    <w:rsid w:val="00AB3430"/>
    <w:rsid w:val="00AB37B9"/>
    <w:rsid w:val="00AB4AD1"/>
    <w:rsid w:val="00AB5766"/>
    <w:rsid w:val="00AB5E07"/>
    <w:rsid w:val="00AB658E"/>
    <w:rsid w:val="00AB76F7"/>
    <w:rsid w:val="00AB7CFA"/>
    <w:rsid w:val="00AC0553"/>
    <w:rsid w:val="00AC07D2"/>
    <w:rsid w:val="00AC0A6E"/>
    <w:rsid w:val="00AC0ECF"/>
    <w:rsid w:val="00AC1BAF"/>
    <w:rsid w:val="00AC2068"/>
    <w:rsid w:val="00AC24E1"/>
    <w:rsid w:val="00AC318F"/>
    <w:rsid w:val="00AC4EB5"/>
    <w:rsid w:val="00AC4FBF"/>
    <w:rsid w:val="00AC5893"/>
    <w:rsid w:val="00AC5B48"/>
    <w:rsid w:val="00AC5DE2"/>
    <w:rsid w:val="00AC6CD6"/>
    <w:rsid w:val="00AC737A"/>
    <w:rsid w:val="00AC798F"/>
    <w:rsid w:val="00AC7C0F"/>
    <w:rsid w:val="00AD025A"/>
    <w:rsid w:val="00AD0293"/>
    <w:rsid w:val="00AD090A"/>
    <w:rsid w:val="00AD1450"/>
    <w:rsid w:val="00AD1531"/>
    <w:rsid w:val="00AD18CF"/>
    <w:rsid w:val="00AD1CE7"/>
    <w:rsid w:val="00AD2BE6"/>
    <w:rsid w:val="00AD4449"/>
    <w:rsid w:val="00AD4EF9"/>
    <w:rsid w:val="00AD5BDB"/>
    <w:rsid w:val="00AD6502"/>
    <w:rsid w:val="00AD75A3"/>
    <w:rsid w:val="00AD77A2"/>
    <w:rsid w:val="00AE03C1"/>
    <w:rsid w:val="00AE059A"/>
    <w:rsid w:val="00AE0695"/>
    <w:rsid w:val="00AE0E41"/>
    <w:rsid w:val="00AE1480"/>
    <w:rsid w:val="00AE1809"/>
    <w:rsid w:val="00AE3721"/>
    <w:rsid w:val="00AE3E7E"/>
    <w:rsid w:val="00AE42DF"/>
    <w:rsid w:val="00AE5646"/>
    <w:rsid w:val="00AE566D"/>
    <w:rsid w:val="00AE5D6E"/>
    <w:rsid w:val="00AE6762"/>
    <w:rsid w:val="00AE6E7C"/>
    <w:rsid w:val="00AE72E3"/>
    <w:rsid w:val="00AE7935"/>
    <w:rsid w:val="00AE7AE5"/>
    <w:rsid w:val="00AE7B0D"/>
    <w:rsid w:val="00AE7F17"/>
    <w:rsid w:val="00AF1315"/>
    <w:rsid w:val="00AF19BF"/>
    <w:rsid w:val="00AF29A5"/>
    <w:rsid w:val="00AF2DC3"/>
    <w:rsid w:val="00AF4319"/>
    <w:rsid w:val="00AF57CA"/>
    <w:rsid w:val="00AF6862"/>
    <w:rsid w:val="00AF6E6E"/>
    <w:rsid w:val="00AF768F"/>
    <w:rsid w:val="00B007BB"/>
    <w:rsid w:val="00B00BF5"/>
    <w:rsid w:val="00B01171"/>
    <w:rsid w:val="00B012FE"/>
    <w:rsid w:val="00B01F62"/>
    <w:rsid w:val="00B02E5E"/>
    <w:rsid w:val="00B02F0F"/>
    <w:rsid w:val="00B02FEF"/>
    <w:rsid w:val="00B033E5"/>
    <w:rsid w:val="00B037B6"/>
    <w:rsid w:val="00B03A63"/>
    <w:rsid w:val="00B03B4A"/>
    <w:rsid w:val="00B04D00"/>
    <w:rsid w:val="00B057ED"/>
    <w:rsid w:val="00B06262"/>
    <w:rsid w:val="00B07027"/>
    <w:rsid w:val="00B071AD"/>
    <w:rsid w:val="00B1041C"/>
    <w:rsid w:val="00B10A8A"/>
    <w:rsid w:val="00B111D3"/>
    <w:rsid w:val="00B11B2E"/>
    <w:rsid w:val="00B12156"/>
    <w:rsid w:val="00B1245C"/>
    <w:rsid w:val="00B1490D"/>
    <w:rsid w:val="00B149E7"/>
    <w:rsid w:val="00B15D52"/>
    <w:rsid w:val="00B167FC"/>
    <w:rsid w:val="00B16C48"/>
    <w:rsid w:val="00B16D8E"/>
    <w:rsid w:val="00B17463"/>
    <w:rsid w:val="00B17AF0"/>
    <w:rsid w:val="00B17CAD"/>
    <w:rsid w:val="00B201A4"/>
    <w:rsid w:val="00B201D1"/>
    <w:rsid w:val="00B21047"/>
    <w:rsid w:val="00B213A6"/>
    <w:rsid w:val="00B22F9D"/>
    <w:rsid w:val="00B23102"/>
    <w:rsid w:val="00B235B0"/>
    <w:rsid w:val="00B23ADF"/>
    <w:rsid w:val="00B24DF6"/>
    <w:rsid w:val="00B26B4A"/>
    <w:rsid w:val="00B27B6D"/>
    <w:rsid w:val="00B27C78"/>
    <w:rsid w:val="00B300E5"/>
    <w:rsid w:val="00B30149"/>
    <w:rsid w:val="00B311A8"/>
    <w:rsid w:val="00B32544"/>
    <w:rsid w:val="00B3343E"/>
    <w:rsid w:val="00B34FE2"/>
    <w:rsid w:val="00B35166"/>
    <w:rsid w:val="00B357D8"/>
    <w:rsid w:val="00B35AA0"/>
    <w:rsid w:val="00B360F4"/>
    <w:rsid w:val="00B36A00"/>
    <w:rsid w:val="00B37BFC"/>
    <w:rsid w:val="00B40358"/>
    <w:rsid w:val="00B407EC"/>
    <w:rsid w:val="00B408A6"/>
    <w:rsid w:val="00B40FF8"/>
    <w:rsid w:val="00B41614"/>
    <w:rsid w:val="00B41A53"/>
    <w:rsid w:val="00B42804"/>
    <w:rsid w:val="00B42851"/>
    <w:rsid w:val="00B42F80"/>
    <w:rsid w:val="00B435CB"/>
    <w:rsid w:val="00B43D99"/>
    <w:rsid w:val="00B44644"/>
    <w:rsid w:val="00B44D17"/>
    <w:rsid w:val="00B45406"/>
    <w:rsid w:val="00B47965"/>
    <w:rsid w:val="00B47C07"/>
    <w:rsid w:val="00B47CF8"/>
    <w:rsid w:val="00B505C8"/>
    <w:rsid w:val="00B507EE"/>
    <w:rsid w:val="00B50DB8"/>
    <w:rsid w:val="00B512CB"/>
    <w:rsid w:val="00B52128"/>
    <w:rsid w:val="00B53654"/>
    <w:rsid w:val="00B5370F"/>
    <w:rsid w:val="00B53905"/>
    <w:rsid w:val="00B54B5B"/>
    <w:rsid w:val="00B5562E"/>
    <w:rsid w:val="00B55D1B"/>
    <w:rsid w:val="00B55D65"/>
    <w:rsid w:val="00B56376"/>
    <w:rsid w:val="00B57000"/>
    <w:rsid w:val="00B5789E"/>
    <w:rsid w:val="00B6011A"/>
    <w:rsid w:val="00B60939"/>
    <w:rsid w:val="00B60AFD"/>
    <w:rsid w:val="00B62715"/>
    <w:rsid w:val="00B62747"/>
    <w:rsid w:val="00B627FF"/>
    <w:rsid w:val="00B62DED"/>
    <w:rsid w:val="00B6320A"/>
    <w:rsid w:val="00B63C74"/>
    <w:rsid w:val="00B63DE7"/>
    <w:rsid w:val="00B652F6"/>
    <w:rsid w:val="00B65611"/>
    <w:rsid w:val="00B700CA"/>
    <w:rsid w:val="00B70E57"/>
    <w:rsid w:val="00B70E8E"/>
    <w:rsid w:val="00B7138A"/>
    <w:rsid w:val="00B7274E"/>
    <w:rsid w:val="00B72EAB"/>
    <w:rsid w:val="00B733C4"/>
    <w:rsid w:val="00B744A7"/>
    <w:rsid w:val="00B74C15"/>
    <w:rsid w:val="00B74C64"/>
    <w:rsid w:val="00B751CD"/>
    <w:rsid w:val="00B7524C"/>
    <w:rsid w:val="00B758FE"/>
    <w:rsid w:val="00B76C92"/>
    <w:rsid w:val="00B77523"/>
    <w:rsid w:val="00B775C4"/>
    <w:rsid w:val="00B77F7A"/>
    <w:rsid w:val="00B80955"/>
    <w:rsid w:val="00B80D0F"/>
    <w:rsid w:val="00B81509"/>
    <w:rsid w:val="00B817B7"/>
    <w:rsid w:val="00B818A4"/>
    <w:rsid w:val="00B84117"/>
    <w:rsid w:val="00B84898"/>
    <w:rsid w:val="00B849ED"/>
    <w:rsid w:val="00B84A4F"/>
    <w:rsid w:val="00B858F0"/>
    <w:rsid w:val="00B85AA2"/>
    <w:rsid w:val="00B86276"/>
    <w:rsid w:val="00B8649C"/>
    <w:rsid w:val="00B8695D"/>
    <w:rsid w:val="00B86DBD"/>
    <w:rsid w:val="00B8723F"/>
    <w:rsid w:val="00B87F0A"/>
    <w:rsid w:val="00B91355"/>
    <w:rsid w:val="00B91399"/>
    <w:rsid w:val="00B91586"/>
    <w:rsid w:val="00B91BB8"/>
    <w:rsid w:val="00B92374"/>
    <w:rsid w:val="00B92D0B"/>
    <w:rsid w:val="00B93A07"/>
    <w:rsid w:val="00B94036"/>
    <w:rsid w:val="00B94945"/>
    <w:rsid w:val="00B94C5E"/>
    <w:rsid w:val="00B94DC9"/>
    <w:rsid w:val="00B94DD6"/>
    <w:rsid w:val="00B94E82"/>
    <w:rsid w:val="00B95437"/>
    <w:rsid w:val="00B95CF4"/>
    <w:rsid w:val="00B972E4"/>
    <w:rsid w:val="00B97B2C"/>
    <w:rsid w:val="00B97BB1"/>
    <w:rsid w:val="00BA23DA"/>
    <w:rsid w:val="00BA2E05"/>
    <w:rsid w:val="00BA2FF6"/>
    <w:rsid w:val="00BA322D"/>
    <w:rsid w:val="00BA3757"/>
    <w:rsid w:val="00BA45FD"/>
    <w:rsid w:val="00BA5EC5"/>
    <w:rsid w:val="00BA63FA"/>
    <w:rsid w:val="00BA64D0"/>
    <w:rsid w:val="00BA6CC7"/>
    <w:rsid w:val="00BA6D20"/>
    <w:rsid w:val="00BA6FC2"/>
    <w:rsid w:val="00BA74E2"/>
    <w:rsid w:val="00BA75A0"/>
    <w:rsid w:val="00BB00B3"/>
    <w:rsid w:val="00BB0397"/>
    <w:rsid w:val="00BB0455"/>
    <w:rsid w:val="00BB0BDD"/>
    <w:rsid w:val="00BB1498"/>
    <w:rsid w:val="00BB176C"/>
    <w:rsid w:val="00BB1925"/>
    <w:rsid w:val="00BB2A73"/>
    <w:rsid w:val="00BB32A4"/>
    <w:rsid w:val="00BB3A45"/>
    <w:rsid w:val="00BB4ACC"/>
    <w:rsid w:val="00BB5127"/>
    <w:rsid w:val="00BB694B"/>
    <w:rsid w:val="00BB6B96"/>
    <w:rsid w:val="00BB6D20"/>
    <w:rsid w:val="00BB6DDC"/>
    <w:rsid w:val="00BB703E"/>
    <w:rsid w:val="00BB732D"/>
    <w:rsid w:val="00BB7405"/>
    <w:rsid w:val="00BC06BA"/>
    <w:rsid w:val="00BC28F9"/>
    <w:rsid w:val="00BC3479"/>
    <w:rsid w:val="00BC3631"/>
    <w:rsid w:val="00BC4CBA"/>
    <w:rsid w:val="00BC591F"/>
    <w:rsid w:val="00BC5DF6"/>
    <w:rsid w:val="00BC5EA8"/>
    <w:rsid w:val="00BC6142"/>
    <w:rsid w:val="00BC7B88"/>
    <w:rsid w:val="00BC7D6D"/>
    <w:rsid w:val="00BD0886"/>
    <w:rsid w:val="00BD0DD9"/>
    <w:rsid w:val="00BD1019"/>
    <w:rsid w:val="00BD1EEE"/>
    <w:rsid w:val="00BD2108"/>
    <w:rsid w:val="00BD2263"/>
    <w:rsid w:val="00BD26B4"/>
    <w:rsid w:val="00BD2C59"/>
    <w:rsid w:val="00BD5494"/>
    <w:rsid w:val="00BD574D"/>
    <w:rsid w:val="00BD5D77"/>
    <w:rsid w:val="00BD68A3"/>
    <w:rsid w:val="00BD6938"/>
    <w:rsid w:val="00BD693B"/>
    <w:rsid w:val="00BD6CF3"/>
    <w:rsid w:val="00BD7B27"/>
    <w:rsid w:val="00BE009F"/>
    <w:rsid w:val="00BE0ECA"/>
    <w:rsid w:val="00BE1152"/>
    <w:rsid w:val="00BE2180"/>
    <w:rsid w:val="00BE21F2"/>
    <w:rsid w:val="00BE2A03"/>
    <w:rsid w:val="00BE4275"/>
    <w:rsid w:val="00BE43E1"/>
    <w:rsid w:val="00BE596D"/>
    <w:rsid w:val="00BE6B59"/>
    <w:rsid w:val="00BE73F1"/>
    <w:rsid w:val="00BE7835"/>
    <w:rsid w:val="00BE7A49"/>
    <w:rsid w:val="00BE7B5F"/>
    <w:rsid w:val="00BE7FB9"/>
    <w:rsid w:val="00BF0095"/>
    <w:rsid w:val="00BF06AE"/>
    <w:rsid w:val="00BF0A39"/>
    <w:rsid w:val="00BF0E68"/>
    <w:rsid w:val="00BF0EBF"/>
    <w:rsid w:val="00BF0F95"/>
    <w:rsid w:val="00BF2433"/>
    <w:rsid w:val="00BF2EF3"/>
    <w:rsid w:val="00BF3355"/>
    <w:rsid w:val="00BF61C9"/>
    <w:rsid w:val="00BF6C94"/>
    <w:rsid w:val="00BF71A8"/>
    <w:rsid w:val="00C00424"/>
    <w:rsid w:val="00C02805"/>
    <w:rsid w:val="00C030D2"/>
    <w:rsid w:val="00C03D08"/>
    <w:rsid w:val="00C03E8A"/>
    <w:rsid w:val="00C044EE"/>
    <w:rsid w:val="00C045D6"/>
    <w:rsid w:val="00C04DF4"/>
    <w:rsid w:val="00C052EA"/>
    <w:rsid w:val="00C058C3"/>
    <w:rsid w:val="00C067B5"/>
    <w:rsid w:val="00C07434"/>
    <w:rsid w:val="00C078AB"/>
    <w:rsid w:val="00C07FC3"/>
    <w:rsid w:val="00C10178"/>
    <w:rsid w:val="00C1179F"/>
    <w:rsid w:val="00C1183A"/>
    <w:rsid w:val="00C11AE9"/>
    <w:rsid w:val="00C12C14"/>
    <w:rsid w:val="00C13D3F"/>
    <w:rsid w:val="00C14B12"/>
    <w:rsid w:val="00C15F04"/>
    <w:rsid w:val="00C16079"/>
    <w:rsid w:val="00C16090"/>
    <w:rsid w:val="00C16412"/>
    <w:rsid w:val="00C16522"/>
    <w:rsid w:val="00C17859"/>
    <w:rsid w:val="00C179B3"/>
    <w:rsid w:val="00C17E3F"/>
    <w:rsid w:val="00C200AA"/>
    <w:rsid w:val="00C2083D"/>
    <w:rsid w:val="00C21212"/>
    <w:rsid w:val="00C22867"/>
    <w:rsid w:val="00C22B9C"/>
    <w:rsid w:val="00C237ED"/>
    <w:rsid w:val="00C23F07"/>
    <w:rsid w:val="00C24632"/>
    <w:rsid w:val="00C24914"/>
    <w:rsid w:val="00C25418"/>
    <w:rsid w:val="00C259BA"/>
    <w:rsid w:val="00C25D9C"/>
    <w:rsid w:val="00C26B25"/>
    <w:rsid w:val="00C27063"/>
    <w:rsid w:val="00C272ED"/>
    <w:rsid w:val="00C2778B"/>
    <w:rsid w:val="00C278A6"/>
    <w:rsid w:val="00C27A24"/>
    <w:rsid w:val="00C307AE"/>
    <w:rsid w:val="00C31322"/>
    <w:rsid w:val="00C31649"/>
    <w:rsid w:val="00C323A9"/>
    <w:rsid w:val="00C32FFE"/>
    <w:rsid w:val="00C3368F"/>
    <w:rsid w:val="00C33987"/>
    <w:rsid w:val="00C3434C"/>
    <w:rsid w:val="00C344E4"/>
    <w:rsid w:val="00C35D11"/>
    <w:rsid w:val="00C35DF2"/>
    <w:rsid w:val="00C36E91"/>
    <w:rsid w:val="00C37617"/>
    <w:rsid w:val="00C40385"/>
    <w:rsid w:val="00C40496"/>
    <w:rsid w:val="00C41768"/>
    <w:rsid w:val="00C41FCD"/>
    <w:rsid w:val="00C4273E"/>
    <w:rsid w:val="00C42999"/>
    <w:rsid w:val="00C42CBE"/>
    <w:rsid w:val="00C43464"/>
    <w:rsid w:val="00C445F6"/>
    <w:rsid w:val="00C4546C"/>
    <w:rsid w:val="00C45974"/>
    <w:rsid w:val="00C472FC"/>
    <w:rsid w:val="00C475AA"/>
    <w:rsid w:val="00C477D8"/>
    <w:rsid w:val="00C47AE6"/>
    <w:rsid w:val="00C47CE1"/>
    <w:rsid w:val="00C47F55"/>
    <w:rsid w:val="00C50007"/>
    <w:rsid w:val="00C50DFF"/>
    <w:rsid w:val="00C51133"/>
    <w:rsid w:val="00C51214"/>
    <w:rsid w:val="00C51708"/>
    <w:rsid w:val="00C518F1"/>
    <w:rsid w:val="00C52977"/>
    <w:rsid w:val="00C5305B"/>
    <w:rsid w:val="00C53C98"/>
    <w:rsid w:val="00C54481"/>
    <w:rsid w:val="00C544E5"/>
    <w:rsid w:val="00C55BFC"/>
    <w:rsid w:val="00C56A3F"/>
    <w:rsid w:val="00C56FCF"/>
    <w:rsid w:val="00C5702E"/>
    <w:rsid w:val="00C57531"/>
    <w:rsid w:val="00C57B6C"/>
    <w:rsid w:val="00C605BC"/>
    <w:rsid w:val="00C606E4"/>
    <w:rsid w:val="00C60A9C"/>
    <w:rsid w:val="00C613F0"/>
    <w:rsid w:val="00C614CC"/>
    <w:rsid w:val="00C61609"/>
    <w:rsid w:val="00C623FC"/>
    <w:rsid w:val="00C628A6"/>
    <w:rsid w:val="00C64344"/>
    <w:rsid w:val="00C64B81"/>
    <w:rsid w:val="00C64E5E"/>
    <w:rsid w:val="00C65108"/>
    <w:rsid w:val="00C65576"/>
    <w:rsid w:val="00C65A48"/>
    <w:rsid w:val="00C65ABC"/>
    <w:rsid w:val="00C66165"/>
    <w:rsid w:val="00C661D6"/>
    <w:rsid w:val="00C6643C"/>
    <w:rsid w:val="00C6788C"/>
    <w:rsid w:val="00C6797C"/>
    <w:rsid w:val="00C7060A"/>
    <w:rsid w:val="00C71487"/>
    <w:rsid w:val="00C7151A"/>
    <w:rsid w:val="00C717E3"/>
    <w:rsid w:val="00C71E52"/>
    <w:rsid w:val="00C71F60"/>
    <w:rsid w:val="00C72241"/>
    <w:rsid w:val="00C733A3"/>
    <w:rsid w:val="00C735B9"/>
    <w:rsid w:val="00C73ADF"/>
    <w:rsid w:val="00C741FA"/>
    <w:rsid w:val="00C747E5"/>
    <w:rsid w:val="00C750C8"/>
    <w:rsid w:val="00C7560F"/>
    <w:rsid w:val="00C75E54"/>
    <w:rsid w:val="00C75E74"/>
    <w:rsid w:val="00C75EA0"/>
    <w:rsid w:val="00C75EA1"/>
    <w:rsid w:val="00C77D0F"/>
    <w:rsid w:val="00C80902"/>
    <w:rsid w:val="00C80962"/>
    <w:rsid w:val="00C80A0E"/>
    <w:rsid w:val="00C8133B"/>
    <w:rsid w:val="00C8213F"/>
    <w:rsid w:val="00C829DD"/>
    <w:rsid w:val="00C83C36"/>
    <w:rsid w:val="00C83E1E"/>
    <w:rsid w:val="00C846A0"/>
    <w:rsid w:val="00C84CD5"/>
    <w:rsid w:val="00C85154"/>
    <w:rsid w:val="00C85496"/>
    <w:rsid w:val="00C856F6"/>
    <w:rsid w:val="00C85E77"/>
    <w:rsid w:val="00C866C5"/>
    <w:rsid w:val="00C87456"/>
    <w:rsid w:val="00C8797A"/>
    <w:rsid w:val="00C87BA8"/>
    <w:rsid w:val="00C900B8"/>
    <w:rsid w:val="00C90533"/>
    <w:rsid w:val="00C90C71"/>
    <w:rsid w:val="00C91FD1"/>
    <w:rsid w:val="00C929E3"/>
    <w:rsid w:val="00C92CE0"/>
    <w:rsid w:val="00C931CF"/>
    <w:rsid w:val="00C931F0"/>
    <w:rsid w:val="00C938CF"/>
    <w:rsid w:val="00C93A76"/>
    <w:rsid w:val="00C94053"/>
    <w:rsid w:val="00C940C3"/>
    <w:rsid w:val="00C94111"/>
    <w:rsid w:val="00C94EE9"/>
    <w:rsid w:val="00C95BFC"/>
    <w:rsid w:val="00C9624D"/>
    <w:rsid w:val="00C969DA"/>
    <w:rsid w:val="00CA1914"/>
    <w:rsid w:val="00CA21F9"/>
    <w:rsid w:val="00CA2C1E"/>
    <w:rsid w:val="00CA2C77"/>
    <w:rsid w:val="00CA3C60"/>
    <w:rsid w:val="00CA444F"/>
    <w:rsid w:val="00CA5245"/>
    <w:rsid w:val="00CA5AAC"/>
    <w:rsid w:val="00CA71F4"/>
    <w:rsid w:val="00CA7538"/>
    <w:rsid w:val="00CA7B09"/>
    <w:rsid w:val="00CA7BF3"/>
    <w:rsid w:val="00CA7C75"/>
    <w:rsid w:val="00CB081B"/>
    <w:rsid w:val="00CB0926"/>
    <w:rsid w:val="00CB12A5"/>
    <w:rsid w:val="00CB1CAC"/>
    <w:rsid w:val="00CB1F68"/>
    <w:rsid w:val="00CB2661"/>
    <w:rsid w:val="00CB2D99"/>
    <w:rsid w:val="00CB2F2A"/>
    <w:rsid w:val="00CB4580"/>
    <w:rsid w:val="00CB49F7"/>
    <w:rsid w:val="00CB5974"/>
    <w:rsid w:val="00CB5B1A"/>
    <w:rsid w:val="00CB65DB"/>
    <w:rsid w:val="00CB6B22"/>
    <w:rsid w:val="00CB7088"/>
    <w:rsid w:val="00CB7F5F"/>
    <w:rsid w:val="00CC062D"/>
    <w:rsid w:val="00CC0CE8"/>
    <w:rsid w:val="00CC10DA"/>
    <w:rsid w:val="00CC1B39"/>
    <w:rsid w:val="00CC2086"/>
    <w:rsid w:val="00CC25A6"/>
    <w:rsid w:val="00CC27E1"/>
    <w:rsid w:val="00CC2A2E"/>
    <w:rsid w:val="00CC35EA"/>
    <w:rsid w:val="00CC3848"/>
    <w:rsid w:val="00CC3B6A"/>
    <w:rsid w:val="00CC6D69"/>
    <w:rsid w:val="00CC7888"/>
    <w:rsid w:val="00CC7A59"/>
    <w:rsid w:val="00CD08A8"/>
    <w:rsid w:val="00CD0B2E"/>
    <w:rsid w:val="00CD11FC"/>
    <w:rsid w:val="00CD1771"/>
    <w:rsid w:val="00CD1B39"/>
    <w:rsid w:val="00CD21EB"/>
    <w:rsid w:val="00CD284F"/>
    <w:rsid w:val="00CD3F77"/>
    <w:rsid w:val="00CD40CC"/>
    <w:rsid w:val="00CD5BF4"/>
    <w:rsid w:val="00CD6567"/>
    <w:rsid w:val="00CD6ADC"/>
    <w:rsid w:val="00CD7134"/>
    <w:rsid w:val="00CD7193"/>
    <w:rsid w:val="00CD7B3D"/>
    <w:rsid w:val="00CE0784"/>
    <w:rsid w:val="00CE084E"/>
    <w:rsid w:val="00CE10EE"/>
    <w:rsid w:val="00CE1C05"/>
    <w:rsid w:val="00CE2910"/>
    <w:rsid w:val="00CE2F54"/>
    <w:rsid w:val="00CE38C8"/>
    <w:rsid w:val="00CE3BDF"/>
    <w:rsid w:val="00CE563E"/>
    <w:rsid w:val="00CE6274"/>
    <w:rsid w:val="00CE6D8F"/>
    <w:rsid w:val="00CE7435"/>
    <w:rsid w:val="00CE77B6"/>
    <w:rsid w:val="00CE7ADC"/>
    <w:rsid w:val="00CE7BCA"/>
    <w:rsid w:val="00CF00DA"/>
    <w:rsid w:val="00CF0E2C"/>
    <w:rsid w:val="00CF1D6F"/>
    <w:rsid w:val="00CF2B8D"/>
    <w:rsid w:val="00CF3529"/>
    <w:rsid w:val="00CF456B"/>
    <w:rsid w:val="00CF463B"/>
    <w:rsid w:val="00CF5A22"/>
    <w:rsid w:val="00CF6425"/>
    <w:rsid w:val="00CF6CDB"/>
    <w:rsid w:val="00CF7C15"/>
    <w:rsid w:val="00CF7D68"/>
    <w:rsid w:val="00CF7E08"/>
    <w:rsid w:val="00CF7E13"/>
    <w:rsid w:val="00D004DB"/>
    <w:rsid w:val="00D009CE"/>
    <w:rsid w:val="00D00AA7"/>
    <w:rsid w:val="00D016A3"/>
    <w:rsid w:val="00D01B67"/>
    <w:rsid w:val="00D02139"/>
    <w:rsid w:val="00D02220"/>
    <w:rsid w:val="00D0262E"/>
    <w:rsid w:val="00D02DDD"/>
    <w:rsid w:val="00D02E0F"/>
    <w:rsid w:val="00D03CAD"/>
    <w:rsid w:val="00D04A17"/>
    <w:rsid w:val="00D05543"/>
    <w:rsid w:val="00D05A37"/>
    <w:rsid w:val="00D05E3D"/>
    <w:rsid w:val="00D06139"/>
    <w:rsid w:val="00D0724C"/>
    <w:rsid w:val="00D077BD"/>
    <w:rsid w:val="00D110BD"/>
    <w:rsid w:val="00D12292"/>
    <w:rsid w:val="00D12D2E"/>
    <w:rsid w:val="00D13675"/>
    <w:rsid w:val="00D141E1"/>
    <w:rsid w:val="00D1462C"/>
    <w:rsid w:val="00D14D01"/>
    <w:rsid w:val="00D15314"/>
    <w:rsid w:val="00D157EE"/>
    <w:rsid w:val="00D15885"/>
    <w:rsid w:val="00D15C4F"/>
    <w:rsid w:val="00D17D6C"/>
    <w:rsid w:val="00D17F57"/>
    <w:rsid w:val="00D209C7"/>
    <w:rsid w:val="00D2155B"/>
    <w:rsid w:val="00D221DE"/>
    <w:rsid w:val="00D227F4"/>
    <w:rsid w:val="00D22A28"/>
    <w:rsid w:val="00D233EB"/>
    <w:rsid w:val="00D236AF"/>
    <w:rsid w:val="00D2395E"/>
    <w:rsid w:val="00D23D11"/>
    <w:rsid w:val="00D244B6"/>
    <w:rsid w:val="00D2723E"/>
    <w:rsid w:val="00D2754D"/>
    <w:rsid w:val="00D27B27"/>
    <w:rsid w:val="00D31AF1"/>
    <w:rsid w:val="00D32494"/>
    <w:rsid w:val="00D32542"/>
    <w:rsid w:val="00D33BE9"/>
    <w:rsid w:val="00D33F2D"/>
    <w:rsid w:val="00D33F93"/>
    <w:rsid w:val="00D340FA"/>
    <w:rsid w:val="00D3459C"/>
    <w:rsid w:val="00D345EE"/>
    <w:rsid w:val="00D35038"/>
    <w:rsid w:val="00D357FF"/>
    <w:rsid w:val="00D40427"/>
    <w:rsid w:val="00D40B18"/>
    <w:rsid w:val="00D41812"/>
    <w:rsid w:val="00D41C5B"/>
    <w:rsid w:val="00D424C7"/>
    <w:rsid w:val="00D42AB9"/>
    <w:rsid w:val="00D42C74"/>
    <w:rsid w:val="00D43B2A"/>
    <w:rsid w:val="00D43D83"/>
    <w:rsid w:val="00D44B78"/>
    <w:rsid w:val="00D459FE"/>
    <w:rsid w:val="00D47575"/>
    <w:rsid w:val="00D500BE"/>
    <w:rsid w:val="00D5113C"/>
    <w:rsid w:val="00D5243B"/>
    <w:rsid w:val="00D52A70"/>
    <w:rsid w:val="00D52C6E"/>
    <w:rsid w:val="00D533EC"/>
    <w:rsid w:val="00D53C4F"/>
    <w:rsid w:val="00D55656"/>
    <w:rsid w:val="00D55738"/>
    <w:rsid w:val="00D56563"/>
    <w:rsid w:val="00D565AE"/>
    <w:rsid w:val="00D56721"/>
    <w:rsid w:val="00D569B7"/>
    <w:rsid w:val="00D569F2"/>
    <w:rsid w:val="00D56A95"/>
    <w:rsid w:val="00D56BA8"/>
    <w:rsid w:val="00D56FCB"/>
    <w:rsid w:val="00D57306"/>
    <w:rsid w:val="00D57D07"/>
    <w:rsid w:val="00D600FE"/>
    <w:rsid w:val="00D605BA"/>
    <w:rsid w:val="00D60673"/>
    <w:rsid w:val="00D606DF"/>
    <w:rsid w:val="00D61AF7"/>
    <w:rsid w:val="00D61E10"/>
    <w:rsid w:val="00D63878"/>
    <w:rsid w:val="00D638E4"/>
    <w:rsid w:val="00D63CA1"/>
    <w:rsid w:val="00D66416"/>
    <w:rsid w:val="00D70F16"/>
    <w:rsid w:val="00D72B64"/>
    <w:rsid w:val="00D72F57"/>
    <w:rsid w:val="00D73057"/>
    <w:rsid w:val="00D73603"/>
    <w:rsid w:val="00D74A9F"/>
    <w:rsid w:val="00D751C3"/>
    <w:rsid w:val="00D753B1"/>
    <w:rsid w:val="00D756F7"/>
    <w:rsid w:val="00D76402"/>
    <w:rsid w:val="00D76A44"/>
    <w:rsid w:val="00D76ACE"/>
    <w:rsid w:val="00D76B51"/>
    <w:rsid w:val="00D778E8"/>
    <w:rsid w:val="00D80061"/>
    <w:rsid w:val="00D8097C"/>
    <w:rsid w:val="00D80C59"/>
    <w:rsid w:val="00D811D7"/>
    <w:rsid w:val="00D815EF"/>
    <w:rsid w:val="00D81EFB"/>
    <w:rsid w:val="00D81F26"/>
    <w:rsid w:val="00D825B1"/>
    <w:rsid w:val="00D85636"/>
    <w:rsid w:val="00D85B26"/>
    <w:rsid w:val="00D86231"/>
    <w:rsid w:val="00D8626D"/>
    <w:rsid w:val="00D87446"/>
    <w:rsid w:val="00D9017F"/>
    <w:rsid w:val="00D90882"/>
    <w:rsid w:val="00D90F79"/>
    <w:rsid w:val="00D911E9"/>
    <w:rsid w:val="00D914B0"/>
    <w:rsid w:val="00D91923"/>
    <w:rsid w:val="00D922E3"/>
    <w:rsid w:val="00D9271E"/>
    <w:rsid w:val="00D93087"/>
    <w:rsid w:val="00D93753"/>
    <w:rsid w:val="00D947DF"/>
    <w:rsid w:val="00D94B59"/>
    <w:rsid w:val="00D94CBC"/>
    <w:rsid w:val="00D96E9D"/>
    <w:rsid w:val="00DA0F08"/>
    <w:rsid w:val="00DA268A"/>
    <w:rsid w:val="00DA3167"/>
    <w:rsid w:val="00DA39CB"/>
    <w:rsid w:val="00DA44DD"/>
    <w:rsid w:val="00DA4DC3"/>
    <w:rsid w:val="00DA52FC"/>
    <w:rsid w:val="00DA56E3"/>
    <w:rsid w:val="00DA77A5"/>
    <w:rsid w:val="00DB004B"/>
    <w:rsid w:val="00DB0349"/>
    <w:rsid w:val="00DB12A2"/>
    <w:rsid w:val="00DB12F8"/>
    <w:rsid w:val="00DB3780"/>
    <w:rsid w:val="00DB3991"/>
    <w:rsid w:val="00DB3A30"/>
    <w:rsid w:val="00DB3DBF"/>
    <w:rsid w:val="00DB484F"/>
    <w:rsid w:val="00DB6B8A"/>
    <w:rsid w:val="00DB6FC8"/>
    <w:rsid w:val="00DC016E"/>
    <w:rsid w:val="00DC04F6"/>
    <w:rsid w:val="00DC0690"/>
    <w:rsid w:val="00DC0B71"/>
    <w:rsid w:val="00DC1D65"/>
    <w:rsid w:val="00DC2495"/>
    <w:rsid w:val="00DC3463"/>
    <w:rsid w:val="00DC3C57"/>
    <w:rsid w:val="00DC4223"/>
    <w:rsid w:val="00DC445D"/>
    <w:rsid w:val="00DC45B5"/>
    <w:rsid w:val="00DC528A"/>
    <w:rsid w:val="00DC5340"/>
    <w:rsid w:val="00DC5501"/>
    <w:rsid w:val="00DC5A11"/>
    <w:rsid w:val="00DC67F2"/>
    <w:rsid w:val="00DC68C2"/>
    <w:rsid w:val="00DC68D4"/>
    <w:rsid w:val="00DC7154"/>
    <w:rsid w:val="00DC7E8A"/>
    <w:rsid w:val="00DD0F78"/>
    <w:rsid w:val="00DD1275"/>
    <w:rsid w:val="00DD18ED"/>
    <w:rsid w:val="00DD1BFA"/>
    <w:rsid w:val="00DD1D7F"/>
    <w:rsid w:val="00DD273C"/>
    <w:rsid w:val="00DD35D0"/>
    <w:rsid w:val="00DD3F28"/>
    <w:rsid w:val="00DD4537"/>
    <w:rsid w:val="00DD4903"/>
    <w:rsid w:val="00DD4E15"/>
    <w:rsid w:val="00DD5079"/>
    <w:rsid w:val="00DD63FA"/>
    <w:rsid w:val="00DD6EEF"/>
    <w:rsid w:val="00DD75D2"/>
    <w:rsid w:val="00DD7F56"/>
    <w:rsid w:val="00DE0C9D"/>
    <w:rsid w:val="00DE1A27"/>
    <w:rsid w:val="00DE2304"/>
    <w:rsid w:val="00DE2814"/>
    <w:rsid w:val="00DE2CDB"/>
    <w:rsid w:val="00DE3138"/>
    <w:rsid w:val="00DE333B"/>
    <w:rsid w:val="00DE37F8"/>
    <w:rsid w:val="00DE3E7D"/>
    <w:rsid w:val="00DE4000"/>
    <w:rsid w:val="00DE4072"/>
    <w:rsid w:val="00DE4790"/>
    <w:rsid w:val="00DE487C"/>
    <w:rsid w:val="00DE4FCB"/>
    <w:rsid w:val="00DE4FE6"/>
    <w:rsid w:val="00DE5D07"/>
    <w:rsid w:val="00DE5E67"/>
    <w:rsid w:val="00DE62BD"/>
    <w:rsid w:val="00DE6C0C"/>
    <w:rsid w:val="00DE72A7"/>
    <w:rsid w:val="00DE72D5"/>
    <w:rsid w:val="00DE777A"/>
    <w:rsid w:val="00DE7832"/>
    <w:rsid w:val="00DE7E1E"/>
    <w:rsid w:val="00DF158F"/>
    <w:rsid w:val="00DF17DA"/>
    <w:rsid w:val="00DF18FC"/>
    <w:rsid w:val="00DF1D39"/>
    <w:rsid w:val="00DF31D4"/>
    <w:rsid w:val="00DF3282"/>
    <w:rsid w:val="00DF3AA4"/>
    <w:rsid w:val="00DF3FC1"/>
    <w:rsid w:val="00DF4526"/>
    <w:rsid w:val="00DF4E69"/>
    <w:rsid w:val="00DF4E7F"/>
    <w:rsid w:val="00DF4EFB"/>
    <w:rsid w:val="00DF5D2B"/>
    <w:rsid w:val="00DF5D60"/>
    <w:rsid w:val="00DF60D5"/>
    <w:rsid w:val="00DF6EC8"/>
    <w:rsid w:val="00E008BC"/>
    <w:rsid w:val="00E00E8E"/>
    <w:rsid w:val="00E01D26"/>
    <w:rsid w:val="00E022AE"/>
    <w:rsid w:val="00E02E1E"/>
    <w:rsid w:val="00E02F9D"/>
    <w:rsid w:val="00E03D3C"/>
    <w:rsid w:val="00E047CF"/>
    <w:rsid w:val="00E04FEF"/>
    <w:rsid w:val="00E05630"/>
    <w:rsid w:val="00E069C5"/>
    <w:rsid w:val="00E06C09"/>
    <w:rsid w:val="00E06DBB"/>
    <w:rsid w:val="00E074AD"/>
    <w:rsid w:val="00E07B14"/>
    <w:rsid w:val="00E10149"/>
    <w:rsid w:val="00E105B1"/>
    <w:rsid w:val="00E10DE6"/>
    <w:rsid w:val="00E10F04"/>
    <w:rsid w:val="00E11340"/>
    <w:rsid w:val="00E122A1"/>
    <w:rsid w:val="00E1294E"/>
    <w:rsid w:val="00E129D5"/>
    <w:rsid w:val="00E13438"/>
    <w:rsid w:val="00E150DD"/>
    <w:rsid w:val="00E16372"/>
    <w:rsid w:val="00E17010"/>
    <w:rsid w:val="00E1778F"/>
    <w:rsid w:val="00E205B8"/>
    <w:rsid w:val="00E20E4D"/>
    <w:rsid w:val="00E20ED6"/>
    <w:rsid w:val="00E20F7C"/>
    <w:rsid w:val="00E2132A"/>
    <w:rsid w:val="00E21358"/>
    <w:rsid w:val="00E2249B"/>
    <w:rsid w:val="00E22A0D"/>
    <w:rsid w:val="00E237A6"/>
    <w:rsid w:val="00E244F6"/>
    <w:rsid w:val="00E25B26"/>
    <w:rsid w:val="00E263D3"/>
    <w:rsid w:val="00E2746F"/>
    <w:rsid w:val="00E2771E"/>
    <w:rsid w:val="00E3006E"/>
    <w:rsid w:val="00E300A2"/>
    <w:rsid w:val="00E308E7"/>
    <w:rsid w:val="00E311EF"/>
    <w:rsid w:val="00E32180"/>
    <w:rsid w:val="00E323DA"/>
    <w:rsid w:val="00E32BE2"/>
    <w:rsid w:val="00E340CC"/>
    <w:rsid w:val="00E34948"/>
    <w:rsid w:val="00E356AB"/>
    <w:rsid w:val="00E35D02"/>
    <w:rsid w:val="00E36498"/>
    <w:rsid w:val="00E36BA0"/>
    <w:rsid w:val="00E37569"/>
    <w:rsid w:val="00E37C06"/>
    <w:rsid w:val="00E401B2"/>
    <w:rsid w:val="00E402FD"/>
    <w:rsid w:val="00E40768"/>
    <w:rsid w:val="00E41E30"/>
    <w:rsid w:val="00E422D8"/>
    <w:rsid w:val="00E42DF4"/>
    <w:rsid w:val="00E42F73"/>
    <w:rsid w:val="00E435CB"/>
    <w:rsid w:val="00E43B0E"/>
    <w:rsid w:val="00E43D70"/>
    <w:rsid w:val="00E444EA"/>
    <w:rsid w:val="00E4474D"/>
    <w:rsid w:val="00E44FCC"/>
    <w:rsid w:val="00E450BF"/>
    <w:rsid w:val="00E466F3"/>
    <w:rsid w:val="00E47498"/>
    <w:rsid w:val="00E47690"/>
    <w:rsid w:val="00E47B2C"/>
    <w:rsid w:val="00E51560"/>
    <w:rsid w:val="00E52FF2"/>
    <w:rsid w:val="00E53C2D"/>
    <w:rsid w:val="00E53C95"/>
    <w:rsid w:val="00E53FC8"/>
    <w:rsid w:val="00E54347"/>
    <w:rsid w:val="00E55424"/>
    <w:rsid w:val="00E55915"/>
    <w:rsid w:val="00E559DB"/>
    <w:rsid w:val="00E55BB5"/>
    <w:rsid w:val="00E55DBD"/>
    <w:rsid w:val="00E560A6"/>
    <w:rsid w:val="00E57639"/>
    <w:rsid w:val="00E60A99"/>
    <w:rsid w:val="00E60EAB"/>
    <w:rsid w:val="00E614C6"/>
    <w:rsid w:val="00E6161B"/>
    <w:rsid w:val="00E61F7C"/>
    <w:rsid w:val="00E62A41"/>
    <w:rsid w:val="00E62F29"/>
    <w:rsid w:val="00E6327B"/>
    <w:rsid w:val="00E64613"/>
    <w:rsid w:val="00E65111"/>
    <w:rsid w:val="00E65264"/>
    <w:rsid w:val="00E65E79"/>
    <w:rsid w:val="00E6653C"/>
    <w:rsid w:val="00E66BA2"/>
    <w:rsid w:val="00E67416"/>
    <w:rsid w:val="00E70E7A"/>
    <w:rsid w:val="00E718B6"/>
    <w:rsid w:val="00E71A94"/>
    <w:rsid w:val="00E71B7E"/>
    <w:rsid w:val="00E723BA"/>
    <w:rsid w:val="00E72989"/>
    <w:rsid w:val="00E72EC2"/>
    <w:rsid w:val="00E73581"/>
    <w:rsid w:val="00E7451B"/>
    <w:rsid w:val="00E7482A"/>
    <w:rsid w:val="00E748DF"/>
    <w:rsid w:val="00E74FED"/>
    <w:rsid w:val="00E75B17"/>
    <w:rsid w:val="00E75D00"/>
    <w:rsid w:val="00E75F7F"/>
    <w:rsid w:val="00E77B1A"/>
    <w:rsid w:val="00E80070"/>
    <w:rsid w:val="00E80F66"/>
    <w:rsid w:val="00E816E2"/>
    <w:rsid w:val="00E81C72"/>
    <w:rsid w:val="00E8234E"/>
    <w:rsid w:val="00E823F1"/>
    <w:rsid w:val="00E83092"/>
    <w:rsid w:val="00E83143"/>
    <w:rsid w:val="00E833F7"/>
    <w:rsid w:val="00E83A9B"/>
    <w:rsid w:val="00E83BDF"/>
    <w:rsid w:val="00E84D5C"/>
    <w:rsid w:val="00E85620"/>
    <w:rsid w:val="00E8598D"/>
    <w:rsid w:val="00E862FB"/>
    <w:rsid w:val="00E878C3"/>
    <w:rsid w:val="00E87A1D"/>
    <w:rsid w:val="00E90169"/>
    <w:rsid w:val="00E9094A"/>
    <w:rsid w:val="00E909B5"/>
    <w:rsid w:val="00E9126B"/>
    <w:rsid w:val="00E9149C"/>
    <w:rsid w:val="00E91D35"/>
    <w:rsid w:val="00E91F81"/>
    <w:rsid w:val="00E926A5"/>
    <w:rsid w:val="00E92C79"/>
    <w:rsid w:val="00E93732"/>
    <w:rsid w:val="00E94A54"/>
    <w:rsid w:val="00E954A0"/>
    <w:rsid w:val="00E96653"/>
    <w:rsid w:val="00E966B2"/>
    <w:rsid w:val="00EA15A0"/>
    <w:rsid w:val="00EA17C3"/>
    <w:rsid w:val="00EA1B29"/>
    <w:rsid w:val="00EA2CAA"/>
    <w:rsid w:val="00EA3864"/>
    <w:rsid w:val="00EA412A"/>
    <w:rsid w:val="00EA58F0"/>
    <w:rsid w:val="00EA6751"/>
    <w:rsid w:val="00EA69E8"/>
    <w:rsid w:val="00EA7AB1"/>
    <w:rsid w:val="00EA7EED"/>
    <w:rsid w:val="00EA7F1C"/>
    <w:rsid w:val="00EB0FA4"/>
    <w:rsid w:val="00EB15B6"/>
    <w:rsid w:val="00EB2BC4"/>
    <w:rsid w:val="00EB2BCF"/>
    <w:rsid w:val="00EB314C"/>
    <w:rsid w:val="00EB3449"/>
    <w:rsid w:val="00EB3A07"/>
    <w:rsid w:val="00EB3D06"/>
    <w:rsid w:val="00EB3DCA"/>
    <w:rsid w:val="00EB3E5C"/>
    <w:rsid w:val="00EB4916"/>
    <w:rsid w:val="00EB543D"/>
    <w:rsid w:val="00EB60F4"/>
    <w:rsid w:val="00EB6105"/>
    <w:rsid w:val="00EB632C"/>
    <w:rsid w:val="00EB63CC"/>
    <w:rsid w:val="00EB6411"/>
    <w:rsid w:val="00EB7445"/>
    <w:rsid w:val="00EB7D3D"/>
    <w:rsid w:val="00EC00C9"/>
    <w:rsid w:val="00EC0556"/>
    <w:rsid w:val="00EC0DD9"/>
    <w:rsid w:val="00EC125C"/>
    <w:rsid w:val="00EC2649"/>
    <w:rsid w:val="00EC31ED"/>
    <w:rsid w:val="00EC3673"/>
    <w:rsid w:val="00EC37F7"/>
    <w:rsid w:val="00EC3D40"/>
    <w:rsid w:val="00EC471B"/>
    <w:rsid w:val="00EC4A79"/>
    <w:rsid w:val="00EC5836"/>
    <w:rsid w:val="00EC6330"/>
    <w:rsid w:val="00EC688C"/>
    <w:rsid w:val="00EC7827"/>
    <w:rsid w:val="00EC7DC2"/>
    <w:rsid w:val="00ED042D"/>
    <w:rsid w:val="00ED077C"/>
    <w:rsid w:val="00ED09DA"/>
    <w:rsid w:val="00ED0E4C"/>
    <w:rsid w:val="00ED15CC"/>
    <w:rsid w:val="00ED4839"/>
    <w:rsid w:val="00ED4938"/>
    <w:rsid w:val="00ED569C"/>
    <w:rsid w:val="00ED57EA"/>
    <w:rsid w:val="00ED5BD4"/>
    <w:rsid w:val="00ED75AB"/>
    <w:rsid w:val="00ED7936"/>
    <w:rsid w:val="00ED7EBD"/>
    <w:rsid w:val="00EE012E"/>
    <w:rsid w:val="00EE07D3"/>
    <w:rsid w:val="00EE0808"/>
    <w:rsid w:val="00EE16CD"/>
    <w:rsid w:val="00EE1996"/>
    <w:rsid w:val="00EE1C01"/>
    <w:rsid w:val="00EE1E0C"/>
    <w:rsid w:val="00EE22AF"/>
    <w:rsid w:val="00EE31E4"/>
    <w:rsid w:val="00EE32FA"/>
    <w:rsid w:val="00EE3B7C"/>
    <w:rsid w:val="00EE43FB"/>
    <w:rsid w:val="00EE4B5D"/>
    <w:rsid w:val="00EE65F3"/>
    <w:rsid w:val="00EE702F"/>
    <w:rsid w:val="00EE7B7F"/>
    <w:rsid w:val="00EF0171"/>
    <w:rsid w:val="00EF02D5"/>
    <w:rsid w:val="00EF0B21"/>
    <w:rsid w:val="00EF16AE"/>
    <w:rsid w:val="00EF17AB"/>
    <w:rsid w:val="00EF1B25"/>
    <w:rsid w:val="00EF1B87"/>
    <w:rsid w:val="00EF1DA0"/>
    <w:rsid w:val="00EF1EF4"/>
    <w:rsid w:val="00EF28F5"/>
    <w:rsid w:val="00EF3EA9"/>
    <w:rsid w:val="00EF468D"/>
    <w:rsid w:val="00EF4747"/>
    <w:rsid w:val="00EF4BF8"/>
    <w:rsid w:val="00EF4CD1"/>
    <w:rsid w:val="00EF4E02"/>
    <w:rsid w:val="00EF530F"/>
    <w:rsid w:val="00EF5675"/>
    <w:rsid w:val="00EF5CC2"/>
    <w:rsid w:val="00F00253"/>
    <w:rsid w:val="00F00A59"/>
    <w:rsid w:val="00F0135E"/>
    <w:rsid w:val="00F0206F"/>
    <w:rsid w:val="00F02253"/>
    <w:rsid w:val="00F02C57"/>
    <w:rsid w:val="00F02CB6"/>
    <w:rsid w:val="00F02D14"/>
    <w:rsid w:val="00F038F6"/>
    <w:rsid w:val="00F03C2E"/>
    <w:rsid w:val="00F03FDA"/>
    <w:rsid w:val="00F043B0"/>
    <w:rsid w:val="00F0493C"/>
    <w:rsid w:val="00F04A66"/>
    <w:rsid w:val="00F04AB0"/>
    <w:rsid w:val="00F04B4B"/>
    <w:rsid w:val="00F05081"/>
    <w:rsid w:val="00F0516C"/>
    <w:rsid w:val="00F052B2"/>
    <w:rsid w:val="00F055B7"/>
    <w:rsid w:val="00F0670D"/>
    <w:rsid w:val="00F067A2"/>
    <w:rsid w:val="00F069D7"/>
    <w:rsid w:val="00F06B7C"/>
    <w:rsid w:val="00F06B93"/>
    <w:rsid w:val="00F070AC"/>
    <w:rsid w:val="00F07520"/>
    <w:rsid w:val="00F077E2"/>
    <w:rsid w:val="00F078EC"/>
    <w:rsid w:val="00F07B9E"/>
    <w:rsid w:val="00F10F1F"/>
    <w:rsid w:val="00F1116F"/>
    <w:rsid w:val="00F1204F"/>
    <w:rsid w:val="00F1263A"/>
    <w:rsid w:val="00F127C2"/>
    <w:rsid w:val="00F12D59"/>
    <w:rsid w:val="00F1310B"/>
    <w:rsid w:val="00F137E9"/>
    <w:rsid w:val="00F143DC"/>
    <w:rsid w:val="00F14818"/>
    <w:rsid w:val="00F149F7"/>
    <w:rsid w:val="00F14F26"/>
    <w:rsid w:val="00F14F5A"/>
    <w:rsid w:val="00F1563F"/>
    <w:rsid w:val="00F15B77"/>
    <w:rsid w:val="00F1664C"/>
    <w:rsid w:val="00F17086"/>
    <w:rsid w:val="00F17149"/>
    <w:rsid w:val="00F174B6"/>
    <w:rsid w:val="00F20014"/>
    <w:rsid w:val="00F209C6"/>
    <w:rsid w:val="00F22E4C"/>
    <w:rsid w:val="00F23D72"/>
    <w:rsid w:val="00F24366"/>
    <w:rsid w:val="00F24837"/>
    <w:rsid w:val="00F24C48"/>
    <w:rsid w:val="00F25287"/>
    <w:rsid w:val="00F2575F"/>
    <w:rsid w:val="00F261C4"/>
    <w:rsid w:val="00F26DAE"/>
    <w:rsid w:val="00F26F61"/>
    <w:rsid w:val="00F27565"/>
    <w:rsid w:val="00F30676"/>
    <w:rsid w:val="00F30D28"/>
    <w:rsid w:val="00F310D4"/>
    <w:rsid w:val="00F312E2"/>
    <w:rsid w:val="00F31D5A"/>
    <w:rsid w:val="00F31FBD"/>
    <w:rsid w:val="00F32169"/>
    <w:rsid w:val="00F33975"/>
    <w:rsid w:val="00F33CBD"/>
    <w:rsid w:val="00F33DE9"/>
    <w:rsid w:val="00F34462"/>
    <w:rsid w:val="00F3589C"/>
    <w:rsid w:val="00F358B6"/>
    <w:rsid w:val="00F35E6D"/>
    <w:rsid w:val="00F3619A"/>
    <w:rsid w:val="00F368D8"/>
    <w:rsid w:val="00F36BB2"/>
    <w:rsid w:val="00F36BE2"/>
    <w:rsid w:val="00F400F5"/>
    <w:rsid w:val="00F40263"/>
    <w:rsid w:val="00F4075E"/>
    <w:rsid w:val="00F40913"/>
    <w:rsid w:val="00F40AAA"/>
    <w:rsid w:val="00F40BA7"/>
    <w:rsid w:val="00F40F9D"/>
    <w:rsid w:val="00F41033"/>
    <w:rsid w:val="00F41ACD"/>
    <w:rsid w:val="00F41C3A"/>
    <w:rsid w:val="00F41DFA"/>
    <w:rsid w:val="00F41F4E"/>
    <w:rsid w:val="00F425FA"/>
    <w:rsid w:val="00F42E40"/>
    <w:rsid w:val="00F434E4"/>
    <w:rsid w:val="00F4363E"/>
    <w:rsid w:val="00F43B3B"/>
    <w:rsid w:val="00F4532F"/>
    <w:rsid w:val="00F4555A"/>
    <w:rsid w:val="00F45749"/>
    <w:rsid w:val="00F46A9B"/>
    <w:rsid w:val="00F46CB6"/>
    <w:rsid w:val="00F4756D"/>
    <w:rsid w:val="00F47AB1"/>
    <w:rsid w:val="00F47DE8"/>
    <w:rsid w:val="00F501CB"/>
    <w:rsid w:val="00F50C26"/>
    <w:rsid w:val="00F519FC"/>
    <w:rsid w:val="00F5269C"/>
    <w:rsid w:val="00F53597"/>
    <w:rsid w:val="00F539AB"/>
    <w:rsid w:val="00F53C2D"/>
    <w:rsid w:val="00F542C1"/>
    <w:rsid w:val="00F545A7"/>
    <w:rsid w:val="00F547C1"/>
    <w:rsid w:val="00F549BC"/>
    <w:rsid w:val="00F550F0"/>
    <w:rsid w:val="00F55E73"/>
    <w:rsid w:val="00F55EDA"/>
    <w:rsid w:val="00F56C80"/>
    <w:rsid w:val="00F5729E"/>
    <w:rsid w:val="00F573EC"/>
    <w:rsid w:val="00F57610"/>
    <w:rsid w:val="00F57695"/>
    <w:rsid w:val="00F577AE"/>
    <w:rsid w:val="00F60092"/>
    <w:rsid w:val="00F61B3B"/>
    <w:rsid w:val="00F61C18"/>
    <w:rsid w:val="00F620BE"/>
    <w:rsid w:val="00F62FFE"/>
    <w:rsid w:val="00F63ED5"/>
    <w:rsid w:val="00F650CB"/>
    <w:rsid w:val="00F6544A"/>
    <w:rsid w:val="00F65875"/>
    <w:rsid w:val="00F65E0D"/>
    <w:rsid w:val="00F65E7F"/>
    <w:rsid w:val="00F65F4B"/>
    <w:rsid w:val="00F66689"/>
    <w:rsid w:val="00F66A92"/>
    <w:rsid w:val="00F673F9"/>
    <w:rsid w:val="00F674BF"/>
    <w:rsid w:val="00F67A69"/>
    <w:rsid w:val="00F70930"/>
    <w:rsid w:val="00F70BFF"/>
    <w:rsid w:val="00F70C9D"/>
    <w:rsid w:val="00F713D2"/>
    <w:rsid w:val="00F72F78"/>
    <w:rsid w:val="00F7328C"/>
    <w:rsid w:val="00F7344F"/>
    <w:rsid w:val="00F73A7F"/>
    <w:rsid w:val="00F74CD9"/>
    <w:rsid w:val="00F75195"/>
    <w:rsid w:val="00F761FB"/>
    <w:rsid w:val="00F80A7B"/>
    <w:rsid w:val="00F80E5D"/>
    <w:rsid w:val="00F81E78"/>
    <w:rsid w:val="00F822E4"/>
    <w:rsid w:val="00F82469"/>
    <w:rsid w:val="00F82E52"/>
    <w:rsid w:val="00F83183"/>
    <w:rsid w:val="00F83328"/>
    <w:rsid w:val="00F851CE"/>
    <w:rsid w:val="00F86D5E"/>
    <w:rsid w:val="00F9012B"/>
    <w:rsid w:val="00F90583"/>
    <w:rsid w:val="00F90A31"/>
    <w:rsid w:val="00F90B3E"/>
    <w:rsid w:val="00F91219"/>
    <w:rsid w:val="00F91DEC"/>
    <w:rsid w:val="00F92050"/>
    <w:rsid w:val="00F92444"/>
    <w:rsid w:val="00F924C2"/>
    <w:rsid w:val="00F92D9F"/>
    <w:rsid w:val="00F9376A"/>
    <w:rsid w:val="00F9393E"/>
    <w:rsid w:val="00F9428F"/>
    <w:rsid w:val="00F946E6"/>
    <w:rsid w:val="00F94A76"/>
    <w:rsid w:val="00F95064"/>
    <w:rsid w:val="00F9534D"/>
    <w:rsid w:val="00F95C72"/>
    <w:rsid w:val="00F95E5E"/>
    <w:rsid w:val="00F96291"/>
    <w:rsid w:val="00F96FD0"/>
    <w:rsid w:val="00F97A78"/>
    <w:rsid w:val="00F97BC6"/>
    <w:rsid w:val="00F97C5D"/>
    <w:rsid w:val="00FA0B20"/>
    <w:rsid w:val="00FA22D9"/>
    <w:rsid w:val="00FA24E7"/>
    <w:rsid w:val="00FA54C5"/>
    <w:rsid w:val="00FA5EE4"/>
    <w:rsid w:val="00FA5EE6"/>
    <w:rsid w:val="00FA68AE"/>
    <w:rsid w:val="00FA6A85"/>
    <w:rsid w:val="00FA7956"/>
    <w:rsid w:val="00FB1706"/>
    <w:rsid w:val="00FB189B"/>
    <w:rsid w:val="00FB2FCB"/>
    <w:rsid w:val="00FB38AB"/>
    <w:rsid w:val="00FB3E4D"/>
    <w:rsid w:val="00FB4CC5"/>
    <w:rsid w:val="00FB581F"/>
    <w:rsid w:val="00FB5D48"/>
    <w:rsid w:val="00FB6621"/>
    <w:rsid w:val="00FB7808"/>
    <w:rsid w:val="00FB7C55"/>
    <w:rsid w:val="00FC1074"/>
    <w:rsid w:val="00FC176E"/>
    <w:rsid w:val="00FC1884"/>
    <w:rsid w:val="00FC371D"/>
    <w:rsid w:val="00FC390E"/>
    <w:rsid w:val="00FC50E1"/>
    <w:rsid w:val="00FC5C3F"/>
    <w:rsid w:val="00FC5F0B"/>
    <w:rsid w:val="00FC648C"/>
    <w:rsid w:val="00FC6592"/>
    <w:rsid w:val="00FC6D38"/>
    <w:rsid w:val="00FC6EC8"/>
    <w:rsid w:val="00FC7BE0"/>
    <w:rsid w:val="00FD04CB"/>
    <w:rsid w:val="00FD10E1"/>
    <w:rsid w:val="00FD1793"/>
    <w:rsid w:val="00FD1A8E"/>
    <w:rsid w:val="00FD1DA0"/>
    <w:rsid w:val="00FD2100"/>
    <w:rsid w:val="00FD3220"/>
    <w:rsid w:val="00FD396E"/>
    <w:rsid w:val="00FD436C"/>
    <w:rsid w:val="00FD446D"/>
    <w:rsid w:val="00FD4B23"/>
    <w:rsid w:val="00FD4E88"/>
    <w:rsid w:val="00FD4F2C"/>
    <w:rsid w:val="00FD6394"/>
    <w:rsid w:val="00FD6F10"/>
    <w:rsid w:val="00FD72BD"/>
    <w:rsid w:val="00FE0A6D"/>
    <w:rsid w:val="00FE0D72"/>
    <w:rsid w:val="00FE0E6C"/>
    <w:rsid w:val="00FE1CDC"/>
    <w:rsid w:val="00FE285A"/>
    <w:rsid w:val="00FE2E6C"/>
    <w:rsid w:val="00FE384C"/>
    <w:rsid w:val="00FE3BAD"/>
    <w:rsid w:val="00FE5FE8"/>
    <w:rsid w:val="00FE6E97"/>
    <w:rsid w:val="00FE6FF0"/>
    <w:rsid w:val="00FE70C3"/>
    <w:rsid w:val="00FE77CB"/>
    <w:rsid w:val="00FF2097"/>
    <w:rsid w:val="00FF2507"/>
    <w:rsid w:val="00FF2AD9"/>
    <w:rsid w:val="00FF359F"/>
    <w:rsid w:val="00FF3DCF"/>
    <w:rsid w:val="00FF440F"/>
    <w:rsid w:val="00FF45A7"/>
    <w:rsid w:val="00FF492C"/>
    <w:rsid w:val="00FF4A21"/>
    <w:rsid w:val="00FF5308"/>
    <w:rsid w:val="00FF5785"/>
    <w:rsid w:val="00FF5AA3"/>
    <w:rsid w:val="00FF5AD8"/>
    <w:rsid w:val="00FF62FB"/>
    <w:rsid w:val="00FF681F"/>
    <w:rsid w:val="00FF6B55"/>
    <w:rsid w:val="00FF7A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62D"/>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Lash Style Table,RTI AMCP Table,Conclusion box,Table Grid nm"/>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ListParagraph">
    <w:name w:val="List Paragraph"/>
    <w:aliases w:val="Numbered para,BulletPoints,Footnote,Bullet point,List Paragraph1,List Paragraph11,Recommendation,ES Paragraph,PBAC ES Paragraph,PBAC normal points,Bullet List"/>
    <w:basedOn w:val="Normal"/>
    <w:link w:val="ListParagraphChar"/>
    <w:uiPriority w:val="34"/>
    <w:qFormat/>
    <w:rsid w:val="006A7798"/>
    <w:pPr>
      <w:ind w:left="720"/>
      <w:contextualSpacing/>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
    <w:basedOn w:val="DefaultParagraphFont"/>
    <w:link w:val="ListParagraph"/>
    <w:uiPriority w:val="34"/>
    <w:qFormat/>
    <w:locked/>
    <w:rsid w:val="006A7798"/>
    <w:rPr>
      <w:rFonts w:ascii="Calibri" w:hAnsi="Calibri" w:cs="Arial"/>
      <w:sz w:val="24"/>
      <w:szCs w:val="24"/>
    </w:rPr>
  </w:style>
  <w:style w:type="paragraph" w:customStyle="1" w:styleId="V50Instructions">
    <w:name w:val="V5.0 Instructions"/>
    <w:basedOn w:val="Normal"/>
    <w:link w:val="V50InstructionsChar"/>
    <w:qFormat/>
    <w:rsid w:val="00D5113C"/>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D5113C"/>
    <w:rPr>
      <w:rFonts w:asciiTheme="minorHAnsi" w:eastAsiaTheme="minorHAnsi" w:hAnsiTheme="minorHAnsi" w:cstheme="minorBidi"/>
      <w:color w:val="4BACC6" w:themeColor="accent5"/>
      <w:sz w:val="24"/>
      <w:szCs w:val="22"/>
      <w:lang w:eastAsia="en-US"/>
    </w:rPr>
  </w:style>
  <w:style w:type="paragraph" w:customStyle="1" w:styleId="TableHeading">
    <w:name w:val="Table Heading"/>
    <w:basedOn w:val="Normal"/>
    <w:link w:val="TableHeadingChar"/>
    <w:qFormat/>
    <w:rsid w:val="00A11ED5"/>
    <w:pPr>
      <w:keepNext/>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A11ED5"/>
    <w:rPr>
      <w:rFonts w:ascii="Arial Narrow" w:eastAsiaTheme="minorHAnsi" w:hAnsi="Arial Narrow" w:cstheme="minorBidi"/>
      <w:b/>
      <w:szCs w:val="22"/>
      <w:lang w:eastAsia="en-US"/>
    </w:rPr>
  </w:style>
  <w:style w:type="character" w:customStyle="1" w:styleId="COMBodyChar">
    <w:name w:val="COMBody Char"/>
    <w:basedOn w:val="DefaultParagraphFont"/>
    <w:link w:val="COMBody"/>
    <w:locked/>
    <w:rsid w:val="00834D98"/>
    <w:rPr>
      <w:rFonts w:ascii="Calibri" w:hAnsi="Calibri" w:cs="Arial"/>
      <w:sz w:val="24"/>
    </w:rPr>
  </w:style>
  <w:style w:type="paragraph" w:customStyle="1" w:styleId="COMBody">
    <w:name w:val="COMBody"/>
    <w:basedOn w:val="Normal"/>
    <w:link w:val="COMBodyChar"/>
    <w:qFormat/>
    <w:rsid w:val="00834D98"/>
    <w:pPr>
      <w:widowControl w:val="0"/>
      <w:snapToGrid w:val="0"/>
    </w:pPr>
    <w:rPr>
      <w:szCs w:val="20"/>
    </w:rPr>
  </w:style>
  <w:style w:type="paragraph" w:customStyle="1" w:styleId="TableFooter">
    <w:name w:val="Table Footer"/>
    <w:basedOn w:val="Normal"/>
    <w:link w:val="TableFooterChar"/>
    <w:qFormat/>
    <w:rsid w:val="00250B01"/>
    <w:pPr>
      <w:widowControl w:val="0"/>
      <w:spacing w:after="120"/>
      <w:contextualSpacing/>
    </w:pPr>
    <w:rPr>
      <w:rFonts w:ascii="Arial Narrow" w:hAnsi="Arial Narrow"/>
      <w:snapToGrid w:val="0"/>
      <w:sz w:val="18"/>
      <w:szCs w:val="22"/>
      <w:lang w:eastAsia="en-US"/>
    </w:rPr>
  </w:style>
  <w:style w:type="character" w:customStyle="1" w:styleId="TableFooterChar">
    <w:name w:val="Table Footer Char"/>
    <w:link w:val="TableFooter"/>
    <w:rsid w:val="00250B01"/>
    <w:rPr>
      <w:rFonts w:ascii="Arial Narrow" w:hAnsi="Arial Narrow" w:cs="Arial"/>
      <w:snapToGrid w:val="0"/>
      <w:sz w:val="18"/>
      <w:szCs w:val="22"/>
      <w:lang w:eastAsia="en-US"/>
    </w:rPr>
  </w:style>
  <w:style w:type="paragraph" w:customStyle="1" w:styleId="Tabletext0">
    <w:name w:val="Table text"/>
    <w:basedOn w:val="Normal"/>
    <w:link w:val="TabletextChar0"/>
    <w:uiPriority w:val="99"/>
    <w:qFormat/>
    <w:rsid w:val="00051ECB"/>
    <w:pPr>
      <w:jc w:val="left"/>
    </w:pPr>
    <w:rPr>
      <w:rFonts w:ascii="Arial Narrow" w:hAnsi="Arial Narrow" w:cs="Times New Roman"/>
      <w:sz w:val="20"/>
      <w:szCs w:val="22"/>
      <w:lang w:eastAsia="en-US"/>
    </w:rPr>
  </w:style>
  <w:style w:type="character" w:customStyle="1" w:styleId="TabletextChar0">
    <w:name w:val="Table text Char"/>
    <w:link w:val="Tabletext0"/>
    <w:uiPriority w:val="99"/>
    <w:rsid w:val="00051ECB"/>
    <w:rPr>
      <w:rFonts w:ascii="Arial Narrow" w:hAnsi="Arial Narrow"/>
      <w:szCs w:val="22"/>
      <w:lang w:eastAsia="en-US"/>
    </w:rPr>
  </w:style>
  <w:style w:type="character" w:styleId="CommentReference">
    <w:name w:val="annotation reference"/>
    <w:aliases w:val="Table Title"/>
    <w:basedOn w:val="DefaultParagraphFont"/>
    <w:uiPriority w:val="99"/>
    <w:unhideWhenUsed/>
    <w:qFormat/>
    <w:rsid w:val="00051ECB"/>
    <w:rPr>
      <w:sz w:val="16"/>
      <w:szCs w:val="16"/>
    </w:rPr>
  </w:style>
  <w:style w:type="paragraph" w:customStyle="1" w:styleId="COMtbl-HEADLeftAligned">
    <w:name w:val="COMtbl-HEAD Left Aligned"/>
    <w:basedOn w:val="Normal"/>
    <w:qFormat/>
    <w:rsid w:val="00A6180A"/>
    <w:pPr>
      <w:widowControl w:val="0"/>
      <w:tabs>
        <w:tab w:val="left" w:pos="720"/>
      </w:tabs>
      <w:jc w:val="left"/>
    </w:pPr>
    <w:rPr>
      <w:rFonts w:ascii="Arial Narrow" w:hAnsi="Arial Narrow"/>
      <w:b/>
      <w:snapToGrid w:val="0"/>
      <w:sz w:val="20"/>
      <w:szCs w:val="20"/>
      <w:lang w:eastAsia="en-US"/>
    </w:rPr>
  </w:style>
  <w:style w:type="paragraph" w:customStyle="1" w:styleId="COMtbl-HEADCentred">
    <w:name w:val="COMtbl-HEAD Centred"/>
    <w:basedOn w:val="COMtbl-HEADLeftAligned"/>
    <w:qFormat/>
    <w:rsid w:val="00A6180A"/>
    <w:pPr>
      <w:jc w:val="center"/>
    </w:pPr>
  </w:style>
  <w:style w:type="paragraph" w:customStyle="1" w:styleId="COMtbl-textLeftAligned">
    <w:name w:val="COMtbl-text Left Aligned"/>
    <w:basedOn w:val="COMtbl-HEADLeftAligned"/>
    <w:qFormat/>
    <w:rsid w:val="00A6180A"/>
    <w:rPr>
      <w:b w:val="0"/>
    </w:rPr>
  </w:style>
  <w:style w:type="paragraph" w:customStyle="1" w:styleId="COMtbl-textCentred">
    <w:name w:val="COMtbl-text Centred"/>
    <w:basedOn w:val="COMtbl-HEADCentred"/>
    <w:qFormat/>
    <w:rsid w:val="00A6180A"/>
    <w:rPr>
      <w:b w:val="0"/>
    </w:rPr>
  </w:style>
  <w:style w:type="paragraph" w:styleId="Header">
    <w:name w:val="header"/>
    <w:aliases w:val="Page Header,Header title,he=header,cntr/bld"/>
    <w:basedOn w:val="Normal"/>
    <w:link w:val="HeaderChar"/>
    <w:unhideWhenUsed/>
    <w:qFormat/>
    <w:rsid w:val="003C2808"/>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3C2808"/>
    <w:rPr>
      <w:rFonts w:ascii="Calibri" w:hAnsi="Calibri" w:cs="Arial"/>
      <w:sz w:val="24"/>
      <w:szCs w:val="24"/>
    </w:rPr>
  </w:style>
  <w:style w:type="paragraph" w:styleId="Footer">
    <w:name w:val="footer"/>
    <w:basedOn w:val="Normal"/>
    <w:link w:val="FooterChar"/>
    <w:uiPriority w:val="99"/>
    <w:unhideWhenUsed/>
    <w:rsid w:val="003C2808"/>
    <w:pPr>
      <w:tabs>
        <w:tab w:val="center" w:pos="4513"/>
        <w:tab w:val="right" w:pos="9026"/>
      </w:tabs>
    </w:pPr>
  </w:style>
  <w:style w:type="character" w:customStyle="1" w:styleId="FooterChar">
    <w:name w:val="Footer Char"/>
    <w:basedOn w:val="DefaultParagraphFont"/>
    <w:link w:val="Footer"/>
    <w:uiPriority w:val="99"/>
    <w:rsid w:val="003C2808"/>
    <w:rPr>
      <w:rFonts w:ascii="Calibri" w:hAnsi="Calibri" w:cs="Arial"/>
      <w:sz w:val="24"/>
      <w:szCs w:val="24"/>
    </w:rPr>
  </w:style>
  <w:style w:type="paragraph" w:styleId="CommentText">
    <w:name w:val="annotation text"/>
    <w:aliases w:val="- H19,Comment Text Char1 Char,Comment Text Char Char Char"/>
    <w:basedOn w:val="Normal"/>
    <w:link w:val="CommentTextChar"/>
    <w:uiPriority w:val="99"/>
    <w:unhideWhenUsed/>
    <w:qFormat/>
    <w:rsid w:val="00D85636"/>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D85636"/>
    <w:rPr>
      <w:rFonts w:ascii="Calibri" w:hAnsi="Calibri" w:cs="Arial"/>
    </w:rPr>
  </w:style>
  <w:style w:type="paragraph" w:styleId="Caption">
    <w:name w:val="caption"/>
    <w:basedOn w:val="Normal"/>
    <w:next w:val="Normal"/>
    <w:unhideWhenUsed/>
    <w:rsid w:val="006F0189"/>
    <w:pPr>
      <w:spacing w:after="200"/>
    </w:pPr>
    <w:rPr>
      <w:i/>
      <w:iCs/>
      <w:color w:val="1F497D" w:themeColor="text2"/>
      <w:sz w:val="18"/>
      <w:szCs w:val="18"/>
    </w:rPr>
  </w:style>
  <w:style w:type="paragraph" w:styleId="CommentSubject">
    <w:name w:val="annotation subject"/>
    <w:basedOn w:val="CommentText"/>
    <w:next w:val="CommentText"/>
    <w:link w:val="CommentSubjectChar"/>
    <w:semiHidden/>
    <w:unhideWhenUsed/>
    <w:rsid w:val="008F595A"/>
    <w:rPr>
      <w:b/>
      <w:bCs/>
    </w:rPr>
  </w:style>
  <w:style w:type="character" w:customStyle="1" w:styleId="CommentSubjectChar">
    <w:name w:val="Comment Subject Char"/>
    <w:basedOn w:val="CommentTextChar"/>
    <w:link w:val="CommentSubject"/>
    <w:semiHidden/>
    <w:rsid w:val="008F595A"/>
    <w:rPr>
      <w:rFonts w:ascii="Calibri" w:hAnsi="Calibri" w:cs="Arial"/>
      <w:b/>
      <w:bCs/>
    </w:rPr>
  </w:style>
  <w:style w:type="character" w:styleId="UnresolvedMention">
    <w:name w:val="Unresolved Mention"/>
    <w:basedOn w:val="DefaultParagraphFont"/>
    <w:uiPriority w:val="99"/>
    <w:semiHidden/>
    <w:unhideWhenUsed/>
    <w:rsid w:val="00A34FB8"/>
    <w:rPr>
      <w:color w:val="605E5C"/>
      <w:shd w:val="clear" w:color="auto" w:fill="E1DFDD"/>
    </w:rPr>
  </w:style>
  <w:style w:type="paragraph" w:styleId="NormalWeb">
    <w:name w:val="Normal (Web)"/>
    <w:basedOn w:val="Normal"/>
    <w:uiPriority w:val="99"/>
    <w:semiHidden/>
    <w:unhideWhenUsed/>
    <w:rsid w:val="00AC1BAF"/>
    <w:pPr>
      <w:spacing w:before="100" w:beforeAutospacing="1" w:after="100" w:afterAutospacing="1"/>
      <w:jc w:val="left"/>
    </w:pPr>
    <w:rPr>
      <w:rFonts w:ascii="Times New Roman" w:hAnsi="Times New Roman" w:cs="Times New Roman"/>
    </w:rPr>
  </w:style>
  <w:style w:type="paragraph" w:customStyle="1" w:styleId="PBACTabletext">
    <w:name w:val="PBAC Table text"/>
    <w:qFormat/>
    <w:rsid w:val="00053F88"/>
    <w:pPr>
      <w:keepNext/>
      <w:keepLines/>
      <w:suppressLineNumbers/>
      <w:spacing w:after="20"/>
      <w:textboxTightWrap w:val="allLines"/>
    </w:pPr>
    <w:rPr>
      <w:rFonts w:ascii="Arial Narrow" w:hAnsi="Arial Narrow" w:cs="Arial"/>
      <w:szCs w:val="24"/>
      <w:lang w:eastAsia="en-GB"/>
    </w:rPr>
  </w:style>
  <w:style w:type="paragraph" w:customStyle="1" w:styleId="PBACHeading1">
    <w:name w:val="PBAC Heading 1"/>
    <w:qFormat/>
    <w:rsid w:val="007B2A4D"/>
    <w:pPr>
      <w:ind w:left="720" w:hanging="720"/>
      <w:outlineLvl w:val="0"/>
    </w:pPr>
    <w:rPr>
      <w:rFonts w:ascii="Calibri" w:hAnsi="Calibri" w:cs="Calibri"/>
      <w:b/>
      <w:snapToGrid w:val="0"/>
      <w:sz w:val="32"/>
      <w:szCs w:val="32"/>
      <w:lang w:eastAsia="en-US"/>
    </w:rPr>
  </w:style>
  <w:style w:type="paragraph" w:customStyle="1" w:styleId="PBACESText">
    <w:name w:val="PBAC ES Text"/>
    <w:basedOn w:val="Normal"/>
    <w:qFormat/>
    <w:rsid w:val="00AA4BAF"/>
    <w:pPr>
      <w:spacing w:before="60" w:after="160"/>
    </w:pPr>
    <w:rPr>
      <w:sz w:val="22"/>
      <w:lang w:eastAsia="en-GB"/>
    </w:rPr>
  </w:style>
  <w:style w:type="paragraph" w:styleId="Subtitle">
    <w:name w:val="Subtitle"/>
    <w:basedOn w:val="Normal"/>
    <w:link w:val="SubtitleChar"/>
    <w:qFormat/>
    <w:rsid w:val="000C436C"/>
    <w:rPr>
      <w:rFonts w:ascii="Times New Roman" w:hAnsi="Times New Roman" w:cs="Times New Roman"/>
      <w:b/>
      <w:szCs w:val="20"/>
    </w:rPr>
  </w:style>
  <w:style w:type="character" w:customStyle="1" w:styleId="SubtitleChar">
    <w:name w:val="Subtitle Char"/>
    <w:basedOn w:val="DefaultParagraphFont"/>
    <w:link w:val="Subtitle"/>
    <w:rsid w:val="000C436C"/>
    <w:rPr>
      <w:b/>
      <w:sz w:val="24"/>
    </w:rPr>
  </w:style>
  <w:style w:type="paragraph" w:styleId="FootnoteText">
    <w:name w:val="footnote text"/>
    <w:basedOn w:val="Normal"/>
    <w:link w:val="FootnoteTextChar"/>
    <w:semiHidden/>
    <w:unhideWhenUsed/>
    <w:rsid w:val="00A511F2"/>
    <w:rPr>
      <w:sz w:val="20"/>
      <w:szCs w:val="20"/>
    </w:rPr>
  </w:style>
  <w:style w:type="character" w:customStyle="1" w:styleId="FootnoteTextChar">
    <w:name w:val="Footnote Text Char"/>
    <w:basedOn w:val="DefaultParagraphFont"/>
    <w:link w:val="FootnoteText"/>
    <w:semiHidden/>
    <w:rsid w:val="00A511F2"/>
    <w:rPr>
      <w:rFonts w:ascii="Calibri" w:hAnsi="Calibri" w:cs="Arial"/>
    </w:rPr>
  </w:style>
  <w:style w:type="character" w:styleId="FootnoteReference">
    <w:name w:val="footnote reference"/>
    <w:basedOn w:val="DefaultParagraphFont"/>
    <w:semiHidden/>
    <w:unhideWhenUsed/>
    <w:rsid w:val="00A511F2"/>
    <w:rPr>
      <w:vertAlign w:val="superscript"/>
    </w:rPr>
  </w:style>
  <w:style w:type="paragraph" w:customStyle="1" w:styleId="3-BodyText">
    <w:name w:val="3-Body Text"/>
    <w:basedOn w:val="ListParagraph"/>
    <w:qFormat/>
    <w:rsid w:val="00783EEF"/>
    <w:pPr>
      <w:spacing w:after="120"/>
      <w:ind w:hanging="720"/>
      <w:contextualSpacing w:val="0"/>
    </w:pPr>
    <w:rPr>
      <w:rFonts w:asciiTheme="minorHAnsi" w:hAnsiTheme="minorHAnsi"/>
      <w:snapToGrid w:val="0"/>
    </w:rPr>
  </w:style>
  <w:style w:type="numbering" w:customStyle="1" w:styleId="PBACstandardnumberstyle">
    <w:name w:val="PBAC standard number style"/>
    <w:uiPriority w:val="99"/>
    <w:rsid w:val="00C5702E"/>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027">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968958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736245177">
      <w:bodyDiv w:val="1"/>
      <w:marLeft w:val="0"/>
      <w:marRight w:val="0"/>
      <w:marTop w:val="0"/>
      <w:marBottom w:val="0"/>
      <w:divBdr>
        <w:top w:val="none" w:sz="0" w:space="0" w:color="auto"/>
        <w:left w:val="none" w:sz="0" w:space="0" w:color="auto"/>
        <w:bottom w:val="none" w:sz="0" w:space="0" w:color="auto"/>
        <w:right w:val="none" w:sz="0" w:space="0" w:color="auto"/>
      </w:divBdr>
    </w:div>
    <w:div w:id="886796597">
      <w:bodyDiv w:val="1"/>
      <w:marLeft w:val="0"/>
      <w:marRight w:val="0"/>
      <w:marTop w:val="0"/>
      <w:marBottom w:val="0"/>
      <w:divBdr>
        <w:top w:val="none" w:sz="0" w:space="0" w:color="auto"/>
        <w:left w:val="none" w:sz="0" w:space="0" w:color="auto"/>
        <w:bottom w:val="none" w:sz="0" w:space="0" w:color="auto"/>
        <w:right w:val="none" w:sz="0" w:space="0" w:color="auto"/>
      </w:divBdr>
    </w:div>
    <w:div w:id="936327966">
      <w:bodyDiv w:val="1"/>
      <w:marLeft w:val="0"/>
      <w:marRight w:val="0"/>
      <w:marTop w:val="0"/>
      <w:marBottom w:val="0"/>
      <w:divBdr>
        <w:top w:val="none" w:sz="0" w:space="0" w:color="auto"/>
        <w:left w:val="none" w:sz="0" w:space="0" w:color="auto"/>
        <w:bottom w:val="none" w:sz="0" w:space="0" w:color="auto"/>
        <w:right w:val="none" w:sz="0" w:space="0" w:color="auto"/>
      </w:divBdr>
      <w:divsChild>
        <w:div w:id="1777166114">
          <w:marLeft w:val="360"/>
          <w:marRight w:val="0"/>
          <w:marTop w:val="200"/>
          <w:marBottom w:val="0"/>
          <w:divBdr>
            <w:top w:val="none" w:sz="0" w:space="0" w:color="auto"/>
            <w:left w:val="none" w:sz="0" w:space="0" w:color="auto"/>
            <w:bottom w:val="none" w:sz="0" w:space="0" w:color="auto"/>
            <w:right w:val="none" w:sz="0" w:space="0" w:color="auto"/>
          </w:divBdr>
        </w:div>
      </w:divsChild>
    </w:div>
    <w:div w:id="1009942176">
      <w:bodyDiv w:val="1"/>
      <w:marLeft w:val="0"/>
      <w:marRight w:val="0"/>
      <w:marTop w:val="0"/>
      <w:marBottom w:val="0"/>
      <w:divBdr>
        <w:top w:val="none" w:sz="0" w:space="0" w:color="auto"/>
        <w:left w:val="none" w:sz="0" w:space="0" w:color="auto"/>
        <w:bottom w:val="none" w:sz="0" w:space="0" w:color="auto"/>
        <w:right w:val="none" w:sz="0" w:space="0" w:color="auto"/>
      </w:divBdr>
      <w:divsChild>
        <w:div w:id="1736313158">
          <w:marLeft w:val="547"/>
          <w:marRight w:val="0"/>
          <w:marTop w:val="0"/>
          <w:marBottom w:val="0"/>
          <w:divBdr>
            <w:top w:val="none" w:sz="0" w:space="0" w:color="auto"/>
            <w:left w:val="none" w:sz="0" w:space="0" w:color="auto"/>
            <w:bottom w:val="none" w:sz="0" w:space="0" w:color="auto"/>
            <w:right w:val="none" w:sz="0" w:space="0" w:color="auto"/>
          </w:divBdr>
        </w:div>
      </w:divsChild>
    </w:div>
    <w:div w:id="1129395277">
      <w:bodyDiv w:val="1"/>
      <w:marLeft w:val="0"/>
      <w:marRight w:val="0"/>
      <w:marTop w:val="0"/>
      <w:marBottom w:val="0"/>
      <w:divBdr>
        <w:top w:val="none" w:sz="0" w:space="0" w:color="auto"/>
        <w:left w:val="none" w:sz="0" w:space="0" w:color="auto"/>
        <w:bottom w:val="none" w:sz="0" w:space="0" w:color="auto"/>
        <w:right w:val="none" w:sz="0" w:space="0" w:color="auto"/>
      </w:divBdr>
    </w:div>
    <w:div w:id="115903609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0328">
      <w:bodyDiv w:val="1"/>
      <w:marLeft w:val="0"/>
      <w:marRight w:val="0"/>
      <w:marTop w:val="0"/>
      <w:marBottom w:val="0"/>
      <w:divBdr>
        <w:top w:val="none" w:sz="0" w:space="0" w:color="auto"/>
        <w:left w:val="none" w:sz="0" w:space="0" w:color="auto"/>
        <w:bottom w:val="none" w:sz="0" w:space="0" w:color="auto"/>
        <w:right w:val="none" w:sz="0" w:space="0" w:color="auto"/>
      </w:divBdr>
      <w:divsChild>
        <w:div w:id="563296020">
          <w:marLeft w:val="0"/>
          <w:marRight w:val="0"/>
          <w:marTop w:val="0"/>
          <w:marBottom w:val="0"/>
          <w:divBdr>
            <w:top w:val="none" w:sz="0" w:space="0" w:color="auto"/>
            <w:left w:val="none" w:sz="0" w:space="0" w:color="auto"/>
            <w:bottom w:val="none" w:sz="0" w:space="0" w:color="auto"/>
            <w:right w:val="none" w:sz="0" w:space="0" w:color="auto"/>
          </w:divBdr>
          <w:divsChild>
            <w:div w:id="970214226">
              <w:marLeft w:val="0"/>
              <w:marRight w:val="0"/>
              <w:marTop w:val="0"/>
              <w:marBottom w:val="0"/>
              <w:divBdr>
                <w:top w:val="none" w:sz="0" w:space="0" w:color="auto"/>
                <w:left w:val="none" w:sz="0" w:space="0" w:color="auto"/>
                <w:bottom w:val="none" w:sz="0" w:space="0" w:color="auto"/>
                <w:right w:val="none" w:sz="0" w:space="0" w:color="auto"/>
              </w:divBdr>
            </w:div>
          </w:divsChild>
        </w:div>
        <w:div w:id="2093775919">
          <w:marLeft w:val="0"/>
          <w:marRight w:val="0"/>
          <w:marTop w:val="0"/>
          <w:marBottom w:val="0"/>
          <w:divBdr>
            <w:top w:val="none" w:sz="0" w:space="0" w:color="auto"/>
            <w:left w:val="none" w:sz="0" w:space="0" w:color="auto"/>
            <w:bottom w:val="none" w:sz="0" w:space="0" w:color="auto"/>
            <w:right w:val="none" w:sz="0" w:space="0" w:color="auto"/>
          </w:divBdr>
          <w:divsChild>
            <w:div w:id="373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2318">
      <w:bodyDiv w:val="1"/>
      <w:marLeft w:val="0"/>
      <w:marRight w:val="0"/>
      <w:marTop w:val="0"/>
      <w:marBottom w:val="0"/>
      <w:divBdr>
        <w:top w:val="none" w:sz="0" w:space="0" w:color="auto"/>
        <w:left w:val="none" w:sz="0" w:space="0" w:color="auto"/>
        <w:bottom w:val="none" w:sz="0" w:space="0" w:color="auto"/>
        <w:right w:val="none" w:sz="0" w:space="0" w:color="auto"/>
      </w:divBdr>
    </w:div>
    <w:div w:id="1464930238">
      <w:bodyDiv w:val="1"/>
      <w:marLeft w:val="0"/>
      <w:marRight w:val="0"/>
      <w:marTop w:val="0"/>
      <w:marBottom w:val="0"/>
      <w:divBdr>
        <w:top w:val="none" w:sz="0" w:space="0" w:color="auto"/>
        <w:left w:val="none" w:sz="0" w:space="0" w:color="auto"/>
        <w:bottom w:val="none" w:sz="0" w:space="0" w:color="auto"/>
        <w:right w:val="none" w:sz="0" w:space="0" w:color="auto"/>
      </w:divBdr>
      <w:divsChild>
        <w:div w:id="574824286">
          <w:marLeft w:val="360"/>
          <w:marRight w:val="0"/>
          <w:marTop w:val="200"/>
          <w:marBottom w:val="0"/>
          <w:divBdr>
            <w:top w:val="none" w:sz="0" w:space="0" w:color="auto"/>
            <w:left w:val="none" w:sz="0" w:space="0" w:color="auto"/>
            <w:bottom w:val="none" w:sz="0" w:space="0" w:color="auto"/>
            <w:right w:val="none" w:sz="0" w:space="0" w:color="auto"/>
          </w:divBdr>
        </w:div>
      </w:divsChild>
    </w:div>
    <w:div w:id="1856650444">
      <w:bodyDiv w:val="1"/>
      <w:marLeft w:val="0"/>
      <w:marRight w:val="0"/>
      <w:marTop w:val="0"/>
      <w:marBottom w:val="0"/>
      <w:divBdr>
        <w:top w:val="none" w:sz="0" w:space="0" w:color="auto"/>
        <w:left w:val="none" w:sz="0" w:space="0" w:color="auto"/>
        <w:bottom w:val="none" w:sz="0" w:space="0" w:color="auto"/>
        <w:right w:val="none" w:sz="0" w:space="0" w:color="auto"/>
      </w:divBdr>
    </w:div>
    <w:div w:id="1872453284">
      <w:bodyDiv w:val="1"/>
      <w:marLeft w:val="0"/>
      <w:marRight w:val="0"/>
      <w:marTop w:val="0"/>
      <w:marBottom w:val="0"/>
      <w:divBdr>
        <w:top w:val="none" w:sz="0" w:space="0" w:color="auto"/>
        <w:left w:val="none" w:sz="0" w:space="0" w:color="auto"/>
        <w:bottom w:val="none" w:sz="0" w:space="0" w:color="auto"/>
        <w:right w:val="none" w:sz="0" w:space="0" w:color="auto"/>
      </w:divBdr>
    </w:div>
    <w:div w:id="1903250135">
      <w:bodyDiv w:val="1"/>
      <w:marLeft w:val="0"/>
      <w:marRight w:val="0"/>
      <w:marTop w:val="0"/>
      <w:marBottom w:val="0"/>
      <w:divBdr>
        <w:top w:val="none" w:sz="0" w:space="0" w:color="auto"/>
        <w:left w:val="none" w:sz="0" w:space="0" w:color="auto"/>
        <w:bottom w:val="none" w:sz="0" w:space="0" w:color="auto"/>
        <w:right w:val="none" w:sz="0" w:space="0" w:color="auto"/>
      </w:divBdr>
      <w:divsChild>
        <w:div w:id="1183476129">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74693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15830-E475-4572-8A3E-F013D26F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16352</Words>
  <Characters>93213</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2022-10-24T01:02:00Z</dcterms:created>
  <dcterms:modified xsi:type="dcterms:W3CDTF">2022-10-24T01:02:00Z</dcterms:modified>
</cp:coreProperties>
</file>