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A906" w14:textId="75256D4E" w:rsidR="004E7F51" w:rsidRPr="003A7F84" w:rsidRDefault="00FF37DE" w:rsidP="00DB4080">
      <w:pPr>
        <w:pStyle w:val="1-MainHeading"/>
        <w:spacing w:after="0"/>
        <w:contextualSpacing/>
        <w:rPr>
          <w:b w:val="0"/>
        </w:rPr>
      </w:pPr>
      <w:r w:rsidRPr="003A7F84">
        <w:t>5</w:t>
      </w:r>
      <w:r w:rsidR="004C61E5" w:rsidRPr="003A7F84">
        <w:t>.08</w:t>
      </w:r>
      <w:r w:rsidR="00163F66" w:rsidRPr="003A7F84">
        <w:tab/>
      </w:r>
      <w:r w:rsidR="00F03A8C" w:rsidRPr="003A7F84">
        <w:t>MIDAZOLAM</w:t>
      </w:r>
      <w:r w:rsidR="00163F66" w:rsidRPr="003A7F84">
        <w:t>,</w:t>
      </w:r>
      <w:r w:rsidR="00163F66" w:rsidRPr="003A7F84">
        <w:br/>
      </w:r>
      <w:r w:rsidR="004E7F51" w:rsidRPr="003A7F84">
        <w:t>Oromucosal solution in pre-filled syringe 2.5 mg in 0.25 mL,</w:t>
      </w:r>
    </w:p>
    <w:p w14:paraId="553637E6" w14:textId="52381CA2" w:rsidR="004E7F51" w:rsidRPr="003A7F84" w:rsidRDefault="004E7F51" w:rsidP="004E7F51">
      <w:pPr>
        <w:ind w:left="720" w:hanging="720"/>
        <w:contextualSpacing/>
        <w:jc w:val="left"/>
        <w:rPr>
          <w:rFonts w:asciiTheme="minorHAnsi" w:eastAsiaTheme="majorEastAsia" w:hAnsiTheme="minorHAnsi" w:cstheme="majorBidi"/>
          <w:b/>
          <w:spacing w:val="5"/>
          <w:kern w:val="28"/>
          <w:sz w:val="36"/>
          <w:szCs w:val="36"/>
        </w:rPr>
      </w:pPr>
      <w:r w:rsidRPr="003A7F84">
        <w:rPr>
          <w:rFonts w:asciiTheme="minorHAnsi" w:eastAsiaTheme="majorEastAsia" w:hAnsiTheme="minorHAnsi" w:cstheme="majorBidi"/>
          <w:b/>
          <w:spacing w:val="5"/>
          <w:kern w:val="28"/>
          <w:sz w:val="36"/>
          <w:szCs w:val="36"/>
        </w:rPr>
        <w:tab/>
        <w:t>Oromucosal solution in pre-filled syringe 5 mg in 0.5</w:t>
      </w:r>
      <w:r w:rsidR="00AB32A3" w:rsidRPr="003A7F84">
        <w:rPr>
          <w:rFonts w:asciiTheme="minorHAnsi" w:eastAsiaTheme="majorEastAsia" w:hAnsiTheme="minorHAnsi" w:cstheme="majorBidi"/>
          <w:b/>
          <w:spacing w:val="5"/>
          <w:kern w:val="28"/>
          <w:sz w:val="36"/>
          <w:szCs w:val="36"/>
        </w:rPr>
        <w:t> </w:t>
      </w:r>
      <w:r w:rsidRPr="003A7F84">
        <w:rPr>
          <w:rFonts w:asciiTheme="minorHAnsi" w:eastAsiaTheme="majorEastAsia" w:hAnsiTheme="minorHAnsi" w:cstheme="majorBidi"/>
          <w:b/>
          <w:spacing w:val="5"/>
          <w:kern w:val="28"/>
          <w:sz w:val="36"/>
          <w:szCs w:val="36"/>
        </w:rPr>
        <w:t>mL,</w:t>
      </w:r>
    </w:p>
    <w:p w14:paraId="1C0B61E7" w14:textId="2059EE3A" w:rsidR="004E7F51" w:rsidRPr="003A7F84" w:rsidRDefault="004E7F51" w:rsidP="004E7F51">
      <w:pPr>
        <w:ind w:left="720" w:hanging="720"/>
        <w:contextualSpacing/>
        <w:jc w:val="left"/>
        <w:rPr>
          <w:rFonts w:asciiTheme="minorHAnsi" w:eastAsiaTheme="majorEastAsia" w:hAnsiTheme="minorHAnsi" w:cstheme="majorBidi"/>
          <w:b/>
          <w:spacing w:val="5"/>
          <w:kern w:val="28"/>
          <w:sz w:val="36"/>
          <w:szCs w:val="36"/>
        </w:rPr>
      </w:pPr>
      <w:r w:rsidRPr="003A7F84">
        <w:rPr>
          <w:rFonts w:asciiTheme="minorHAnsi" w:eastAsiaTheme="majorEastAsia" w:hAnsiTheme="minorHAnsi" w:cstheme="majorBidi"/>
          <w:b/>
          <w:spacing w:val="5"/>
          <w:kern w:val="28"/>
          <w:sz w:val="36"/>
          <w:szCs w:val="36"/>
        </w:rPr>
        <w:tab/>
        <w:t>Oromucosal solution in pre-filled syringe 7.5 mg in 0.75 mL,</w:t>
      </w:r>
    </w:p>
    <w:p w14:paraId="51C6701A" w14:textId="29A026B9" w:rsidR="00B60939" w:rsidRPr="00DB4080" w:rsidRDefault="004E7F51" w:rsidP="00DB4080">
      <w:pPr>
        <w:ind w:left="720" w:hanging="720"/>
        <w:contextualSpacing/>
        <w:jc w:val="left"/>
        <w:rPr>
          <w:rFonts w:asciiTheme="minorHAnsi" w:eastAsiaTheme="majorEastAsia" w:hAnsiTheme="minorHAnsi" w:cstheme="majorBidi"/>
          <w:b/>
          <w:spacing w:val="5"/>
          <w:kern w:val="28"/>
          <w:sz w:val="36"/>
          <w:szCs w:val="36"/>
        </w:rPr>
      </w:pPr>
      <w:r w:rsidRPr="003A7F84">
        <w:rPr>
          <w:rFonts w:asciiTheme="minorHAnsi" w:eastAsiaTheme="majorEastAsia" w:hAnsiTheme="minorHAnsi" w:cstheme="majorBidi"/>
          <w:b/>
          <w:spacing w:val="5"/>
          <w:kern w:val="28"/>
          <w:sz w:val="36"/>
          <w:szCs w:val="36"/>
        </w:rPr>
        <w:tab/>
        <w:t>Oromucosal solution in pre-filled syringe 10 mg in 1</w:t>
      </w:r>
      <w:r w:rsidR="00AB32A3" w:rsidRPr="003A7F84">
        <w:rPr>
          <w:rFonts w:asciiTheme="minorHAnsi" w:eastAsiaTheme="majorEastAsia" w:hAnsiTheme="minorHAnsi" w:cstheme="majorBidi"/>
          <w:b/>
          <w:spacing w:val="5"/>
          <w:kern w:val="28"/>
          <w:sz w:val="36"/>
          <w:szCs w:val="36"/>
        </w:rPr>
        <w:t> </w:t>
      </w:r>
      <w:r w:rsidRPr="003A7F84">
        <w:rPr>
          <w:rFonts w:asciiTheme="minorHAnsi" w:eastAsiaTheme="majorEastAsia" w:hAnsiTheme="minorHAnsi" w:cstheme="majorBidi"/>
          <w:b/>
          <w:spacing w:val="5"/>
          <w:kern w:val="28"/>
          <w:sz w:val="36"/>
          <w:szCs w:val="36"/>
        </w:rPr>
        <w:t xml:space="preserve">mL, </w:t>
      </w:r>
      <w:r w:rsidR="00DB4080">
        <w:rPr>
          <w:rFonts w:asciiTheme="minorHAnsi" w:eastAsiaTheme="majorEastAsia" w:hAnsiTheme="minorHAnsi" w:cstheme="majorBidi"/>
          <w:b/>
          <w:spacing w:val="5"/>
          <w:kern w:val="28"/>
          <w:sz w:val="36"/>
          <w:szCs w:val="36"/>
        </w:rPr>
        <w:br/>
      </w:r>
      <w:r w:rsidR="006A0B4F" w:rsidRPr="00DB4080">
        <w:rPr>
          <w:rFonts w:asciiTheme="minorHAnsi" w:eastAsiaTheme="majorEastAsia" w:hAnsiTheme="minorHAnsi" w:cstheme="majorBidi"/>
          <w:b/>
          <w:spacing w:val="5"/>
          <w:kern w:val="28"/>
          <w:sz w:val="36"/>
          <w:szCs w:val="36"/>
        </w:rPr>
        <w:t>Zyamis</w:t>
      </w:r>
      <w:r w:rsidR="00B60939" w:rsidRPr="00DB4080">
        <w:rPr>
          <w:rFonts w:asciiTheme="minorHAnsi" w:eastAsiaTheme="majorEastAsia" w:hAnsiTheme="minorHAnsi" w:cstheme="majorBidi"/>
          <w:b/>
          <w:spacing w:val="5"/>
          <w:kern w:val="28"/>
          <w:sz w:val="36"/>
          <w:szCs w:val="36"/>
        </w:rPr>
        <w:t>®</w:t>
      </w:r>
      <w:r w:rsidR="004A6040" w:rsidRPr="00DB4080">
        <w:rPr>
          <w:rFonts w:asciiTheme="minorHAnsi" w:eastAsiaTheme="majorEastAsia" w:hAnsiTheme="minorHAnsi" w:cstheme="majorBidi"/>
          <w:b/>
          <w:spacing w:val="5"/>
          <w:kern w:val="28"/>
          <w:sz w:val="36"/>
          <w:szCs w:val="36"/>
        </w:rPr>
        <w:t>,</w:t>
      </w:r>
      <w:r w:rsidR="004A6040" w:rsidRPr="00DB4080">
        <w:rPr>
          <w:rFonts w:asciiTheme="minorHAnsi" w:eastAsiaTheme="majorEastAsia" w:hAnsiTheme="minorHAnsi" w:cstheme="majorBidi"/>
          <w:b/>
          <w:spacing w:val="5"/>
          <w:kern w:val="28"/>
          <w:sz w:val="36"/>
          <w:szCs w:val="36"/>
        </w:rPr>
        <w:br/>
      </w:r>
      <w:r w:rsidR="006A0B4F" w:rsidRPr="00DB4080">
        <w:rPr>
          <w:rFonts w:asciiTheme="minorHAnsi" w:eastAsiaTheme="majorEastAsia" w:hAnsiTheme="minorHAnsi" w:cstheme="majorBidi"/>
          <w:b/>
          <w:spacing w:val="5"/>
          <w:kern w:val="28"/>
          <w:sz w:val="36"/>
          <w:szCs w:val="36"/>
        </w:rPr>
        <w:t>Clinect Pty Ltd</w:t>
      </w:r>
      <w:r w:rsidR="00B60939" w:rsidRPr="00DB4080">
        <w:rPr>
          <w:rFonts w:asciiTheme="minorHAnsi" w:eastAsiaTheme="majorEastAsia" w:hAnsiTheme="minorHAnsi" w:cstheme="majorBidi"/>
          <w:b/>
          <w:spacing w:val="5"/>
          <w:kern w:val="28"/>
          <w:sz w:val="36"/>
          <w:szCs w:val="36"/>
        </w:rPr>
        <w:t>.</w:t>
      </w:r>
    </w:p>
    <w:p w14:paraId="11C00795" w14:textId="2C377C33" w:rsidR="00B50DB8" w:rsidRPr="003A7F84" w:rsidRDefault="00B50DB8" w:rsidP="002912B0">
      <w:pPr>
        <w:pStyle w:val="2-SectionHeading"/>
        <w:numPr>
          <w:ilvl w:val="0"/>
          <w:numId w:val="13"/>
        </w:numPr>
      </w:pPr>
      <w:bookmarkStart w:id="0" w:name="_Toc103714912"/>
      <w:r w:rsidRPr="003A7F84">
        <w:t xml:space="preserve">Purpose of </w:t>
      </w:r>
      <w:r w:rsidR="00CD7193" w:rsidRPr="003A7F84">
        <w:t>s</w:t>
      </w:r>
      <w:r w:rsidR="00BB3A45" w:rsidRPr="003A7F84">
        <w:t>ubmission</w:t>
      </w:r>
      <w:bookmarkEnd w:id="0"/>
    </w:p>
    <w:p w14:paraId="19414AA1" w14:textId="7F949DCA" w:rsidR="002C2775" w:rsidRPr="003A7F84" w:rsidRDefault="007170DA" w:rsidP="004E18E9">
      <w:pPr>
        <w:pStyle w:val="ExecSumBodyText"/>
      </w:pPr>
      <w:r w:rsidRPr="003A7F84">
        <w:t xml:space="preserve">The </w:t>
      </w:r>
      <w:r w:rsidR="00294743" w:rsidRPr="003A7F84">
        <w:t xml:space="preserve">category 2 </w:t>
      </w:r>
      <w:r w:rsidRPr="003A7F84">
        <w:t xml:space="preserve">submission requested </w:t>
      </w:r>
      <w:r w:rsidR="00EE77B9" w:rsidRPr="003A7F84">
        <w:t xml:space="preserve">a </w:t>
      </w:r>
      <w:r w:rsidR="008B1757" w:rsidRPr="003A7F84">
        <w:t xml:space="preserve">Section </w:t>
      </w:r>
      <w:r w:rsidR="00EE77B9" w:rsidRPr="003A7F84">
        <w:t>85</w:t>
      </w:r>
      <w:r w:rsidR="008B1757" w:rsidRPr="003A7F84">
        <w:t xml:space="preserve">, Authority Required </w:t>
      </w:r>
      <w:r w:rsidR="00EE77B9" w:rsidRPr="003A7F84">
        <w:t xml:space="preserve">(telephone) </w:t>
      </w:r>
      <w:r w:rsidR="004463B9" w:rsidRPr="003A7F84">
        <w:t xml:space="preserve">listing </w:t>
      </w:r>
      <w:r w:rsidR="00EE77B9" w:rsidRPr="003A7F84">
        <w:t xml:space="preserve">of midazolam maleate oromucosal solution (pre-filled syringes), for </w:t>
      </w:r>
      <w:r w:rsidR="00EE77B9" w:rsidRPr="003A7F84">
        <w:rPr>
          <w:rFonts w:cstheme="minorHAnsi"/>
        </w:rPr>
        <w:t>the treatment of generalised convulsive status epilepticus (GCSE) in patients with epilepsy aged over 6 months and a high risk of status epilepticus</w:t>
      </w:r>
      <w:r w:rsidR="008B1757" w:rsidRPr="003A7F84">
        <w:t xml:space="preserve">. </w:t>
      </w:r>
    </w:p>
    <w:p w14:paraId="4E9FBCB5" w14:textId="053041C0" w:rsidR="00C2778B" w:rsidRPr="003A7F84" w:rsidRDefault="004463B9" w:rsidP="004E18E9">
      <w:pPr>
        <w:pStyle w:val="ExecSumBodyText"/>
      </w:pPr>
      <w:r w:rsidRPr="003A7F84">
        <w:t>The l</w:t>
      </w:r>
      <w:r w:rsidR="005750C5" w:rsidRPr="003A7F84">
        <w:t xml:space="preserve">isting was requested on the basis of a </w:t>
      </w:r>
      <w:r w:rsidR="00610E1A" w:rsidRPr="003A7F84">
        <w:t>cost</w:t>
      </w:r>
      <w:r w:rsidR="00825B40" w:rsidRPr="003A7F84">
        <w:t>-</w:t>
      </w:r>
      <w:r w:rsidR="00610E1A" w:rsidRPr="003A7F84">
        <w:t>consequence</w:t>
      </w:r>
      <w:r w:rsidR="00294743" w:rsidRPr="003A7F84">
        <w:t>s</w:t>
      </w:r>
      <w:r w:rsidR="00610E1A" w:rsidRPr="003A7F84">
        <w:t xml:space="preserve"> analysis</w:t>
      </w:r>
      <w:r w:rsidR="00FD0F90" w:rsidRPr="003A7F84">
        <w:t xml:space="preserve"> </w:t>
      </w:r>
      <w:r w:rsidR="00E45776" w:rsidRPr="003A7F84">
        <w:t xml:space="preserve">comparing the </w:t>
      </w:r>
      <w:r w:rsidR="00FD0F90" w:rsidRPr="003A7F84">
        <w:t xml:space="preserve">costs associated </w:t>
      </w:r>
      <w:r w:rsidR="00E45776" w:rsidRPr="003A7F84">
        <w:t xml:space="preserve">with midazolam oromucosal solution </w:t>
      </w:r>
      <w:r w:rsidR="00FB2BAC" w:rsidRPr="003A7F84">
        <w:t xml:space="preserve">with midazolam hydrochloride for </w:t>
      </w:r>
      <w:r w:rsidR="0069728D" w:rsidRPr="003A7F84">
        <w:t>intravenous</w:t>
      </w:r>
      <w:r w:rsidR="00FB2BAC" w:rsidRPr="003A7F84">
        <w:t>/intramuscular injection</w:t>
      </w:r>
      <w:r w:rsidR="005750C5" w:rsidRPr="003A7F84">
        <w:t>.</w:t>
      </w:r>
    </w:p>
    <w:p w14:paraId="5F259BFC" w14:textId="3F64A270" w:rsidR="00C33950" w:rsidRPr="003A7F84" w:rsidRDefault="00C33950" w:rsidP="00970876">
      <w:pPr>
        <w:pStyle w:val="Caption"/>
        <w:rPr>
          <w:b w:val="0"/>
        </w:rPr>
      </w:pPr>
      <w:r w:rsidRPr="003A7F84">
        <w:t xml:space="preserve">Table </w:t>
      </w:r>
      <w:fldSimple w:instr=" SEQ Table \* ARABIC ">
        <w:r w:rsidR="009466A1">
          <w:rPr>
            <w:noProof/>
          </w:rPr>
          <w:t>1</w:t>
        </w:r>
      </w:fldSimple>
      <w:r w:rsidR="00970876" w:rsidRPr="003A7F84">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DD2568" w:rsidRPr="003A7F84" w14:paraId="049654E7" w14:textId="77777777" w:rsidTr="00AB32A3">
        <w:tc>
          <w:tcPr>
            <w:tcW w:w="1271" w:type="dxa"/>
            <w:vAlign w:val="center"/>
          </w:tcPr>
          <w:p w14:paraId="73EF3BF5" w14:textId="77777777" w:rsidR="00DD2568" w:rsidRPr="003A7F84" w:rsidRDefault="00DD2568" w:rsidP="00AB32A3">
            <w:pPr>
              <w:pStyle w:val="Tableheadingrow"/>
              <w:rPr>
                <w:lang w:val="en-AU"/>
              </w:rPr>
            </w:pPr>
            <w:r w:rsidRPr="003A7F84">
              <w:rPr>
                <w:lang w:val="en-AU"/>
              </w:rPr>
              <w:t>Component</w:t>
            </w:r>
          </w:p>
        </w:tc>
        <w:tc>
          <w:tcPr>
            <w:tcW w:w="7885" w:type="dxa"/>
            <w:vAlign w:val="center"/>
          </w:tcPr>
          <w:p w14:paraId="3BDC1174" w14:textId="77777777" w:rsidR="00DD2568" w:rsidRPr="003A7F84" w:rsidRDefault="00DD2568" w:rsidP="00AB32A3">
            <w:pPr>
              <w:pStyle w:val="Tableheadingrow"/>
              <w:rPr>
                <w:szCs w:val="20"/>
                <w:lang w:val="en-AU"/>
              </w:rPr>
            </w:pPr>
            <w:r w:rsidRPr="003A7F84">
              <w:rPr>
                <w:szCs w:val="20"/>
                <w:lang w:val="en-AU"/>
              </w:rPr>
              <w:t>Description</w:t>
            </w:r>
          </w:p>
        </w:tc>
      </w:tr>
      <w:tr w:rsidR="00DD2568" w:rsidRPr="003A7F84" w14:paraId="461E6A29" w14:textId="77777777" w:rsidTr="00AB32A3">
        <w:tc>
          <w:tcPr>
            <w:tcW w:w="1271" w:type="dxa"/>
            <w:vAlign w:val="center"/>
          </w:tcPr>
          <w:p w14:paraId="1643D985" w14:textId="77777777" w:rsidR="00DD2568" w:rsidRPr="003A7F84" w:rsidRDefault="00DD2568" w:rsidP="00AB32A3">
            <w:pPr>
              <w:pStyle w:val="TableText"/>
            </w:pPr>
            <w:r w:rsidRPr="003A7F84">
              <w:t>Population</w:t>
            </w:r>
          </w:p>
        </w:tc>
        <w:tc>
          <w:tcPr>
            <w:tcW w:w="7885" w:type="dxa"/>
            <w:vAlign w:val="center"/>
          </w:tcPr>
          <w:p w14:paraId="43FC6E40" w14:textId="77777777" w:rsidR="00DD2568" w:rsidRPr="003A7F84" w:rsidRDefault="00DD2568" w:rsidP="00AB32A3">
            <w:pPr>
              <w:pStyle w:val="TableText"/>
              <w:rPr>
                <w:szCs w:val="20"/>
              </w:rPr>
            </w:pPr>
            <w:r w:rsidRPr="003A7F84">
              <w:rPr>
                <w:szCs w:val="20"/>
              </w:rPr>
              <w:t>Patients from 6 months of age where a medical practitioner has diagnosed epilepsy with a high risk of status epilepticus</w:t>
            </w:r>
          </w:p>
        </w:tc>
      </w:tr>
      <w:tr w:rsidR="00DD2568" w:rsidRPr="003A7F84" w14:paraId="087D0F5E" w14:textId="77777777" w:rsidTr="00AB32A3">
        <w:tc>
          <w:tcPr>
            <w:tcW w:w="1271" w:type="dxa"/>
            <w:vAlign w:val="center"/>
          </w:tcPr>
          <w:p w14:paraId="17DB89BA" w14:textId="77777777" w:rsidR="00DD2568" w:rsidRPr="003A7F84" w:rsidRDefault="00DD2568" w:rsidP="00AB32A3">
            <w:pPr>
              <w:pStyle w:val="TableText"/>
            </w:pPr>
            <w:r w:rsidRPr="003A7F84">
              <w:t>Intervention</w:t>
            </w:r>
          </w:p>
        </w:tc>
        <w:tc>
          <w:tcPr>
            <w:tcW w:w="7885" w:type="dxa"/>
            <w:vAlign w:val="center"/>
          </w:tcPr>
          <w:p w14:paraId="2B2B9D5F" w14:textId="77777777" w:rsidR="00DD2568" w:rsidRPr="003A7F84" w:rsidRDefault="00DD2568" w:rsidP="00AB32A3">
            <w:pPr>
              <w:pStyle w:val="TableText"/>
              <w:rPr>
                <w:szCs w:val="20"/>
              </w:rPr>
            </w:pPr>
            <w:r w:rsidRPr="003A7F84">
              <w:rPr>
                <w:szCs w:val="20"/>
              </w:rPr>
              <w:t xml:space="preserve">Midazolam maleate oromucosal solution in pre-filled single use syringe for buccal administration </w:t>
            </w:r>
          </w:p>
          <w:p w14:paraId="5C3F6E73" w14:textId="2ED1518C" w:rsidR="00C00353" w:rsidRPr="003A7F84" w:rsidRDefault="00D45804" w:rsidP="00AB32A3">
            <w:pPr>
              <w:pStyle w:val="TableText"/>
              <w:rPr>
                <w:szCs w:val="20"/>
              </w:rPr>
            </w:pPr>
            <w:r w:rsidRPr="003A7F84">
              <w:rPr>
                <w:szCs w:val="20"/>
              </w:rPr>
              <w:t xml:space="preserve">- </w:t>
            </w:r>
            <w:r w:rsidR="00C00353" w:rsidRPr="003A7F84">
              <w:rPr>
                <w:rStyle w:val="Small"/>
                <w:rFonts w:ascii="Arial Narrow" w:hAnsi="Arial Narrow"/>
              </w:rPr>
              <w:t>midazolam 2.5 mg in 0.25 mL</w:t>
            </w:r>
            <w:r w:rsidR="000130A8" w:rsidRPr="003A7F84">
              <w:rPr>
                <w:rStyle w:val="Small"/>
                <w:rFonts w:ascii="Arial Narrow" w:hAnsi="Arial Narrow"/>
              </w:rPr>
              <w:t>, 5 mg in 0.5 mL, 7.5 mg in 0.75 mL,</w:t>
            </w:r>
            <w:r w:rsidR="000130A8" w:rsidRPr="003A7F84">
              <w:rPr>
                <w:rStyle w:val="Heading2Char"/>
                <w:rFonts w:ascii="Arial Narrow" w:hAnsi="Arial Narrow"/>
                <w:b w:val="0"/>
                <w:i w:val="0"/>
              </w:rPr>
              <w:t xml:space="preserve"> </w:t>
            </w:r>
            <w:r w:rsidR="000130A8" w:rsidRPr="003A7F84">
              <w:rPr>
                <w:rStyle w:val="Small"/>
                <w:rFonts w:ascii="Arial Narrow" w:hAnsi="Arial Narrow"/>
              </w:rPr>
              <w:t>10 mg in 1.0 mL</w:t>
            </w:r>
            <w:r w:rsidR="000130A8" w:rsidRPr="003A7F84">
              <w:rPr>
                <w:rStyle w:val="Heading2Char"/>
                <w:rFonts w:ascii="Arial Narrow" w:hAnsi="Arial Narrow"/>
                <w:b w:val="0"/>
                <w:i w:val="0"/>
              </w:rPr>
              <w:t xml:space="preserve"> </w:t>
            </w:r>
            <w:r w:rsidR="00C00353" w:rsidRPr="003A7F84">
              <w:rPr>
                <w:rStyle w:val="Small"/>
                <w:rFonts w:ascii="Arial Narrow" w:hAnsi="Arial Narrow"/>
              </w:rPr>
              <w:t>oromucosal solution</w:t>
            </w:r>
          </w:p>
        </w:tc>
      </w:tr>
      <w:tr w:rsidR="00DD2568" w:rsidRPr="003A7F84" w14:paraId="51D38FD3" w14:textId="77777777" w:rsidTr="00AB32A3">
        <w:tc>
          <w:tcPr>
            <w:tcW w:w="1271" w:type="dxa"/>
            <w:vAlign w:val="center"/>
          </w:tcPr>
          <w:p w14:paraId="40C3379B" w14:textId="77777777" w:rsidR="00DD2568" w:rsidRPr="003A7F84" w:rsidRDefault="00DD2568" w:rsidP="00AB32A3">
            <w:pPr>
              <w:pStyle w:val="TableText"/>
            </w:pPr>
            <w:r w:rsidRPr="003A7F84">
              <w:t>Comparator</w:t>
            </w:r>
          </w:p>
        </w:tc>
        <w:tc>
          <w:tcPr>
            <w:tcW w:w="7885" w:type="dxa"/>
            <w:vAlign w:val="center"/>
          </w:tcPr>
          <w:p w14:paraId="1C390077" w14:textId="5E6A1700" w:rsidR="00CC1507" w:rsidRPr="003A7F84" w:rsidRDefault="00DD2568" w:rsidP="00AB32A3">
            <w:pPr>
              <w:pStyle w:val="TableText"/>
              <w:rPr>
                <w:szCs w:val="20"/>
              </w:rPr>
            </w:pPr>
            <w:r w:rsidRPr="003A7F84">
              <w:rPr>
                <w:szCs w:val="20"/>
              </w:rPr>
              <w:t xml:space="preserve">Midazolam hydrochloride for intravenous/intramuscular injection 5 mg/mL, by buccal </w:t>
            </w:r>
            <w:r w:rsidR="00747E12" w:rsidRPr="003A7F84">
              <w:rPr>
                <w:szCs w:val="20"/>
              </w:rPr>
              <w:t xml:space="preserve">or intranasal </w:t>
            </w:r>
            <w:r w:rsidRPr="003A7F84">
              <w:rPr>
                <w:szCs w:val="20"/>
              </w:rPr>
              <w:t>administration</w:t>
            </w:r>
          </w:p>
        </w:tc>
      </w:tr>
      <w:tr w:rsidR="00DD2568" w:rsidRPr="003A7F84" w14:paraId="149D1267" w14:textId="77777777" w:rsidTr="00AB32A3">
        <w:tc>
          <w:tcPr>
            <w:tcW w:w="1271" w:type="dxa"/>
            <w:vAlign w:val="center"/>
          </w:tcPr>
          <w:p w14:paraId="3C416D24" w14:textId="77777777" w:rsidR="00DD2568" w:rsidRPr="003A7F84" w:rsidRDefault="00DD2568" w:rsidP="00AB32A3">
            <w:pPr>
              <w:pStyle w:val="TableText"/>
            </w:pPr>
            <w:r w:rsidRPr="003A7F84">
              <w:t>Outcomes</w:t>
            </w:r>
          </w:p>
        </w:tc>
        <w:tc>
          <w:tcPr>
            <w:tcW w:w="7885" w:type="dxa"/>
            <w:vAlign w:val="center"/>
          </w:tcPr>
          <w:p w14:paraId="3504CF9A" w14:textId="77777777" w:rsidR="00DD2568" w:rsidRPr="003A7F84" w:rsidRDefault="00DD2568" w:rsidP="00AB32A3">
            <w:pPr>
              <w:pStyle w:val="TableText"/>
              <w:rPr>
                <w:rFonts w:cstheme="minorHAnsi"/>
                <w:szCs w:val="20"/>
              </w:rPr>
            </w:pPr>
            <w:r w:rsidRPr="003A7F84">
              <w:rPr>
                <w:rFonts w:cstheme="minorHAnsi"/>
                <w:szCs w:val="20"/>
              </w:rPr>
              <w:t>Seizure cessation within ten minutes of treatment</w:t>
            </w:r>
          </w:p>
        </w:tc>
      </w:tr>
      <w:tr w:rsidR="00DD2568" w:rsidRPr="003A7F84" w14:paraId="774AC097" w14:textId="77777777" w:rsidTr="00AB32A3">
        <w:tc>
          <w:tcPr>
            <w:tcW w:w="1271" w:type="dxa"/>
            <w:vAlign w:val="center"/>
          </w:tcPr>
          <w:p w14:paraId="68D7A985" w14:textId="77777777" w:rsidR="00DD2568" w:rsidRPr="003A7F84" w:rsidRDefault="00DD2568" w:rsidP="00AB32A3">
            <w:pPr>
              <w:pStyle w:val="TableText"/>
            </w:pPr>
            <w:r w:rsidRPr="003A7F84">
              <w:t>Clinical claim</w:t>
            </w:r>
          </w:p>
        </w:tc>
        <w:tc>
          <w:tcPr>
            <w:tcW w:w="7885" w:type="dxa"/>
            <w:vAlign w:val="center"/>
          </w:tcPr>
          <w:p w14:paraId="348F44AF" w14:textId="7FA5BEEA" w:rsidR="00CC1507" w:rsidRPr="003A7F84" w:rsidRDefault="00F62707" w:rsidP="00F62707">
            <w:pPr>
              <w:pStyle w:val="TableText"/>
              <w:rPr>
                <w:szCs w:val="20"/>
              </w:rPr>
            </w:pPr>
            <w:r w:rsidRPr="003A7F84">
              <w:rPr>
                <w:szCs w:val="20"/>
              </w:rPr>
              <w:t>N</w:t>
            </w:r>
            <w:r w:rsidRPr="003A7F84">
              <w:rPr>
                <w:rFonts w:cstheme="minorHAnsi"/>
                <w:szCs w:val="20"/>
              </w:rPr>
              <w:t>oninferior effectiveness and safety compared to midazolam hydrochloride.</w:t>
            </w:r>
            <w:r w:rsidR="00F640C5" w:rsidRPr="003A7F84">
              <w:rPr>
                <w:rFonts w:cstheme="minorHAnsi"/>
                <w:szCs w:val="20"/>
              </w:rPr>
              <w:t xml:space="preserve"> </w:t>
            </w:r>
            <w:r w:rsidRPr="003A7F84">
              <w:t>In addition, midazolam oromucosal solution provides significantly superior and important pragmatic and practical improvements to the accurate and timely administration of midazolam during an acute health emergency.</w:t>
            </w:r>
          </w:p>
        </w:tc>
      </w:tr>
    </w:tbl>
    <w:p w14:paraId="042082DB" w14:textId="4C9F5276" w:rsidR="00000D38" w:rsidRPr="003A7F84" w:rsidRDefault="00000D38" w:rsidP="00000D38">
      <w:pPr>
        <w:pStyle w:val="TableFigureFooter"/>
      </w:pPr>
      <w:r w:rsidRPr="003A7F84">
        <w:t>Source: Table 1-1, p28 of the submission</w:t>
      </w:r>
    </w:p>
    <w:p w14:paraId="172B4DC4" w14:textId="20E15579" w:rsidR="00952573" w:rsidRPr="003A7F84" w:rsidRDefault="00952573" w:rsidP="00952573">
      <w:pPr>
        <w:pStyle w:val="ExecSumBodyText"/>
        <w:rPr>
          <w:iCs/>
        </w:rPr>
      </w:pPr>
      <w:r w:rsidRPr="003A7F84">
        <w:rPr>
          <w:iCs/>
        </w:rPr>
        <w:t xml:space="preserve">The clinical claim was inconsistent between the main body of the submission (noninferior efficacy versus the main comparator) and </w:t>
      </w:r>
      <w:r w:rsidR="009D7635" w:rsidRPr="003A7F84">
        <w:rPr>
          <w:iCs/>
        </w:rPr>
        <w:t xml:space="preserve">some sections of </w:t>
      </w:r>
      <w:r w:rsidRPr="003A7F84">
        <w:rPr>
          <w:iCs/>
        </w:rPr>
        <w:t>the executive summary (superior efficacy versus the main comparator).</w:t>
      </w:r>
      <w:r w:rsidR="009D7635" w:rsidRPr="003A7F84">
        <w:rPr>
          <w:iCs/>
        </w:rPr>
        <w:t xml:space="preserve"> Given the main body of the submission and the economic analysis was based on the claim of noninferior efficacy </w:t>
      </w:r>
      <w:r w:rsidR="009D7635" w:rsidRPr="003A7F84">
        <w:rPr>
          <w:iCs/>
        </w:rPr>
        <w:lastRenderedPageBreak/>
        <w:t>and safety, and no evidence supporting a claim of superior effective</w:t>
      </w:r>
      <w:r w:rsidR="00F640C5" w:rsidRPr="003A7F84">
        <w:rPr>
          <w:iCs/>
        </w:rPr>
        <w:t>ness</w:t>
      </w:r>
      <w:r w:rsidR="009D7635" w:rsidRPr="003A7F84">
        <w:rPr>
          <w:iCs/>
        </w:rPr>
        <w:t xml:space="preserve"> was presented in the submission, the evaluation was conducted on this basis. </w:t>
      </w:r>
    </w:p>
    <w:p w14:paraId="60DD94A3" w14:textId="397109B3" w:rsidR="00FA7B40" w:rsidRPr="003A7F84" w:rsidRDefault="00D00419" w:rsidP="00971CAE">
      <w:pPr>
        <w:pStyle w:val="ExecSumBodyText"/>
        <w:rPr>
          <w:iCs/>
        </w:rPr>
      </w:pPr>
      <w:r w:rsidRPr="003A7F84">
        <w:t>In addition, t</w:t>
      </w:r>
      <w:r w:rsidR="00FA7B40" w:rsidRPr="003A7F84">
        <w:t>he submission claimed that midazolam oromucosal solution provides significantly superior and important pragmatic and practical improvements to the accurate and timely administration of midazolam during an acute health emergency</w:t>
      </w:r>
      <w:r w:rsidRPr="003A7F84">
        <w:t xml:space="preserve">.  </w:t>
      </w:r>
      <w:r w:rsidR="00930C25" w:rsidRPr="003A7F84">
        <w:t xml:space="preserve">The submission </w:t>
      </w:r>
      <w:r w:rsidR="008A66C5" w:rsidRPr="003A7F84">
        <w:t xml:space="preserve">stated that midazolam oromucosal solution is likely to provide a qualitatively (but unquantifiable) improvement in efficacy and safety when administered by parents and carers in a non-hospital setting, compared to the main comparator, off-label use of midazolam ampoules. </w:t>
      </w:r>
      <w:r w:rsidR="007C210D" w:rsidRPr="003A7F84">
        <w:rPr>
          <w:iCs/>
        </w:rPr>
        <w:t>The submission stated that expectations of more accurate dosing and easier administration were supported by local expert advice, but did not present evidence to support this claim.</w:t>
      </w:r>
      <w:r w:rsidR="00FC5862" w:rsidRPr="003A7F84">
        <w:rPr>
          <w:iCs/>
        </w:rPr>
        <w:t xml:space="preserve"> </w:t>
      </w:r>
      <w:r w:rsidR="00B00C79" w:rsidRPr="003A7F84">
        <w:rPr>
          <w:iCs/>
        </w:rPr>
        <w:t xml:space="preserve"> </w:t>
      </w:r>
    </w:p>
    <w:p w14:paraId="6B4AB6C2" w14:textId="7F01D731" w:rsidR="005C25FF" w:rsidRPr="003A7F84" w:rsidRDefault="005C25FF" w:rsidP="004A6040">
      <w:pPr>
        <w:pStyle w:val="2-SectionHeading"/>
      </w:pPr>
      <w:bookmarkStart w:id="1" w:name="_Toc103714913"/>
      <w:r w:rsidRPr="003A7F84">
        <w:t>Background</w:t>
      </w:r>
      <w:bookmarkEnd w:id="1"/>
    </w:p>
    <w:p w14:paraId="2C521D6D" w14:textId="78CF03EE" w:rsidR="005C25FF" w:rsidRPr="003A7F84" w:rsidRDefault="005C25FF" w:rsidP="004A6040">
      <w:pPr>
        <w:pStyle w:val="3-SubsectionHeading"/>
      </w:pPr>
      <w:bookmarkStart w:id="2" w:name="_Toc22897638"/>
      <w:bookmarkStart w:id="3" w:name="_Toc103714914"/>
      <w:r w:rsidRPr="003A7F84">
        <w:t>Registration status</w:t>
      </w:r>
      <w:bookmarkEnd w:id="2"/>
      <w:bookmarkEnd w:id="3"/>
    </w:p>
    <w:p w14:paraId="49AC39E0" w14:textId="317013F2" w:rsidR="005D4CE3" w:rsidRPr="003A7F84" w:rsidRDefault="004D1D11" w:rsidP="00763FE0">
      <w:pPr>
        <w:pStyle w:val="ExecSumBodyText"/>
      </w:pPr>
      <w:r w:rsidRPr="003A7F84">
        <w:t>Midazolam oromucosal solution</w:t>
      </w:r>
      <w:r w:rsidR="005D4CE3" w:rsidRPr="003A7F84">
        <w:t xml:space="preserve"> was listed on the Australian Register of Therapeutic Goods (</w:t>
      </w:r>
      <w:r w:rsidR="003B2A11" w:rsidRPr="003A7F84">
        <w:t>ARTG</w:t>
      </w:r>
      <w:r w:rsidR="007344C1" w:rsidRPr="003A7F84">
        <w:t xml:space="preserve">) </w:t>
      </w:r>
      <w:r w:rsidR="00C42550" w:rsidRPr="003A7F84">
        <w:t>on 22</w:t>
      </w:r>
      <w:r w:rsidR="007344C1" w:rsidRPr="003A7F84">
        <w:t xml:space="preserve"> April </w:t>
      </w:r>
      <w:r w:rsidR="00855804" w:rsidRPr="003A7F84">
        <w:t>2022</w:t>
      </w:r>
      <w:r w:rsidR="005D4CE3" w:rsidRPr="003A7F84">
        <w:t>)</w:t>
      </w:r>
      <w:r w:rsidR="007344C1" w:rsidRPr="003A7F84">
        <w:t xml:space="preserve">. The TGA approved indication </w:t>
      </w:r>
      <w:r w:rsidR="00C42550" w:rsidRPr="003A7F84">
        <w:t xml:space="preserve">for midazolam oromucosal solution </w:t>
      </w:r>
      <w:r w:rsidR="007344C1" w:rsidRPr="003A7F84">
        <w:t xml:space="preserve">is for the treatment of </w:t>
      </w:r>
      <w:r w:rsidR="00D62B95" w:rsidRPr="003A7F84">
        <w:t>generalised convulsive s</w:t>
      </w:r>
      <w:r w:rsidR="007344C1" w:rsidRPr="003A7F84">
        <w:t xml:space="preserve">tatus </w:t>
      </w:r>
      <w:r w:rsidR="00D62B95" w:rsidRPr="003A7F84">
        <w:t xml:space="preserve">epilepticus </w:t>
      </w:r>
      <w:r w:rsidR="007344C1" w:rsidRPr="003A7F84">
        <w:t>(GCSE), in those over 6 months old.</w:t>
      </w:r>
    </w:p>
    <w:p w14:paraId="1DCE43E8" w14:textId="34281276" w:rsidR="00530BB9" w:rsidRPr="003A7F84" w:rsidRDefault="00FB1F68" w:rsidP="00FB1F68">
      <w:pPr>
        <w:pStyle w:val="ExecSumBodyText"/>
      </w:pPr>
      <w:bookmarkStart w:id="4" w:name="_Ref109646656"/>
      <w:r w:rsidRPr="003A7F84">
        <w:t>The TGA clinical evaluation noted that the bioequivalence of midazolam oromucosal solution and midazolam hydrochloride, administered buccally, was demonstrated in healthy adults (pharmacokinetic study SPL002), but no evidence was presented supporting bioequivalence in children (Delegate’s Overview, 2020). In addition, it was noted that results for simulated paediatric exposures compared to the adult population were well below the acceptable bioequivalence limits (Delegate’s Overview 2020).</w:t>
      </w:r>
      <w:bookmarkEnd w:id="4"/>
      <w:r w:rsidRPr="003A7F84">
        <w:t xml:space="preserve"> </w:t>
      </w:r>
    </w:p>
    <w:p w14:paraId="0E07DC4C" w14:textId="77883CF3" w:rsidR="007344C1" w:rsidRPr="003A7F84" w:rsidRDefault="00530BB9" w:rsidP="00686DF7">
      <w:pPr>
        <w:pStyle w:val="ExecSumBodyText"/>
      </w:pPr>
      <w:bookmarkStart w:id="5" w:name="_Ref106221288"/>
      <w:r w:rsidRPr="003A7F84">
        <w:t xml:space="preserve">The </w:t>
      </w:r>
      <w:r w:rsidR="00FB1F68" w:rsidRPr="003A7F84">
        <w:t xml:space="preserve">Advisory Committee on Medicines (ACM, August 2021) recommended </w:t>
      </w:r>
      <w:r w:rsidR="007344C1" w:rsidRPr="003A7F84">
        <w:t xml:space="preserve">approval of </w:t>
      </w:r>
      <w:r w:rsidR="00FB1F68" w:rsidRPr="003A7F84">
        <w:t>midazolam oromucosal solution (ZYAMIS</w:t>
      </w:r>
      <w:r w:rsidR="00FB1F68" w:rsidRPr="003A7F84">
        <w:rPr>
          <w:rFonts w:cs="Calibri"/>
        </w:rPr>
        <w:t>®</w:t>
      </w:r>
      <w:r w:rsidR="00FB1F68" w:rsidRPr="003A7F84">
        <w:t xml:space="preserve">), on the basis of </w:t>
      </w:r>
      <w:r w:rsidRPr="003A7F84">
        <w:t xml:space="preserve">a </w:t>
      </w:r>
      <w:r w:rsidR="00871E05" w:rsidRPr="003A7F84">
        <w:t>literature-based</w:t>
      </w:r>
      <w:r w:rsidRPr="003A7F84">
        <w:t xml:space="preserve"> submission.</w:t>
      </w:r>
      <w:r w:rsidR="007344C1" w:rsidRPr="003A7F84">
        <w:t xml:space="preserve">  The clinical evaluation report stated that the efficacy and safety of midazolam administered via intravenous, intramuscular, intranasal, or buccal route for the treatment of seizures in children and adults have been demonstrated in a body of clinical studies and have been confirmed by extensive use in clinical practice (Glauser et al. 2016; McTague et al. 2018; Trinka et al. 2016).</w:t>
      </w:r>
      <w:r w:rsidR="0088287D" w:rsidRPr="003A7F84">
        <w:t xml:space="preserve">  The ACM (</w:t>
      </w:r>
      <w:r w:rsidR="00833BFE" w:rsidRPr="003A7F84">
        <w:t xml:space="preserve">ACM, August 2021, </w:t>
      </w:r>
      <w:r w:rsidR="0088287D" w:rsidRPr="003A7F84">
        <w:t>p5) also noted that several efficacy studies were submitted, but these were not specific to this proposed buccal midazolam formulation. The ACM were of the view that the two most relevant studies were Talukdar et al</w:t>
      </w:r>
      <w:r w:rsidR="00C42550" w:rsidRPr="003A7F84">
        <w:t>.</w:t>
      </w:r>
      <w:r w:rsidR="0088287D" w:rsidRPr="003A7F84">
        <w:t xml:space="preserve"> (2009) and Tonekaboni et al</w:t>
      </w:r>
      <w:r w:rsidR="00833BFE" w:rsidRPr="003A7F84">
        <w:t>.</w:t>
      </w:r>
      <w:r w:rsidR="0088287D" w:rsidRPr="003A7F84">
        <w:t xml:space="preserve"> (2012</w:t>
      </w:r>
      <w:r w:rsidR="00622C34" w:rsidRPr="003A7F84">
        <w:t>) and</w:t>
      </w:r>
      <w:r w:rsidR="00833BFE" w:rsidRPr="003A7F84" w:rsidDel="00833BFE">
        <w:t xml:space="preserve"> </w:t>
      </w:r>
      <w:r w:rsidR="0088287D" w:rsidRPr="003A7F84">
        <w:t>noted that both studies demonstrated that buccal midazolam was comparable to intravenous diazepam for seizure control.</w:t>
      </w:r>
      <w:bookmarkEnd w:id="5"/>
    </w:p>
    <w:p w14:paraId="145A89D5" w14:textId="2E11AA66" w:rsidR="00E5323E" w:rsidRPr="003A7F84" w:rsidRDefault="00E5323E" w:rsidP="00E5323E">
      <w:pPr>
        <w:pStyle w:val="ExecSumBodyText"/>
      </w:pPr>
      <w:r w:rsidRPr="003A7F84">
        <w:t xml:space="preserve">The submission stated that midazolam oromucosal solution was bioequivalent to midazolam parenteral solution administered via the oromucosal route based on a </w:t>
      </w:r>
      <w:r w:rsidRPr="003A7F84">
        <w:lastRenderedPageBreak/>
        <w:t xml:space="preserve">study in healthy adult subjects, that was </w:t>
      </w:r>
      <w:r w:rsidR="00242B83" w:rsidRPr="003A7F84">
        <w:t xml:space="preserve">cited </w:t>
      </w:r>
      <w:r w:rsidRPr="003A7F84">
        <w:t xml:space="preserve">in the ACM minutes (SPL002 BE; n = 51), </w:t>
      </w:r>
      <w:r w:rsidR="00833BFE" w:rsidRPr="003A7F84">
        <w:t xml:space="preserve">but </w:t>
      </w:r>
      <w:r w:rsidRPr="003A7F84">
        <w:t xml:space="preserve">no further details were provided </w:t>
      </w:r>
      <w:r w:rsidR="00833BFE" w:rsidRPr="003A7F84">
        <w:t xml:space="preserve">in </w:t>
      </w:r>
      <w:r w:rsidRPr="003A7F84">
        <w:t>the submission.</w:t>
      </w:r>
    </w:p>
    <w:p w14:paraId="5374AD55" w14:textId="44CAC7D0" w:rsidR="005C25FF" w:rsidRPr="003A7F84" w:rsidRDefault="00626FC7" w:rsidP="00686DF7">
      <w:pPr>
        <w:pStyle w:val="ExecSumBodyText"/>
      </w:pPr>
      <w:r w:rsidRPr="003A7F84">
        <w:rPr>
          <w:iCs/>
        </w:rPr>
        <w:t xml:space="preserve">Midazolam oromucosal solution </w:t>
      </w:r>
      <w:r w:rsidR="005D4CE3" w:rsidRPr="003A7F84">
        <w:rPr>
          <w:iCs/>
        </w:rPr>
        <w:t>has not previously been considered by the PBAC</w:t>
      </w:r>
      <w:r w:rsidR="005D4CE3" w:rsidRPr="003A7F84">
        <w:t>.</w:t>
      </w:r>
      <w:r w:rsidRPr="003A7F84">
        <w:t xml:space="preserve"> </w:t>
      </w:r>
    </w:p>
    <w:p w14:paraId="326051AD" w14:textId="63B57DEE" w:rsidR="007E6801" w:rsidRPr="00D9328A" w:rsidRDefault="007E6801" w:rsidP="00D9328A">
      <w:pPr>
        <w:ind w:firstLine="709"/>
        <w:rPr>
          <w:rFonts w:asciiTheme="minorHAnsi" w:hAnsiTheme="minorHAnsi"/>
          <w:i/>
        </w:rPr>
      </w:pPr>
      <w:bookmarkStart w:id="6" w:name="_Hlk76375324"/>
      <w:r w:rsidRPr="003A7F84">
        <w:rPr>
          <w:rFonts w:asciiTheme="minorHAnsi" w:hAnsiTheme="minorHAnsi"/>
          <w:i/>
        </w:rPr>
        <w:t>For more detail on PBAC’s view, see section 7 PBAC outcome.</w:t>
      </w:r>
      <w:bookmarkEnd w:id="6"/>
    </w:p>
    <w:p w14:paraId="56763224" w14:textId="5621AF47" w:rsidR="00617E12" w:rsidRPr="003A7F84" w:rsidRDefault="00B50DB8" w:rsidP="00617E12">
      <w:pPr>
        <w:pStyle w:val="2-SectionHeading"/>
      </w:pPr>
      <w:bookmarkStart w:id="7" w:name="_Toc103714915"/>
      <w:r w:rsidRPr="003A7F84">
        <w:t>Requested listing</w:t>
      </w:r>
      <w:bookmarkEnd w:id="7"/>
    </w:p>
    <w:p w14:paraId="031F77A4" w14:textId="12702B11" w:rsidR="00236BDA" w:rsidRPr="003A7F84" w:rsidRDefault="00074146" w:rsidP="00074146">
      <w:pPr>
        <w:pStyle w:val="ExecSumBodyText"/>
      </w:pPr>
      <w:r w:rsidRPr="003A7F84">
        <w:t>The requested listing and suggested wording for the restriction as proposed by the Secretariat (additions are in italics, deletions in strikethrough) is presented below.</w:t>
      </w:r>
      <w:r w:rsidR="001F03AF" w:rsidRPr="001F03AF">
        <w:rPr>
          <w:iCs/>
        </w:rPr>
        <w:t xml:space="preserve"> </w:t>
      </w:r>
    </w:p>
    <w:p w14:paraId="654E2CF4" w14:textId="77777777" w:rsidR="00236BDA" w:rsidRPr="003A7F84" w:rsidRDefault="00236BDA" w:rsidP="00236BDA"/>
    <w:tbl>
      <w:tblPr>
        <w:tblW w:w="4977" w:type="pct"/>
        <w:tblInd w:w="28" w:type="dxa"/>
        <w:tblCellMar>
          <w:left w:w="28" w:type="dxa"/>
          <w:right w:w="28" w:type="dxa"/>
        </w:tblCellMar>
        <w:tblLook w:val="0000" w:firstRow="0" w:lastRow="0" w:firstColumn="0" w:lastColumn="0" w:noHBand="0" w:noVBand="0"/>
      </w:tblPr>
      <w:tblGrid>
        <w:gridCol w:w="3386"/>
        <w:gridCol w:w="1089"/>
        <w:gridCol w:w="846"/>
        <w:gridCol w:w="1518"/>
        <w:gridCol w:w="2146"/>
      </w:tblGrid>
      <w:tr w:rsidR="003517F9" w:rsidRPr="003A7F84" w14:paraId="3F3E5DD2" w14:textId="77777777" w:rsidTr="00836426">
        <w:trPr>
          <w:cantSplit/>
          <w:trHeight w:val="463"/>
        </w:trPr>
        <w:tc>
          <w:tcPr>
            <w:tcW w:w="1884" w:type="pct"/>
            <w:tcBorders>
              <w:top w:val="single" w:sz="4" w:space="0" w:color="auto"/>
              <w:bottom w:val="single" w:sz="4" w:space="0" w:color="auto"/>
            </w:tcBorders>
            <w:vAlign w:val="center"/>
          </w:tcPr>
          <w:p w14:paraId="0F6E847E" w14:textId="77777777" w:rsidR="00617E12" w:rsidRPr="003A7F84" w:rsidRDefault="00617E12" w:rsidP="00617E12">
            <w:pPr>
              <w:keepNext/>
              <w:jc w:val="left"/>
              <w:rPr>
                <w:rFonts w:ascii="Arial Narrow" w:hAnsi="Arial Narrow"/>
                <w:b/>
                <w:sz w:val="20"/>
                <w:szCs w:val="20"/>
              </w:rPr>
            </w:pPr>
            <w:r w:rsidRPr="003A7F84">
              <w:rPr>
                <w:rFonts w:ascii="Arial Narrow" w:hAnsi="Arial Narrow"/>
                <w:b/>
                <w:sz w:val="20"/>
                <w:szCs w:val="20"/>
              </w:rPr>
              <w:t>Name, Restriction,</w:t>
            </w:r>
          </w:p>
          <w:p w14:paraId="1DDDA174" w14:textId="77777777" w:rsidR="00617E12" w:rsidRPr="003A7F84" w:rsidRDefault="00617E12" w:rsidP="00617E12">
            <w:pPr>
              <w:keepNext/>
              <w:jc w:val="left"/>
              <w:rPr>
                <w:rFonts w:ascii="Arial Narrow" w:hAnsi="Arial Narrow"/>
                <w:b/>
                <w:sz w:val="20"/>
                <w:szCs w:val="20"/>
              </w:rPr>
            </w:pPr>
            <w:r w:rsidRPr="003A7F84">
              <w:rPr>
                <w:rFonts w:ascii="Arial Narrow" w:hAnsi="Arial Narrow"/>
                <w:b/>
                <w:sz w:val="20"/>
                <w:szCs w:val="20"/>
              </w:rPr>
              <w:t>Manner of administration and form</w:t>
            </w:r>
          </w:p>
        </w:tc>
        <w:tc>
          <w:tcPr>
            <w:tcW w:w="606" w:type="pct"/>
            <w:tcBorders>
              <w:top w:val="single" w:sz="4" w:space="0" w:color="auto"/>
              <w:bottom w:val="single" w:sz="4" w:space="0" w:color="auto"/>
            </w:tcBorders>
            <w:vAlign w:val="center"/>
          </w:tcPr>
          <w:p w14:paraId="5A87A426" w14:textId="31EDC495" w:rsidR="00617E12" w:rsidRPr="003A7F84" w:rsidRDefault="00617E12" w:rsidP="00617E12">
            <w:pPr>
              <w:keepNext/>
              <w:jc w:val="center"/>
              <w:rPr>
                <w:rFonts w:ascii="Arial Narrow" w:hAnsi="Arial Narrow"/>
                <w:b/>
                <w:sz w:val="20"/>
                <w:szCs w:val="20"/>
              </w:rPr>
            </w:pPr>
            <w:r w:rsidRPr="003A7F84">
              <w:rPr>
                <w:rFonts w:ascii="Arial Narrow" w:hAnsi="Arial Narrow"/>
                <w:b/>
                <w:sz w:val="20"/>
                <w:szCs w:val="20"/>
              </w:rPr>
              <w:t>Max</w:t>
            </w:r>
            <w:r w:rsidR="00ED4458" w:rsidRPr="003A7F84">
              <w:rPr>
                <w:rFonts w:ascii="Arial Narrow" w:hAnsi="Arial Narrow"/>
                <w:b/>
                <w:sz w:val="20"/>
                <w:szCs w:val="20"/>
              </w:rPr>
              <w:t>imum</w:t>
            </w:r>
          </w:p>
          <w:p w14:paraId="20B12ACF" w14:textId="3B650BBA" w:rsidR="00617E12" w:rsidRPr="003A7F84" w:rsidRDefault="00836426" w:rsidP="00617E12">
            <w:pPr>
              <w:keepNext/>
              <w:jc w:val="center"/>
              <w:rPr>
                <w:rFonts w:ascii="Arial Narrow" w:hAnsi="Arial Narrow"/>
                <w:b/>
                <w:sz w:val="20"/>
                <w:szCs w:val="20"/>
              </w:rPr>
            </w:pPr>
            <w:r w:rsidRPr="003A7F84">
              <w:rPr>
                <w:rFonts w:ascii="Arial Narrow" w:hAnsi="Arial Narrow"/>
                <w:b/>
                <w:sz w:val="20"/>
                <w:szCs w:val="20"/>
              </w:rPr>
              <w:t>a</w:t>
            </w:r>
            <w:r w:rsidR="00ED4458" w:rsidRPr="003A7F84">
              <w:rPr>
                <w:rFonts w:ascii="Arial Narrow" w:hAnsi="Arial Narrow"/>
                <w:b/>
                <w:sz w:val="20"/>
                <w:szCs w:val="20"/>
              </w:rPr>
              <w:t>mount (units)</w:t>
            </w:r>
          </w:p>
        </w:tc>
        <w:tc>
          <w:tcPr>
            <w:tcW w:w="471" w:type="pct"/>
            <w:tcBorders>
              <w:top w:val="single" w:sz="4" w:space="0" w:color="auto"/>
              <w:bottom w:val="single" w:sz="4" w:space="0" w:color="auto"/>
            </w:tcBorders>
            <w:vAlign w:val="center"/>
          </w:tcPr>
          <w:p w14:paraId="47C41B58" w14:textId="65277F18" w:rsidR="00617E12" w:rsidRPr="003A7F84" w:rsidRDefault="00617E12" w:rsidP="00617E12">
            <w:pPr>
              <w:keepNext/>
              <w:jc w:val="center"/>
              <w:rPr>
                <w:rFonts w:ascii="Arial Narrow" w:hAnsi="Arial Narrow"/>
                <w:b/>
                <w:sz w:val="20"/>
                <w:szCs w:val="20"/>
              </w:rPr>
            </w:pPr>
            <w:r w:rsidRPr="003A7F84">
              <w:rPr>
                <w:rFonts w:ascii="Arial Narrow" w:hAnsi="Arial Narrow" w:cs="Times New Roman"/>
                <w:b/>
                <w:sz w:val="20"/>
                <w:szCs w:val="20"/>
              </w:rPr>
              <w:t>№</w:t>
            </w:r>
            <w:r w:rsidRPr="003A7F84">
              <w:rPr>
                <w:rFonts w:ascii="Arial Narrow" w:hAnsi="Arial Narrow"/>
                <w:b/>
                <w:sz w:val="20"/>
                <w:szCs w:val="20"/>
              </w:rPr>
              <w:t>.</w:t>
            </w:r>
            <w:r w:rsidR="00836426" w:rsidRPr="003A7F84">
              <w:rPr>
                <w:rFonts w:ascii="Arial Narrow" w:hAnsi="Arial Narrow"/>
                <w:b/>
                <w:sz w:val="20"/>
                <w:szCs w:val="20"/>
              </w:rPr>
              <w:t xml:space="preserve"> </w:t>
            </w:r>
            <w:r w:rsidRPr="003A7F84">
              <w:rPr>
                <w:rFonts w:ascii="Arial Narrow" w:hAnsi="Arial Narrow"/>
                <w:b/>
                <w:sz w:val="20"/>
                <w:szCs w:val="20"/>
              </w:rPr>
              <w:t>of</w:t>
            </w:r>
          </w:p>
          <w:p w14:paraId="4959D822" w14:textId="75200252" w:rsidR="00617E12" w:rsidRPr="003A7F84" w:rsidRDefault="00836426" w:rsidP="00617E12">
            <w:pPr>
              <w:keepNext/>
              <w:jc w:val="center"/>
              <w:rPr>
                <w:rFonts w:ascii="Arial Narrow" w:hAnsi="Arial Narrow"/>
                <w:b/>
                <w:sz w:val="20"/>
                <w:szCs w:val="20"/>
              </w:rPr>
            </w:pPr>
            <w:r w:rsidRPr="003A7F84">
              <w:rPr>
                <w:rFonts w:ascii="Arial Narrow" w:hAnsi="Arial Narrow"/>
                <w:b/>
                <w:sz w:val="20"/>
                <w:szCs w:val="20"/>
              </w:rPr>
              <w:t>r</w:t>
            </w:r>
            <w:r w:rsidR="00ED4458" w:rsidRPr="003A7F84">
              <w:rPr>
                <w:rFonts w:ascii="Arial Narrow" w:hAnsi="Arial Narrow"/>
                <w:b/>
                <w:sz w:val="20"/>
                <w:szCs w:val="20"/>
              </w:rPr>
              <w:t>e</w:t>
            </w:r>
            <w:r w:rsidR="00617E12" w:rsidRPr="003A7F84">
              <w:rPr>
                <w:rFonts w:ascii="Arial Narrow" w:hAnsi="Arial Narrow"/>
                <w:b/>
                <w:sz w:val="20"/>
                <w:szCs w:val="20"/>
              </w:rPr>
              <w:t>p</w:t>
            </w:r>
            <w:r w:rsidR="00ED4458" w:rsidRPr="003A7F84">
              <w:rPr>
                <w:rFonts w:ascii="Arial Narrow" w:hAnsi="Arial Narrow"/>
                <w:b/>
                <w:sz w:val="20"/>
                <w:szCs w:val="20"/>
              </w:rPr>
              <w:t>ea</w:t>
            </w:r>
            <w:r w:rsidR="00617E12" w:rsidRPr="003A7F84">
              <w:rPr>
                <w:rFonts w:ascii="Arial Narrow" w:hAnsi="Arial Narrow"/>
                <w:b/>
                <w:sz w:val="20"/>
                <w:szCs w:val="20"/>
              </w:rPr>
              <w:t>ts</w:t>
            </w:r>
          </w:p>
        </w:tc>
        <w:tc>
          <w:tcPr>
            <w:tcW w:w="845" w:type="pct"/>
            <w:tcBorders>
              <w:top w:val="single" w:sz="4" w:space="0" w:color="auto"/>
              <w:bottom w:val="single" w:sz="4" w:space="0" w:color="auto"/>
            </w:tcBorders>
            <w:vAlign w:val="center"/>
          </w:tcPr>
          <w:p w14:paraId="16C5700A" w14:textId="4E487D6D" w:rsidR="00617E12" w:rsidRPr="003A7F84" w:rsidRDefault="00617E12" w:rsidP="00617E12">
            <w:pPr>
              <w:keepNext/>
              <w:jc w:val="center"/>
              <w:rPr>
                <w:rFonts w:ascii="Arial Narrow" w:hAnsi="Arial Narrow"/>
                <w:b/>
                <w:sz w:val="20"/>
                <w:szCs w:val="20"/>
              </w:rPr>
            </w:pPr>
            <w:r w:rsidRPr="003A7F84">
              <w:rPr>
                <w:rFonts w:ascii="Arial Narrow" w:hAnsi="Arial Narrow"/>
                <w:b/>
                <w:sz w:val="20"/>
                <w:szCs w:val="20"/>
              </w:rPr>
              <w:t xml:space="preserve">Dispensed Price </w:t>
            </w:r>
            <w:r w:rsidR="00591957" w:rsidRPr="003A7F84">
              <w:rPr>
                <w:rFonts w:ascii="Arial Narrow" w:hAnsi="Arial Narrow"/>
                <w:b/>
                <w:sz w:val="20"/>
                <w:szCs w:val="20"/>
              </w:rPr>
              <w:t>Max</w:t>
            </w:r>
            <w:r w:rsidR="00696FA2" w:rsidRPr="003A7F84">
              <w:rPr>
                <w:rFonts w:ascii="Arial Narrow" w:hAnsi="Arial Narrow"/>
                <w:b/>
                <w:sz w:val="20"/>
                <w:szCs w:val="20"/>
              </w:rPr>
              <w:t>imum</w:t>
            </w:r>
            <w:r w:rsidR="00591957" w:rsidRPr="003A7F84">
              <w:rPr>
                <w:rFonts w:ascii="Arial Narrow" w:hAnsi="Arial Narrow"/>
                <w:b/>
                <w:sz w:val="20"/>
                <w:szCs w:val="20"/>
              </w:rPr>
              <w:t xml:space="preserve"> </w:t>
            </w:r>
            <w:r w:rsidR="00B94A7C" w:rsidRPr="003A7F84">
              <w:rPr>
                <w:rFonts w:ascii="Arial Narrow" w:hAnsi="Arial Narrow"/>
                <w:b/>
                <w:sz w:val="20"/>
                <w:szCs w:val="20"/>
              </w:rPr>
              <w:t>Quantity</w:t>
            </w:r>
          </w:p>
        </w:tc>
        <w:tc>
          <w:tcPr>
            <w:tcW w:w="1194" w:type="pct"/>
            <w:tcBorders>
              <w:top w:val="single" w:sz="4" w:space="0" w:color="auto"/>
              <w:bottom w:val="single" w:sz="4" w:space="0" w:color="auto"/>
            </w:tcBorders>
            <w:vAlign w:val="center"/>
          </w:tcPr>
          <w:p w14:paraId="2F67E163" w14:textId="77777777" w:rsidR="00617E12" w:rsidRPr="003A7F84" w:rsidRDefault="00617E12" w:rsidP="00617E12">
            <w:pPr>
              <w:keepNext/>
              <w:jc w:val="center"/>
              <w:rPr>
                <w:rFonts w:ascii="Arial Narrow" w:hAnsi="Arial Narrow"/>
                <w:b/>
                <w:sz w:val="20"/>
              </w:rPr>
            </w:pPr>
            <w:r w:rsidRPr="003A7F84">
              <w:rPr>
                <w:rFonts w:ascii="Arial Narrow" w:hAnsi="Arial Narrow"/>
                <w:b/>
                <w:sz w:val="20"/>
              </w:rPr>
              <w:t>Proprietary Name and Manufacturer</w:t>
            </w:r>
          </w:p>
        </w:tc>
      </w:tr>
      <w:tr w:rsidR="00696FA2" w:rsidRPr="003A7F84" w14:paraId="7FCBB5F3" w14:textId="77777777" w:rsidTr="00836426">
        <w:trPr>
          <w:cantSplit/>
          <w:trHeight w:val="567"/>
        </w:trPr>
        <w:tc>
          <w:tcPr>
            <w:tcW w:w="1884" w:type="pct"/>
            <w:vAlign w:val="center"/>
          </w:tcPr>
          <w:p w14:paraId="4B9EFCE9" w14:textId="77777777" w:rsidR="00696FA2" w:rsidRPr="003A7F84" w:rsidRDefault="00696FA2" w:rsidP="00491FC2">
            <w:pPr>
              <w:pStyle w:val="TableText"/>
              <w:rPr>
                <w:smallCaps/>
                <w:szCs w:val="20"/>
              </w:rPr>
            </w:pPr>
            <w:r w:rsidRPr="003A7F84">
              <w:rPr>
                <w:smallCaps/>
                <w:szCs w:val="20"/>
              </w:rPr>
              <w:t>Midazolam maleate</w:t>
            </w:r>
          </w:p>
          <w:p w14:paraId="2D5950C9" w14:textId="77777777" w:rsidR="00696FA2" w:rsidRPr="003A7F84" w:rsidRDefault="00696FA2" w:rsidP="00491FC2">
            <w:pPr>
              <w:pStyle w:val="TableText"/>
              <w:rPr>
                <w:szCs w:val="20"/>
              </w:rPr>
            </w:pPr>
            <w:r w:rsidRPr="003A7F84">
              <w:rPr>
                <w:rFonts w:cstheme="minorHAnsi"/>
                <w:szCs w:val="20"/>
              </w:rPr>
              <w:t>Pre-filled oral syringe</w:t>
            </w:r>
            <w:r w:rsidRPr="003A7F84">
              <w:rPr>
                <w:szCs w:val="20"/>
              </w:rPr>
              <w:t xml:space="preserve"> </w:t>
            </w:r>
          </w:p>
          <w:p w14:paraId="567CF633" w14:textId="77777777" w:rsidR="00696FA2" w:rsidRPr="003A7F84" w:rsidRDefault="00696FA2" w:rsidP="00491FC2">
            <w:pPr>
              <w:pStyle w:val="TableText"/>
              <w:rPr>
                <w:szCs w:val="20"/>
              </w:rPr>
            </w:pPr>
            <w:r w:rsidRPr="003A7F84">
              <w:rPr>
                <w:szCs w:val="20"/>
              </w:rPr>
              <w:t>2.5 mg in 0.25 mL solution</w:t>
            </w:r>
          </w:p>
          <w:p w14:paraId="12FDF1CD" w14:textId="77777777" w:rsidR="00696FA2" w:rsidRPr="003A7F84" w:rsidRDefault="00696FA2" w:rsidP="00491FC2">
            <w:pPr>
              <w:pStyle w:val="TableText"/>
              <w:rPr>
                <w:szCs w:val="20"/>
              </w:rPr>
            </w:pPr>
            <w:r w:rsidRPr="003A7F84">
              <w:rPr>
                <w:szCs w:val="20"/>
              </w:rPr>
              <w:t>5 mg in 0.5 mL solution</w:t>
            </w:r>
          </w:p>
          <w:p w14:paraId="3331EED6" w14:textId="77777777" w:rsidR="00696FA2" w:rsidRPr="003A7F84" w:rsidRDefault="00696FA2" w:rsidP="00491FC2">
            <w:pPr>
              <w:pStyle w:val="TableText"/>
              <w:rPr>
                <w:szCs w:val="20"/>
              </w:rPr>
            </w:pPr>
            <w:r w:rsidRPr="003A7F84">
              <w:rPr>
                <w:szCs w:val="20"/>
              </w:rPr>
              <w:t>7.5 mg in 0.75 mL solution</w:t>
            </w:r>
          </w:p>
          <w:p w14:paraId="20DB567C" w14:textId="1DA44569" w:rsidR="00696FA2" w:rsidRPr="003A7F84" w:rsidRDefault="00696FA2" w:rsidP="00491FC2">
            <w:pPr>
              <w:keepNext/>
              <w:jc w:val="left"/>
              <w:rPr>
                <w:rFonts w:ascii="Arial Narrow" w:hAnsi="Arial Narrow"/>
                <w:sz w:val="20"/>
                <w:szCs w:val="20"/>
              </w:rPr>
            </w:pPr>
            <w:r w:rsidRPr="003A7F84">
              <w:rPr>
                <w:rFonts w:ascii="Arial Narrow" w:hAnsi="Arial Narrow"/>
                <w:sz w:val="20"/>
                <w:szCs w:val="20"/>
              </w:rPr>
              <w:t>10 mg in 1.0 mL solution</w:t>
            </w:r>
          </w:p>
        </w:tc>
        <w:tc>
          <w:tcPr>
            <w:tcW w:w="606" w:type="pct"/>
            <w:vAlign w:val="center"/>
          </w:tcPr>
          <w:p w14:paraId="4C3A95F8" w14:textId="77777777" w:rsidR="00696FA2" w:rsidRPr="003A7F84" w:rsidRDefault="00696FA2" w:rsidP="00ED4458">
            <w:pPr>
              <w:pStyle w:val="TableText"/>
              <w:jc w:val="center"/>
              <w:rPr>
                <w:szCs w:val="20"/>
              </w:rPr>
            </w:pPr>
          </w:p>
          <w:p w14:paraId="7E9833B1" w14:textId="77777777" w:rsidR="00696FA2" w:rsidRPr="003A7F84" w:rsidRDefault="00696FA2" w:rsidP="00ED4458">
            <w:pPr>
              <w:pStyle w:val="TableText"/>
              <w:jc w:val="center"/>
              <w:rPr>
                <w:szCs w:val="20"/>
              </w:rPr>
            </w:pPr>
          </w:p>
          <w:p w14:paraId="3003FD05" w14:textId="77777777" w:rsidR="00696FA2" w:rsidRPr="003A7F84" w:rsidRDefault="00696FA2" w:rsidP="00ED4458">
            <w:pPr>
              <w:pStyle w:val="TableText"/>
              <w:jc w:val="center"/>
              <w:rPr>
                <w:szCs w:val="20"/>
              </w:rPr>
            </w:pPr>
            <w:r w:rsidRPr="003A7F84">
              <w:rPr>
                <w:szCs w:val="20"/>
              </w:rPr>
              <w:t>1</w:t>
            </w:r>
          </w:p>
          <w:p w14:paraId="240E7C10" w14:textId="77777777" w:rsidR="00696FA2" w:rsidRPr="003A7F84" w:rsidRDefault="00696FA2" w:rsidP="00ED4458">
            <w:pPr>
              <w:pStyle w:val="TableText"/>
              <w:jc w:val="center"/>
              <w:rPr>
                <w:szCs w:val="20"/>
              </w:rPr>
            </w:pPr>
            <w:r w:rsidRPr="003A7F84">
              <w:rPr>
                <w:szCs w:val="20"/>
              </w:rPr>
              <w:t>1</w:t>
            </w:r>
          </w:p>
          <w:p w14:paraId="5ABA4415" w14:textId="77777777" w:rsidR="00696FA2" w:rsidRPr="003A7F84" w:rsidRDefault="00696FA2" w:rsidP="00ED4458">
            <w:pPr>
              <w:pStyle w:val="TableText"/>
              <w:jc w:val="center"/>
              <w:rPr>
                <w:szCs w:val="20"/>
              </w:rPr>
            </w:pPr>
            <w:r w:rsidRPr="003A7F84">
              <w:rPr>
                <w:szCs w:val="20"/>
              </w:rPr>
              <w:t>1</w:t>
            </w:r>
          </w:p>
          <w:p w14:paraId="0329C315" w14:textId="36D2C467" w:rsidR="00696FA2" w:rsidRPr="003A7F84" w:rsidRDefault="00696FA2" w:rsidP="00ED4458">
            <w:pPr>
              <w:keepNext/>
              <w:jc w:val="center"/>
              <w:rPr>
                <w:rFonts w:ascii="Arial Narrow" w:hAnsi="Arial Narrow"/>
                <w:sz w:val="20"/>
                <w:szCs w:val="20"/>
              </w:rPr>
            </w:pPr>
            <w:r w:rsidRPr="003A7F84">
              <w:rPr>
                <w:rFonts w:ascii="Arial Narrow" w:hAnsi="Arial Narrow"/>
                <w:sz w:val="20"/>
                <w:szCs w:val="20"/>
              </w:rPr>
              <w:t>1</w:t>
            </w:r>
          </w:p>
        </w:tc>
        <w:tc>
          <w:tcPr>
            <w:tcW w:w="471" w:type="pct"/>
            <w:vAlign w:val="center"/>
          </w:tcPr>
          <w:p w14:paraId="43716E8B" w14:textId="77777777" w:rsidR="00696FA2" w:rsidRPr="003A7F84" w:rsidRDefault="00696FA2" w:rsidP="00ED4458">
            <w:pPr>
              <w:pStyle w:val="TableText"/>
              <w:jc w:val="center"/>
              <w:rPr>
                <w:szCs w:val="20"/>
              </w:rPr>
            </w:pPr>
          </w:p>
          <w:p w14:paraId="71AA925A" w14:textId="77777777" w:rsidR="00696FA2" w:rsidRPr="003A7F84" w:rsidRDefault="00696FA2" w:rsidP="00ED4458">
            <w:pPr>
              <w:pStyle w:val="TableText"/>
              <w:jc w:val="center"/>
              <w:rPr>
                <w:szCs w:val="20"/>
              </w:rPr>
            </w:pPr>
          </w:p>
          <w:p w14:paraId="37BD67F4" w14:textId="77777777" w:rsidR="00696FA2" w:rsidRPr="003A7F84" w:rsidRDefault="00696FA2" w:rsidP="00ED4458">
            <w:pPr>
              <w:pStyle w:val="TableText"/>
              <w:jc w:val="center"/>
              <w:rPr>
                <w:szCs w:val="20"/>
              </w:rPr>
            </w:pPr>
            <w:r w:rsidRPr="003A7F84">
              <w:rPr>
                <w:szCs w:val="20"/>
              </w:rPr>
              <w:t>1</w:t>
            </w:r>
          </w:p>
          <w:p w14:paraId="7849CCC9" w14:textId="77777777" w:rsidR="00696FA2" w:rsidRPr="003A7F84" w:rsidRDefault="00696FA2" w:rsidP="00ED4458">
            <w:pPr>
              <w:pStyle w:val="TableText"/>
              <w:jc w:val="center"/>
              <w:rPr>
                <w:szCs w:val="20"/>
              </w:rPr>
            </w:pPr>
            <w:r w:rsidRPr="003A7F84">
              <w:rPr>
                <w:szCs w:val="20"/>
              </w:rPr>
              <w:t>1</w:t>
            </w:r>
          </w:p>
          <w:p w14:paraId="4242305C" w14:textId="77777777" w:rsidR="00696FA2" w:rsidRPr="003A7F84" w:rsidRDefault="00696FA2" w:rsidP="00ED4458">
            <w:pPr>
              <w:pStyle w:val="TableText"/>
              <w:jc w:val="center"/>
              <w:rPr>
                <w:szCs w:val="20"/>
              </w:rPr>
            </w:pPr>
            <w:r w:rsidRPr="003A7F84">
              <w:rPr>
                <w:szCs w:val="20"/>
              </w:rPr>
              <w:t>1</w:t>
            </w:r>
          </w:p>
          <w:p w14:paraId="1822E97A" w14:textId="7F594980" w:rsidR="00696FA2" w:rsidRPr="003A7F84" w:rsidRDefault="00696FA2" w:rsidP="00ED4458">
            <w:pPr>
              <w:keepNext/>
              <w:jc w:val="center"/>
              <w:rPr>
                <w:rFonts w:ascii="Arial Narrow" w:hAnsi="Arial Narrow"/>
                <w:sz w:val="20"/>
                <w:szCs w:val="20"/>
              </w:rPr>
            </w:pPr>
            <w:r w:rsidRPr="003A7F84">
              <w:rPr>
                <w:rFonts w:ascii="Arial Narrow" w:hAnsi="Arial Narrow"/>
                <w:sz w:val="20"/>
                <w:szCs w:val="20"/>
              </w:rPr>
              <w:t>1</w:t>
            </w:r>
          </w:p>
        </w:tc>
        <w:tc>
          <w:tcPr>
            <w:tcW w:w="845" w:type="pct"/>
            <w:vAlign w:val="center"/>
          </w:tcPr>
          <w:p w14:paraId="17E3426B" w14:textId="77777777" w:rsidR="00696FA2" w:rsidRPr="003A7F84" w:rsidRDefault="00696FA2" w:rsidP="00696FA2">
            <w:pPr>
              <w:pStyle w:val="TableText"/>
              <w:jc w:val="center"/>
              <w:rPr>
                <w:szCs w:val="20"/>
              </w:rPr>
            </w:pPr>
          </w:p>
          <w:p w14:paraId="19C125FF" w14:textId="77777777" w:rsidR="00696FA2" w:rsidRPr="003A7F84" w:rsidRDefault="00696FA2" w:rsidP="00696FA2">
            <w:pPr>
              <w:pStyle w:val="TableText"/>
              <w:jc w:val="center"/>
              <w:rPr>
                <w:szCs w:val="20"/>
              </w:rPr>
            </w:pPr>
          </w:p>
          <w:p w14:paraId="5152AEB5" w14:textId="7BDD526A" w:rsidR="00696FA2" w:rsidRPr="003A7F84" w:rsidRDefault="00696FA2" w:rsidP="00696FA2">
            <w:pPr>
              <w:pStyle w:val="TableText"/>
              <w:jc w:val="center"/>
              <w:rPr>
                <w:szCs w:val="20"/>
              </w:rPr>
            </w:pPr>
            <w:r w:rsidRPr="003A7F84">
              <w:rPr>
                <w:szCs w:val="20"/>
              </w:rPr>
              <w:t>$</w:t>
            </w:r>
            <w:r w:rsidR="001F03AF" w:rsidRPr="001F03AF">
              <w:rPr>
                <w:color w:val="000000"/>
                <w:szCs w:val="20"/>
                <w:shd w:val="solid" w:color="000000" w:fill="000000"/>
                <w14:textFill>
                  <w14:solidFill>
                    <w14:srgbClr w14:val="000000">
                      <w14:alpha w14:val="100000"/>
                    </w14:srgbClr>
                  </w14:solidFill>
                </w14:textFill>
              </w:rPr>
              <w:t>|</w:t>
            </w:r>
          </w:p>
          <w:p w14:paraId="6C052F5E" w14:textId="56985288" w:rsidR="00696FA2" w:rsidRPr="003A7F84" w:rsidRDefault="00696FA2" w:rsidP="00696FA2">
            <w:pPr>
              <w:pStyle w:val="TableText"/>
              <w:jc w:val="center"/>
              <w:rPr>
                <w:szCs w:val="20"/>
              </w:rPr>
            </w:pPr>
            <w:r w:rsidRPr="003A7F84">
              <w:rPr>
                <w:szCs w:val="20"/>
              </w:rPr>
              <w:t>$</w:t>
            </w:r>
            <w:r w:rsidR="001F03AF" w:rsidRPr="001F03AF">
              <w:rPr>
                <w:color w:val="000000"/>
                <w:szCs w:val="20"/>
                <w:shd w:val="solid" w:color="000000" w:fill="000000"/>
                <w14:textFill>
                  <w14:solidFill>
                    <w14:srgbClr w14:val="000000">
                      <w14:alpha w14:val="100000"/>
                    </w14:srgbClr>
                  </w14:solidFill>
                </w14:textFill>
              </w:rPr>
              <w:t>|</w:t>
            </w:r>
          </w:p>
          <w:p w14:paraId="1DF70C48" w14:textId="1C34E7FA" w:rsidR="00696FA2" w:rsidRPr="003A7F84" w:rsidRDefault="00696FA2" w:rsidP="00696FA2">
            <w:pPr>
              <w:pStyle w:val="TableText"/>
              <w:jc w:val="center"/>
              <w:rPr>
                <w:szCs w:val="20"/>
              </w:rPr>
            </w:pPr>
            <w:r w:rsidRPr="003A7F84">
              <w:rPr>
                <w:szCs w:val="20"/>
              </w:rPr>
              <w:t>$</w:t>
            </w:r>
            <w:r w:rsidR="001F03AF" w:rsidRPr="001F03AF">
              <w:rPr>
                <w:color w:val="000000"/>
                <w:szCs w:val="20"/>
                <w:shd w:val="solid" w:color="000000" w:fill="000000"/>
                <w14:textFill>
                  <w14:solidFill>
                    <w14:srgbClr w14:val="000000">
                      <w14:alpha w14:val="100000"/>
                    </w14:srgbClr>
                  </w14:solidFill>
                </w14:textFill>
              </w:rPr>
              <w:t>|</w:t>
            </w:r>
          </w:p>
          <w:p w14:paraId="2097F2B6" w14:textId="4701FB38" w:rsidR="00696FA2" w:rsidRPr="003A7F84" w:rsidRDefault="00696FA2" w:rsidP="00696FA2">
            <w:pPr>
              <w:keepNext/>
              <w:jc w:val="center"/>
              <w:rPr>
                <w:rFonts w:ascii="Arial Narrow" w:hAnsi="Arial Narrow"/>
                <w:sz w:val="20"/>
                <w:szCs w:val="20"/>
              </w:rPr>
            </w:pPr>
            <w:r w:rsidRPr="003A7F84">
              <w:rPr>
                <w:rFonts w:ascii="Arial Narrow" w:hAnsi="Arial Narrow"/>
                <w:sz w:val="20"/>
                <w:szCs w:val="20"/>
              </w:rPr>
              <w:t>$</w:t>
            </w:r>
            <w:r w:rsidR="001F03AF" w:rsidRPr="001F03A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194" w:type="pct"/>
            <w:vAlign w:val="center"/>
          </w:tcPr>
          <w:p w14:paraId="7967B981" w14:textId="23206E60" w:rsidR="00696FA2" w:rsidRPr="003A7F84" w:rsidRDefault="00696FA2" w:rsidP="00696FA2">
            <w:pPr>
              <w:pStyle w:val="TableText"/>
              <w:jc w:val="center"/>
              <w:rPr>
                <w:szCs w:val="20"/>
              </w:rPr>
            </w:pPr>
            <w:r w:rsidRPr="003A7F84">
              <w:rPr>
                <w:szCs w:val="20"/>
              </w:rPr>
              <w:t>Zyamis</w:t>
            </w:r>
            <w:r w:rsidRPr="003A7F84">
              <w:rPr>
                <w:szCs w:val="20"/>
                <w:vertAlign w:val="superscript"/>
              </w:rPr>
              <w:t>®</w:t>
            </w:r>
          </w:p>
          <w:p w14:paraId="3F3C1A5A" w14:textId="1B448798" w:rsidR="00696FA2" w:rsidRPr="003A7F84" w:rsidRDefault="00696FA2" w:rsidP="00696FA2">
            <w:pPr>
              <w:keepNext/>
              <w:jc w:val="center"/>
              <w:rPr>
                <w:rFonts w:ascii="Arial Narrow" w:hAnsi="Arial Narrow"/>
                <w:sz w:val="20"/>
                <w:szCs w:val="20"/>
              </w:rPr>
            </w:pPr>
            <w:r w:rsidRPr="003A7F84">
              <w:rPr>
                <w:rFonts w:ascii="Arial Narrow" w:hAnsi="Arial Narrow"/>
                <w:sz w:val="20"/>
                <w:szCs w:val="20"/>
              </w:rPr>
              <w:t>Clinect Pty Ltd</w:t>
            </w:r>
          </w:p>
        </w:tc>
      </w:tr>
    </w:tbl>
    <w:p w14:paraId="57CBC72A" w14:textId="77777777" w:rsidR="00D9328A" w:rsidRPr="003A7F84" w:rsidRDefault="00D9328A" w:rsidP="004B1CB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7"/>
        <w:gridCol w:w="8930"/>
      </w:tblGrid>
      <w:tr w:rsidR="00074146" w:rsidRPr="003A7F84" w14:paraId="4832DC2D" w14:textId="77777777" w:rsidTr="00B068FA">
        <w:tc>
          <w:tcPr>
            <w:tcW w:w="9067" w:type="dxa"/>
            <w:gridSpan w:val="2"/>
            <w:tcBorders>
              <w:top w:val="single" w:sz="4" w:space="0" w:color="auto"/>
              <w:left w:val="single" w:sz="4" w:space="0" w:color="auto"/>
              <w:right w:val="single" w:sz="4" w:space="0" w:color="auto"/>
            </w:tcBorders>
          </w:tcPr>
          <w:p w14:paraId="13CD5B43" w14:textId="77777777" w:rsidR="00074146" w:rsidRPr="003A7F84" w:rsidRDefault="00074146" w:rsidP="00B068FA">
            <w:pPr>
              <w:rPr>
                <w:rFonts w:ascii="Arial Narrow" w:hAnsi="Arial Narrow"/>
                <w:b/>
                <w:sz w:val="20"/>
                <w:szCs w:val="20"/>
              </w:rPr>
            </w:pPr>
            <w:r w:rsidRPr="003A7F84">
              <w:rPr>
                <w:rFonts w:ascii="Arial Narrow" w:hAnsi="Arial Narrow"/>
                <w:b/>
                <w:sz w:val="20"/>
                <w:szCs w:val="20"/>
              </w:rPr>
              <w:t xml:space="preserve">Restriction Summary [new] / Treatment of Concept: [new] </w:t>
            </w:r>
          </w:p>
        </w:tc>
      </w:tr>
      <w:tr w:rsidR="00074146" w:rsidRPr="003A7F84" w14:paraId="43BEA250" w14:textId="77777777" w:rsidTr="00074146">
        <w:tc>
          <w:tcPr>
            <w:tcW w:w="137" w:type="dxa"/>
            <w:vMerge w:val="restart"/>
            <w:tcBorders>
              <w:top w:val="single" w:sz="4" w:space="0" w:color="auto"/>
              <w:left w:val="single" w:sz="4" w:space="0" w:color="auto"/>
              <w:right w:val="single" w:sz="4" w:space="0" w:color="auto"/>
            </w:tcBorders>
          </w:tcPr>
          <w:p w14:paraId="2F8DBD40" w14:textId="64FF2084" w:rsidR="00074146" w:rsidRPr="003A7F84" w:rsidRDefault="00074146" w:rsidP="00B068FA">
            <w:pPr>
              <w:jc w:val="center"/>
              <w:rPr>
                <w:rFonts w:ascii="Arial Narrow" w:hAnsi="Arial Narrow"/>
                <w:sz w:val="20"/>
                <w:szCs w:val="20"/>
              </w:rPr>
            </w:pPr>
          </w:p>
        </w:tc>
        <w:tc>
          <w:tcPr>
            <w:tcW w:w="8930" w:type="dxa"/>
            <w:tcBorders>
              <w:top w:val="single" w:sz="4" w:space="0" w:color="auto"/>
              <w:left w:val="single" w:sz="4" w:space="0" w:color="auto"/>
              <w:bottom w:val="single" w:sz="4" w:space="0" w:color="auto"/>
              <w:right w:val="single" w:sz="4" w:space="0" w:color="auto"/>
            </w:tcBorders>
          </w:tcPr>
          <w:p w14:paraId="6BA212F8" w14:textId="77777777" w:rsidR="00074146" w:rsidRPr="003A7F84" w:rsidRDefault="00074146" w:rsidP="00B068FA">
            <w:pPr>
              <w:rPr>
                <w:rFonts w:ascii="Arial Narrow" w:hAnsi="Arial Narrow"/>
                <w:sz w:val="20"/>
                <w:szCs w:val="20"/>
              </w:rPr>
            </w:pPr>
            <w:r w:rsidRPr="003A7F84">
              <w:rPr>
                <w:rFonts w:ascii="Arial Narrow" w:hAnsi="Arial Narrow"/>
                <w:b/>
                <w:sz w:val="20"/>
                <w:szCs w:val="20"/>
              </w:rPr>
              <w:t xml:space="preserve">Category / Program: </w:t>
            </w:r>
            <w:r w:rsidRPr="003A7F84">
              <w:rPr>
                <w:rFonts w:ascii="Arial Narrow" w:hAnsi="Arial Narrow"/>
                <w:sz w:val="20"/>
                <w:szCs w:val="20"/>
              </w:rPr>
              <w:t xml:space="preserve">GENERAL – General Schedule (Code GE) </w:t>
            </w:r>
          </w:p>
        </w:tc>
      </w:tr>
      <w:tr w:rsidR="00074146" w:rsidRPr="003A7F84" w14:paraId="27215A50" w14:textId="77777777" w:rsidTr="00074146">
        <w:trPr>
          <w:trHeight w:val="240"/>
        </w:trPr>
        <w:tc>
          <w:tcPr>
            <w:tcW w:w="137" w:type="dxa"/>
            <w:vMerge/>
            <w:tcBorders>
              <w:left w:val="single" w:sz="4" w:space="0" w:color="auto"/>
              <w:right w:val="single" w:sz="4" w:space="0" w:color="auto"/>
            </w:tcBorders>
          </w:tcPr>
          <w:p w14:paraId="0365B866" w14:textId="77777777" w:rsidR="00074146" w:rsidRPr="003A7F84" w:rsidRDefault="00074146" w:rsidP="00B068FA">
            <w:pPr>
              <w:rPr>
                <w:rFonts w:ascii="Arial Narrow" w:hAnsi="Arial Narrow"/>
                <w:sz w:val="20"/>
                <w:szCs w:val="20"/>
              </w:rPr>
            </w:pPr>
          </w:p>
        </w:tc>
        <w:tc>
          <w:tcPr>
            <w:tcW w:w="8930" w:type="dxa"/>
            <w:tcBorders>
              <w:top w:val="single" w:sz="4" w:space="0" w:color="auto"/>
              <w:left w:val="single" w:sz="4" w:space="0" w:color="auto"/>
              <w:bottom w:val="single" w:sz="4" w:space="0" w:color="auto"/>
              <w:right w:val="single" w:sz="4" w:space="0" w:color="auto"/>
            </w:tcBorders>
          </w:tcPr>
          <w:p w14:paraId="705FD2A8" w14:textId="77777777" w:rsidR="00074146" w:rsidRPr="003A7F84" w:rsidRDefault="00074146" w:rsidP="00B068FA">
            <w:pPr>
              <w:rPr>
                <w:rFonts w:ascii="Arial Narrow" w:hAnsi="Arial Narrow"/>
                <w:b/>
                <w:sz w:val="20"/>
                <w:szCs w:val="20"/>
              </w:rPr>
            </w:pPr>
            <w:r w:rsidRPr="003A7F84">
              <w:rPr>
                <w:rFonts w:ascii="Arial Narrow" w:hAnsi="Arial Narrow"/>
                <w:b/>
                <w:sz w:val="20"/>
                <w:szCs w:val="20"/>
              </w:rPr>
              <w:t xml:space="preserve">Prescriber type: </w:t>
            </w:r>
            <w:r w:rsidRPr="003A7F84">
              <w:rPr>
                <w:rFonts w:ascii="Arial Narrow" w:hAnsi="Arial Narrow"/>
                <w:sz w:val="20"/>
                <w:szCs w:val="20"/>
              </w:rPr>
              <w:fldChar w:fldCharType="begin">
                <w:ffData>
                  <w:name w:val=""/>
                  <w:enabled/>
                  <w:calcOnExit w:val="0"/>
                  <w:checkBox>
                    <w:sizeAuto/>
                    <w:default w:val="1"/>
                  </w:checkBox>
                </w:ffData>
              </w:fldChar>
            </w:r>
            <w:r w:rsidRPr="003A7F84">
              <w:rPr>
                <w:rFonts w:ascii="Arial Narrow" w:hAnsi="Arial Narrow"/>
                <w:sz w:val="20"/>
                <w:szCs w:val="20"/>
              </w:rPr>
              <w:instrText xml:space="preserve"> FORMCHECKBOX </w:instrText>
            </w:r>
            <w:r w:rsidR="005A6BE3">
              <w:rPr>
                <w:rFonts w:ascii="Arial Narrow" w:hAnsi="Arial Narrow"/>
                <w:sz w:val="20"/>
                <w:szCs w:val="20"/>
              </w:rPr>
            </w:r>
            <w:r w:rsidR="005A6BE3">
              <w:rPr>
                <w:rFonts w:ascii="Arial Narrow" w:hAnsi="Arial Narrow"/>
                <w:sz w:val="20"/>
                <w:szCs w:val="20"/>
              </w:rPr>
              <w:fldChar w:fldCharType="separate"/>
            </w:r>
            <w:r w:rsidRPr="003A7F84">
              <w:rPr>
                <w:rFonts w:ascii="Arial Narrow" w:hAnsi="Arial Narrow"/>
                <w:sz w:val="20"/>
                <w:szCs w:val="20"/>
              </w:rPr>
              <w:fldChar w:fldCharType="end"/>
            </w:r>
            <w:r w:rsidRPr="003A7F84">
              <w:rPr>
                <w:rFonts w:ascii="Arial Narrow" w:hAnsi="Arial Narrow"/>
                <w:sz w:val="20"/>
                <w:szCs w:val="20"/>
              </w:rPr>
              <w:t xml:space="preserve">Medical Practitioners </w:t>
            </w:r>
          </w:p>
        </w:tc>
      </w:tr>
      <w:tr w:rsidR="00074146" w:rsidRPr="003A7F84" w14:paraId="4AA4EB65" w14:textId="77777777" w:rsidTr="00074146">
        <w:tc>
          <w:tcPr>
            <w:tcW w:w="137" w:type="dxa"/>
            <w:vMerge/>
            <w:tcBorders>
              <w:left w:val="single" w:sz="4" w:space="0" w:color="auto"/>
              <w:bottom w:val="single" w:sz="4" w:space="0" w:color="auto"/>
              <w:right w:val="single" w:sz="4" w:space="0" w:color="auto"/>
            </w:tcBorders>
          </w:tcPr>
          <w:p w14:paraId="45927C77" w14:textId="77777777" w:rsidR="00074146" w:rsidRPr="003A7F84" w:rsidRDefault="00074146" w:rsidP="00B068FA">
            <w:pPr>
              <w:rPr>
                <w:rFonts w:ascii="Arial Narrow" w:hAnsi="Arial Narrow"/>
                <w:sz w:val="20"/>
                <w:szCs w:val="20"/>
              </w:rPr>
            </w:pPr>
          </w:p>
        </w:tc>
        <w:tc>
          <w:tcPr>
            <w:tcW w:w="8930" w:type="dxa"/>
            <w:tcBorders>
              <w:top w:val="single" w:sz="4" w:space="0" w:color="auto"/>
              <w:left w:val="single" w:sz="4" w:space="0" w:color="auto"/>
              <w:bottom w:val="single" w:sz="4" w:space="0" w:color="auto"/>
              <w:right w:val="single" w:sz="4" w:space="0" w:color="auto"/>
            </w:tcBorders>
          </w:tcPr>
          <w:p w14:paraId="1FBDAD0F" w14:textId="77777777" w:rsidR="00074146" w:rsidRPr="003A7F84" w:rsidRDefault="00074146" w:rsidP="00B068FA">
            <w:pPr>
              <w:rPr>
                <w:rFonts w:ascii="Arial Narrow" w:eastAsia="Calibri" w:hAnsi="Arial Narrow"/>
                <w:sz w:val="20"/>
                <w:szCs w:val="20"/>
              </w:rPr>
            </w:pPr>
            <w:r w:rsidRPr="003A7F84">
              <w:rPr>
                <w:rFonts w:ascii="Arial Narrow" w:hAnsi="Arial Narrow"/>
                <w:b/>
                <w:sz w:val="20"/>
                <w:szCs w:val="20"/>
              </w:rPr>
              <w:t xml:space="preserve">Restriction type: </w:t>
            </w:r>
            <w:r w:rsidRPr="003A7F84">
              <w:rPr>
                <w:rFonts w:ascii="Arial Narrow" w:eastAsia="Calibri" w:hAnsi="Arial Narrow"/>
                <w:sz w:val="20"/>
                <w:szCs w:val="20"/>
              </w:rPr>
              <w:fldChar w:fldCharType="begin">
                <w:ffData>
                  <w:name w:val="Check3"/>
                  <w:enabled/>
                  <w:calcOnExit w:val="0"/>
                  <w:checkBox>
                    <w:sizeAuto/>
                    <w:default w:val="1"/>
                  </w:checkBox>
                </w:ffData>
              </w:fldChar>
            </w:r>
            <w:r w:rsidRPr="003A7F84">
              <w:rPr>
                <w:rFonts w:ascii="Arial Narrow" w:eastAsia="Calibri" w:hAnsi="Arial Narrow"/>
                <w:sz w:val="20"/>
                <w:szCs w:val="20"/>
              </w:rPr>
              <w:instrText xml:space="preserve"> FORMCHECKBOX </w:instrText>
            </w:r>
            <w:r w:rsidR="005A6BE3">
              <w:rPr>
                <w:rFonts w:ascii="Arial Narrow" w:eastAsia="Calibri" w:hAnsi="Arial Narrow"/>
                <w:sz w:val="20"/>
                <w:szCs w:val="20"/>
              </w:rPr>
            </w:r>
            <w:r w:rsidR="005A6BE3">
              <w:rPr>
                <w:rFonts w:ascii="Arial Narrow" w:eastAsia="Calibri" w:hAnsi="Arial Narrow"/>
                <w:sz w:val="20"/>
                <w:szCs w:val="20"/>
              </w:rPr>
              <w:fldChar w:fldCharType="separate"/>
            </w:r>
            <w:r w:rsidRPr="003A7F84">
              <w:rPr>
                <w:rFonts w:ascii="Arial Narrow" w:eastAsia="Calibri" w:hAnsi="Arial Narrow"/>
                <w:sz w:val="20"/>
                <w:szCs w:val="20"/>
              </w:rPr>
              <w:fldChar w:fldCharType="end"/>
            </w:r>
            <w:r w:rsidRPr="003A7F84">
              <w:rPr>
                <w:rFonts w:ascii="Arial Narrow" w:eastAsia="Calibri" w:hAnsi="Arial Narrow"/>
                <w:sz w:val="20"/>
                <w:szCs w:val="20"/>
              </w:rPr>
              <w:t xml:space="preserve">Authority Required (telephone/online PBS Authorities system) </w:t>
            </w:r>
          </w:p>
        </w:tc>
      </w:tr>
      <w:tr w:rsidR="00074146" w:rsidRPr="003A7F84" w14:paraId="2440F465" w14:textId="77777777" w:rsidTr="00074146">
        <w:tc>
          <w:tcPr>
            <w:tcW w:w="137" w:type="dxa"/>
            <w:vAlign w:val="center"/>
          </w:tcPr>
          <w:p w14:paraId="33E75E74" w14:textId="77777777" w:rsidR="00074146" w:rsidRPr="003A7F84" w:rsidRDefault="00074146" w:rsidP="00B068FA">
            <w:pPr>
              <w:jc w:val="center"/>
              <w:rPr>
                <w:rFonts w:ascii="Arial Narrow" w:hAnsi="Arial Narrow"/>
                <w:sz w:val="20"/>
                <w:szCs w:val="20"/>
              </w:rPr>
            </w:pPr>
          </w:p>
        </w:tc>
        <w:tc>
          <w:tcPr>
            <w:tcW w:w="8930" w:type="dxa"/>
            <w:vAlign w:val="center"/>
          </w:tcPr>
          <w:p w14:paraId="4E1F5D09" w14:textId="77777777" w:rsidR="00074146" w:rsidRPr="003A7F84" w:rsidRDefault="00074146" w:rsidP="00B068FA">
            <w:pPr>
              <w:rPr>
                <w:rFonts w:ascii="Arial Narrow" w:hAnsi="Arial Narrow"/>
                <w:b/>
                <w:bCs/>
                <w:sz w:val="20"/>
                <w:szCs w:val="20"/>
              </w:rPr>
            </w:pPr>
            <w:r w:rsidRPr="003A7F84">
              <w:rPr>
                <w:rFonts w:ascii="Arial Narrow" w:hAnsi="Arial Narrow"/>
                <w:b/>
                <w:bCs/>
                <w:sz w:val="20"/>
                <w:szCs w:val="20"/>
              </w:rPr>
              <w:t xml:space="preserve">Condition: </w:t>
            </w:r>
            <w:r w:rsidRPr="003A7F84">
              <w:rPr>
                <w:rFonts w:ascii="Arial Narrow" w:hAnsi="Arial Narrow"/>
                <w:bCs/>
                <w:sz w:val="20"/>
                <w:szCs w:val="20"/>
              </w:rPr>
              <w:t>Epilepsy</w:t>
            </w:r>
          </w:p>
        </w:tc>
      </w:tr>
      <w:tr w:rsidR="00074146" w:rsidRPr="003A7F84" w14:paraId="17C7C36A" w14:textId="77777777" w:rsidTr="00074146">
        <w:tc>
          <w:tcPr>
            <w:tcW w:w="137" w:type="dxa"/>
            <w:vAlign w:val="center"/>
            <w:hideMark/>
          </w:tcPr>
          <w:p w14:paraId="6AEC7D29" w14:textId="77777777" w:rsidR="00074146" w:rsidRPr="003A7F84" w:rsidRDefault="00074146" w:rsidP="00B068FA">
            <w:pPr>
              <w:jc w:val="center"/>
              <w:rPr>
                <w:rFonts w:ascii="Arial Narrow" w:hAnsi="Arial Narrow"/>
                <w:sz w:val="20"/>
                <w:szCs w:val="20"/>
              </w:rPr>
            </w:pPr>
          </w:p>
        </w:tc>
        <w:tc>
          <w:tcPr>
            <w:tcW w:w="8930" w:type="dxa"/>
            <w:vAlign w:val="center"/>
            <w:hideMark/>
          </w:tcPr>
          <w:p w14:paraId="0D8A9020" w14:textId="77777777" w:rsidR="00074146" w:rsidRPr="003A7F84" w:rsidRDefault="00074146" w:rsidP="00B068FA">
            <w:pPr>
              <w:rPr>
                <w:rFonts w:ascii="Arial Narrow" w:hAnsi="Arial Narrow"/>
                <w:sz w:val="20"/>
                <w:szCs w:val="20"/>
              </w:rPr>
            </w:pPr>
            <w:r w:rsidRPr="003A7F84">
              <w:rPr>
                <w:rFonts w:ascii="Arial Narrow" w:hAnsi="Arial Narrow"/>
                <w:b/>
                <w:bCs/>
                <w:sz w:val="20"/>
                <w:szCs w:val="20"/>
              </w:rPr>
              <w:t>Indication:</w:t>
            </w:r>
            <w:r w:rsidRPr="003A7F84">
              <w:rPr>
                <w:rFonts w:ascii="Arial Narrow" w:hAnsi="Arial Narrow"/>
                <w:sz w:val="20"/>
                <w:szCs w:val="20"/>
              </w:rPr>
              <w:t xml:space="preserve"> Generalised Convulsive Status Epilepticus</w:t>
            </w:r>
          </w:p>
        </w:tc>
      </w:tr>
      <w:tr w:rsidR="00074146" w:rsidRPr="003A7F84" w14:paraId="4ECDB77A" w14:textId="77777777" w:rsidTr="00074146">
        <w:tc>
          <w:tcPr>
            <w:tcW w:w="137" w:type="dxa"/>
            <w:vAlign w:val="center"/>
          </w:tcPr>
          <w:p w14:paraId="65A07E4A" w14:textId="77777777" w:rsidR="00074146" w:rsidRPr="003A7F84" w:rsidRDefault="00074146" w:rsidP="00B068FA">
            <w:pPr>
              <w:jc w:val="center"/>
              <w:rPr>
                <w:rFonts w:ascii="Arial Narrow" w:hAnsi="Arial Narrow"/>
                <w:sz w:val="20"/>
                <w:szCs w:val="20"/>
              </w:rPr>
            </w:pPr>
          </w:p>
        </w:tc>
        <w:tc>
          <w:tcPr>
            <w:tcW w:w="8930" w:type="dxa"/>
            <w:vAlign w:val="center"/>
            <w:hideMark/>
          </w:tcPr>
          <w:p w14:paraId="5919D358" w14:textId="77777777" w:rsidR="00074146" w:rsidRPr="003A7F84" w:rsidRDefault="00074146" w:rsidP="00B068FA">
            <w:pPr>
              <w:rPr>
                <w:rFonts w:ascii="Arial Narrow" w:hAnsi="Arial Narrow"/>
                <w:sz w:val="20"/>
                <w:szCs w:val="20"/>
              </w:rPr>
            </w:pPr>
            <w:r w:rsidRPr="003A7F84">
              <w:rPr>
                <w:rFonts w:ascii="Arial Narrow" w:hAnsi="Arial Narrow"/>
                <w:b/>
                <w:bCs/>
                <w:sz w:val="20"/>
                <w:szCs w:val="20"/>
              </w:rPr>
              <w:t>Treatment Phase:</w:t>
            </w:r>
            <w:r w:rsidRPr="003A7F84">
              <w:rPr>
                <w:rFonts w:ascii="Arial Narrow" w:hAnsi="Arial Narrow"/>
                <w:sz w:val="20"/>
                <w:szCs w:val="20"/>
              </w:rPr>
              <w:t xml:space="preserve"> Initial treatment </w:t>
            </w:r>
          </w:p>
        </w:tc>
      </w:tr>
      <w:tr w:rsidR="00074146" w:rsidRPr="003A7F84" w14:paraId="267849B1" w14:textId="77777777" w:rsidTr="00074146">
        <w:tc>
          <w:tcPr>
            <w:tcW w:w="137" w:type="dxa"/>
            <w:vAlign w:val="center"/>
          </w:tcPr>
          <w:p w14:paraId="45049B5C" w14:textId="77777777" w:rsidR="00074146" w:rsidRPr="003A7F84" w:rsidRDefault="00074146" w:rsidP="00B068FA">
            <w:pPr>
              <w:jc w:val="center"/>
              <w:rPr>
                <w:rFonts w:ascii="Arial Narrow" w:hAnsi="Arial Narrow"/>
                <w:sz w:val="20"/>
                <w:szCs w:val="20"/>
              </w:rPr>
            </w:pPr>
          </w:p>
        </w:tc>
        <w:tc>
          <w:tcPr>
            <w:tcW w:w="8930" w:type="dxa"/>
            <w:vAlign w:val="center"/>
            <w:hideMark/>
          </w:tcPr>
          <w:p w14:paraId="5CC902AB" w14:textId="77777777" w:rsidR="00074146" w:rsidRPr="003A7F84" w:rsidRDefault="00074146" w:rsidP="00B068FA">
            <w:pPr>
              <w:rPr>
                <w:rFonts w:ascii="Arial Narrow" w:hAnsi="Arial Narrow"/>
                <w:sz w:val="20"/>
                <w:szCs w:val="20"/>
              </w:rPr>
            </w:pPr>
            <w:r w:rsidRPr="003A7F84">
              <w:rPr>
                <w:rFonts w:ascii="Arial Narrow" w:hAnsi="Arial Narrow"/>
                <w:b/>
                <w:bCs/>
                <w:sz w:val="20"/>
                <w:szCs w:val="20"/>
              </w:rPr>
              <w:t xml:space="preserve">Clinical criteria: </w:t>
            </w:r>
          </w:p>
        </w:tc>
      </w:tr>
      <w:tr w:rsidR="00074146" w:rsidRPr="003A7F84" w14:paraId="17534A49" w14:textId="77777777" w:rsidTr="00074146">
        <w:tc>
          <w:tcPr>
            <w:tcW w:w="137" w:type="dxa"/>
            <w:vAlign w:val="center"/>
          </w:tcPr>
          <w:p w14:paraId="6FAFD088" w14:textId="77777777" w:rsidR="00074146" w:rsidRPr="003A7F84" w:rsidRDefault="00074146" w:rsidP="00B068FA">
            <w:pPr>
              <w:jc w:val="center"/>
              <w:rPr>
                <w:rFonts w:ascii="Arial Narrow" w:hAnsi="Arial Narrow"/>
                <w:sz w:val="20"/>
                <w:szCs w:val="20"/>
              </w:rPr>
            </w:pPr>
          </w:p>
        </w:tc>
        <w:tc>
          <w:tcPr>
            <w:tcW w:w="8930" w:type="dxa"/>
            <w:vAlign w:val="center"/>
          </w:tcPr>
          <w:p w14:paraId="46DFEB51" w14:textId="77777777" w:rsidR="00074146" w:rsidRPr="003A7F84" w:rsidRDefault="00074146" w:rsidP="00B068FA">
            <w:pPr>
              <w:rPr>
                <w:rFonts w:ascii="Arial Narrow" w:hAnsi="Arial Narrow"/>
                <w:sz w:val="20"/>
                <w:szCs w:val="20"/>
              </w:rPr>
            </w:pPr>
            <w:r w:rsidRPr="003A7F84">
              <w:rPr>
                <w:rFonts w:ascii="Arial Narrow" w:hAnsi="Arial Narrow"/>
                <w:sz w:val="20"/>
                <w:szCs w:val="20"/>
              </w:rPr>
              <w:t>Patient must have epilepsy;</w:t>
            </w:r>
          </w:p>
        </w:tc>
      </w:tr>
      <w:tr w:rsidR="00074146" w:rsidRPr="003A7F84" w14:paraId="0F63F858" w14:textId="77777777" w:rsidTr="00074146">
        <w:tc>
          <w:tcPr>
            <w:tcW w:w="137" w:type="dxa"/>
            <w:vAlign w:val="center"/>
          </w:tcPr>
          <w:p w14:paraId="71558D69" w14:textId="77777777" w:rsidR="00074146" w:rsidRPr="003A7F84" w:rsidRDefault="00074146" w:rsidP="00B068FA">
            <w:pPr>
              <w:jc w:val="center"/>
              <w:rPr>
                <w:rFonts w:ascii="Arial Narrow" w:hAnsi="Arial Narrow"/>
                <w:sz w:val="20"/>
                <w:szCs w:val="20"/>
              </w:rPr>
            </w:pPr>
          </w:p>
        </w:tc>
        <w:tc>
          <w:tcPr>
            <w:tcW w:w="8930" w:type="dxa"/>
            <w:vAlign w:val="center"/>
            <w:hideMark/>
          </w:tcPr>
          <w:p w14:paraId="7A1EEC81" w14:textId="77777777" w:rsidR="00074146" w:rsidRPr="003A7F84" w:rsidRDefault="00074146" w:rsidP="00B068FA">
            <w:pPr>
              <w:rPr>
                <w:rFonts w:ascii="Arial Narrow" w:hAnsi="Arial Narrow"/>
                <w:sz w:val="20"/>
                <w:szCs w:val="20"/>
              </w:rPr>
            </w:pPr>
            <w:r w:rsidRPr="003A7F84">
              <w:rPr>
                <w:rFonts w:ascii="Arial Narrow" w:hAnsi="Arial Narrow"/>
                <w:b/>
                <w:bCs/>
                <w:sz w:val="20"/>
                <w:szCs w:val="20"/>
              </w:rPr>
              <w:t>AND</w:t>
            </w:r>
          </w:p>
        </w:tc>
      </w:tr>
      <w:tr w:rsidR="00074146" w:rsidRPr="003A7F84" w14:paraId="5B60DFE9" w14:textId="77777777" w:rsidTr="00074146">
        <w:tc>
          <w:tcPr>
            <w:tcW w:w="137" w:type="dxa"/>
            <w:vAlign w:val="center"/>
          </w:tcPr>
          <w:p w14:paraId="093AF59B" w14:textId="77777777" w:rsidR="00074146" w:rsidRPr="003A7F84" w:rsidRDefault="00074146" w:rsidP="00B068FA">
            <w:pPr>
              <w:jc w:val="center"/>
              <w:rPr>
                <w:rFonts w:ascii="Arial Narrow" w:hAnsi="Arial Narrow"/>
                <w:sz w:val="20"/>
                <w:szCs w:val="20"/>
              </w:rPr>
            </w:pPr>
          </w:p>
        </w:tc>
        <w:tc>
          <w:tcPr>
            <w:tcW w:w="8930" w:type="dxa"/>
            <w:vAlign w:val="center"/>
            <w:hideMark/>
          </w:tcPr>
          <w:p w14:paraId="35ECE02D" w14:textId="77777777" w:rsidR="00074146" w:rsidRPr="003A7F84" w:rsidRDefault="00074146" w:rsidP="00B068FA">
            <w:pPr>
              <w:rPr>
                <w:rFonts w:ascii="Arial Narrow" w:hAnsi="Arial Narrow"/>
                <w:sz w:val="20"/>
                <w:szCs w:val="20"/>
              </w:rPr>
            </w:pPr>
            <w:r w:rsidRPr="003A7F84">
              <w:rPr>
                <w:rFonts w:ascii="Arial Narrow" w:hAnsi="Arial Narrow"/>
                <w:b/>
                <w:bCs/>
                <w:sz w:val="20"/>
                <w:szCs w:val="20"/>
              </w:rPr>
              <w:t>Clinical criteria:</w:t>
            </w:r>
          </w:p>
        </w:tc>
      </w:tr>
      <w:tr w:rsidR="00074146" w:rsidRPr="003A7F84" w14:paraId="03F212D8" w14:textId="77777777" w:rsidTr="00074146">
        <w:tc>
          <w:tcPr>
            <w:tcW w:w="137" w:type="dxa"/>
            <w:vAlign w:val="center"/>
          </w:tcPr>
          <w:p w14:paraId="2E7AC503" w14:textId="77777777" w:rsidR="00074146" w:rsidRPr="003A7F84" w:rsidRDefault="00074146" w:rsidP="00B068FA">
            <w:pPr>
              <w:jc w:val="center"/>
              <w:rPr>
                <w:rFonts w:ascii="Arial Narrow" w:hAnsi="Arial Narrow"/>
                <w:sz w:val="20"/>
                <w:szCs w:val="20"/>
              </w:rPr>
            </w:pPr>
          </w:p>
        </w:tc>
        <w:tc>
          <w:tcPr>
            <w:tcW w:w="8930" w:type="dxa"/>
            <w:vAlign w:val="center"/>
            <w:hideMark/>
          </w:tcPr>
          <w:p w14:paraId="36E4D5FD" w14:textId="77777777" w:rsidR="00074146" w:rsidRPr="003A7F84" w:rsidRDefault="00074146" w:rsidP="00B068FA">
            <w:pPr>
              <w:pStyle w:val="PBACTabletext"/>
              <w:rPr>
                <w:rFonts w:eastAsiaTheme="minorHAnsi" w:cs="Arial Narrow"/>
                <w:i/>
                <w:szCs w:val="20"/>
                <w:lang w:eastAsia="en-US"/>
              </w:rPr>
            </w:pPr>
            <w:r w:rsidRPr="003A7F84">
              <w:rPr>
                <w:szCs w:val="20"/>
              </w:rPr>
              <w:t>Patient must have experienced at least one prolonged seizure (&gt;five minutes duration) requiring emergency medical attention within the previous 5 years</w:t>
            </w:r>
          </w:p>
        </w:tc>
      </w:tr>
      <w:tr w:rsidR="00074146" w:rsidRPr="003A7F84" w14:paraId="4C9F130A" w14:textId="77777777" w:rsidTr="00074146">
        <w:tc>
          <w:tcPr>
            <w:tcW w:w="137" w:type="dxa"/>
            <w:vAlign w:val="center"/>
          </w:tcPr>
          <w:p w14:paraId="78C9AA54" w14:textId="77777777" w:rsidR="00074146" w:rsidRPr="003A7F84" w:rsidRDefault="00074146" w:rsidP="00B068FA">
            <w:pPr>
              <w:jc w:val="center"/>
              <w:rPr>
                <w:rFonts w:ascii="Arial Narrow" w:hAnsi="Arial Narrow"/>
                <w:i/>
                <w:iCs/>
                <w:sz w:val="20"/>
                <w:szCs w:val="20"/>
              </w:rPr>
            </w:pPr>
          </w:p>
        </w:tc>
        <w:tc>
          <w:tcPr>
            <w:tcW w:w="8930" w:type="dxa"/>
            <w:vAlign w:val="center"/>
          </w:tcPr>
          <w:p w14:paraId="6B984BC1" w14:textId="77777777" w:rsidR="00074146" w:rsidRPr="003A7F84" w:rsidRDefault="00074146" w:rsidP="00B068FA">
            <w:pPr>
              <w:pStyle w:val="PBACTabletext"/>
              <w:rPr>
                <w:i/>
                <w:iCs/>
                <w:szCs w:val="20"/>
              </w:rPr>
            </w:pPr>
            <w:r w:rsidRPr="003A7F84">
              <w:rPr>
                <w:b/>
                <w:bCs/>
                <w:i/>
                <w:iCs/>
                <w:szCs w:val="20"/>
                <w:lang w:eastAsia="en-AU"/>
              </w:rPr>
              <w:t>AND</w:t>
            </w:r>
          </w:p>
        </w:tc>
      </w:tr>
      <w:tr w:rsidR="00074146" w:rsidRPr="003A7F84" w14:paraId="70944460" w14:textId="77777777" w:rsidTr="00074146">
        <w:tc>
          <w:tcPr>
            <w:tcW w:w="137" w:type="dxa"/>
            <w:vAlign w:val="center"/>
          </w:tcPr>
          <w:p w14:paraId="0DAA3E14" w14:textId="77777777" w:rsidR="00074146" w:rsidRPr="003A7F84" w:rsidRDefault="00074146" w:rsidP="00B068FA">
            <w:pPr>
              <w:jc w:val="center"/>
              <w:rPr>
                <w:rFonts w:ascii="Arial Narrow" w:hAnsi="Arial Narrow"/>
                <w:i/>
                <w:iCs/>
                <w:sz w:val="20"/>
                <w:szCs w:val="20"/>
              </w:rPr>
            </w:pPr>
          </w:p>
        </w:tc>
        <w:tc>
          <w:tcPr>
            <w:tcW w:w="8930" w:type="dxa"/>
            <w:vAlign w:val="center"/>
          </w:tcPr>
          <w:p w14:paraId="571C37C4" w14:textId="77777777" w:rsidR="00074146" w:rsidRPr="003A7F84" w:rsidRDefault="00074146" w:rsidP="00B068FA">
            <w:pPr>
              <w:pStyle w:val="PBACTabletext"/>
              <w:rPr>
                <w:i/>
                <w:iCs/>
                <w:szCs w:val="20"/>
              </w:rPr>
            </w:pPr>
            <w:r w:rsidRPr="003A7F84">
              <w:rPr>
                <w:b/>
                <w:bCs/>
                <w:i/>
                <w:iCs/>
                <w:szCs w:val="20"/>
                <w:lang w:eastAsia="en-AU"/>
              </w:rPr>
              <w:t>Clinical criteria:</w:t>
            </w:r>
          </w:p>
        </w:tc>
      </w:tr>
      <w:tr w:rsidR="00074146" w:rsidRPr="003A7F84" w14:paraId="09C82406" w14:textId="77777777" w:rsidTr="00074146">
        <w:tc>
          <w:tcPr>
            <w:tcW w:w="137" w:type="dxa"/>
            <w:vAlign w:val="center"/>
          </w:tcPr>
          <w:p w14:paraId="030FFF7B" w14:textId="77777777" w:rsidR="00074146" w:rsidRPr="003A7F84" w:rsidRDefault="00074146" w:rsidP="00B068FA">
            <w:pPr>
              <w:jc w:val="center"/>
              <w:rPr>
                <w:rFonts w:ascii="Arial Narrow" w:hAnsi="Arial Narrow"/>
                <w:i/>
                <w:iCs/>
                <w:sz w:val="20"/>
                <w:szCs w:val="20"/>
              </w:rPr>
            </w:pPr>
          </w:p>
        </w:tc>
        <w:tc>
          <w:tcPr>
            <w:tcW w:w="8930" w:type="dxa"/>
            <w:vAlign w:val="center"/>
          </w:tcPr>
          <w:p w14:paraId="17C8B4AE" w14:textId="77777777" w:rsidR="00074146" w:rsidRPr="003A7F84" w:rsidRDefault="00074146" w:rsidP="00B068FA">
            <w:pPr>
              <w:pStyle w:val="PBACTabletext"/>
              <w:rPr>
                <w:i/>
                <w:iCs/>
                <w:szCs w:val="20"/>
              </w:rPr>
            </w:pPr>
            <w:r w:rsidRPr="003A7F84">
              <w:rPr>
                <w:i/>
                <w:iCs/>
                <w:szCs w:val="20"/>
              </w:rPr>
              <w:t xml:space="preserve">Patient must have been assessed to be at significant risk of status epilepticus </w:t>
            </w:r>
          </w:p>
        </w:tc>
      </w:tr>
      <w:tr w:rsidR="00074146" w:rsidRPr="003A7F84" w14:paraId="7068AB6C" w14:textId="77777777" w:rsidTr="00074146">
        <w:tc>
          <w:tcPr>
            <w:tcW w:w="137" w:type="dxa"/>
            <w:vAlign w:val="center"/>
          </w:tcPr>
          <w:p w14:paraId="5E1AB61F" w14:textId="77777777" w:rsidR="00074146" w:rsidRPr="003A7F84" w:rsidRDefault="00074146" w:rsidP="00B068FA">
            <w:pPr>
              <w:jc w:val="center"/>
              <w:rPr>
                <w:rFonts w:ascii="Arial Narrow" w:hAnsi="Arial Narrow"/>
                <w:sz w:val="20"/>
                <w:szCs w:val="20"/>
              </w:rPr>
            </w:pPr>
          </w:p>
        </w:tc>
        <w:tc>
          <w:tcPr>
            <w:tcW w:w="8930" w:type="dxa"/>
            <w:vAlign w:val="center"/>
          </w:tcPr>
          <w:p w14:paraId="41C9A917" w14:textId="77777777" w:rsidR="00074146" w:rsidRPr="003A7F84" w:rsidRDefault="00074146" w:rsidP="00B068FA">
            <w:pPr>
              <w:pStyle w:val="PBACTabletext"/>
              <w:rPr>
                <w:szCs w:val="20"/>
              </w:rPr>
            </w:pPr>
            <w:r w:rsidRPr="003A7F84">
              <w:rPr>
                <w:b/>
                <w:bCs/>
                <w:szCs w:val="20"/>
                <w:lang w:eastAsia="en-AU"/>
              </w:rPr>
              <w:t>Population criteria:</w:t>
            </w:r>
          </w:p>
        </w:tc>
      </w:tr>
      <w:tr w:rsidR="00074146" w:rsidRPr="003A7F84" w14:paraId="38EC81E9" w14:textId="77777777" w:rsidTr="00074146">
        <w:tc>
          <w:tcPr>
            <w:tcW w:w="137" w:type="dxa"/>
            <w:vAlign w:val="center"/>
          </w:tcPr>
          <w:p w14:paraId="7A8546CA" w14:textId="77777777" w:rsidR="00074146" w:rsidRPr="003A7F84" w:rsidRDefault="00074146" w:rsidP="00B068FA">
            <w:pPr>
              <w:jc w:val="center"/>
              <w:rPr>
                <w:rFonts w:ascii="Arial Narrow" w:hAnsi="Arial Narrow"/>
                <w:sz w:val="20"/>
                <w:szCs w:val="20"/>
              </w:rPr>
            </w:pPr>
          </w:p>
        </w:tc>
        <w:tc>
          <w:tcPr>
            <w:tcW w:w="8930" w:type="dxa"/>
            <w:vAlign w:val="center"/>
          </w:tcPr>
          <w:p w14:paraId="65F9BDA0" w14:textId="77777777" w:rsidR="00074146" w:rsidRPr="003A7F84" w:rsidRDefault="00074146" w:rsidP="00B068FA">
            <w:pPr>
              <w:pStyle w:val="PBACTabletext"/>
              <w:rPr>
                <w:szCs w:val="20"/>
              </w:rPr>
            </w:pPr>
            <w:r w:rsidRPr="003A7F84">
              <w:rPr>
                <w:szCs w:val="20"/>
              </w:rPr>
              <w:t>Patient must be over six months of age</w:t>
            </w:r>
          </w:p>
        </w:tc>
      </w:tr>
      <w:tr w:rsidR="00074146" w:rsidRPr="003A7F84" w14:paraId="21AE51CF" w14:textId="77777777" w:rsidTr="00074146">
        <w:tc>
          <w:tcPr>
            <w:tcW w:w="137" w:type="dxa"/>
            <w:vAlign w:val="center"/>
          </w:tcPr>
          <w:p w14:paraId="644098DD" w14:textId="77777777" w:rsidR="00074146" w:rsidRPr="003A7F84" w:rsidRDefault="00074146" w:rsidP="00B068FA">
            <w:pPr>
              <w:jc w:val="center"/>
              <w:rPr>
                <w:rFonts w:ascii="Arial Narrow" w:hAnsi="Arial Narrow"/>
                <w:sz w:val="20"/>
                <w:szCs w:val="20"/>
              </w:rPr>
            </w:pPr>
          </w:p>
        </w:tc>
        <w:tc>
          <w:tcPr>
            <w:tcW w:w="8930" w:type="dxa"/>
            <w:vAlign w:val="center"/>
            <w:hideMark/>
          </w:tcPr>
          <w:p w14:paraId="1D355298" w14:textId="77777777" w:rsidR="00074146" w:rsidRPr="003A7F84" w:rsidRDefault="00074146" w:rsidP="00B068FA">
            <w:pPr>
              <w:rPr>
                <w:rFonts w:ascii="Arial Narrow" w:hAnsi="Arial Narrow"/>
                <w:sz w:val="20"/>
                <w:szCs w:val="20"/>
              </w:rPr>
            </w:pPr>
            <w:r w:rsidRPr="003A7F84">
              <w:rPr>
                <w:rFonts w:ascii="Arial Narrow" w:hAnsi="Arial Narrow"/>
                <w:b/>
                <w:bCs/>
                <w:sz w:val="20"/>
                <w:szCs w:val="20"/>
              </w:rPr>
              <w:t>Treatment criteria:</w:t>
            </w:r>
          </w:p>
        </w:tc>
      </w:tr>
      <w:tr w:rsidR="00074146" w:rsidRPr="003A7F84" w14:paraId="5C20768F" w14:textId="77777777" w:rsidTr="00074146">
        <w:tc>
          <w:tcPr>
            <w:tcW w:w="137" w:type="dxa"/>
            <w:vAlign w:val="center"/>
          </w:tcPr>
          <w:p w14:paraId="37853BB4" w14:textId="77777777" w:rsidR="00074146" w:rsidRPr="003A7F84" w:rsidRDefault="00074146" w:rsidP="00B068FA">
            <w:pPr>
              <w:jc w:val="center"/>
              <w:rPr>
                <w:rFonts w:ascii="Arial Narrow" w:hAnsi="Arial Narrow"/>
                <w:sz w:val="20"/>
                <w:szCs w:val="20"/>
                <w:lang w:eastAsia="en-GB"/>
              </w:rPr>
            </w:pPr>
          </w:p>
        </w:tc>
        <w:tc>
          <w:tcPr>
            <w:tcW w:w="8930" w:type="dxa"/>
            <w:vAlign w:val="center"/>
            <w:hideMark/>
          </w:tcPr>
          <w:p w14:paraId="0D504980" w14:textId="77777777" w:rsidR="00074146" w:rsidRPr="003A7F84" w:rsidRDefault="00074146" w:rsidP="00B068FA">
            <w:pPr>
              <w:autoSpaceDE w:val="0"/>
              <w:autoSpaceDN w:val="0"/>
              <w:adjustRightInd w:val="0"/>
              <w:rPr>
                <w:rFonts w:ascii="Arial Narrow" w:hAnsi="Arial Narrow"/>
                <w:i/>
                <w:iCs/>
                <w:sz w:val="20"/>
                <w:szCs w:val="20"/>
                <w:lang w:eastAsia="en-GB"/>
              </w:rPr>
            </w:pPr>
            <w:r w:rsidRPr="003A7F84">
              <w:rPr>
                <w:rFonts w:ascii="Arial Narrow" w:hAnsi="Arial Narrow"/>
                <w:i/>
                <w:iCs/>
                <w:sz w:val="20"/>
                <w:szCs w:val="20"/>
                <w:lang w:eastAsia="en-GB"/>
              </w:rPr>
              <w:t>Treatment must be initiated by a specialist physician experienced in the treatment of epilepsy.</w:t>
            </w:r>
          </w:p>
        </w:tc>
      </w:tr>
      <w:tr w:rsidR="00074146" w:rsidRPr="003A7F84" w14:paraId="13B32D9A" w14:textId="77777777" w:rsidTr="00074146">
        <w:tc>
          <w:tcPr>
            <w:tcW w:w="137" w:type="dxa"/>
            <w:vAlign w:val="center"/>
          </w:tcPr>
          <w:p w14:paraId="64713B97" w14:textId="77777777" w:rsidR="00074146" w:rsidRPr="003A7F84" w:rsidRDefault="00074146" w:rsidP="00B068FA">
            <w:pPr>
              <w:jc w:val="center"/>
              <w:rPr>
                <w:rFonts w:ascii="Arial Narrow" w:hAnsi="Arial Narrow"/>
                <w:sz w:val="20"/>
                <w:szCs w:val="20"/>
              </w:rPr>
            </w:pPr>
          </w:p>
        </w:tc>
        <w:tc>
          <w:tcPr>
            <w:tcW w:w="8930" w:type="dxa"/>
            <w:vAlign w:val="center"/>
          </w:tcPr>
          <w:p w14:paraId="6708026B" w14:textId="77777777" w:rsidR="00074146" w:rsidRPr="003A7F84" w:rsidRDefault="00074146" w:rsidP="00B068FA">
            <w:pPr>
              <w:rPr>
                <w:rFonts w:ascii="Arial Narrow" w:hAnsi="Arial Narrow"/>
                <w:bCs/>
                <w:sz w:val="20"/>
                <w:szCs w:val="20"/>
              </w:rPr>
            </w:pPr>
            <w:r w:rsidRPr="003A7F84">
              <w:rPr>
                <w:rFonts w:ascii="Arial Narrow" w:hAnsi="Arial Narrow"/>
                <w:b/>
                <w:bCs/>
                <w:sz w:val="20"/>
                <w:szCs w:val="20"/>
              </w:rPr>
              <w:t xml:space="preserve">Administrative Advice: </w:t>
            </w:r>
          </w:p>
          <w:p w14:paraId="3951B8A9" w14:textId="5BF571C9" w:rsidR="00074146" w:rsidRPr="003A7F84" w:rsidRDefault="00074146" w:rsidP="00B068FA">
            <w:pPr>
              <w:rPr>
                <w:rFonts w:ascii="Arial Narrow" w:hAnsi="Arial Narrow"/>
                <w:sz w:val="20"/>
                <w:szCs w:val="20"/>
              </w:rPr>
            </w:pPr>
            <w:r w:rsidRPr="003A7F84">
              <w:rPr>
                <w:rFonts w:ascii="Arial Narrow" w:hAnsi="Arial Narrow"/>
                <w:sz w:val="20"/>
                <w:szCs w:val="20"/>
              </w:rPr>
              <w:t>No increase in the maximum quantity or number of units may be authorised.</w:t>
            </w:r>
            <w:r w:rsidR="001F5C43" w:rsidRPr="003A7F84">
              <w:rPr>
                <w:rFonts w:ascii="Arial Narrow" w:hAnsi="Arial Narrow"/>
                <w:sz w:val="20"/>
                <w:szCs w:val="20"/>
              </w:rPr>
              <w:t xml:space="preserve"> </w:t>
            </w:r>
          </w:p>
          <w:p w14:paraId="0F25F38E" w14:textId="5025AFBC" w:rsidR="00074146" w:rsidRPr="003A7F84" w:rsidRDefault="00074146" w:rsidP="00B068FA">
            <w:pPr>
              <w:rPr>
                <w:rFonts w:ascii="Arial Narrow" w:hAnsi="Arial Narrow"/>
                <w:sz w:val="20"/>
                <w:szCs w:val="20"/>
              </w:rPr>
            </w:pPr>
            <w:r w:rsidRPr="003A7F84">
              <w:rPr>
                <w:rFonts w:ascii="Arial Narrow" w:hAnsi="Arial Narrow"/>
                <w:sz w:val="20"/>
                <w:szCs w:val="20"/>
              </w:rPr>
              <w:t>No increase in the maximum number of repeats may be authorised.</w:t>
            </w:r>
          </w:p>
          <w:p w14:paraId="3DFD3EFD" w14:textId="77777777" w:rsidR="00074146" w:rsidRPr="003A7F84" w:rsidRDefault="00074146" w:rsidP="00B068FA">
            <w:pPr>
              <w:rPr>
                <w:rFonts w:ascii="Arial Narrow" w:hAnsi="Arial Narrow"/>
                <w:sz w:val="20"/>
                <w:szCs w:val="20"/>
              </w:rPr>
            </w:pPr>
          </w:p>
          <w:p w14:paraId="376656CA" w14:textId="77777777" w:rsidR="00074146" w:rsidRPr="003A7F84" w:rsidRDefault="00074146" w:rsidP="00B068FA">
            <w:pPr>
              <w:rPr>
                <w:rFonts w:ascii="Arial Narrow" w:hAnsi="Arial Narrow"/>
                <w:i/>
                <w:iCs/>
                <w:sz w:val="20"/>
                <w:szCs w:val="20"/>
              </w:rPr>
            </w:pPr>
            <w:r w:rsidRPr="003A7F84">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p w14:paraId="6C1C45EB" w14:textId="77777777" w:rsidR="00074146" w:rsidRPr="003A7F84" w:rsidRDefault="00074146" w:rsidP="00B068FA">
            <w:pPr>
              <w:rPr>
                <w:rFonts w:ascii="Arial Narrow" w:hAnsi="Arial Narrow"/>
                <w:bCs/>
                <w:sz w:val="20"/>
                <w:szCs w:val="20"/>
              </w:rPr>
            </w:pPr>
          </w:p>
        </w:tc>
      </w:tr>
      <w:tr w:rsidR="00074146" w:rsidRPr="003A7F84" w14:paraId="497F1F5E" w14:textId="77777777" w:rsidTr="00074146">
        <w:tc>
          <w:tcPr>
            <w:tcW w:w="137" w:type="dxa"/>
            <w:vAlign w:val="center"/>
          </w:tcPr>
          <w:p w14:paraId="5BE92FB4" w14:textId="77777777" w:rsidR="00074146" w:rsidRPr="003A7F84" w:rsidRDefault="00074146" w:rsidP="00B068FA">
            <w:pPr>
              <w:jc w:val="center"/>
              <w:rPr>
                <w:rFonts w:ascii="Arial Narrow" w:hAnsi="Arial Narrow"/>
                <w:i/>
                <w:iCs/>
                <w:sz w:val="20"/>
                <w:szCs w:val="20"/>
              </w:rPr>
            </w:pPr>
          </w:p>
        </w:tc>
        <w:tc>
          <w:tcPr>
            <w:tcW w:w="8930" w:type="dxa"/>
            <w:vAlign w:val="center"/>
          </w:tcPr>
          <w:p w14:paraId="1BD80687" w14:textId="77777777" w:rsidR="00074146" w:rsidRPr="003A7F84" w:rsidRDefault="00074146" w:rsidP="00B068FA">
            <w:pPr>
              <w:rPr>
                <w:rFonts w:ascii="Arial Narrow" w:hAnsi="Arial Narrow"/>
                <w:b/>
                <w:bCs/>
                <w:i/>
                <w:iCs/>
                <w:sz w:val="20"/>
                <w:szCs w:val="20"/>
              </w:rPr>
            </w:pPr>
            <w:r w:rsidRPr="003A7F84">
              <w:rPr>
                <w:rFonts w:ascii="Arial Narrow" w:hAnsi="Arial Narrow"/>
                <w:b/>
                <w:bCs/>
                <w:i/>
                <w:iCs/>
                <w:sz w:val="20"/>
                <w:szCs w:val="20"/>
              </w:rPr>
              <w:t>Treatment Phase:</w:t>
            </w:r>
            <w:r w:rsidRPr="003A7F84">
              <w:rPr>
                <w:rFonts w:ascii="Arial Narrow" w:hAnsi="Arial Narrow"/>
                <w:i/>
                <w:iCs/>
                <w:sz w:val="20"/>
                <w:szCs w:val="20"/>
              </w:rPr>
              <w:t xml:space="preserve"> Continuing treatment</w:t>
            </w:r>
          </w:p>
        </w:tc>
      </w:tr>
      <w:tr w:rsidR="00074146" w:rsidRPr="003A7F84" w14:paraId="278EF695" w14:textId="77777777" w:rsidTr="00074146">
        <w:tc>
          <w:tcPr>
            <w:tcW w:w="137" w:type="dxa"/>
            <w:vAlign w:val="center"/>
          </w:tcPr>
          <w:p w14:paraId="2CE32713" w14:textId="77777777" w:rsidR="00074146" w:rsidRPr="003A7F84" w:rsidRDefault="00074146" w:rsidP="00B068FA">
            <w:pPr>
              <w:jc w:val="center"/>
              <w:rPr>
                <w:rFonts w:ascii="Arial Narrow" w:hAnsi="Arial Narrow"/>
                <w:i/>
                <w:iCs/>
                <w:sz w:val="20"/>
                <w:szCs w:val="20"/>
              </w:rPr>
            </w:pPr>
          </w:p>
        </w:tc>
        <w:tc>
          <w:tcPr>
            <w:tcW w:w="8930" w:type="dxa"/>
            <w:vAlign w:val="center"/>
          </w:tcPr>
          <w:p w14:paraId="215EDA26" w14:textId="77777777" w:rsidR="00074146" w:rsidRPr="003A7F84" w:rsidRDefault="00074146" w:rsidP="00B068FA">
            <w:pPr>
              <w:rPr>
                <w:rFonts w:ascii="Arial Narrow" w:hAnsi="Arial Narrow"/>
                <w:b/>
                <w:bCs/>
                <w:i/>
                <w:iCs/>
                <w:sz w:val="20"/>
                <w:szCs w:val="20"/>
              </w:rPr>
            </w:pPr>
            <w:r w:rsidRPr="003A7F84">
              <w:rPr>
                <w:rFonts w:ascii="Arial Narrow" w:hAnsi="Arial Narrow"/>
                <w:b/>
                <w:bCs/>
                <w:i/>
                <w:iCs/>
                <w:sz w:val="20"/>
                <w:szCs w:val="20"/>
              </w:rPr>
              <w:t>Clinical criteria:</w:t>
            </w:r>
          </w:p>
          <w:p w14:paraId="4EE399E7" w14:textId="77777777" w:rsidR="00074146" w:rsidRPr="003A7F84" w:rsidRDefault="00074146" w:rsidP="00B068FA">
            <w:pPr>
              <w:rPr>
                <w:rFonts w:ascii="Arial Narrow" w:hAnsi="Arial Narrow"/>
                <w:i/>
                <w:iCs/>
                <w:sz w:val="20"/>
                <w:szCs w:val="20"/>
              </w:rPr>
            </w:pPr>
            <w:r w:rsidRPr="003A7F84">
              <w:rPr>
                <w:rFonts w:ascii="Arial Narrow" w:hAnsi="Arial Narrow"/>
                <w:i/>
                <w:iCs/>
                <w:sz w:val="20"/>
                <w:szCs w:val="20"/>
              </w:rPr>
              <w:t>Patient must have previously received PBS-subsidised treatment with this drug for this condition</w:t>
            </w:r>
          </w:p>
          <w:p w14:paraId="0C94124E" w14:textId="77777777" w:rsidR="00074146" w:rsidRPr="003A7F84" w:rsidRDefault="00074146" w:rsidP="00B068FA">
            <w:pPr>
              <w:rPr>
                <w:rFonts w:ascii="Arial Narrow" w:hAnsi="Arial Narrow"/>
                <w:i/>
                <w:iCs/>
                <w:sz w:val="20"/>
                <w:szCs w:val="20"/>
              </w:rPr>
            </w:pPr>
          </w:p>
        </w:tc>
      </w:tr>
      <w:tr w:rsidR="00074146" w:rsidRPr="003A7F84" w14:paraId="3A36E79F" w14:textId="77777777" w:rsidTr="00074146">
        <w:tc>
          <w:tcPr>
            <w:tcW w:w="137" w:type="dxa"/>
            <w:vAlign w:val="center"/>
          </w:tcPr>
          <w:p w14:paraId="3296671B" w14:textId="77777777" w:rsidR="00074146" w:rsidRPr="003A7F84" w:rsidRDefault="00074146" w:rsidP="00B068FA">
            <w:pPr>
              <w:jc w:val="center"/>
              <w:rPr>
                <w:rFonts w:ascii="Arial Narrow" w:hAnsi="Arial Narrow"/>
                <w:i/>
                <w:iCs/>
                <w:sz w:val="20"/>
                <w:szCs w:val="20"/>
              </w:rPr>
            </w:pPr>
          </w:p>
        </w:tc>
        <w:tc>
          <w:tcPr>
            <w:tcW w:w="8930" w:type="dxa"/>
            <w:vAlign w:val="center"/>
          </w:tcPr>
          <w:p w14:paraId="4EFE3A65" w14:textId="77777777" w:rsidR="00074146" w:rsidRPr="003A7F84" w:rsidRDefault="00074146" w:rsidP="00B068FA">
            <w:pPr>
              <w:rPr>
                <w:rFonts w:ascii="Arial Narrow" w:hAnsi="Arial Narrow"/>
                <w:bCs/>
                <w:i/>
                <w:iCs/>
                <w:sz w:val="20"/>
                <w:szCs w:val="20"/>
              </w:rPr>
            </w:pPr>
            <w:r w:rsidRPr="003A7F84">
              <w:rPr>
                <w:rFonts w:ascii="Arial Narrow" w:hAnsi="Arial Narrow"/>
                <w:b/>
                <w:bCs/>
                <w:i/>
                <w:iCs/>
                <w:sz w:val="20"/>
                <w:szCs w:val="20"/>
              </w:rPr>
              <w:t xml:space="preserve">Administrative Advice: </w:t>
            </w:r>
          </w:p>
          <w:p w14:paraId="0A130864" w14:textId="2771936B" w:rsidR="00074146" w:rsidRPr="003A7F84" w:rsidRDefault="00074146" w:rsidP="00B068FA">
            <w:pPr>
              <w:rPr>
                <w:rFonts w:ascii="Arial Narrow" w:hAnsi="Arial Narrow"/>
                <w:b/>
                <w:bCs/>
                <w:i/>
                <w:iCs/>
                <w:sz w:val="20"/>
                <w:szCs w:val="20"/>
              </w:rPr>
            </w:pPr>
            <w:r w:rsidRPr="003A7F84">
              <w:rPr>
                <w:rFonts w:ascii="Arial Narrow" w:hAnsi="Arial Narrow"/>
                <w:i/>
                <w:iCs/>
                <w:sz w:val="20"/>
                <w:szCs w:val="20"/>
              </w:rPr>
              <w:t>No increase in the maximum quantity or number of units may be authorised.</w:t>
            </w:r>
            <w:r w:rsidR="001F5C43" w:rsidRPr="003A7F84">
              <w:rPr>
                <w:rFonts w:ascii="Arial Narrow" w:hAnsi="Arial Narrow"/>
                <w:i/>
                <w:iCs/>
                <w:sz w:val="20"/>
                <w:szCs w:val="20"/>
              </w:rPr>
              <w:t xml:space="preserve"> </w:t>
            </w:r>
          </w:p>
          <w:p w14:paraId="173593B0" w14:textId="5A57450D" w:rsidR="00074146" w:rsidRPr="003A7F84" w:rsidRDefault="00074146" w:rsidP="00B068FA">
            <w:pPr>
              <w:rPr>
                <w:rFonts w:ascii="Arial Narrow" w:hAnsi="Arial Narrow"/>
                <w:b/>
                <w:bCs/>
                <w:i/>
                <w:iCs/>
                <w:sz w:val="20"/>
                <w:szCs w:val="20"/>
              </w:rPr>
            </w:pPr>
            <w:r w:rsidRPr="003A7F84">
              <w:rPr>
                <w:rFonts w:ascii="Arial Narrow" w:hAnsi="Arial Narrow"/>
                <w:i/>
                <w:iCs/>
                <w:sz w:val="20"/>
                <w:szCs w:val="20"/>
              </w:rPr>
              <w:t>No increase in the maximum number of repeats may be authorised.</w:t>
            </w:r>
            <w:r w:rsidR="001F5C43" w:rsidRPr="003A7F84">
              <w:rPr>
                <w:rFonts w:ascii="Arial Narrow" w:hAnsi="Arial Narrow"/>
                <w:i/>
                <w:iCs/>
                <w:sz w:val="20"/>
                <w:szCs w:val="20"/>
              </w:rPr>
              <w:t xml:space="preserve"> </w:t>
            </w:r>
          </w:p>
          <w:p w14:paraId="7D6F729E" w14:textId="77777777" w:rsidR="00074146" w:rsidRPr="003A7F84" w:rsidRDefault="00074146" w:rsidP="00B068FA">
            <w:pPr>
              <w:rPr>
                <w:rFonts w:ascii="Arial Narrow" w:hAnsi="Arial Narrow"/>
                <w:i/>
                <w:iCs/>
                <w:sz w:val="20"/>
                <w:szCs w:val="20"/>
              </w:rPr>
            </w:pPr>
          </w:p>
          <w:p w14:paraId="378D13A1" w14:textId="77777777" w:rsidR="00074146" w:rsidRPr="003A7F84" w:rsidRDefault="00074146" w:rsidP="00B068FA">
            <w:pPr>
              <w:rPr>
                <w:rFonts w:ascii="Arial Narrow" w:hAnsi="Arial Narrow"/>
                <w:i/>
                <w:iCs/>
                <w:sz w:val="20"/>
                <w:szCs w:val="20"/>
              </w:rPr>
            </w:pPr>
            <w:r w:rsidRPr="003A7F84">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39D37CEF" w14:textId="016CBC36" w:rsidR="00074146" w:rsidRPr="003A7F84" w:rsidRDefault="00074146" w:rsidP="004B1CB4"/>
    <w:p w14:paraId="5BF01C65" w14:textId="25455F20" w:rsidR="0029092A" w:rsidRPr="003A7F84" w:rsidRDefault="005E34CC" w:rsidP="00CD577F">
      <w:pPr>
        <w:pStyle w:val="ExecSumBodyText"/>
        <w:rPr>
          <w:iCs/>
        </w:rPr>
      </w:pPr>
      <w:bookmarkStart w:id="8" w:name="_Ref106291096"/>
      <w:r w:rsidRPr="003A7F84">
        <w:t xml:space="preserve">The </w:t>
      </w:r>
      <w:r w:rsidR="00A43350" w:rsidRPr="003A7F84">
        <w:t xml:space="preserve">submission </w:t>
      </w:r>
      <w:r w:rsidRPr="003A7F84">
        <w:t xml:space="preserve">requested listing for a maximum </w:t>
      </w:r>
      <w:r w:rsidR="00A43350" w:rsidRPr="003A7F84">
        <w:t xml:space="preserve">quantity </w:t>
      </w:r>
      <w:r w:rsidR="008547ED" w:rsidRPr="003A7F84">
        <w:t xml:space="preserve">of one prefilled syringe </w:t>
      </w:r>
      <w:r w:rsidRPr="003A7F84">
        <w:t xml:space="preserve">and one </w:t>
      </w:r>
      <w:r w:rsidR="00AA5869" w:rsidRPr="003A7F84">
        <w:t>repeat. The</w:t>
      </w:r>
      <w:r w:rsidR="007828C3" w:rsidRPr="003A7F84">
        <w:t xml:space="preserve"> submission also suggested inclusion of administrative advice that “</w:t>
      </w:r>
      <w:r w:rsidR="007828C3" w:rsidRPr="003A7F84">
        <w:rPr>
          <w:iCs/>
        </w:rPr>
        <w:t xml:space="preserve">No increase in the maximum quantity or number of units may be authorised” and “No increase in the maximum number of repeats may be authorised”.  </w:t>
      </w:r>
      <w:r w:rsidR="00C916CA" w:rsidRPr="003A7F84">
        <w:rPr>
          <w:iCs/>
        </w:rPr>
        <w:t xml:space="preserve"> </w:t>
      </w:r>
    </w:p>
    <w:p w14:paraId="7CBA370E" w14:textId="126B08A4" w:rsidR="00B25A9D" w:rsidRPr="003A7F84" w:rsidRDefault="005F3018" w:rsidP="00B25A9D">
      <w:pPr>
        <w:pStyle w:val="ExecSumBodyText"/>
        <w:rPr>
          <w:iCs/>
        </w:rPr>
      </w:pPr>
      <w:r w:rsidRPr="003A7F84">
        <w:rPr>
          <w:iCs/>
        </w:rPr>
        <w:t>The</w:t>
      </w:r>
      <w:r w:rsidR="00473C3E">
        <w:rPr>
          <w:iCs/>
        </w:rPr>
        <w:t xml:space="preserve"> </w:t>
      </w:r>
      <w:r w:rsidR="00473C3E">
        <w:t>Pre-Sub-Committee Response</w:t>
      </w:r>
      <w:r w:rsidRPr="003A7F84">
        <w:rPr>
          <w:iCs/>
        </w:rPr>
        <w:t xml:space="preserve"> </w:t>
      </w:r>
      <w:r w:rsidR="00473C3E">
        <w:rPr>
          <w:iCs/>
        </w:rPr>
        <w:t>(</w:t>
      </w:r>
      <w:r w:rsidRPr="003A7F84">
        <w:rPr>
          <w:iCs/>
        </w:rPr>
        <w:t>PSCR</w:t>
      </w:r>
      <w:r w:rsidR="00473C3E">
        <w:rPr>
          <w:iCs/>
        </w:rPr>
        <w:t>)</w:t>
      </w:r>
      <w:r w:rsidRPr="003A7F84">
        <w:rPr>
          <w:iCs/>
        </w:rPr>
        <w:t xml:space="preserve"> stated that the maximum quantity of one pack and one repeat would reflect the likely utilisation patterns for the majority of patients, </w:t>
      </w:r>
      <w:r w:rsidR="00EF37D3" w:rsidRPr="003A7F84">
        <w:rPr>
          <w:iCs/>
        </w:rPr>
        <w:t>based on a UK Delphi study (Ludwig and Fisher 2020</w:t>
      </w:r>
      <w:r w:rsidR="0088581D" w:rsidRPr="003A7F84">
        <w:rPr>
          <w:rStyle w:val="FootnoteReference"/>
          <w:iCs/>
        </w:rPr>
        <w:footnoteReference w:id="1"/>
      </w:r>
      <w:r w:rsidR="00EF37D3" w:rsidRPr="003A7F84">
        <w:rPr>
          <w:iCs/>
        </w:rPr>
        <w:t>) that estimated more than half of patients would experience zero to one prolonged acute convulsive seizure per 6-month period.  However, t</w:t>
      </w:r>
      <w:r w:rsidR="006051B5" w:rsidRPr="003A7F84">
        <w:rPr>
          <w:iCs/>
        </w:rPr>
        <w:t xml:space="preserve">he ESC considered that a maximum quantity of two syringes per script may be appropriate, to cater for patients requiring a second dose.  </w:t>
      </w:r>
      <w:r w:rsidR="0029092A" w:rsidRPr="003A7F84">
        <w:t xml:space="preserve">In the clinical evidence, between 2.7% and 12.5% of patients experienced seizure recurrence within 1-2 hours of an initial dose of midazolam oromucosal solution (see paragraph </w:t>
      </w:r>
      <w:r w:rsidR="0029092A" w:rsidRPr="003A7F84">
        <w:fldChar w:fldCharType="begin"/>
      </w:r>
      <w:r w:rsidR="0029092A" w:rsidRPr="003A7F84">
        <w:instrText xml:space="preserve"> REF _Ref103629584 \r \h  \* MERGEFORMAT </w:instrText>
      </w:r>
      <w:r w:rsidR="0029092A" w:rsidRPr="003A7F84">
        <w:fldChar w:fldCharType="separate"/>
      </w:r>
      <w:r w:rsidR="009466A1">
        <w:t>6.19</w:t>
      </w:r>
      <w:r w:rsidR="0029092A" w:rsidRPr="003A7F84">
        <w:fldChar w:fldCharType="end"/>
      </w:r>
      <w:r w:rsidR="0029092A" w:rsidRPr="003A7F84">
        <w:t xml:space="preserve">).  </w:t>
      </w:r>
      <w:r w:rsidR="006051B5" w:rsidRPr="003A7F84">
        <w:rPr>
          <w:iCs/>
        </w:rPr>
        <w:t xml:space="preserve">In addition, the ESC suggested it may be reasonable to allow a higher maximum quantity for patients at risk of frequent attacks, noting that a proportion of the affected population is living in group homes and that timely administration of midazolam would likely reduce hospitalisations in this patient group.  </w:t>
      </w:r>
    </w:p>
    <w:bookmarkEnd w:id="8"/>
    <w:p w14:paraId="7E87BD52" w14:textId="4A7B181F" w:rsidR="00591957" w:rsidRPr="003A7F84" w:rsidRDefault="00E65DF3" w:rsidP="004E18E9">
      <w:pPr>
        <w:pStyle w:val="ExecSumBodyText"/>
        <w:rPr>
          <w:iCs/>
          <w:color w:val="0066FF"/>
        </w:rPr>
      </w:pPr>
      <w:r w:rsidRPr="003A7F84">
        <w:t>The requested restriction is narrower than the TGA approved indication, limiting eligibility to patients with epilepsy, and at least one prolonged seizure of &gt;5 minutes duration requiring emergency medical attention, within the previous 5 years</w:t>
      </w:r>
      <w:r w:rsidRPr="003A7F84">
        <w:rPr>
          <w:iCs/>
        </w:rPr>
        <w:t>.</w:t>
      </w:r>
    </w:p>
    <w:p w14:paraId="27D7A5CF" w14:textId="5F12573F" w:rsidR="005436E3" w:rsidRPr="003A7F84" w:rsidRDefault="00E65DF3" w:rsidP="00971CAE">
      <w:pPr>
        <w:pStyle w:val="ExecSumBodyText"/>
      </w:pPr>
      <w:r w:rsidRPr="003A7F84">
        <w:t xml:space="preserve">The requested restriction </w:t>
      </w:r>
      <w:r w:rsidR="000418C4" w:rsidRPr="003A7F84">
        <w:t>did not specify</w:t>
      </w:r>
      <w:r w:rsidRPr="003A7F84">
        <w:t xml:space="preserve"> the minimum duration of seizure prior to administration of midazolam oromucosal solution</w:t>
      </w:r>
      <w:r w:rsidR="000418C4" w:rsidRPr="003A7F84">
        <w:t xml:space="preserve">, while the </w:t>
      </w:r>
      <w:r w:rsidRPr="003A7F84">
        <w:t>treatment regimen described in the proposed clinical management algorithm, Australian clinical guidelines for pre-hospital intervention for GCSE, and the treatment regimen used in the included clinical trials, requir</w:t>
      </w:r>
      <w:r w:rsidR="000418C4" w:rsidRPr="003A7F84">
        <w:t>ed</w:t>
      </w:r>
      <w:r w:rsidRPr="003A7F84">
        <w:t xml:space="preserve"> a seizure duration of &gt;5 minutes prior to </w:t>
      </w:r>
      <w:r w:rsidR="000418C4" w:rsidRPr="003A7F84">
        <w:t>administration of buccal midazolam.</w:t>
      </w:r>
      <w:r w:rsidR="00424639" w:rsidRPr="003A7F84">
        <w:t xml:space="preserve"> </w:t>
      </w:r>
      <w:r w:rsidR="005436E3" w:rsidRPr="003A7F84">
        <w:t>The submission propose</w:t>
      </w:r>
      <w:r w:rsidR="0007392C" w:rsidRPr="003A7F84">
        <w:t>d</w:t>
      </w:r>
      <w:r w:rsidR="005436E3" w:rsidRPr="003A7F84">
        <w:t xml:space="preserve"> a relatively broad listing that would replace off label use of midazolam solution for injection, which is </w:t>
      </w:r>
      <w:r w:rsidR="005436E3" w:rsidRPr="003A7F84">
        <w:lastRenderedPageBreak/>
        <w:t>commonly recommended for buccal administration for acute treatment of status epilepticus in both adults and children (</w:t>
      </w:r>
      <w:r w:rsidR="00913878" w:rsidRPr="003A7F84">
        <w:t xml:space="preserve">see paragraph </w:t>
      </w:r>
      <w:r w:rsidR="005F0E3F" w:rsidRPr="003A7F84">
        <w:fldChar w:fldCharType="begin"/>
      </w:r>
      <w:r w:rsidR="005F0E3F" w:rsidRPr="003A7F84">
        <w:instrText xml:space="preserve"> REF _Ref103629623 \r \h  \* MERGEFORMAT </w:instrText>
      </w:r>
      <w:r w:rsidR="005F0E3F" w:rsidRPr="003A7F84">
        <w:fldChar w:fldCharType="separate"/>
      </w:r>
      <w:r w:rsidR="009466A1">
        <w:t>3.8</w:t>
      </w:r>
      <w:r w:rsidR="005F0E3F" w:rsidRPr="003A7F84">
        <w:fldChar w:fldCharType="end"/>
      </w:r>
      <w:r w:rsidR="00913878" w:rsidRPr="003A7F84">
        <w:t>)</w:t>
      </w:r>
      <w:r w:rsidR="005436E3" w:rsidRPr="003A7F84">
        <w:t>.</w:t>
      </w:r>
    </w:p>
    <w:p w14:paraId="64EE4133" w14:textId="252200E0" w:rsidR="00841B30" w:rsidRPr="003A7F84" w:rsidRDefault="00841B30" w:rsidP="00921083">
      <w:pPr>
        <w:pStyle w:val="ExecSumBodyText"/>
        <w:rPr>
          <w:iCs/>
        </w:rPr>
      </w:pPr>
      <w:r w:rsidRPr="003A7F84">
        <w:t>The requested restriction omits a requirement that the initial prescription of midazolam oromucosal solution must be initiated by a specialist physician experienced in the treatment of epilepsy, as recommended in the Product Information.</w:t>
      </w:r>
      <w:r w:rsidRPr="003A7F84">
        <w:rPr>
          <w:iCs/>
        </w:rPr>
        <w:t xml:space="preserve"> </w:t>
      </w:r>
      <w:r w:rsidR="005F3018" w:rsidRPr="003A7F84">
        <w:rPr>
          <w:iCs/>
        </w:rPr>
        <w:t xml:space="preserve">The sponsor supported the addition of this criterion in the PSCR.  </w:t>
      </w:r>
      <w:r w:rsidRPr="003A7F84">
        <w:rPr>
          <w:iCs/>
        </w:rPr>
        <w:t>The ESC considered it would be appropriate to require that the treatment is initially prescribed by physician experienced in treatment of epilepsy.</w:t>
      </w:r>
    </w:p>
    <w:p w14:paraId="40BA0C4A" w14:textId="539662CA" w:rsidR="00EA3D44" w:rsidRPr="003A7F84" w:rsidRDefault="009A2C0A" w:rsidP="00EA3D44">
      <w:pPr>
        <w:pStyle w:val="ExecSumBodyText"/>
        <w:rPr>
          <w:iCs/>
        </w:rPr>
      </w:pPr>
      <w:r w:rsidRPr="003A7F84">
        <w:t>The submission stated that listing was requested for patients with epilepsy aged over 6 months and a high risk of status epilepticus, however the proposed restriction did not reference the risk profile of the patient, other than to say that the patient must have experienced at least one prolonged seizure (&gt;5 minutes duration) requiring emergency medical attention within the previous 5 years.  It is unclear whether a further criterion should be added to assess that the patient has a specific need for the product due to significant risk of status epilepticus, akin to the risk assessment applying to adrenaline pens on the PBS.</w:t>
      </w:r>
      <w:r w:rsidR="006C0525" w:rsidRPr="003A7F84">
        <w:t xml:space="preserve">  </w:t>
      </w:r>
      <w:r w:rsidR="009026D9" w:rsidRPr="003A7F84">
        <w:rPr>
          <w:iCs/>
        </w:rPr>
        <w:t xml:space="preserve">The sponsor supported the addition of this criterion in the PSCR.  </w:t>
      </w:r>
      <w:r w:rsidR="006C0525" w:rsidRPr="003A7F84">
        <w:rPr>
          <w:iCs/>
        </w:rPr>
        <w:t xml:space="preserve">The </w:t>
      </w:r>
      <w:r w:rsidR="00EA3D44" w:rsidRPr="003A7F84">
        <w:rPr>
          <w:iCs/>
        </w:rPr>
        <w:t>PBAC</w:t>
      </w:r>
      <w:r w:rsidR="006C0525" w:rsidRPr="003A7F84">
        <w:rPr>
          <w:iCs/>
        </w:rPr>
        <w:t xml:space="preserve"> considered it would be appropriate to include a clinical criterion stating that the patient has been assessed to be at significant risk of status epilepticus.</w:t>
      </w:r>
      <w:r w:rsidR="00EA3D44" w:rsidRPr="003A7F84">
        <w:rPr>
          <w:iCs/>
        </w:rPr>
        <w:t xml:space="preserve">  </w:t>
      </w:r>
    </w:p>
    <w:p w14:paraId="2596BCD2" w14:textId="2A102166" w:rsidR="00265BDC" w:rsidRPr="003A7F84" w:rsidRDefault="003D304F" w:rsidP="00971CAE">
      <w:pPr>
        <w:pStyle w:val="ExecSumBodyText"/>
        <w:rPr>
          <w:iCs/>
        </w:rPr>
      </w:pPr>
      <w:bookmarkStart w:id="9" w:name="_Ref103629623"/>
      <w:r w:rsidRPr="003A7F84">
        <w:t xml:space="preserve">The use of buccal midazolam is widely recognised as the appropriate first line therapy for GCSE in the out-of-hospital emergency setting (Royal Children’s Hospital Clinical Practice Guidelines for Afebrile Seizures - Midazolam for seizures 2020; NICE Epilepsies: diagnosis and management guidelines 2012). In addition, </w:t>
      </w:r>
      <w:r w:rsidR="0007392C" w:rsidRPr="003A7F84">
        <w:t>it has been</w:t>
      </w:r>
      <w:r w:rsidR="009A2C0A" w:rsidRPr="003A7F84">
        <w:t xml:space="preserve"> noted that </w:t>
      </w:r>
      <w:r w:rsidR="00287287" w:rsidRPr="003A7F84">
        <w:t xml:space="preserve">early treatment </w:t>
      </w:r>
      <w:r w:rsidRPr="003A7F84">
        <w:t xml:space="preserve">with buccal midazolam </w:t>
      </w:r>
      <w:r w:rsidR="00287287" w:rsidRPr="003A7F84">
        <w:t>improves outcomes and avoids complications, and that when used in the community, can reduce hospital admissions for children with complex epilepsy</w:t>
      </w:r>
      <w:r w:rsidR="0007392C" w:rsidRPr="003A7F84">
        <w:t xml:space="preserve"> (Smith and Brown, 2017)</w:t>
      </w:r>
      <w:r w:rsidR="00287287" w:rsidRPr="003A7F84">
        <w:t xml:space="preserve">. </w:t>
      </w:r>
      <w:r w:rsidR="005721B3" w:rsidRPr="003A7F84">
        <w:t xml:space="preserve">An Australian review recommended that supply of midazolam solution to a parent or carer should be considered for children (and dependent adults) who have convulsive seizures which </w:t>
      </w:r>
      <w:r w:rsidR="005721B3" w:rsidRPr="003A7F84">
        <w:rPr>
          <w:iCs/>
        </w:rPr>
        <w:t xml:space="preserve">frequently last more than five minutes (Smith and Brown, 2017).  </w:t>
      </w:r>
      <w:bookmarkEnd w:id="9"/>
    </w:p>
    <w:p w14:paraId="7752ABC5" w14:textId="02634757" w:rsidR="001F5C43" w:rsidRPr="003A7F84" w:rsidRDefault="00841B30" w:rsidP="009E0B69">
      <w:pPr>
        <w:pStyle w:val="ExecSumBodyText"/>
        <w:rPr>
          <w:iCs/>
        </w:rPr>
      </w:pPr>
      <w:r w:rsidRPr="003A7F84">
        <w:rPr>
          <w:iCs/>
        </w:rPr>
        <w:t>The ESC did not support the inclusion of a requirement that the medicine be limited to patients with an established history of discharge from hospital or emergency department after acute treatment with benzodiazepine for GCSE (similar to the criteria applying to adrenaline pens)</w:t>
      </w:r>
      <w:r w:rsidR="00B26401" w:rsidRPr="003A7F84">
        <w:rPr>
          <w:iCs/>
        </w:rPr>
        <w:t>.</w:t>
      </w:r>
      <w:r w:rsidRPr="003A7F84">
        <w:rPr>
          <w:iCs/>
        </w:rPr>
        <w:t xml:space="preserve"> </w:t>
      </w:r>
      <w:r w:rsidR="00B26401" w:rsidRPr="003A7F84">
        <w:rPr>
          <w:iCs/>
        </w:rPr>
        <w:t>T</w:t>
      </w:r>
      <w:r w:rsidRPr="003A7F84">
        <w:rPr>
          <w:iCs/>
        </w:rPr>
        <w:t>he ESC considered this would</w:t>
      </w:r>
      <w:r w:rsidR="00B26401" w:rsidRPr="003A7F84">
        <w:rPr>
          <w:iCs/>
        </w:rPr>
        <w:t xml:space="preserve"> inappropriately </w:t>
      </w:r>
      <w:r w:rsidRPr="003A7F84">
        <w:rPr>
          <w:iCs/>
        </w:rPr>
        <w:t>exclude patients that would benefit from the proposed listing</w:t>
      </w:r>
      <w:r w:rsidR="00B26401" w:rsidRPr="003A7F84">
        <w:rPr>
          <w:iCs/>
        </w:rPr>
        <w:t>, including patients that are currently prescribed off-label midazolam despite not having a history of discharge from hospital or emergency department</w:t>
      </w:r>
      <w:r w:rsidRPr="003A7F84">
        <w:rPr>
          <w:iCs/>
        </w:rPr>
        <w:t>.</w:t>
      </w:r>
      <w:bookmarkStart w:id="10" w:name="_Toc103714916"/>
    </w:p>
    <w:p w14:paraId="1020F29A" w14:textId="43B827F4" w:rsidR="00112DD5" w:rsidRPr="003A7F84" w:rsidRDefault="00112DD5" w:rsidP="00677408">
      <w:pPr>
        <w:pStyle w:val="ExecSumBodyText"/>
        <w:rPr>
          <w:iCs/>
        </w:rPr>
      </w:pPr>
      <w:bookmarkStart w:id="11" w:name="_Ref109413320"/>
      <w:r w:rsidRPr="003A7F84">
        <w:rPr>
          <w:iCs/>
        </w:rPr>
        <w:t xml:space="preserve">The sponsor modified the requested maximum quantity in the pre-PBAC response, to reflect a maximum quantity of two prefilled syringes and stated that this change could support some flexibility in the pricing per unit. </w:t>
      </w:r>
      <w:r w:rsidRPr="003A7F84">
        <w:t xml:space="preserve">The PBAC considered that expert clinical advice is required with regard to the maximum quantity and whether exceptions should be allowed on request (see paragraph </w:t>
      </w:r>
      <w:r w:rsidRPr="003A7F84">
        <w:fldChar w:fldCharType="begin"/>
      </w:r>
      <w:r w:rsidRPr="003A7F84">
        <w:instrText xml:space="preserve"> REF _Ref109661259 \r \h </w:instrText>
      </w:r>
      <w:r w:rsidRPr="003A7F84">
        <w:fldChar w:fldCharType="separate"/>
      </w:r>
      <w:r w:rsidR="009466A1">
        <w:t>7.3</w:t>
      </w:r>
      <w:r w:rsidRPr="003A7F84">
        <w:fldChar w:fldCharType="end"/>
      </w:r>
      <w:r w:rsidRPr="003A7F84">
        <w:t>).</w:t>
      </w:r>
    </w:p>
    <w:p w14:paraId="3C5318A7" w14:textId="630D7893" w:rsidR="00B05D29" w:rsidRPr="003A7F84" w:rsidRDefault="00B05D29" w:rsidP="00677408">
      <w:pPr>
        <w:pStyle w:val="ExecSumBodyText"/>
        <w:rPr>
          <w:iCs/>
        </w:rPr>
      </w:pPr>
      <w:r w:rsidRPr="003A7F84">
        <w:rPr>
          <w:iCs/>
        </w:rPr>
        <w:lastRenderedPageBreak/>
        <w:t xml:space="preserve">The PBAC noted that the </w:t>
      </w:r>
      <w:r w:rsidR="00905BA7" w:rsidRPr="003A7F84">
        <w:rPr>
          <w:iCs/>
        </w:rPr>
        <w:t>sponsor’s requested restriction was not consistent with the proposed treatment algorithm presented in the submission</w:t>
      </w:r>
      <w:r w:rsidR="00E078F5" w:rsidRPr="003A7F84">
        <w:rPr>
          <w:iCs/>
        </w:rPr>
        <w:t>,</w:t>
      </w:r>
      <w:r w:rsidR="00905BA7" w:rsidRPr="003A7F84">
        <w:rPr>
          <w:iCs/>
        </w:rPr>
        <w:t xml:space="preserve"> which indicated that one dose of midazolam </w:t>
      </w:r>
      <w:r w:rsidR="00E078F5" w:rsidRPr="003A7F84">
        <w:rPr>
          <w:iCs/>
        </w:rPr>
        <w:t>should be administered after 5 minutes from onset of seizure and that a second dose could be administered after a further 5 minutes if the seizure continued and in accordance with the patient’s individual epilepsy management plan.</w:t>
      </w:r>
      <w:bookmarkEnd w:id="11"/>
      <w:r w:rsidR="006C2CB6" w:rsidRPr="003A7F84">
        <w:rPr>
          <w:iCs/>
        </w:rPr>
        <w:t xml:space="preserve">  </w:t>
      </w:r>
      <w:r w:rsidR="006C2CB6" w:rsidRPr="003A7F84">
        <w:t xml:space="preserve">The PBAC considered that expert clinical advice is required with regard to defining the restriction (see paragraph </w:t>
      </w:r>
      <w:r w:rsidR="006C2CB6" w:rsidRPr="003A7F84">
        <w:fldChar w:fldCharType="begin"/>
      </w:r>
      <w:r w:rsidR="006C2CB6" w:rsidRPr="003A7F84">
        <w:instrText xml:space="preserve"> REF _Ref109661259 \r \h </w:instrText>
      </w:r>
      <w:r w:rsidR="006C2CB6" w:rsidRPr="003A7F84">
        <w:fldChar w:fldCharType="separate"/>
      </w:r>
      <w:r w:rsidR="009466A1">
        <w:t>7.3</w:t>
      </w:r>
      <w:r w:rsidR="006C2CB6" w:rsidRPr="003A7F84">
        <w:fldChar w:fldCharType="end"/>
      </w:r>
      <w:r w:rsidR="006C2CB6" w:rsidRPr="003A7F84">
        <w:t>).</w:t>
      </w:r>
    </w:p>
    <w:p w14:paraId="4CB5477C" w14:textId="3AA89AB8" w:rsidR="009F67C9" w:rsidRPr="003A7F84" w:rsidRDefault="009F67C9" w:rsidP="009F67C9">
      <w:pPr>
        <w:pStyle w:val="ExecSumBodyText"/>
      </w:pPr>
      <w:bookmarkStart w:id="12" w:name="_Ref109664276"/>
      <w:r w:rsidRPr="003A7F84">
        <w:t>The PBAC considered that training will be essential for medication givers (family members or carers) with respect to seizure recognition and midazolam administration.  The sponsor may refer to the Epilepsy Nurses Association (ESNA) guideline which was produced in collaboration with the International League against Epilepsy (ILAE) as an example</w:t>
      </w:r>
      <w:r w:rsidRPr="003A7F84">
        <w:rPr>
          <w:rStyle w:val="FootnoteReference"/>
        </w:rPr>
        <w:footnoteReference w:id="2"/>
      </w:r>
      <w:r w:rsidRPr="003A7F84">
        <w:t>.</w:t>
      </w:r>
      <w:bookmarkEnd w:id="12"/>
    </w:p>
    <w:p w14:paraId="641DE362" w14:textId="77777777" w:rsidR="007E6801" w:rsidRPr="003A7F84" w:rsidRDefault="007E6801" w:rsidP="007E6801">
      <w:pPr>
        <w:ind w:firstLine="709"/>
        <w:rPr>
          <w:rFonts w:asciiTheme="minorHAnsi" w:hAnsiTheme="minorHAnsi"/>
          <w:i/>
        </w:rPr>
      </w:pPr>
      <w:r w:rsidRPr="003A7F84">
        <w:rPr>
          <w:rFonts w:asciiTheme="minorHAnsi" w:hAnsiTheme="minorHAnsi"/>
          <w:i/>
        </w:rPr>
        <w:t>For more detail on PBAC’s view, see section 7 PBAC outcome.</w:t>
      </w:r>
    </w:p>
    <w:p w14:paraId="7075B85C" w14:textId="57683DE9" w:rsidR="00B50DB8" w:rsidRPr="003A7F84" w:rsidRDefault="00203181" w:rsidP="004E18E9">
      <w:pPr>
        <w:pStyle w:val="2-SectionHeading"/>
      </w:pPr>
      <w:r w:rsidRPr="003A7F84">
        <w:t xml:space="preserve">Population and </w:t>
      </w:r>
      <w:r w:rsidR="008E0D3C" w:rsidRPr="003A7F84">
        <w:t>d</w:t>
      </w:r>
      <w:r w:rsidRPr="003A7F84">
        <w:t>isease</w:t>
      </w:r>
      <w:bookmarkEnd w:id="10"/>
    </w:p>
    <w:p w14:paraId="16CBD38D" w14:textId="767A489C" w:rsidR="00A61659" w:rsidRPr="003A7F84" w:rsidRDefault="00A61659" w:rsidP="004B4A62">
      <w:pPr>
        <w:pStyle w:val="ExecSumBodyText"/>
      </w:pPr>
      <w:r w:rsidRPr="003A7F84">
        <w:t xml:space="preserve">Epilepsy is a brain disorder characterised by repeated seizures (i.e. abnormal excessive electrical activity in the brain resulting in sensory disturbances, abnormal movements, or abnormal behaviours), of varied or unknown aetiology. A diagnosis of epilepsy is difficult and should be made by a specialist paediatrician or physician based on a detailed patient survey, a reliable history of seizure events, and additional </w:t>
      </w:r>
      <w:r w:rsidR="00A64FCB" w:rsidRPr="003A7F84">
        <w:t>investigations,</w:t>
      </w:r>
      <w:r w:rsidRPr="003A7F84">
        <w:t xml:space="preserve"> </w:t>
      </w:r>
      <w:r w:rsidR="00A64FCB" w:rsidRPr="003A7F84">
        <w:t>e.g.,</w:t>
      </w:r>
      <w:r w:rsidRPr="003A7F84">
        <w:t xml:space="preserve"> electroencephalogram, neuroimaging, neuropsychological assessment (NICE 2012). </w:t>
      </w:r>
    </w:p>
    <w:p w14:paraId="4CB8D12B" w14:textId="7A6B768F" w:rsidR="00A61659" w:rsidRPr="003A7F84" w:rsidRDefault="00A61659" w:rsidP="004B4A62">
      <w:pPr>
        <w:pStyle w:val="ExecSumBodyText"/>
      </w:pPr>
      <w:r w:rsidRPr="003A7F84">
        <w:t>Status epilepticus (SE) is defined as continuous seizure activity of more than 30 minutes duration, or two or more sequential seizures spanning 30 minutes without full recovery (International League Against Epilepsy (ILAE) 1993; NICE Clinical Guidelines No 137, Epilepsies: diagnosis and management, 2012; Prasad et al. 2014), and may be categorised as focal or generalised. Generalised convulsive status epilepticus (GCSE) is characterised by bilateral tonic and/or clonic motor activity (seizure/convulsion)</w:t>
      </w:r>
      <w:r w:rsidR="004B4A62" w:rsidRPr="003A7F84">
        <w:t xml:space="preserve"> </w:t>
      </w:r>
      <w:r w:rsidRPr="003A7F84">
        <w:t xml:space="preserve">and loss of consciousness, and is considered a medical emergency requiring urgent effective treatment to reduce the risk of associated neuronal damage, systemic complications, morbidity, and mortality (NICE 2012). </w:t>
      </w:r>
    </w:p>
    <w:p w14:paraId="6E6F243B" w14:textId="203F3390" w:rsidR="00A61659" w:rsidRPr="003A7F84" w:rsidRDefault="00A61659" w:rsidP="004B4A62">
      <w:pPr>
        <w:pStyle w:val="ExecSumBodyText"/>
      </w:pPr>
      <w:bookmarkStart w:id="13" w:name="_Ref106229879"/>
      <w:r w:rsidRPr="003A7F84">
        <w:t>Given seizures become more refractory to treatment with increased duration, timely reduction of seizure duration may decrease seizure related morbidity and mortality (Scott et al. 1999; Glauser et al. 2016). Therefore, the operational definition of a GCSE event is ≥5 minutes of continuous seizures, or two or more discrete seizures between which there is incomplete recovery of consciousness.</w:t>
      </w:r>
      <w:bookmarkEnd w:id="13"/>
    </w:p>
    <w:p w14:paraId="12BA9149" w14:textId="154BD9CD" w:rsidR="00763720" w:rsidRPr="003A7F84" w:rsidRDefault="008955FB" w:rsidP="00A61659">
      <w:pPr>
        <w:pStyle w:val="ExecSumBodyText"/>
      </w:pPr>
      <w:bookmarkStart w:id="14" w:name="_Ref106229801"/>
      <w:r w:rsidRPr="003A7F84">
        <w:lastRenderedPageBreak/>
        <w:t xml:space="preserve">Adverse outcomes after GCSE include death, cognitive impairment, permanent neurological </w:t>
      </w:r>
      <w:proofErr w:type="gramStart"/>
      <w:r w:rsidRPr="003A7F84">
        <w:t>deficits</w:t>
      </w:r>
      <w:proofErr w:type="gramEnd"/>
      <w:r w:rsidRPr="003A7F84">
        <w:t xml:space="preserve"> and subsequent epilepsy</w:t>
      </w:r>
      <w:r w:rsidR="00DC5CD9" w:rsidRPr="003A7F84">
        <w:t xml:space="preserve"> (Novorol et al. 2007)</w:t>
      </w:r>
      <w:r w:rsidR="006A6B81" w:rsidRPr="003A7F84">
        <w:t xml:space="preserve">. </w:t>
      </w:r>
      <w:r w:rsidR="00A61659" w:rsidRPr="003A7F84">
        <w:t xml:space="preserve">GCSE related mortality accounts for </w:t>
      </w:r>
      <w:r w:rsidRPr="003A7F84">
        <w:t>12.5</w:t>
      </w:r>
      <w:r w:rsidR="00A61659" w:rsidRPr="003A7F84">
        <w:t>% of epilepsy related deaths</w:t>
      </w:r>
      <w:r w:rsidRPr="003A7F84">
        <w:t xml:space="preserve"> (Gaitatzis and Sander 2004)</w:t>
      </w:r>
      <w:r w:rsidR="006A6B81" w:rsidRPr="003A7F84">
        <w:t>.  Mortality attributed to status epilepticus</w:t>
      </w:r>
      <w:r w:rsidR="00A61659" w:rsidRPr="003A7F84">
        <w:t xml:space="preserve"> is less common in children </w:t>
      </w:r>
      <w:r w:rsidR="007C1CFA" w:rsidRPr="003A7F84">
        <w:t xml:space="preserve">(3%) </w:t>
      </w:r>
      <w:r w:rsidR="00A61659" w:rsidRPr="003A7F84">
        <w:t xml:space="preserve">than </w:t>
      </w:r>
      <w:r w:rsidR="006A6B81" w:rsidRPr="003A7F84">
        <w:t xml:space="preserve">in </w:t>
      </w:r>
      <w:r w:rsidR="00A61659" w:rsidRPr="003A7F84">
        <w:t>adults</w:t>
      </w:r>
      <w:r w:rsidR="006A6B81" w:rsidRPr="003A7F84">
        <w:t xml:space="preserve"> (26%; DeLorenzo et al. 1996)</w:t>
      </w:r>
      <w:r w:rsidR="00A61659" w:rsidRPr="003A7F84">
        <w:t xml:space="preserve">. </w:t>
      </w:r>
      <w:r w:rsidR="00763720" w:rsidRPr="003A7F84">
        <w:t>M</w:t>
      </w:r>
      <w:r w:rsidR="00A61659" w:rsidRPr="003A7F84">
        <w:t>orbidity</w:t>
      </w:r>
      <w:r w:rsidR="00763720" w:rsidRPr="003A7F84">
        <w:t xml:space="preserve"> secondary to childhood GCSE is widely reported (e.g. Gurcharran &amp; Grinspan 2019; Novorol et al. 2007, NSW Health 2016, Sillanpaa 2002).</w:t>
      </w:r>
      <w:bookmarkEnd w:id="14"/>
    </w:p>
    <w:p w14:paraId="59F7BE57" w14:textId="286A57E4" w:rsidR="00A61659" w:rsidRPr="003A7F84" w:rsidRDefault="009A6FD4" w:rsidP="00A61659">
      <w:pPr>
        <w:pStyle w:val="ExecSumBodyText"/>
      </w:pPr>
      <w:r w:rsidRPr="003A7F84">
        <w:t>An Epilepsy Australia commissioned</w:t>
      </w:r>
      <w:r w:rsidR="00A61659" w:rsidRPr="003A7F84">
        <w:t xml:space="preserve"> report</w:t>
      </w:r>
      <w:r w:rsidRPr="003A7F84">
        <w:t xml:space="preserve"> (Deloitte 2020)</w:t>
      </w:r>
      <w:r w:rsidR="00A61659" w:rsidRPr="003A7F84">
        <w:t>,</w:t>
      </w:r>
      <w:r w:rsidR="000350A4" w:rsidRPr="003A7F84">
        <w:t xml:space="preserve"> applying</w:t>
      </w:r>
      <w:r w:rsidR="00A61659" w:rsidRPr="003A7F84">
        <w:t xml:space="preserve"> ABS National Health Survey age and gender specific </w:t>
      </w:r>
      <w:r w:rsidR="000350A4" w:rsidRPr="003A7F84">
        <w:t xml:space="preserve">epilepsy </w:t>
      </w:r>
      <w:r w:rsidR="00A61659" w:rsidRPr="003A7F84">
        <w:t>prevalence rates to Australian population data</w:t>
      </w:r>
      <w:r w:rsidR="000350A4" w:rsidRPr="003A7F84">
        <w:t>,</w:t>
      </w:r>
      <w:r w:rsidR="00A61659" w:rsidRPr="003A7F84">
        <w:t xml:space="preserve"> estimate</w:t>
      </w:r>
      <w:r w:rsidR="000350A4" w:rsidRPr="003A7F84">
        <w:t>d</w:t>
      </w:r>
      <w:r w:rsidR="00A61659" w:rsidRPr="003A7F84">
        <w:t xml:space="preserve"> the prevalence of epilepsy in Australia in 2019-2020 at 142,740 (19,196 aged 0-14; 93,987 aged 15-64; 29,557 aged over 65 years).</w:t>
      </w:r>
    </w:p>
    <w:p w14:paraId="21FDD135" w14:textId="2EC94E18" w:rsidR="00894489" w:rsidRPr="003A7F84" w:rsidRDefault="00A61659" w:rsidP="00A61659">
      <w:pPr>
        <w:pStyle w:val="ExecSumBodyText"/>
        <w:rPr>
          <w:color w:val="0066FF"/>
        </w:rPr>
      </w:pPr>
      <w:r w:rsidRPr="003A7F84">
        <w:t xml:space="preserve">The proportions of patients with epilepsy experiencing GCSE events </w:t>
      </w:r>
      <w:r w:rsidR="00622C34" w:rsidRPr="003A7F84">
        <w:t>are</w:t>
      </w:r>
      <w:r w:rsidRPr="003A7F84">
        <w:t xml:space="preserve"> poorly reported for the Australian population, but </w:t>
      </w:r>
      <w:r w:rsidR="00B516CF" w:rsidRPr="003A7F84">
        <w:t xml:space="preserve">older </w:t>
      </w:r>
      <w:r w:rsidRPr="003A7F84">
        <w:t xml:space="preserve">international studies have </w:t>
      </w:r>
      <w:r w:rsidR="002437CD" w:rsidRPr="003A7F84">
        <w:t xml:space="preserve">suggested </w:t>
      </w:r>
      <w:r w:rsidRPr="003A7F84">
        <w:t>that 27% of children and 15% of adults with epilepsy will experience a GCSE event during their lifetime (Sillanpaa 2002</w:t>
      </w:r>
      <w:r w:rsidR="000350A4" w:rsidRPr="003A7F84">
        <w:t>; Trinka 2012</w:t>
      </w:r>
      <w:r w:rsidRPr="003A7F84">
        <w:t>).</w:t>
      </w:r>
      <w:r w:rsidR="00F97A78" w:rsidRPr="003A7F84">
        <w:rPr>
          <w:color w:val="0066FF"/>
        </w:rPr>
        <w:t xml:space="preserve"> </w:t>
      </w:r>
    </w:p>
    <w:p w14:paraId="7D9A7D08" w14:textId="5682FCC3" w:rsidR="00B950A7" w:rsidRPr="003A7F84" w:rsidRDefault="00833D41" w:rsidP="00A61659">
      <w:pPr>
        <w:pStyle w:val="ExecSumBodyText"/>
      </w:pPr>
      <w:r w:rsidRPr="003A7F84">
        <w:rPr>
          <w:bCs/>
        </w:rPr>
        <w:t xml:space="preserve">Midazolam maleate oromucosal solution is formulated for buccal administration only, and is available in four standard dose strengths in pre-filled oral syringes. </w:t>
      </w:r>
      <w:r w:rsidR="00C1167C" w:rsidRPr="003A7F84">
        <w:rPr>
          <w:bCs/>
        </w:rPr>
        <w:fldChar w:fldCharType="begin"/>
      </w:r>
      <w:r w:rsidR="00C1167C" w:rsidRPr="003A7F84">
        <w:rPr>
          <w:bCs/>
        </w:rPr>
        <w:instrText xml:space="preserve"> REF _Ref104393144 \h </w:instrText>
      </w:r>
      <w:r w:rsidR="00C1167C" w:rsidRPr="003A7F84">
        <w:rPr>
          <w:bCs/>
        </w:rPr>
      </w:r>
      <w:r w:rsidR="00C1167C" w:rsidRPr="003A7F84">
        <w:rPr>
          <w:bCs/>
        </w:rPr>
        <w:fldChar w:fldCharType="separate"/>
      </w:r>
      <w:r w:rsidR="009466A1" w:rsidRPr="003A7F84">
        <w:t xml:space="preserve">Table </w:t>
      </w:r>
      <w:r w:rsidR="009466A1">
        <w:rPr>
          <w:noProof/>
        </w:rPr>
        <w:t>2</w:t>
      </w:r>
      <w:r w:rsidR="00C1167C" w:rsidRPr="003A7F84">
        <w:rPr>
          <w:bCs/>
        </w:rPr>
        <w:fldChar w:fldCharType="end"/>
      </w:r>
      <w:r w:rsidR="00B950A7" w:rsidRPr="003A7F84">
        <w:t xml:space="preserve"> </w:t>
      </w:r>
      <w:r w:rsidR="0016394C" w:rsidRPr="003A7F84">
        <w:t xml:space="preserve">summarises the formulations of midazolam oromucosal solution, and the dosing </w:t>
      </w:r>
      <w:r w:rsidR="008B3E0F" w:rsidRPr="003A7F84">
        <w:t>regimens recommended in the Product Information.</w:t>
      </w:r>
    </w:p>
    <w:p w14:paraId="4A5F0F90" w14:textId="023B11F7" w:rsidR="00B950A7" w:rsidRPr="003A7F84" w:rsidRDefault="00B950A7" w:rsidP="00B950A7">
      <w:pPr>
        <w:pStyle w:val="Caption"/>
        <w:rPr>
          <w:b w:val="0"/>
        </w:rPr>
      </w:pPr>
      <w:bookmarkStart w:id="15" w:name="_Ref104393144"/>
      <w:r w:rsidRPr="003A7F84">
        <w:t xml:space="preserve">Table </w:t>
      </w:r>
      <w:fldSimple w:instr=" SEQ Table \* ARABIC ">
        <w:r w:rsidR="009466A1">
          <w:rPr>
            <w:noProof/>
          </w:rPr>
          <w:t>2</w:t>
        </w:r>
      </w:fldSimple>
      <w:bookmarkEnd w:id="15"/>
      <w:r w:rsidRPr="003A7F84">
        <w:t>: Midazolam oromucosal solution recommended dose strengths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2"/>
        <w:gridCol w:w="5192"/>
      </w:tblGrid>
      <w:tr w:rsidR="00B950A7" w:rsidRPr="003A7F84" w14:paraId="200836DF" w14:textId="77777777" w:rsidTr="00AB32A3">
        <w:tc>
          <w:tcPr>
            <w:tcW w:w="1982" w:type="dxa"/>
            <w:tcBorders>
              <w:right w:val="single" w:sz="4" w:space="0" w:color="auto"/>
            </w:tcBorders>
          </w:tcPr>
          <w:p w14:paraId="25BF1802" w14:textId="77777777" w:rsidR="00B950A7" w:rsidRPr="003A7F84" w:rsidRDefault="00B950A7" w:rsidP="00AB32A3">
            <w:pPr>
              <w:pStyle w:val="Tableheadingrow"/>
              <w:rPr>
                <w:lang w:val="en-AU"/>
              </w:rPr>
            </w:pPr>
            <w:r w:rsidRPr="003A7F84">
              <w:rPr>
                <w:rStyle w:val="Small"/>
                <w:rFonts w:ascii="Arial Narrow" w:hAnsi="Arial Narrow"/>
                <w:lang w:val="en-AU"/>
              </w:rPr>
              <w:t>Age range</w:t>
            </w:r>
          </w:p>
        </w:tc>
        <w:tc>
          <w:tcPr>
            <w:tcW w:w="1982" w:type="dxa"/>
            <w:tcBorders>
              <w:left w:val="single" w:sz="4" w:space="0" w:color="auto"/>
            </w:tcBorders>
          </w:tcPr>
          <w:p w14:paraId="2F08CD55" w14:textId="77777777" w:rsidR="00B950A7" w:rsidRPr="003A7F84" w:rsidRDefault="00B950A7" w:rsidP="00AB32A3">
            <w:pPr>
              <w:pStyle w:val="Tableheadingrow"/>
              <w:jc w:val="center"/>
              <w:rPr>
                <w:lang w:val="en-AU"/>
              </w:rPr>
            </w:pPr>
            <w:r w:rsidRPr="003A7F84">
              <w:rPr>
                <w:lang w:val="en-AU"/>
              </w:rPr>
              <w:t>Weight range</w:t>
            </w:r>
          </w:p>
        </w:tc>
        <w:tc>
          <w:tcPr>
            <w:tcW w:w="5192" w:type="dxa"/>
          </w:tcPr>
          <w:p w14:paraId="7FBA1017" w14:textId="77777777" w:rsidR="00B950A7" w:rsidRPr="003A7F84" w:rsidRDefault="00B950A7" w:rsidP="00AB32A3">
            <w:pPr>
              <w:pStyle w:val="Tableheadingrow"/>
              <w:jc w:val="center"/>
              <w:rPr>
                <w:szCs w:val="20"/>
                <w:lang w:val="en-AU"/>
              </w:rPr>
            </w:pPr>
            <w:r w:rsidRPr="003A7F84">
              <w:rPr>
                <w:rStyle w:val="Small"/>
                <w:rFonts w:ascii="Arial Narrow" w:hAnsi="Arial Narrow"/>
                <w:lang w:val="en-AU"/>
              </w:rPr>
              <w:t>Recommended dose strength</w:t>
            </w:r>
          </w:p>
        </w:tc>
      </w:tr>
      <w:tr w:rsidR="00B950A7" w:rsidRPr="003A7F84" w14:paraId="148900D4" w14:textId="77777777" w:rsidTr="00AB32A3">
        <w:tc>
          <w:tcPr>
            <w:tcW w:w="1982" w:type="dxa"/>
            <w:tcBorders>
              <w:right w:val="single" w:sz="4" w:space="0" w:color="auto"/>
            </w:tcBorders>
          </w:tcPr>
          <w:p w14:paraId="762DCDDE" w14:textId="77777777" w:rsidR="00B950A7" w:rsidRPr="003A7F84" w:rsidRDefault="00B950A7" w:rsidP="00AB32A3">
            <w:pPr>
              <w:pStyle w:val="TableText"/>
            </w:pPr>
            <w:r w:rsidRPr="003A7F84">
              <w:rPr>
                <w:rStyle w:val="Small"/>
                <w:rFonts w:ascii="Arial Narrow" w:hAnsi="Arial Narrow"/>
              </w:rPr>
              <w:t xml:space="preserve">&gt;6 months to &lt;1 year  </w:t>
            </w:r>
          </w:p>
        </w:tc>
        <w:tc>
          <w:tcPr>
            <w:tcW w:w="1982" w:type="dxa"/>
            <w:tcBorders>
              <w:left w:val="single" w:sz="4" w:space="0" w:color="auto"/>
            </w:tcBorders>
          </w:tcPr>
          <w:p w14:paraId="563FBB14" w14:textId="77777777" w:rsidR="00B950A7" w:rsidRPr="003A7F84" w:rsidRDefault="00B950A7" w:rsidP="00AB32A3">
            <w:pPr>
              <w:pStyle w:val="TableText"/>
              <w:jc w:val="center"/>
            </w:pPr>
            <w:r w:rsidRPr="003A7F84">
              <w:rPr>
                <w:rStyle w:val="Small"/>
                <w:rFonts w:ascii="Arial Narrow" w:hAnsi="Arial Narrow"/>
              </w:rPr>
              <w:t>7 kg to &lt;12 kg</w:t>
            </w:r>
          </w:p>
        </w:tc>
        <w:tc>
          <w:tcPr>
            <w:tcW w:w="5192" w:type="dxa"/>
          </w:tcPr>
          <w:p w14:paraId="65F8CACD" w14:textId="77777777" w:rsidR="00B950A7" w:rsidRPr="003A7F84" w:rsidRDefault="00B950A7" w:rsidP="00AB32A3">
            <w:pPr>
              <w:pStyle w:val="TableText"/>
              <w:ind w:left="720"/>
              <w:rPr>
                <w:szCs w:val="20"/>
              </w:rPr>
            </w:pPr>
            <w:r w:rsidRPr="003A7F84">
              <w:rPr>
                <w:rStyle w:val="Small"/>
                <w:rFonts w:ascii="Arial Narrow" w:hAnsi="Arial Narrow"/>
              </w:rPr>
              <w:t>midazolam 2.5 mg in 0.25 mL oromucosal solution</w:t>
            </w:r>
          </w:p>
        </w:tc>
      </w:tr>
      <w:tr w:rsidR="00B950A7" w:rsidRPr="003A7F84" w14:paraId="035C72A3" w14:textId="77777777" w:rsidTr="00AB32A3">
        <w:tc>
          <w:tcPr>
            <w:tcW w:w="1982" w:type="dxa"/>
            <w:tcBorders>
              <w:right w:val="single" w:sz="4" w:space="0" w:color="auto"/>
            </w:tcBorders>
          </w:tcPr>
          <w:p w14:paraId="66F17D23" w14:textId="77777777" w:rsidR="00B950A7" w:rsidRPr="003A7F84" w:rsidRDefault="00B950A7" w:rsidP="00AB32A3">
            <w:pPr>
              <w:pStyle w:val="TableText"/>
            </w:pPr>
            <w:r w:rsidRPr="003A7F84">
              <w:rPr>
                <w:rStyle w:val="Small"/>
                <w:rFonts w:ascii="Arial Narrow" w:hAnsi="Arial Narrow"/>
              </w:rPr>
              <w:t>1 year to &lt;5 years</w:t>
            </w:r>
          </w:p>
        </w:tc>
        <w:tc>
          <w:tcPr>
            <w:tcW w:w="1982" w:type="dxa"/>
            <w:tcBorders>
              <w:left w:val="single" w:sz="4" w:space="0" w:color="auto"/>
            </w:tcBorders>
          </w:tcPr>
          <w:p w14:paraId="595A836D" w14:textId="77777777" w:rsidR="00B950A7" w:rsidRPr="003A7F84" w:rsidRDefault="00B950A7" w:rsidP="00AB32A3">
            <w:pPr>
              <w:pStyle w:val="TableText"/>
              <w:jc w:val="center"/>
            </w:pPr>
            <w:r w:rsidRPr="003A7F84">
              <w:rPr>
                <w:rStyle w:val="Small"/>
                <w:rFonts w:ascii="Arial Narrow" w:hAnsi="Arial Narrow"/>
              </w:rPr>
              <w:t>12 kg to &lt;21 kg</w:t>
            </w:r>
          </w:p>
        </w:tc>
        <w:tc>
          <w:tcPr>
            <w:tcW w:w="5192" w:type="dxa"/>
          </w:tcPr>
          <w:p w14:paraId="0070D307" w14:textId="77777777" w:rsidR="00B950A7" w:rsidRPr="003A7F84" w:rsidRDefault="00B950A7" w:rsidP="00AB32A3">
            <w:pPr>
              <w:pStyle w:val="TableText"/>
              <w:jc w:val="center"/>
              <w:rPr>
                <w:szCs w:val="20"/>
              </w:rPr>
            </w:pPr>
            <w:r w:rsidRPr="003A7F84">
              <w:rPr>
                <w:rStyle w:val="Small"/>
                <w:rFonts w:ascii="Arial Narrow" w:hAnsi="Arial Narrow"/>
              </w:rPr>
              <w:t>midazolam 5 mg in 0.5 mL</w:t>
            </w:r>
            <w:r w:rsidRPr="003A7F84">
              <w:rPr>
                <w:rStyle w:val="Heading2Char"/>
                <w:rFonts w:ascii="Arial Narrow" w:hAnsi="Arial Narrow"/>
                <w:b w:val="0"/>
                <w:i w:val="0"/>
              </w:rPr>
              <w:t xml:space="preserve"> </w:t>
            </w:r>
            <w:r w:rsidRPr="003A7F84">
              <w:rPr>
                <w:rStyle w:val="Small"/>
                <w:rFonts w:ascii="Arial Narrow" w:hAnsi="Arial Narrow"/>
              </w:rPr>
              <w:t>oromucosal solution</w:t>
            </w:r>
          </w:p>
        </w:tc>
      </w:tr>
      <w:tr w:rsidR="00B950A7" w:rsidRPr="003A7F84" w14:paraId="030E1896" w14:textId="77777777" w:rsidTr="00AB32A3">
        <w:tc>
          <w:tcPr>
            <w:tcW w:w="1982" w:type="dxa"/>
            <w:tcBorders>
              <w:right w:val="single" w:sz="4" w:space="0" w:color="auto"/>
            </w:tcBorders>
          </w:tcPr>
          <w:p w14:paraId="0CA68873" w14:textId="77777777" w:rsidR="00B950A7" w:rsidRPr="003A7F84" w:rsidRDefault="00B950A7" w:rsidP="00AB32A3">
            <w:pPr>
              <w:pStyle w:val="TableText"/>
            </w:pPr>
            <w:r w:rsidRPr="003A7F84">
              <w:rPr>
                <w:rStyle w:val="Small"/>
                <w:rFonts w:ascii="Arial Narrow" w:hAnsi="Arial Narrow"/>
              </w:rPr>
              <w:t>5 years to &lt;10 years</w:t>
            </w:r>
          </w:p>
        </w:tc>
        <w:tc>
          <w:tcPr>
            <w:tcW w:w="1982" w:type="dxa"/>
            <w:tcBorders>
              <w:left w:val="single" w:sz="4" w:space="0" w:color="auto"/>
            </w:tcBorders>
          </w:tcPr>
          <w:p w14:paraId="6BCD4959" w14:textId="77777777" w:rsidR="00B950A7" w:rsidRPr="003A7F84" w:rsidRDefault="00B950A7" w:rsidP="00AB32A3">
            <w:pPr>
              <w:pStyle w:val="TableText"/>
              <w:jc w:val="center"/>
            </w:pPr>
            <w:r w:rsidRPr="003A7F84">
              <w:rPr>
                <w:rStyle w:val="Small"/>
                <w:rFonts w:ascii="Arial Narrow" w:hAnsi="Arial Narrow"/>
              </w:rPr>
              <w:t>21 kg to &lt;29 kg</w:t>
            </w:r>
          </w:p>
        </w:tc>
        <w:tc>
          <w:tcPr>
            <w:tcW w:w="5192" w:type="dxa"/>
          </w:tcPr>
          <w:p w14:paraId="3D83C44A" w14:textId="77777777" w:rsidR="00B950A7" w:rsidRPr="003A7F84" w:rsidRDefault="00B950A7" w:rsidP="00AB32A3">
            <w:pPr>
              <w:pStyle w:val="TableText"/>
              <w:jc w:val="center"/>
              <w:rPr>
                <w:szCs w:val="20"/>
              </w:rPr>
            </w:pPr>
            <w:r w:rsidRPr="003A7F84">
              <w:rPr>
                <w:rStyle w:val="Small"/>
                <w:rFonts w:ascii="Arial Narrow" w:hAnsi="Arial Narrow"/>
              </w:rPr>
              <w:t>midazolam 7.5 mg in 0.75 mL</w:t>
            </w:r>
            <w:r w:rsidRPr="003A7F84">
              <w:rPr>
                <w:rStyle w:val="Heading2Char"/>
                <w:rFonts w:ascii="Arial Narrow" w:hAnsi="Arial Narrow"/>
                <w:b w:val="0"/>
                <w:i w:val="0"/>
              </w:rPr>
              <w:t xml:space="preserve"> </w:t>
            </w:r>
            <w:r w:rsidRPr="003A7F84">
              <w:rPr>
                <w:rStyle w:val="Small"/>
                <w:rFonts w:ascii="Arial Narrow" w:hAnsi="Arial Narrow"/>
              </w:rPr>
              <w:t>oromucosal solution</w:t>
            </w:r>
          </w:p>
        </w:tc>
      </w:tr>
      <w:tr w:rsidR="00B950A7" w:rsidRPr="003A7F84" w14:paraId="6CF0E740" w14:textId="77777777" w:rsidTr="00AB32A3">
        <w:tc>
          <w:tcPr>
            <w:tcW w:w="1982" w:type="dxa"/>
            <w:tcBorders>
              <w:right w:val="single" w:sz="4" w:space="0" w:color="auto"/>
            </w:tcBorders>
          </w:tcPr>
          <w:p w14:paraId="4ED1F3D4" w14:textId="77777777" w:rsidR="00B950A7" w:rsidRPr="003A7F84" w:rsidRDefault="00B950A7" w:rsidP="00AB32A3">
            <w:pPr>
              <w:pStyle w:val="TableText"/>
            </w:pPr>
            <w:r w:rsidRPr="003A7F84">
              <w:rPr>
                <w:rStyle w:val="Small"/>
                <w:rFonts w:ascii="Arial Narrow" w:hAnsi="Arial Narrow"/>
                <w:u w:val="single"/>
              </w:rPr>
              <w:t>&gt;</w:t>
            </w:r>
            <w:r w:rsidRPr="003A7F84">
              <w:rPr>
                <w:rStyle w:val="Small"/>
                <w:rFonts w:ascii="Arial Narrow" w:hAnsi="Arial Narrow"/>
              </w:rPr>
              <w:t>10 years and adults</w:t>
            </w:r>
          </w:p>
        </w:tc>
        <w:tc>
          <w:tcPr>
            <w:tcW w:w="1982" w:type="dxa"/>
            <w:tcBorders>
              <w:left w:val="single" w:sz="4" w:space="0" w:color="auto"/>
            </w:tcBorders>
          </w:tcPr>
          <w:p w14:paraId="6783F4D7" w14:textId="77777777" w:rsidR="00B950A7" w:rsidRPr="003A7F84" w:rsidRDefault="00B950A7" w:rsidP="00AB32A3">
            <w:pPr>
              <w:pStyle w:val="TableText"/>
              <w:jc w:val="center"/>
            </w:pPr>
            <w:r w:rsidRPr="003A7F84">
              <w:rPr>
                <w:rStyle w:val="Small"/>
                <w:rFonts w:ascii="Arial Narrow" w:hAnsi="Arial Narrow"/>
              </w:rPr>
              <w:t>≥29 kg</w:t>
            </w:r>
          </w:p>
        </w:tc>
        <w:tc>
          <w:tcPr>
            <w:tcW w:w="5192" w:type="dxa"/>
          </w:tcPr>
          <w:p w14:paraId="4C54D15E" w14:textId="77777777" w:rsidR="00B950A7" w:rsidRPr="003A7F84" w:rsidRDefault="00B950A7" w:rsidP="00AB32A3">
            <w:pPr>
              <w:pStyle w:val="TableText"/>
              <w:jc w:val="center"/>
              <w:rPr>
                <w:rFonts w:cstheme="minorHAnsi"/>
                <w:szCs w:val="20"/>
              </w:rPr>
            </w:pPr>
            <w:r w:rsidRPr="003A7F84">
              <w:rPr>
                <w:rStyle w:val="Small"/>
                <w:rFonts w:ascii="Arial Narrow" w:hAnsi="Arial Narrow"/>
              </w:rPr>
              <w:t>midazolam 10 mg in 1.0 mL</w:t>
            </w:r>
            <w:r w:rsidRPr="003A7F84">
              <w:rPr>
                <w:rStyle w:val="Heading2Char"/>
                <w:rFonts w:ascii="Arial Narrow" w:hAnsi="Arial Narrow"/>
                <w:b w:val="0"/>
                <w:i w:val="0"/>
              </w:rPr>
              <w:t xml:space="preserve"> </w:t>
            </w:r>
            <w:r w:rsidRPr="003A7F84">
              <w:rPr>
                <w:rStyle w:val="Small"/>
                <w:rFonts w:ascii="Arial Narrow" w:hAnsi="Arial Narrow"/>
              </w:rPr>
              <w:t>oromucosal solution</w:t>
            </w:r>
          </w:p>
        </w:tc>
      </w:tr>
    </w:tbl>
    <w:p w14:paraId="70E475DD" w14:textId="77777777" w:rsidR="00B950A7" w:rsidRPr="003A7F84" w:rsidRDefault="00B950A7" w:rsidP="00B950A7">
      <w:pPr>
        <w:pStyle w:val="TableFigureFooter"/>
      </w:pPr>
      <w:r w:rsidRPr="003A7F84">
        <w:t>Source: Table 1-2, pp37-38 of the submission; Table 1, p2 of the proposed Product Information</w:t>
      </w:r>
    </w:p>
    <w:p w14:paraId="11FCAAEE" w14:textId="7EE6C01E" w:rsidR="007627BE" w:rsidRPr="003A7F84" w:rsidRDefault="00C774ED" w:rsidP="002437CD">
      <w:pPr>
        <w:pStyle w:val="ExecSumBodyText"/>
      </w:pPr>
      <w:r w:rsidRPr="003A7F84">
        <w:t>Administration is expected to be in the pre-hospital setting by healthcare professionals or appropriately trained parents/carers</w:t>
      </w:r>
      <w:r w:rsidR="00803907" w:rsidRPr="003A7F84">
        <w:t xml:space="preserve">. </w:t>
      </w:r>
      <w:r w:rsidR="00D2769E" w:rsidRPr="003A7F84">
        <w:t xml:space="preserve">A second dose of midazolam oromucosal solution may </w:t>
      </w:r>
      <w:r w:rsidR="00041078" w:rsidRPr="003A7F84">
        <w:t>be given in accordance with either the patient’s individual written care plan or as authorised by a medical practitioner.</w:t>
      </w:r>
    </w:p>
    <w:p w14:paraId="3575C018" w14:textId="041F384A" w:rsidR="00D55DAF" w:rsidRPr="003A7F84" w:rsidRDefault="00D55DAF" w:rsidP="00D55DAF">
      <w:pPr>
        <w:pStyle w:val="ExecSumBodyText"/>
      </w:pPr>
      <w:r w:rsidRPr="003A7F84">
        <w:t>The submission described the importance of timely and effective management of status epilepticus, and stated that midazolam oromucosal solution was specifically developed for ease of use in the pre</w:t>
      </w:r>
      <w:r w:rsidRPr="003A7F84">
        <w:noBreakHyphen/>
        <w:t xml:space="preserve">hospital setting (where IV access is unavailable), to satisfy the needs of parents and carers.   The submission discussed that strategies for improvement of formulation, dose, packaging, and presentation could help minimise errors and improve ease of administration. </w:t>
      </w:r>
    </w:p>
    <w:p w14:paraId="65844CCD" w14:textId="12CAD514" w:rsidR="00D55DAF" w:rsidRPr="003A7F84" w:rsidRDefault="00D55DAF" w:rsidP="00D55DAF">
      <w:pPr>
        <w:pStyle w:val="ExecSumBodyText"/>
      </w:pPr>
      <w:r w:rsidRPr="003A7F84">
        <w:rPr>
          <w:snapToGrid/>
        </w:rPr>
        <w:t xml:space="preserve">The submission argued that there is no clinical or pharmacological difference between midazolam maleate oromucosal solution and midazolam hydrochloride (the comparator), when administered via the buccal mucosa. However, the submission claimed that the maleate salt was selected for the development of the new formulation due to its better taste profile, </w:t>
      </w:r>
      <w:proofErr w:type="gramStart"/>
      <w:r w:rsidRPr="003A7F84">
        <w:rPr>
          <w:snapToGrid/>
        </w:rPr>
        <w:t>solubility</w:t>
      </w:r>
      <w:proofErr w:type="gramEnd"/>
      <w:r w:rsidRPr="003A7F84">
        <w:rPr>
          <w:snapToGrid/>
        </w:rPr>
        <w:t xml:space="preserve"> and pH characteristics. </w:t>
      </w:r>
      <w:r w:rsidRPr="003A7F84">
        <w:t xml:space="preserve">The proposed clinical management algorithm places midazolam oromucosal solution as a </w:t>
      </w:r>
      <w:r w:rsidRPr="003A7F84">
        <w:lastRenderedPageBreak/>
        <w:t>replacement for buccal and intranasal administration of midazolam hydrochloride (solution for injection). The submission stated that the proposed PBS listing of midazolam oromucosal solution as prefilled syringes would provide an improved vehicle from which the midazolam can be accurately and easily administered via the buccal route, providing improved quality use of medicines.</w:t>
      </w:r>
    </w:p>
    <w:p w14:paraId="18BE4476" w14:textId="19C3EFE3" w:rsidR="007E6801" w:rsidRPr="00176FA3" w:rsidRDefault="007E6801" w:rsidP="00176FA3">
      <w:pPr>
        <w:ind w:firstLine="709"/>
        <w:rPr>
          <w:rFonts w:asciiTheme="minorHAnsi" w:hAnsiTheme="minorHAnsi"/>
          <w:i/>
        </w:rPr>
      </w:pPr>
      <w:r w:rsidRPr="003A7F84">
        <w:rPr>
          <w:rFonts w:asciiTheme="minorHAnsi" w:hAnsiTheme="minorHAnsi"/>
          <w:i/>
        </w:rPr>
        <w:t>For more detail on PBAC’s view, see section 7 PBAC outcome.</w:t>
      </w:r>
    </w:p>
    <w:p w14:paraId="51E5AE96" w14:textId="136A63B1" w:rsidR="00B50DB8" w:rsidRPr="003A7F84" w:rsidRDefault="00B50DB8" w:rsidP="004E18E9">
      <w:pPr>
        <w:pStyle w:val="2-SectionHeading"/>
      </w:pPr>
      <w:bookmarkStart w:id="16" w:name="_Toc103714917"/>
      <w:r w:rsidRPr="003A7F84">
        <w:t>Comparator</w:t>
      </w:r>
      <w:bookmarkEnd w:id="16"/>
    </w:p>
    <w:p w14:paraId="30CC9BF0" w14:textId="0A5D11DF" w:rsidR="00664A49" w:rsidRPr="003A7F84" w:rsidRDefault="00803907" w:rsidP="00882E3C">
      <w:pPr>
        <w:pStyle w:val="ExecSumBodyText"/>
        <w:rPr>
          <w:snapToGrid/>
        </w:rPr>
      </w:pPr>
      <w:r w:rsidRPr="003A7F84">
        <w:t xml:space="preserve">The submission nominated midazolam hydrochloride solution for intravenous or intramuscular injection, administered buccally or intranasally, as the main comparator. </w:t>
      </w:r>
    </w:p>
    <w:p w14:paraId="74539EA0" w14:textId="7695E0B4" w:rsidR="0029320D" w:rsidRPr="003A7F84" w:rsidRDefault="00803907" w:rsidP="00882E3C">
      <w:pPr>
        <w:pStyle w:val="ExecSumBodyText"/>
        <w:rPr>
          <w:snapToGrid/>
        </w:rPr>
      </w:pPr>
      <w:r w:rsidRPr="003A7F84">
        <w:t>The submission acknowledged that this use of midazolam hydrochloride is outside the AR</w:t>
      </w:r>
      <w:r w:rsidR="00AA5869" w:rsidRPr="003A7F84">
        <w:t>T</w:t>
      </w:r>
      <w:r w:rsidRPr="003A7F84">
        <w:t>G listed indication and route of administration</w:t>
      </w:r>
      <w:r w:rsidR="00664A49" w:rsidRPr="003A7F84">
        <w:t>, but noted that midazolam hydrochloride is the most used medicine for GCSE in the pre-hospital setting</w:t>
      </w:r>
      <w:r w:rsidR="00F153ED" w:rsidRPr="003A7F84">
        <w:t xml:space="preserve">, and is </w:t>
      </w:r>
      <w:r w:rsidR="00B92567" w:rsidRPr="003A7F84">
        <w:t xml:space="preserve">widely </w:t>
      </w:r>
      <w:r w:rsidR="00F153ED" w:rsidRPr="003A7F84">
        <w:t>recommended for the treatment GCSE in the pre-hospital setting in Australian clinical practice guidelines (Royal Children’s Hospital, Melbourne. Afebrile Seizures August 2020)</w:t>
      </w:r>
      <w:r w:rsidR="0029320D" w:rsidRPr="003A7F84">
        <w:t>.</w:t>
      </w:r>
    </w:p>
    <w:p w14:paraId="251BB64C" w14:textId="0E6EF790" w:rsidR="00265BDC" w:rsidRPr="003A7F84" w:rsidRDefault="007D2DCF" w:rsidP="00265BDC">
      <w:pPr>
        <w:pStyle w:val="ExecSumBodyText"/>
      </w:pPr>
      <w:r w:rsidRPr="003A7F84">
        <w:rPr>
          <w:rFonts w:ascii="Calibri" w:hAnsi="Calibri"/>
          <w:snapToGrid/>
        </w:rPr>
        <w:t xml:space="preserve">The submission noted that rectal diazepam was the commonly recommended pre-hospital </w:t>
      </w:r>
      <w:r w:rsidRPr="003A7F84">
        <w:t xml:space="preserve">emergency treatment of prolonged epileptic seizures </w:t>
      </w:r>
      <w:r w:rsidRPr="003A7F84">
        <w:rPr>
          <w:rFonts w:ascii="Calibri" w:hAnsi="Calibri"/>
          <w:snapToGrid/>
        </w:rPr>
        <w:t xml:space="preserve">in Australian clinical practice </w:t>
      </w:r>
      <w:r w:rsidRPr="003A7F84">
        <w:t xml:space="preserve">prior to the adoption of midazolam hydrochloride. However, as </w:t>
      </w:r>
      <w:proofErr w:type="gramStart"/>
      <w:r w:rsidRPr="003A7F84">
        <w:t>intranasal</w:t>
      </w:r>
      <w:proofErr w:type="gramEnd"/>
      <w:r w:rsidRPr="003A7F84">
        <w:t xml:space="preserve"> or buccal midazolam has a more rapid onset of action and is generally preferred to rectal diazepam (McKee &amp; Abou-Khalil 2015), rectal diazepam was not nominated as a comparator</w:t>
      </w:r>
      <w:r w:rsidRPr="003A7F84">
        <w:rPr>
          <w:iCs/>
        </w:rPr>
        <w:t>. This was appropriate. However, rectal diazepam is the active comparator in all clinical trials presented in the submission, given the lack of comparative data for midazolam oromucosal solution versus midazolam hydrochloride.</w:t>
      </w:r>
      <w:r w:rsidR="001E7802" w:rsidRPr="003A7F84">
        <w:rPr>
          <w:iCs/>
        </w:rPr>
        <w:t xml:space="preserve"> </w:t>
      </w:r>
      <w:r w:rsidR="006435C5" w:rsidRPr="003A7F84">
        <w:rPr>
          <w:iCs/>
        </w:rPr>
        <w:t>Neither</w:t>
      </w:r>
      <w:r w:rsidR="001E7802" w:rsidRPr="003A7F84">
        <w:rPr>
          <w:iCs/>
        </w:rPr>
        <w:t xml:space="preserve"> midazolam hydrochloride </w:t>
      </w:r>
      <w:r w:rsidR="00AC1B4B" w:rsidRPr="003A7F84">
        <w:rPr>
          <w:iCs/>
        </w:rPr>
        <w:t>nor</w:t>
      </w:r>
      <w:r w:rsidR="001E7802" w:rsidRPr="003A7F84">
        <w:rPr>
          <w:iCs/>
        </w:rPr>
        <w:t xml:space="preserve"> rectal </w:t>
      </w:r>
      <w:r w:rsidR="00622C34" w:rsidRPr="003A7F84">
        <w:rPr>
          <w:iCs/>
        </w:rPr>
        <w:t>diazepam (</w:t>
      </w:r>
      <w:r w:rsidR="001E7802" w:rsidRPr="003A7F84">
        <w:rPr>
          <w:iCs/>
        </w:rPr>
        <w:t xml:space="preserve">prepared by compounding pharmacies) are listed on the ARTG for the treatment of GCSE. </w:t>
      </w:r>
      <w:r w:rsidR="00DB2EA0" w:rsidRPr="003A7F84">
        <w:rPr>
          <w:iCs/>
        </w:rPr>
        <w:t xml:space="preserve"> </w:t>
      </w:r>
    </w:p>
    <w:p w14:paraId="76141FE5" w14:textId="660C474C" w:rsidR="00CC1507" w:rsidRPr="003A7F84" w:rsidRDefault="00CD4419" w:rsidP="006435C5">
      <w:pPr>
        <w:pStyle w:val="ExecSumBodyText"/>
        <w:rPr>
          <w:snapToGrid/>
        </w:rPr>
      </w:pPr>
      <w:r w:rsidRPr="003A7F84">
        <w:t>As m</w:t>
      </w:r>
      <w:r w:rsidR="0029320D" w:rsidRPr="003A7F84">
        <w:t>idazolam hydrochloride is not listed on the PBS for emergency treatment of prolonged epileptic seizures</w:t>
      </w:r>
      <w:r w:rsidRPr="003A7F84">
        <w:t>, a</w:t>
      </w:r>
      <w:r w:rsidR="0029320D" w:rsidRPr="003A7F84">
        <w:t xml:space="preserve"> cost-effective price of midazolam hydrochloride </w:t>
      </w:r>
      <w:r w:rsidR="00F75241" w:rsidRPr="003A7F84">
        <w:t xml:space="preserve">for the treatment of GCSE </w:t>
      </w:r>
      <w:r w:rsidR="0029320D" w:rsidRPr="003A7F84">
        <w:t xml:space="preserve">has not been established. </w:t>
      </w:r>
      <w:r w:rsidR="004530B7" w:rsidRPr="003A7F84">
        <w:t>As the</w:t>
      </w:r>
      <w:r w:rsidR="0029320D" w:rsidRPr="003A7F84">
        <w:t xml:space="preserve"> </w:t>
      </w:r>
      <w:r w:rsidR="008D4F33" w:rsidRPr="003A7F84">
        <w:t xml:space="preserve">cost of </w:t>
      </w:r>
      <w:r w:rsidR="004530B7" w:rsidRPr="003A7F84">
        <w:t xml:space="preserve">midazolam hydrochloride to </w:t>
      </w:r>
      <w:r w:rsidR="007B2518" w:rsidRPr="003A7F84">
        <w:t>parents</w:t>
      </w:r>
      <w:r w:rsidR="004530B7" w:rsidRPr="003A7F84">
        <w:t>/carers</w:t>
      </w:r>
      <w:r w:rsidR="007B2518" w:rsidRPr="003A7F84">
        <w:t xml:space="preserve"> could not be determined, the </w:t>
      </w:r>
      <w:r w:rsidR="0029320D" w:rsidRPr="003A7F84">
        <w:t>submission use</w:t>
      </w:r>
      <w:r w:rsidR="00436C4E" w:rsidRPr="003A7F84">
        <w:t>d</w:t>
      </w:r>
      <w:r w:rsidR="0029320D" w:rsidRPr="003A7F84">
        <w:t xml:space="preserve"> the price of midazolam hydrochloride supplied via the PBS Prescriber Bag program as a proxy for non-subsidised midazolam use in the economic evaluation.</w:t>
      </w:r>
    </w:p>
    <w:p w14:paraId="543E9CAB" w14:textId="6040E560" w:rsidR="00DB2EA0" w:rsidRPr="003A7F84" w:rsidRDefault="00423AEB" w:rsidP="00921083">
      <w:pPr>
        <w:pStyle w:val="ExecSumBodyText"/>
      </w:pPr>
      <w:r w:rsidRPr="003A7F84">
        <w:t xml:space="preserve">The ESC noted that the TGA evaluation was based on a </w:t>
      </w:r>
      <w:r w:rsidR="00622C34" w:rsidRPr="003A7F84">
        <w:t>literature-based</w:t>
      </w:r>
      <w:r w:rsidRPr="003A7F84">
        <w:t xml:space="preserve"> submission (see paragraph </w:t>
      </w:r>
      <w:r w:rsidRPr="003A7F84">
        <w:fldChar w:fldCharType="begin"/>
      </w:r>
      <w:r w:rsidRPr="003A7F84">
        <w:instrText xml:space="preserve"> REF _Ref106221288 \r \h </w:instrText>
      </w:r>
      <w:r w:rsidRPr="003A7F84">
        <w:fldChar w:fldCharType="separate"/>
      </w:r>
      <w:r w:rsidR="009466A1">
        <w:t>2.3</w:t>
      </w:r>
      <w:r w:rsidRPr="003A7F84">
        <w:fldChar w:fldCharType="end"/>
      </w:r>
      <w:r w:rsidRPr="003A7F84">
        <w:t xml:space="preserve">), and that </w:t>
      </w:r>
      <w:r w:rsidR="00DB2EA0" w:rsidRPr="003A7F84">
        <w:t xml:space="preserve">despite extensive use </w:t>
      </w:r>
      <w:r w:rsidRPr="003A7F84">
        <w:t xml:space="preserve">of midazolam </w:t>
      </w:r>
      <w:r w:rsidR="00DB2EA0" w:rsidRPr="003A7F84">
        <w:t>in clinical practice, there was limited evidence available to inform the clinical and economic evaluatio</w:t>
      </w:r>
      <w:r w:rsidRPr="003A7F84">
        <w:t xml:space="preserve">ns of the PBAC submission.  </w:t>
      </w:r>
    </w:p>
    <w:p w14:paraId="0311A6A7" w14:textId="62E5F54D" w:rsidR="007E6801" w:rsidRPr="00D9328A" w:rsidRDefault="007E6801" w:rsidP="00D9328A">
      <w:pPr>
        <w:ind w:firstLine="709"/>
        <w:rPr>
          <w:rFonts w:asciiTheme="minorHAnsi" w:hAnsiTheme="minorHAnsi"/>
          <w:i/>
        </w:rPr>
      </w:pPr>
      <w:r w:rsidRPr="003A7F84">
        <w:rPr>
          <w:rFonts w:asciiTheme="minorHAnsi" w:hAnsiTheme="minorHAnsi"/>
          <w:i/>
        </w:rPr>
        <w:t>For more detail on PBAC’s view, see section 7 PBAC outcome.</w:t>
      </w:r>
    </w:p>
    <w:p w14:paraId="7F9C27C8" w14:textId="77777777" w:rsidR="00223D5A" w:rsidRPr="003A7F84" w:rsidRDefault="00223D5A" w:rsidP="00223D5A">
      <w:pPr>
        <w:pStyle w:val="2-SectionHeading"/>
        <w:numPr>
          <w:ilvl w:val="0"/>
          <w:numId w:val="1"/>
        </w:numPr>
      </w:pPr>
      <w:bookmarkStart w:id="17" w:name="_Toc103714918"/>
      <w:bookmarkStart w:id="18" w:name="_Toc22897640"/>
      <w:r w:rsidRPr="003A7F84">
        <w:lastRenderedPageBreak/>
        <w:t>Consideration of the evidence</w:t>
      </w:r>
      <w:bookmarkEnd w:id="17"/>
    </w:p>
    <w:p w14:paraId="062DBDEA" w14:textId="77777777" w:rsidR="007E6801" w:rsidRPr="003A7F84" w:rsidRDefault="007E6801" w:rsidP="007E6801">
      <w:pPr>
        <w:pStyle w:val="3-SubsectionHeading"/>
      </w:pPr>
      <w:bookmarkStart w:id="19" w:name="_Hlk76375935"/>
      <w:bookmarkStart w:id="20" w:name="_Toc103714919"/>
      <w:r w:rsidRPr="003A7F84">
        <w:t>Sponsor hearing</w:t>
      </w:r>
    </w:p>
    <w:p w14:paraId="6B62857E" w14:textId="77777777" w:rsidR="00DB3CD7" w:rsidRPr="003A7F84" w:rsidRDefault="00DB3CD7" w:rsidP="00DB3CD7">
      <w:pPr>
        <w:widowControl w:val="0"/>
        <w:numPr>
          <w:ilvl w:val="1"/>
          <w:numId w:val="1"/>
        </w:numPr>
        <w:spacing w:after="120"/>
        <w:rPr>
          <w:rFonts w:cs="Calibri"/>
          <w:bCs/>
          <w:snapToGrid w:val="0"/>
        </w:rPr>
      </w:pPr>
      <w:r w:rsidRPr="003A7F84">
        <w:rPr>
          <w:rFonts w:cs="Calibri"/>
          <w:bCs/>
          <w:snapToGrid w:val="0"/>
        </w:rPr>
        <w:t>There was no hearing for this item.</w:t>
      </w:r>
    </w:p>
    <w:p w14:paraId="39237AEE" w14:textId="77777777" w:rsidR="007E6801" w:rsidRPr="003A7F84" w:rsidRDefault="007E6801" w:rsidP="007E6801">
      <w:pPr>
        <w:pStyle w:val="3-SubsectionHeading"/>
      </w:pPr>
      <w:r w:rsidRPr="003A7F84">
        <w:t>Consumer comments</w:t>
      </w:r>
    </w:p>
    <w:p w14:paraId="4567B26F" w14:textId="2E6B6612" w:rsidR="001B22C6" w:rsidRPr="003A7F84" w:rsidRDefault="001B22C6" w:rsidP="00677408">
      <w:pPr>
        <w:widowControl w:val="0"/>
        <w:numPr>
          <w:ilvl w:val="1"/>
          <w:numId w:val="1"/>
        </w:numPr>
        <w:spacing w:after="120"/>
        <w:rPr>
          <w:rFonts w:asciiTheme="minorHAnsi" w:hAnsiTheme="minorHAnsi"/>
          <w:iCs/>
          <w:snapToGrid w:val="0"/>
        </w:rPr>
      </w:pPr>
      <w:bookmarkStart w:id="21" w:name="_Ref109578238"/>
      <w:bookmarkStart w:id="22" w:name="_Hlk76382618"/>
      <w:bookmarkEnd w:id="19"/>
      <w:r w:rsidRPr="003A7F84">
        <w:rPr>
          <w:rFonts w:asciiTheme="minorHAnsi" w:hAnsiTheme="minorHAnsi"/>
          <w:iCs/>
          <w:snapToGrid w:val="0"/>
        </w:rPr>
        <w:t xml:space="preserve">The PBAC noted and welcomed the input from health care professionals (3), a medical organisation (1) and health consumer organisations (2) via the Consumer Comments facility on the PBS website.  </w:t>
      </w:r>
      <w:r w:rsidR="00E63E04" w:rsidRPr="003A7F84">
        <w:rPr>
          <w:rFonts w:asciiTheme="minorHAnsi" w:hAnsiTheme="minorHAnsi"/>
          <w:iCs/>
          <w:snapToGrid w:val="0"/>
        </w:rPr>
        <w:t>The PBAC acknowledged the advice received from Epilepsy Australia and Epilepsy Action Australia, which supported the proposed listing.  The input i</w:t>
      </w:r>
      <w:r w:rsidRPr="003A7F84">
        <w:rPr>
          <w:rFonts w:asciiTheme="minorHAnsi" w:hAnsiTheme="minorHAnsi"/>
          <w:iCs/>
          <w:snapToGrid w:val="0"/>
        </w:rPr>
        <w:t xml:space="preserve">ncluded a consumer survey with 48 responses. </w:t>
      </w:r>
      <w:r w:rsidR="00E63E04" w:rsidRPr="003A7F84">
        <w:rPr>
          <w:rFonts w:asciiTheme="minorHAnsi" w:hAnsiTheme="minorHAnsi"/>
          <w:iCs/>
          <w:snapToGrid w:val="0"/>
        </w:rPr>
        <w:t>Main themes described in the comments included</w:t>
      </w:r>
      <w:r w:rsidRPr="003A7F84">
        <w:rPr>
          <w:rFonts w:asciiTheme="minorHAnsi" w:hAnsiTheme="minorHAnsi"/>
          <w:iCs/>
          <w:snapToGrid w:val="0"/>
        </w:rPr>
        <w:t xml:space="preserve"> ease of use and the </w:t>
      </w:r>
      <w:r w:rsidR="00EE47B6" w:rsidRPr="003A7F84">
        <w:rPr>
          <w:rFonts w:asciiTheme="minorHAnsi" w:hAnsiTheme="minorHAnsi"/>
          <w:iCs/>
          <w:snapToGrid w:val="0"/>
        </w:rPr>
        <w:t>q</w:t>
      </w:r>
      <w:r w:rsidRPr="003A7F84">
        <w:rPr>
          <w:rFonts w:asciiTheme="minorHAnsi" w:hAnsiTheme="minorHAnsi"/>
          <w:iCs/>
          <w:snapToGrid w:val="0"/>
        </w:rPr>
        <w:t xml:space="preserve">uality </w:t>
      </w:r>
      <w:r w:rsidR="00EE47B6" w:rsidRPr="003A7F84">
        <w:rPr>
          <w:rFonts w:asciiTheme="minorHAnsi" w:hAnsiTheme="minorHAnsi"/>
          <w:iCs/>
          <w:snapToGrid w:val="0"/>
        </w:rPr>
        <w:t>u</w:t>
      </w:r>
      <w:r w:rsidRPr="003A7F84">
        <w:rPr>
          <w:rFonts w:asciiTheme="minorHAnsi" w:hAnsiTheme="minorHAnsi"/>
          <w:iCs/>
          <w:snapToGrid w:val="0"/>
        </w:rPr>
        <w:t xml:space="preserve">se of </w:t>
      </w:r>
      <w:r w:rsidR="00EE47B6" w:rsidRPr="003A7F84">
        <w:rPr>
          <w:rFonts w:asciiTheme="minorHAnsi" w:hAnsiTheme="minorHAnsi"/>
          <w:iCs/>
          <w:snapToGrid w:val="0"/>
        </w:rPr>
        <w:t>m</w:t>
      </w:r>
      <w:r w:rsidRPr="003A7F84">
        <w:rPr>
          <w:rFonts w:asciiTheme="minorHAnsi" w:hAnsiTheme="minorHAnsi"/>
          <w:iCs/>
          <w:snapToGrid w:val="0"/>
        </w:rPr>
        <w:t>edicines. Concerns were raised about the current off-label use of amp</w:t>
      </w:r>
      <w:r w:rsidR="00EE47B6" w:rsidRPr="003A7F84">
        <w:rPr>
          <w:rFonts w:asciiTheme="minorHAnsi" w:hAnsiTheme="minorHAnsi"/>
          <w:iCs/>
          <w:snapToGrid w:val="0"/>
        </w:rPr>
        <w:t>o</w:t>
      </w:r>
      <w:r w:rsidRPr="003A7F84">
        <w:rPr>
          <w:rFonts w:asciiTheme="minorHAnsi" w:hAnsiTheme="minorHAnsi"/>
          <w:iCs/>
          <w:snapToGrid w:val="0"/>
        </w:rPr>
        <w:t xml:space="preserve">ules in relation to safety, dosage, storage and the training of carers and non-health professionals to administer midazolam in emergency situations. The comments </w:t>
      </w:r>
      <w:r w:rsidR="00E63E04" w:rsidRPr="003A7F84">
        <w:rPr>
          <w:rFonts w:asciiTheme="minorHAnsi" w:hAnsiTheme="minorHAnsi"/>
          <w:iCs/>
          <w:snapToGrid w:val="0"/>
        </w:rPr>
        <w:t>indicated</w:t>
      </w:r>
      <w:r w:rsidRPr="003A7F84">
        <w:rPr>
          <w:rFonts w:asciiTheme="minorHAnsi" w:hAnsiTheme="minorHAnsi"/>
          <w:iCs/>
          <w:snapToGrid w:val="0"/>
        </w:rPr>
        <w:t xml:space="preserve"> that compared with the current off</w:t>
      </w:r>
      <w:r w:rsidRPr="003A7F84">
        <w:rPr>
          <w:rFonts w:asciiTheme="minorHAnsi" w:hAnsiTheme="minorHAnsi"/>
          <w:iCs/>
          <w:snapToGrid w:val="0"/>
        </w:rPr>
        <w:noBreakHyphen/>
        <w:t xml:space="preserve">label use of ampoules, pre-filled syringes would lead to more effective use of the drug as correct dosages would be given, </w:t>
      </w:r>
      <w:r w:rsidR="00CD577F" w:rsidRPr="003A7F84">
        <w:rPr>
          <w:rFonts w:asciiTheme="minorHAnsi" w:hAnsiTheme="minorHAnsi"/>
          <w:iCs/>
          <w:snapToGrid w:val="0"/>
        </w:rPr>
        <w:t xml:space="preserve">and </w:t>
      </w:r>
      <w:r w:rsidRPr="003A7F84">
        <w:rPr>
          <w:rFonts w:asciiTheme="minorHAnsi" w:hAnsiTheme="minorHAnsi"/>
          <w:iCs/>
          <w:snapToGrid w:val="0"/>
        </w:rPr>
        <w:t>there was less risk of harm from incorrect dosing. It was reported that midazolam in pre-filled syringes would improve access to effective medication particularly for those living far from hospital settings, or due to parents/carers experiencing difficulties using the ampoules.</w:t>
      </w:r>
      <w:bookmarkEnd w:id="21"/>
      <w:r w:rsidRPr="003A7F84">
        <w:rPr>
          <w:rFonts w:asciiTheme="minorHAnsi" w:hAnsiTheme="minorHAnsi"/>
          <w:iCs/>
          <w:snapToGrid w:val="0"/>
        </w:rPr>
        <w:t xml:space="preserve"> </w:t>
      </w:r>
    </w:p>
    <w:p w14:paraId="363536CC" w14:textId="239A6DEF" w:rsidR="001B22C6" w:rsidRPr="003A7F84" w:rsidRDefault="001B22C6" w:rsidP="00CD577F">
      <w:pPr>
        <w:widowControl w:val="0"/>
        <w:numPr>
          <w:ilvl w:val="1"/>
          <w:numId w:val="1"/>
        </w:numPr>
        <w:autoSpaceDE w:val="0"/>
        <w:autoSpaceDN w:val="0"/>
        <w:adjustRightInd w:val="0"/>
        <w:spacing w:after="120"/>
        <w:rPr>
          <w:rFonts w:asciiTheme="minorHAnsi" w:hAnsiTheme="minorHAnsi"/>
          <w:iCs/>
          <w:snapToGrid w:val="0"/>
        </w:rPr>
      </w:pPr>
      <w:bookmarkStart w:id="23" w:name="_Ref109576584"/>
      <w:r w:rsidRPr="003A7F84">
        <w:rPr>
          <w:rFonts w:asciiTheme="minorHAnsi" w:hAnsiTheme="minorHAnsi"/>
          <w:iCs/>
          <w:snapToGrid w:val="0"/>
        </w:rPr>
        <w:t xml:space="preserve">The PBAC noted the advice received from the National Paediatric Medicines Forum clarifying the likely use of midazolam oromucosal solution in clinical practice.  The advice supported the proposed listing, and noted potential for less dose confusion, improved </w:t>
      </w:r>
      <w:proofErr w:type="gramStart"/>
      <w:r w:rsidRPr="003A7F84">
        <w:rPr>
          <w:rFonts w:asciiTheme="minorHAnsi" w:hAnsiTheme="minorHAnsi"/>
          <w:iCs/>
          <w:snapToGrid w:val="0"/>
        </w:rPr>
        <w:t>safety</w:t>
      </w:r>
      <w:proofErr w:type="gramEnd"/>
      <w:r w:rsidRPr="003A7F84">
        <w:rPr>
          <w:rFonts w:asciiTheme="minorHAnsi" w:hAnsiTheme="minorHAnsi"/>
          <w:iCs/>
          <w:snapToGrid w:val="0"/>
        </w:rPr>
        <w:t xml:space="preserve"> and reduced risk of midazolam loss/abuse.  The input also noted that midazolam has been used extensively in paediatrics for numerous years to successfully terminate seizures and </w:t>
      </w:r>
      <w:r w:rsidR="00EE47B6" w:rsidRPr="003A7F84">
        <w:rPr>
          <w:rFonts w:asciiTheme="minorHAnsi" w:hAnsiTheme="minorHAnsi"/>
          <w:iCs/>
          <w:snapToGrid w:val="0"/>
        </w:rPr>
        <w:t>reported</w:t>
      </w:r>
      <w:r w:rsidRPr="003A7F84">
        <w:rPr>
          <w:rFonts w:asciiTheme="minorHAnsi" w:hAnsiTheme="minorHAnsi"/>
          <w:iCs/>
          <w:snapToGrid w:val="0"/>
        </w:rPr>
        <w:t xml:space="preserve"> utilisation statistics from a selection of Australian children’s hospitals.  The PBAC noted that the utilisation estimates provided in the submission appeared low in comparison to the utilisation statistics reported by the National Paediatric Medicines Forum, in which it was reported that approximately 13,200 ampoules were dispensed by one metropolitan hospital alone in the last 12 months</w:t>
      </w:r>
      <w:r w:rsidR="003A3A66" w:rsidRPr="003A7F84">
        <w:rPr>
          <w:rFonts w:asciiTheme="minorHAnsi" w:hAnsiTheme="minorHAnsi"/>
          <w:iCs/>
          <w:snapToGrid w:val="0"/>
        </w:rPr>
        <w:t xml:space="preserve"> (see paragraph </w:t>
      </w:r>
      <w:r w:rsidR="003A3A66" w:rsidRPr="003A7F84">
        <w:rPr>
          <w:rFonts w:asciiTheme="minorHAnsi" w:hAnsiTheme="minorHAnsi"/>
          <w:iCs/>
          <w:snapToGrid w:val="0"/>
        </w:rPr>
        <w:fldChar w:fldCharType="begin"/>
      </w:r>
      <w:r w:rsidR="003A3A66" w:rsidRPr="003A7F84">
        <w:rPr>
          <w:rFonts w:asciiTheme="minorHAnsi" w:hAnsiTheme="minorHAnsi"/>
          <w:iCs/>
          <w:snapToGrid w:val="0"/>
        </w:rPr>
        <w:instrText xml:space="preserve"> REF _Ref109576491 \r \h </w:instrText>
      </w:r>
      <w:r w:rsidR="00836F65" w:rsidRPr="003A7F84">
        <w:rPr>
          <w:rFonts w:asciiTheme="minorHAnsi" w:hAnsiTheme="minorHAnsi"/>
          <w:iCs/>
          <w:snapToGrid w:val="0"/>
        </w:rPr>
        <w:instrText xml:space="preserve"> \* MERGEFORMAT </w:instrText>
      </w:r>
      <w:r w:rsidR="003A3A66" w:rsidRPr="003A7F84">
        <w:rPr>
          <w:rFonts w:asciiTheme="minorHAnsi" w:hAnsiTheme="minorHAnsi"/>
          <w:iCs/>
          <w:snapToGrid w:val="0"/>
        </w:rPr>
      </w:r>
      <w:r w:rsidR="003A3A66" w:rsidRPr="003A7F84">
        <w:rPr>
          <w:rFonts w:asciiTheme="minorHAnsi" w:hAnsiTheme="minorHAnsi"/>
          <w:iCs/>
          <w:snapToGrid w:val="0"/>
        </w:rPr>
        <w:fldChar w:fldCharType="separate"/>
      </w:r>
      <w:r w:rsidR="009466A1">
        <w:rPr>
          <w:rFonts w:asciiTheme="minorHAnsi" w:hAnsiTheme="minorHAnsi"/>
          <w:iCs/>
          <w:snapToGrid w:val="0"/>
        </w:rPr>
        <w:t>6.57</w:t>
      </w:r>
      <w:r w:rsidR="003A3A66" w:rsidRPr="003A7F84">
        <w:rPr>
          <w:rFonts w:asciiTheme="minorHAnsi" w:hAnsiTheme="minorHAnsi"/>
          <w:iCs/>
          <w:snapToGrid w:val="0"/>
        </w:rPr>
        <w:fldChar w:fldCharType="end"/>
      </w:r>
      <w:r w:rsidR="003A3A66" w:rsidRPr="003A7F84">
        <w:rPr>
          <w:rFonts w:asciiTheme="minorHAnsi" w:hAnsiTheme="minorHAnsi"/>
          <w:iCs/>
          <w:snapToGrid w:val="0"/>
        </w:rPr>
        <w:t>)</w:t>
      </w:r>
      <w:r w:rsidRPr="003A7F84">
        <w:rPr>
          <w:rFonts w:asciiTheme="minorHAnsi" w:hAnsiTheme="minorHAnsi"/>
          <w:iCs/>
          <w:snapToGrid w:val="0"/>
        </w:rPr>
        <w:t>.</w:t>
      </w:r>
      <w:bookmarkEnd w:id="23"/>
    </w:p>
    <w:bookmarkEnd w:id="22"/>
    <w:p w14:paraId="609C0765" w14:textId="6A5E3F7F" w:rsidR="00B60939" w:rsidRPr="003A7F84" w:rsidRDefault="00B60939" w:rsidP="002E4F02">
      <w:pPr>
        <w:pStyle w:val="3-SubsectionHeading"/>
      </w:pPr>
      <w:r w:rsidRPr="003A7F84">
        <w:t xml:space="preserve">Clinical </w:t>
      </w:r>
      <w:bookmarkEnd w:id="18"/>
      <w:bookmarkEnd w:id="20"/>
      <w:r w:rsidR="00FA3060" w:rsidRPr="003A7F84">
        <w:t>trials</w:t>
      </w:r>
    </w:p>
    <w:p w14:paraId="1F45A157" w14:textId="77777777" w:rsidR="009D484B" w:rsidRPr="003A7F84" w:rsidRDefault="00352C0A" w:rsidP="009D484B">
      <w:pPr>
        <w:pStyle w:val="ExecSumBodyText"/>
        <w:rPr>
          <w:color w:val="0066FF"/>
        </w:rPr>
      </w:pPr>
      <w:r w:rsidRPr="003A7F84">
        <w:rPr>
          <w:iCs/>
        </w:rPr>
        <w:t>No studies were identified directly comparing midazolam oromucosal solution with midazolam hydrochloride (the main comparator)</w:t>
      </w:r>
      <w:r w:rsidR="00C76270" w:rsidRPr="003A7F84">
        <w:rPr>
          <w:iCs/>
        </w:rPr>
        <w:t>,</w:t>
      </w:r>
      <w:r w:rsidRPr="003A7F84">
        <w:rPr>
          <w:iCs/>
        </w:rPr>
        <w:t xml:space="preserve"> </w:t>
      </w:r>
      <w:r w:rsidR="00C76270" w:rsidRPr="003A7F84">
        <w:rPr>
          <w:iCs/>
        </w:rPr>
        <w:t xml:space="preserve">or </w:t>
      </w:r>
      <w:r w:rsidR="00B631A5" w:rsidRPr="003A7F84">
        <w:rPr>
          <w:iCs/>
        </w:rPr>
        <w:t xml:space="preserve">that were </w:t>
      </w:r>
      <w:r w:rsidRPr="003A7F84">
        <w:rPr>
          <w:iCs/>
        </w:rPr>
        <w:t xml:space="preserve">suitable for an indirect comparison. </w:t>
      </w:r>
      <w:r w:rsidR="00BF49E0" w:rsidRPr="003A7F84">
        <w:t xml:space="preserve">The submission acknowledged that a comparison of clinical outcomes between midazolam oromucosal solution and the main comparator (buccal administration of midazolam hydrochloride) </w:t>
      </w:r>
      <w:r w:rsidR="0093453A" w:rsidRPr="003A7F84">
        <w:t>could not</w:t>
      </w:r>
      <w:r w:rsidR="00BF49E0" w:rsidRPr="003A7F84">
        <w:t xml:space="preserve"> be presented. </w:t>
      </w:r>
    </w:p>
    <w:p w14:paraId="7D8B8CC7" w14:textId="4A89540C" w:rsidR="00352C0A" w:rsidRPr="003A7F84" w:rsidRDefault="00CB3431" w:rsidP="00971CAE">
      <w:pPr>
        <w:pStyle w:val="ExecSumBodyText"/>
        <w:rPr>
          <w:color w:val="0066FF"/>
        </w:rPr>
      </w:pPr>
      <w:r w:rsidRPr="003A7F84">
        <w:t>T</w:t>
      </w:r>
      <w:r w:rsidR="00BF49E0" w:rsidRPr="003A7F84">
        <w:t xml:space="preserve">he submission argued that because </w:t>
      </w:r>
      <w:r w:rsidR="0093453A" w:rsidRPr="003A7F84">
        <w:t xml:space="preserve">the </w:t>
      </w:r>
      <w:r w:rsidR="00BF49E0" w:rsidRPr="003A7F84">
        <w:t xml:space="preserve">bioequivalence </w:t>
      </w:r>
      <w:r w:rsidRPr="003A7F84">
        <w:t>between</w:t>
      </w:r>
      <w:r w:rsidR="0093453A" w:rsidRPr="003A7F84">
        <w:t xml:space="preserve"> midazolam oromucosal solution and buccal administration of midazolam for injection </w:t>
      </w:r>
      <w:r w:rsidR="00BF49E0" w:rsidRPr="003A7F84">
        <w:t>ha</w:t>
      </w:r>
      <w:r w:rsidR="0093453A" w:rsidRPr="003A7F84">
        <w:t>d</w:t>
      </w:r>
      <w:r w:rsidR="00BF49E0" w:rsidRPr="003A7F84">
        <w:t xml:space="preserve"> been </w:t>
      </w:r>
      <w:r w:rsidR="00D51C30" w:rsidRPr="003A7F84">
        <w:t xml:space="preserve">demonstrated in healthy adults (pharmacokinetic study SPL002), that </w:t>
      </w:r>
      <w:r w:rsidR="00BF49E0" w:rsidRPr="003A7F84">
        <w:t>similar efficacy in the pre-hospital setting c</w:t>
      </w:r>
      <w:r w:rsidR="00D51C30" w:rsidRPr="003A7F84">
        <w:t>ould</w:t>
      </w:r>
      <w:r w:rsidR="00BF49E0" w:rsidRPr="003A7F84">
        <w:t xml:space="preserve"> be assumed</w:t>
      </w:r>
      <w:r w:rsidR="00422A8C" w:rsidRPr="003A7F84">
        <w:t>, and t</w:t>
      </w:r>
      <w:r w:rsidR="00352C0A" w:rsidRPr="003A7F84">
        <w:rPr>
          <w:iCs/>
        </w:rPr>
        <w:t>he</w:t>
      </w:r>
      <w:r w:rsidR="00B631A5" w:rsidRPr="003A7F84">
        <w:rPr>
          <w:iCs/>
        </w:rPr>
        <w:t>refore</w:t>
      </w:r>
      <w:r w:rsidR="006A52F0" w:rsidRPr="003A7F84">
        <w:rPr>
          <w:iCs/>
        </w:rPr>
        <w:t>,</w:t>
      </w:r>
      <w:r w:rsidR="009D484B" w:rsidRPr="003A7F84">
        <w:rPr>
          <w:iCs/>
        </w:rPr>
        <w:t xml:space="preserve"> </w:t>
      </w:r>
      <w:r w:rsidR="00352C0A" w:rsidRPr="003A7F84">
        <w:rPr>
          <w:iCs/>
        </w:rPr>
        <w:t xml:space="preserve">studies comparing </w:t>
      </w:r>
      <w:r w:rsidR="00352C0A" w:rsidRPr="003A7F84">
        <w:rPr>
          <w:iCs/>
        </w:rPr>
        <w:lastRenderedPageBreak/>
        <w:t>midazolam administered buccally versus any benzodiazepin</w:t>
      </w:r>
      <w:r w:rsidR="009D484B" w:rsidRPr="003A7F84">
        <w:rPr>
          <w:iCs/>
        </w:rPr>
        <w:t>e</w:t>
      </w:r>
      <w:r w:rsidR="00352C0A" w:rsidRPr="003A7F84">
        <w:rPr>
          <w:iCs/>
        </w:rPr>
        <w:t xml:space="preserve"> administered by </w:t>
      </w:r>
      <w:r w:rsidR="00E921A9" w:rsidRPr="003A7F84">
        <w:rPr>
          <w:iCs/>
        </w:rPr>
        <w:t xml:space="preserve">routes other than </w:t>
      </w:r>
      <w:r w:rsidR="00B631A5" w:rsidRPr="003A7F84">
        <w:rPr>
          <w:iCs/>
        </w:rPr>
        <w:t>intravenous</w:t>
      </w:r>
      <w:r w:rsidR="00352C0A" w:rsidRPr="003A7F84">
        <w:rPr>
          <w:iCs/>
        </w:rPr>
        <w:t xml:space="preserve"> or </w:t>
      </w:r>
      <w:r w:rsidR="00B631A5" w:rsidRPr="003A7F84">
        <w:rPr>
          <w:iCs/>
        </w:rPr>
        <w:t>intramuscular</w:t>
      </w:r>
      <w:r w:rsidR="00E921A9" w:rsidRPr="003A7F84">
        <w:rPr>
          <w:iCs/>
        </w:rPr>
        <w:t>,</w:t>
      </w:r>
      <w:r w:rsidR="00352C0A" w:rsidRPr="003A7F84">
        <w:rPr>
          <w:iCs/>
        </w:rPr>
        <w:t xml:space="preserve"> </w:t>
      </w:r>
      <w:r w:rsidR="009D484B" w:rsidRPr="003A7F84">
        <w:rPr>
          <w:iCs/>
        </w:rPr>
        <w:t>may be informative</w:t>
      </w:r>
      <w:r w:rsidR="00352C0A" w:rsidRPr="003A7F84">
        <w:rPr>
          <w:iCs/>
        </w:rPr>
        <w:t>.</w:t>
      </w:r>
    </w:p>
    <w:p w14:paraId="17DE34DC" w14:textId="1280D021" w:rsidR="007F1017" w:rsidRPr="003A7F84" w:rsidRDefault="00352C0A" w:rsidP="00352C0A">
      <w:pPr>
        <w:pStyle w:val="ExecSumBodyText"/>
        <w:rPr>
          <w:color w:val="0066FF"/>
        </w:rPr>
      </w:pPr>
      <w:r w:rsidRPr="003A7F84">
        <w:rPr>
          <w:snapToGrid/>
        </w:rPr>
        <w:t>The submission presented seven head-to-head prospective studies comparing buccal administration of midazolam with rectal administration of diazepam (Ashrafi 2010, Baysun 2005, McIntyre 2005, Mpimbaza 2008, Nakken 2011, Scott 1999, Trajano 2009).</w:t>
      </w:r>
      <w:r w:rsidR="0032730A" w:rsidRPr="003A7F84">
        <w:rPr>
          <w:iCs/>
        </w:rPr>
        <w:t xml:space="preserve">  </w:t>
      </w:r>
    </w:p>
    <w:p w14:paraId="2EF8BEFA" w14:textId="01E2A4B7" w:rsidR="009E6EEE" w:rsidRPr="003A7F84" w:rsidRDefault="009E6EEE" w:rsidP="00921946">
      <w:pPr>
        <w:pStyle w:val="ExecSumBodyText"/>
      </w:pPr>
      <w:r w:rsidRPr="003A7F84">
        <w:t>In addition, the submission presented the results of three real world studies of the prescribing and utilisation of buccal midazolam to control seizures in adults (IQVIA Report, 2019; pH Associates study, 2016; Special Products Ltd Report, 2010)</w:t>
      </w:r>
      <w:r w:rsidR="00921946" w:rsidRPr="003A7F84">
        <w:t>, the r</w:t>
      </w:r>
      <w:r w:rsidRPr="003A7F84">
        <w:t>esults of a meta-analysis of the included studies, conducted for the submission, and five published meta-analyses including studies presented in the submission (Arya et al. 2015; Brigo et al. 2015; Jain et al. 2016; McMullan et al. 2010; McTague et al. 2018) as supporting evidence.</w:t>
      </w:r>
    </w:p>
    <w:p w14:paraId="47ADDC79" w14:textId="75F4C6E5" w:rsidR="0032730A" w:rsidRPr="003A7F84" w:rsidRDefault="0032730A" w:rsidP="002E4F02">
      <w:pPr>
        <w:pStyle w:val="ExecSumBodyText"/>
      </w:pPr>
      <w:r w:rsidRPr="003A7F84">
        <w:rPr>
          <w:iCs/>
        </w:rPr>
        <w:t xml:space="preserve">The included studies do not provide a comparison of clinical outcomes between midazolam oromucosal solution and the main comparator (buccal administration of midazolam hydrochloride). </w:t>
      </w:r>
    </w:p>
    <w:p w14:paraId="6CD32576" w14:textId="7A0B6A81" w:rsidR="005D5F16" w:rsidRPr="003A7F84" w:rsidRDefault="005D5F16" w:rsidP="002E4F02">
      <w:pPr>
        <w:pStyle w:val="ExecSumBodyText"/>
      </w:pPr>
      <w:r w:rsidRPr="003A7F84">
        <w:t>Details of the studies included in the submission are presented in</w:t>
      </w:r>
      <w:r w:rsidR="00C1167C" w:rsidRPr="003A7F84">
        <w:t xml:space="preserve"> </w:t>
      </w:r>
      <w:r w:rsidR="00C1167C" w:rsidRPr="003A7F84">
        <w:fldChar w:fldCharType="begin"/>
      </w:r>
      <w:r w:rsidR="00C1167C" w:rsidRPr="003A7F84">
        <w:instrText xml:space="preserve"> REF _Ref104393167 \h </w:instrText>
      </w:r>
      <w:r w:rsidR="00C1167C" w:rsidRPr="003A7F84">
        <w:fldChar w:fldCharType="separate"/>
      </w:r>
      <w:r w:rsidR="009466A1" w:rsidRPr="003A7F84">
        <w:t xml:space="preserve">Table </w:t>
      </w:r>
      <w:r w:rsidR="009466A1">
        <w:rPr>
          <w:noProof/>
        </w:rPr>
        <w:t>3</w:t>
      </w:r>
      <w:r w:rsidR="00C1167C" w:rsidRPr="003A7F84">
        <w:fldChar w:fldCharType="end"/>
      </w:r>
      <w:r w:rsidRPr="003A7F84">
        <w:t>.</w:t>
      </w:r>
    </w:p>
    <w:p w14:paraId="6399AD39" w14:textId="18AD6EF6" w:rsidR="008B3E0F" w:rsidRPr="003A7F84" w:rsidRDefault="008B3E0F" w:rsidP="008B3E0F">
      <w:pPr>
        <w:pStyle w:val="Caption"/>
        <w:rPr>
          <w:b w:val="0"/>
        </w:rPr>
      </w:pPr>
      <w:bookmarkStart w:id="24" w:name="_Ref104393167"/>
      <w:r w:rsidRPr="003A7F84">
        <w:t xml:space="preserve">Table </w:t>
      </w:r>
      <w:fldSimple w:instr=" SEQ Table \* ARABIC ">
        <w:r w:rsidR="009466A1">
          <w:rPr>
            <w:noProof/>
          </w:rPr>
          <w:t>3</w:t>
        </w:r>
      </w:fldSimple>
      <w:bookmarkEnd w:id="24"/>
      <w:r w:rsidRPr="003A7F84">
        <w:t xml:space="preserve">: </w:t>
      </w:r>
      <w:r w:rsidR="00FA3060" w:rsidRPr="003A7F84">
        <w:t>Trials and associated reports</w:t>
      </w:r>
      <w:r w:rsidRPr="003A7F84">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387"/>
        <w:gridCol w:w="2359"/>
      </w:tblGrid>
      <w:tr w:rsidR="00C71CB6" w:rsidRPr="003A7F84" w14:paraId="452B2413" w14:textId="77777777" w:rsidTr="0003262B">
        <w:trPr>
          <w:tblHeader/>
        </w:trPr>
        <w:tc>
          <w:tcPr>
            <w:tcW w:w="705" w:type="pct"/>
            <w:tcBorders>
              <w:bottom w:val="single" w:sz="4" w:space="0" w:color="auto"/>
            </w:tcBorders>
            <w:vAlign w:val="center"/>
          </w:tcPr>
          <w:p w14:paraId="4A767E2A" w14:textId="77777777" w:rsidR="00C71CB6" w:rsidRPr="003A7F84" w:rsidRDefault="00C71CB6" w:rsidP="00AB32A3">
            <w:pPr>
              <w:pStyle w:val="Tableheadingrow"/>
              <w:keepLines/>
              <w:rPr>
                <w:lang w:val="en-AU"/>
              </w:rPr>
            </w:pPr>
            <w:r w:rsidRPr="003A7F84">
              <w:rPr>
                <w:lang w:val="en-AU"/>
              </w:rPr>
              <w:t>Trial ID</w:t>
            </w:r>
          </w:p>
        </w:tc>
        <w:tc>
          <w:tcPr>
            <w:tcW w:w="2987" w:type="pct"/>
            <w:tcBorders>
              <w:bottom w:val="single" w:sz="4" w:space="0" w:color="auto"/>
            </w:tcBorders>
            <w:vAlign w:val="center"/>
          </w:tcPr>
          <w:p w14:paraId="3ED2FE94" w14:textId="77777777" w:rsidR="00C71CB6" w:rsidRPr="003A7F84" w:rsidRDefault="00C71CB6" w:rsidP="00AB32A3">
            <w:pPr>
              <w:pStyle w:val="Tableheadingrow"/>
              <w:keepLines/>
              <w:rPr>
                <w:lang w:val="en-AU"/>
              </w:rPr>
            </w:pPr>
            <w:r w:rsidRPr="003A7F84">
              <w:rPr>
                <w:lang w:val="en-AU"/>
              </w:rPr>
              <w:t>Protocol title/ Publication title</w:t>
            </w:r>
          </w:p>
        </w:tc>
        <w:tc>
          <w:tcPr>
            <w:tcW w:w="1308" w:type="pct"/>
            <w:tcBorders>
              <w:bottom w:val="single" w:sz="4" w:space="0" w:color="auto"/>
            </w:tcBorders>
            <w:vAlign w:val="center"/>
          </w:tcPr>
          <w:p w14:paraId="3F7D4E21" w14:textId="77777777" w:rsidR="00C71CB6" w:rsidRPr="003A7F84" w:rsidRDefault="00C71CB6" w:rsidP="00AB32A3">
            <w:pPr>
              <w:pStyle w:val="Tableheadingrow"/>
              <w:keepLines/>
              <w:rPr>
                <w:lang w:val="en-AU"/>
              </w:rPr>
            </w:pPr>
            <w:r w:rsidRPr="003A7F84">
              <w:rPr>
                <w:lang w:val="en-AU"/>
              </w:rPr>
              <w:t>Publication citation</w:t>
            </w:r>
          </w:p>
        </w:tc>
      </w:tr>
      <w:tr w:rsidR="00C71CB6" w:rsidRPr="003A7F84" w14:paraId="4A18090C" w14:textId="77777777" w:rsidTr="00AB32A3">
        <w:tc>
          <w:tcPr>
            <w:tcW w:w="5000" w:type="pct"/>
            <w:gridSpan w:val="3"/>
            <w:tcBorders>
              <w:bottom w:val="single" w:sz="4" w:space="0" w:color="auto"/>
            </w:tcBorders>
          </w:tcPr>
          <w:p w14:paraId="2313CFCF" w14:textId="7F8E7620" w:rsidR="00C71CB6" w:rsidRPr="003A7F84" w:rsidRDefault="00C71CB6" w:rsidP="00AB32A3">
            <w:pPr>
              <w:pStyle w:val="TableText"/>
              <w:keepLines/>
              <w:rPr>
                <w:b/>
                <w:bCs w:val="0"/>
              </w:rPr>
            </w:pPr>
            <w:r w:rsidRPr="003A7F84">
              <w:rPr>
                <w:b/>
                <w:bCs w:val="0"/>
              </w:rPr>
              <w:t xml:space="preserve">Clinical </w:t>
            </w:r>
            <w:r w:rsidR="004D3A7B" w:rsidRPr="003A7F84">
              <w:rPr>
                <w:b/>
                <w:bCs w:val="0"/>
              </w:rPr>
              <w:t>trials</w:t>
            </w:r>
            <w:r w:rsidRPr="003A7F84">
              <w:rPr>
                <w:b/>
                <w:bCs w:val="0"/>
              </w:rPr>
              <w:t xml:space="preserve"> (buccal midazolam versus rectal diazepam)</w:t>
            </w:r>
          </w:p>
        </w:tc>
      </w:tr>
      <w:tr w:rsidR="00C71CB6" w:rsidRPr="003A7F84" w14:paraId="68181A95" w14:textId="77777777" w:rsidTr="0003262B">
        <w:tc>
          <w:tcPr>
            <w:tcW w:w="705" w:type="pct"/>
            <w:tcBorders>
              <w:bottom w:val="single" w:sz="4" w:space="0" w:color="auto"/>
            </w:tcBorders>
          </w:tcPr>
          <w:p w14:paraId="171FEAD4" w14:textId="77777777" w:rsidR="00C71CB6" w:rsidRPr="003A7F84" w:rsidRDefault="00C71CB6" w:rsidP="00AB32A3">
            <w:pPr>
              <w:pStyle w:val="TableText"/>
              <w:keepLines/>
            </w:pPr>
            <w:r w:rsidRPr="003A7F84">
              <w:t>Ashrafi et al. 2010</w:t>
            </w:r>
          </w:p>
        </w:tc>
        <w:tc>
          <w:tcPr>
            <w:tcW w:w="2987" w:type="pct"/>
            <w:tcBorders>
              <w:bottom w:val="single" w:sz="4" w:space="0" w:color="auto"/>
            </w:tcBorders>
          </w:tcPr>
          <w:p w14:paraId="3E8075D9" w14:textId="6F79B038" w:rsidR="00C71CB6" w:rsidRPr="003A7F84" w:rsidRDefault="00C71CB6" w:rsidP="00AB32A3">
            <w:pPr>
              <w:pStyle w:val="TableText"/>
              <w:keepLines/>
              <w:rPr>
                <w:szCs w:val="20"/>
              </w:rPr>
            </w:pPr>
            <w:r w:rsidRPr="003A7F84">
              <w:rPr>
                <w:szCs w:val="20"/>
              </w:rPr>
              <w:t xml:space="preserve">Ashrafi MR, Khosroshahi N, Karimi P, Malamiri RA, Bavarian B, Zarch AV, Mirzaei M, Kompani F. </w:t>
            </w:r>
            <w:proofErr w:type="gramStart"/>
            <w:r w:rsidRPr="003A7F84">
              <w:rPr>
                <w:szCs w:val="20"/>
              </w:rPr>
              <w:t>Efficacy</w:t>
            </w:r>
            <w:proofErr w:type="gramEnd"/>
            <w:r w:rsidRPr="003A7F84">
              <w:rPr>
                <w:szCs w:val="20"/>
              </w:rPr>
              <w:t xml:space="preserve"> and usability of buccal midazolam in controlling acute prolonged convulsive seizures in children.</w:t>
            </w:r>
          </w:p>
        </w:tc>
        <w:tc>
          <w:tcPr>
            <w:tcW w:w="1308" w:type="pct"/>
            <w:tcBorders>
              <w:bottom w:val="single" w:sz="4" w:space="0" w:color="auto"/>
            </w:tcBorders>
          </w:tcPr>
          <w:p w14:paraId="6135CD76" w14:textId="77777777" w:rsidR="00C71CB6" w:rsidRPr="003A7F84" w:rsidRDefault="00C71CB6" w:rsidP="00AB32A3">
            <w:pPr>
              <w:pStyle w:val="TableText"/>
              <w:keepLines/>
            </w:pPr>
            <w:r w:rsidRPr="003A7F84">
              <w:rPr>
                <w:i/>
                <w:iCs/>
              </w:rPr>
              <w:t>European Journal of Paediatric Neurology</w:t>
            </w:r>
            <w:r w:rsidRPr="003A7F84">
              <w:t>, 2010; 14(5):434-438.</w:t>
            </w:r>
          </w:p>
        </w:tc>
      </w:tr>
      <w:tr w:rsidR="00C71CB6" w:rsidRPr="003A7F84" w14:paraId="6657B4D8" w14:textId="77777777" w:rsidTr="0003262B">
        <w:tc>
          <w:tcPr>
            <w:tcW w:w="705" w:type="pct"/>
            <w:tcBorders>
              <w:top w:val="single" w:sz="4" w:space="0" w:color="auto"/>
              <w:bottom w:val="single" w:sz="4" w:space="0" w:color="auto"/>
            </w:tcBorders>
          </w:tcPr>
          <w:p w14:paraId="7FC0A37C" w14:textId="77777777" w:rsidR="00C71CB6" w:rsidRPr="003A7F84" w:rsidRDefault="00C71CB6" w:rsidP="00AB32A3">
            <w:pPr>
              <w:pStyle w:val="TableText"/>
              <w:keepLines/>
            </w:pPr>
            <w:r w:rsidRPr="003A7F84">
              <w:t>Baysun et al. 2005</w:t>
            </w:r>
          </w:p>
        </w:tc>
        <w:tc>
          <w:tcPr>
            <w:tcW w:w="2987" w:type="pct"/>
            <w:tcBorders>
              <w:top w:val="single" w:sz="4" w:space="0" w:color="auto"/>
              <w:bottom w:val="single" w:sz="4" w:space="0" w:color="auto"/>
            </w:tcBorders>
          </w:tcPr>
          <w:p w14:paraId="1C4CD8B1" w14:textId="2A6A3FF1" w:rsidR="00C71CB6" w:rsidRPr="003A7F84" w:rsidRDefault="00C71CB6" w:rsidP="00AB32A3">
            <w:pPr>
              <w:pStyle w:val="TableText"/>
              <w:keepLines/>
              <w:rPr>
                <w:szCs w:val="20"/>
              </w:rPr>
            </w:pPr>
            <w:r w:rsidRPr="003A7F84">
              <w:rPr>
                <w:szCs w:val="20"/>
              </w:rPr>
              <w:t>Baysun Ş, Aydin ÖF, Atmaca E, Gürer YKY. A comparison of buccal midazolam and rectal diazepam for the acute treatment of seizures.</w:t>
            </w:r>
          </w:p>
        </w:tc>
        <w:tc>
          <w:tcPr>
            <w:tcW w:w="1308" w:type="pct"/>
            <w:tcBorders>
              <w:top w:val="single" w:sz="4" w:space="0" w:color="auto"/>
              <w:bottom w:val="single" w:sz="4" w:space="0" w:color="auto"/>
            </w:tcBorders>
          </w:tcPr>
          <w:p w14:paraId="4B21AF87" w14:textId="5016A4E6" w:rsidR="00C71CB6" w:rsidRPr="003A7F84" w:rsidRDefault="00C71CB6" w:rsidP="00AB32A3">
            <w:pPr>
              <w:pStyle w:val="TableText"/>
              <w:keepLines/>
              <w:rPr>
                <w:szCs w:val="18"/>
              </w:rPr>
            </w:pPr>
            <w:r w:rsidRPr="003A7F84">
              <w:rPr>
                <w:i/>
                <w:iCs/>
              </w:rPr>
              <w:t>Clinical Pediatrics (Phila)</w:t>
            </w:r>
            <w:r w:rsidRPr="003A7F84">
              <w:t xml:space="preserve">, </w:t>
            </w:r>
            <w:r w:rsidR="00622C34" w:rsidRPr="003A7F84">
              <w:t>2005; 44</w:t>
            </w:r>
            <w:r w:rsidRPr="003A7F84">
              <w:t>(9):771-776.</w:t>
            </w:r>
          </w:p>
        </w:tc>
      </w:tr>
      <w:tr w:rsidR="00C71CB6" w:rsidRPr="003A7F84" w14:paraId="0A61D70C" w14:textId="77777777" w:rsidTr="0003262B">
        <w:tc>
          <w:tcPr>
            <w:tcW w:w="705" w:type="pct"/>
            <w:tcBorders>
              <w:top w:val="single" w:sz="4" w:space="0" w:color="auto"/>
              <w:bottom w:val="single" w:sz="4" w:space="0" w:color="auto"/>
            </w:tcBorders>
          </w:tcPr>
          <w:p w14:paraId="4DC1A466" w14:textId="77777777" w:rsidR="00C71CB6" w:rsidRPr="003A7F84" w:rsidRDefault="00C71CB6" w:rsidP="00AB32A3">
            <w:pPr>
              <w:pStyle w:val="TableText"/>
              <w:keepLines/>
            </w:pPr>
            <w:proofErr w:type="gramStart"/>
            <w:r w:rsidRPr="003A7F84">
              <w:t>McIntyre  et al.</w:t>
            </w:r>
            <w:proofErr w:type="gramEnd"/>
            <w:r w:rsidRPr="003A7F84">
              <w:t xml:space="preserve"> 2005</w:t>
            </w:r>
          </w:p>
        </w:tc>
        <w:tc>
          <w:tcPr>
            <w:tcW w:w="2987" w:type="pct"/>
            <w:tcBorders>
              <w:top w:val="single" w:sz="4" w:space="0" w:color="auto"/>
              <w:bottom w:val="single" w:sz="4" w:space="0" w:color="auto"/>
            </w:tcBorders>
          </w:tcPr>
          <w:p w14:paraId="18CCC668" w14:textId="4923D418" w:rsidR="00C71CB6" w:rsidRPr="003A7F84" w:rsidRDefault="00C71CB6" w:rsidP="00AB32A3">
            <w:pPr>
              <w:pStyle w:val="TableText"/>
              <w:keepLines/>
              <w:rPr>
                <w:szCs w:val="20"/>
              </w:rPr>
            </w:pPr>
            <w:proofErr w:type="gramStart"/>
            <w:r w:rsidRPr="003A7F84">
              <w:rPr>
                <w:szCs w:val="20"/>
              </w:rPr>
              <w:t>McIntyre  J</w:t>
            </w:r>
            <w:proofErr w:type="gramEnd"/>
            <w:r w:rsidRPr="003A7F84">
              <w:rPr>
                <w:szCs w:val="20"/>
              </w:rPr>
              <w:t>, Robertson S, Norris E, Appleton R, Whitehouse WP, Phillips B, Martland T, Berry K, Collier, J, Smith S, Choonara I. Safety and efficacy of buccal midazolam versus rectal diazepam for emergency treatment of seizures in children: a randomised controlled trial.</w:t>
            </w:r>
          </w:p>
        </w:tc>
        <w:tc>
          <w:tcPr>
            <w:tcW w:w="1308" w:type="pct"/>
            <w:tcBorders>
              <w:top w:val="single" w:sz="4" w:space="0" w:color="auto"/>
              <w:bottom w:val="single" w:sz="4" w:space="0" w:color="auto"/>
            </w:tcBorders>
          </w:tcPr>
          <w:p w14:paraId="02E44619" w14:textId="790184C5" w:rsidR="00C71CB6" w:rsidRPr="003A7F84" w:rsidRDefault="00C71CB6" w:rsidP="00AB32A3">
            <w:pPr>
              <w:pStyle w:val="TableText"/>
              <w:keepLines/>
              <w:rPr>
                <w:i/>
                <w:szCs w:val="18"/>
              </w:rPr>
            </w:pPr>
            <w:r w:rsidRPr="003A7F84">
              <w:rPr>
                <w:i/>
                <w:iCs/>
              </w:rPr>
              <w:t>Lancet</w:t>
            </w:r>
            <w:r w:rsidRPr="003A7F84">
              <w:t xml:space="preserve">, </w:t>
            </w:r>
            <w:r w:rsidR="00622C34" w:rsidRPr="003A7F84">
              <w:t>2005; 366</w:t>
            </w:r>
            <w:r w:rsidRPr="003A7F84">
              <w:t>(9481):205</w:t>
            </w:r>
            <w:r w:rsidRPr="003A7F84">
              <w:rPr>
                <w:rFonts w:ascii="Cambria Math" w:hAnsi="Cambria Math" w:cs="Cambria Math"/>
              </w:rPr>
              <w:t>‐</w:t>
            </w:r>
            <w:r w:rsidRPr="003A7F84">
              <w:t>210.</w:t>
            </w:r>
          </w:p>
        </w:tc>
      </w:tr>
      <w:tr w:rsidR="00C71CB6" w:rsidRPr="003A7F84" w14:paraId="23D26FD4" w14:textId="77777777" w:rsidTr="0003262B">
        <w:tc>
          <w:tcPr>
            <w:tcW w:w="705" w:type="pct"/>
            <w:tcBorders>
              <w:bottom w:val="single" w:sz="4" w:space="0" w:color="auto"/>
            </w:tcBorders>
          </w:tcPr>
          <w:p w14:paraId="6683900C" w14:textId="77777777" w:rsidR="00C71CB6" w:rsidRPr="003A7F84" w:rsidRDefault="00C71CB6" w:rsidP="00AB32A3">
            <w:pPr>
              <w:pStyle w:val="TableText"/>
              <w:keepLines/>
            </w:pPr>
            <w:r w:rsidRPr="003A7F84">
              <w:t>Mpimbaza et al. 2008</w:t>
            </w:r>
          </w:p>
        </w:tc>
        <w:tc>
          <w:tcPr>
            <w:tcW w:w="2987" w:type="pct"/>
            <w:tcBorders>
              <w:bottom w:val="single" w:sz="4" w:space="0" w:color="auto"/>
            </w:tcBorders>
          </w:tcPr>
          <w:p w14:paraId="6039FF07" w14:textId="7E8C8ADC" w:rsidR="00C71CB6" w:rsidRPr="003A7F84" w:rsidRDefault="00C71CB6" w:rsidP="00AB32A3">
            <w:pPr>
              <w:pStyle w:val="TableText"/>
              <w:keepLines/>
              <w:rPr>
                <w:szCs w:val="20"/>
              </w:rPr>
            </w:pPr>
            <w:r w:rsidRPr="003A7F84">
              <w:rPr>
                <w:szCs w:val="20"/>
              </w:rPr>
              <w:t>Mpimbaza A, Ndeezi G, Staedke S, Rosenthal PJ, Byarugaba J. Comparison of buccal midazolam with rectal diazepam in the treatment of prolonged seizures in Ugandan children: a randomized clinical trial.</w:t>
            </w:r>
          </w:p>
        </w:tc>
        <w:tc>
          <w:tcPr>
            <w:tcW w:w="1308" w:type="pct"/>
            <w:tcBorders>
              <w:bottom w:val="single" w:sz="4" w:space="0" w:color="auto"/>
            </w:tcBorders>
          </w:tcPr>
          <w:p w14:paraId="2BF9A8EE" w14:textId="76921A02" w:rsidR="00C71CB6" w:rsidRPr="003A7F84" w:rsidRDefault="00C71CB6" w:rsidP="00AB32A3">
            <w:pPr>
              <w:pStyle w:val="TableText"/>
              <w:keepLines/>
            </w:pPr>
            <w:r w:rsidRPr="003A7F84">
              <w:rPr>
                <w:i/>
                <w:iCs/>
              </w:rPr>
              <w:t>Pediatrics</w:t>
            </w:r>
            <w:r w:rsidRPr="003A7F84">
              <w:t>, 2008; 121(1</w:t>
            </w:r>
            <w:r w:rsidR="00622C34" w:rsidRPr="003A7F84">
              <w:t>): e</w:t>
            </w:r>
            <w:r w:rsidRPr="003A7F84">
              <w:t>58-64.</w:t>
            </w:r>
          </w:p>
        </w:tc>
      </w:tr>
      <w:tr w:rsidR="00C71CB6" w:rsidRPr="003A7F84" w14:paraId="270C2458" w14:textId="77777777" w:rsidTr="0003262B">
        <w:tc>
          <w:tcPr>
            <w:tcW w:w="705" w:type="pct"/>
            <w:tcBorders>
              <w:top w:val="single" w:sz="4" w:space="0" w:color="auto"/>
              <w:bottom w:val="single" w:sz="4" w:space="0" w:color="auto"/>
            </w:tcBorders>
          </w:tcPr>
          <w:p w14:paraId="5B18E8C9" w14:textId="77777777" w:rsidR="00C71CB6" w:rsidRPr="003A7F84" w:rsidRDefault="00C71CB6" w:rsidP="00AB32A3">
            <w:pPr>
              <w:pStyle w:val="TableText"/>
              <w:keepLines/>
            </w:pPr>
            <w:r w:rsidRPr="003A7F84">
              <w:t>Nakken et al. 2011</w:t>
            </w:r>
          </w:p>
        </w:tc>
        <w:tc>
          <w:tcPr>
            <w:tcW w:w="2987" w:type="pct"/>
            <w:tcBorders>
              <w:top w:val="single" w:sz="4" w:space="0" w:color="auto"/>
              <w:bottom w:val="single" w:sz="4" w:space="0" w:color="auto"/>
            </w:tcBorders>
          </w:tcPr>
          <w:p w14:paraId="65A75FE0" w14:textId="61E04E98" w:rsidR="00C71CB6" w:rsidRPr="003A7F84" w:rsidRDefault="00C71CB6" w:rsidP="00AB32A3">
            <w:pPr>
              <w:pStyle w:val="TableText"/>
              <w:keepLines/>
              <w:rPr>
                <w:szCs w:val="20"/>
              </w:rPr>
            </w:pPr>
            <w:r w:rsidRPr="003A7F84">
              <w:rPr>
                <w:szCs w:val="20"/>
              </w:rPr>
              <w:t>Nakken KO</w:t>
            </w:r>
            <w:r w:rsidR="0003262B" w:rsidRPr="003A7F84">
              <w:rPr>
                <w:szCs w:val="20"/>
              </w:rPr>
              <w:t>,</w:t>
            </w:r>
            <w:r w:rsidRPr="003A7F84">
              <w:rPr>
                <w:szCs w:val="20"/>
              </w:rPr>
              <w:t xml:space="preserve"> Lossius MI. Buccal midazolam or rectal diazepam for treatment of residential adult patients with serial seizures or status epilepticus.</w:t>
            </w:r>
          </w:p>
        </w:tc>
        <w:tc>
          <w:tcPr>
            <w:tcW w:w="1308" w:type="pct"/>
            <w:tcBorders>
              <w:top w:val="single" w:sz="4" w:space="0" w:color="auto"/>
              <w:bottom w:val="single" w:sz="4" w:space="0" w:color="auto"/>
            </w:tcBorders>
          </w:tcPr>
          <w:p w14:paraId="6116140D" w14:textId="77777777" w:rsidR="00C71CB6" w:rsidRPr="003A7F84" w:rsidRDefault="00C71CB6" w:rsidP="00AB32A3">
            <w:pPr>
              <w:pStyle w:val="TableText"/>
              <w:keepLines/>
              <w:rPr>
                <w:i/>
              </w:rPr>
            </w:pPr>
            <w:r w:rsidRPr="003A7F84">
              <w:rPr>
                <w:i/>
                <w:iCs/>
              </w:rPr>
              <w:t>Acta Neurologica Scandinavica</w:t>
            </w:r>
            <w:r w:rsidRPr="003A7F84">
              <w:t>, 2011; 124:99–103.</w:t>
            </w:r>
          </w:p>
        </w:tc>
      </w:tr>
      <w:tr w:rsidR="00C71CB6" w:rsidRPr="003A7F84" w14:paraId="0BB5DDAE" w14:textId="77777777" w:rsidTr="0003262B">
        <w:tc>
          <w:tcPr>
            <w:tcW w:w="705" w:type="pct"/>
            <w:tcBorders>
              <w:top w:val="single" w:sz="4" w:space="0" w:color="auto"/>
              <w:bottom w:val="single" w:sz="4" w:space="0" w:color="auto"/>
            </w:tcBorders>
          </w:tcPr>
          <w:p w14:paraId="17DB13D8" w14:textId="77777777" w:rsidR="00C71CB6" w:rsidRPr="003A7F84" w:rsidRDefault="00C71CB6" w:rsidP="00AB32A3">
            <w:pPr>
              <w:pStyle w:val="TableText"/>
              <w:keepLines/>
            </w:pPr>
            <w:r w:rsidRPr="003A7F84">
              <w:t>Scott et al. 1999</w:t>
            </w:r>
          </w:p>
        </w:tc>
        <w:tc>
          <w:tcPr>
            <w:tcW w:w="2987" w:type="pct"/>
            <w:tcBorders>
              <w:top w:val="single" w:sz="4" w:space="0" w:color="auto"/>
              <w:bottom w:val="single" w:sz="4" w:space="0" w:color="auto"/>
            </w:tcBorders>
          </w:tcPr>
          <w:p w14:paraId="4A951112" w14:textId="75340B49" w:rsidR="00C71CB6" w:rsidRPr="003A7F84" w:rsidRDefault="00C71CB6" w:rsidP="00AB32A3">
            <w:pPr>
              <w:pStyle w:val="TableText"/>
              <w:keepLines/>
              <w:rPr>
                <w:szCs w:val="20"/>
              </w:rPr>
            </w:pPr>
            <w:r w:rsidRPr="003A7F84">
              <w:rPr>
                <w:szCs w:val="20"/>
              </w:rPr>
              <w:t>Scott RC, Besag FMC, Neville BGR. Buccal midazolam and rectal diazepam for treatment of prolonged seizures in childhood and adolescence: A randomised trial.</w:t>
            </w:r>
          </w:p>
        </w:tc>
        <w:tc>
          <w:tcPr>
            <w:tcW w:w="1308" w:type="pct"/>
            <w:tcBorders>
              <w:top w:val="single" w:sz="4" w:space="0" w:color="auto"/>
              <w:bottom w:val="single" w:sz="4" w:space="0" w:color="auto"/>
            </w:tcBorders>
          </w:tcPr>
          <w:p w14:paraId="53BCC3F1" w14:textId="77777777" w:rsidR="00C71CB6" w:rsidRPr="003A7F84" w:rsidRDefault="00C71CB6" w:rsidP="00AB32A3">
            <w:pPr>
              <w:pStyle w:val="TableText"/>
              <w:keepLines/>
            </w:pPr>
            <w:r w:rsidRPr="003A7F84">
              <w:rPr>
                <w:i/>
                <w:iCs/>
              </w:rPr>
              <w:t>Lancet</w:t>
            </w:r>
            <w:r w:rsidRPr="003A7F84">
              <w:t>, 1999; 353(9153):623-626.</w:t>
            </w:r>
          </w:p>
        </w:tc>
      </w:tr>
      <w:tr w:rsidR="00C71CB6" w:rsidRPr="003A7F84" w14:paraId="7C77A99C" w14:textId="77777777" w:rsidTr="0003262B">
        <w:tc>
          <w:tcPr>
            <w:tcW w:w="705" w:type="pct"/>
          </w:tcPr>
          <w:p w14:paraId="5B06099E" w14:textId="77777777" w:rsidR="00C71CB6" w:rsidRPr="003A7F84" w:rsidRDefault="00C71CB6" w:rsidP="00AB32A3">
            <w:pPr>
              <w:pStyle w:val="TableText"/>
              <w:keepLines/>
            </w:pPr>
            <w:r w:rsidRPr="003A7F84">
              <w:t>Trajano et al. 2009</w:t>
            </w:r>
          </w:p>
        </w:tc>
        <w:tc>
          <w:tcPr>
            <w:tcW w:w="2987" w:type="pct"/>
          </w:tcPr>
          <w:p w14:paraId="11ABCF16" w14:textId="68A1E933" w:rsidR="00C71CB6" w:rsidRPr="003A7F84" w:rsidRDefault="00C71CB6" w:rsidP="00AB32A3">
            <w:pPr>
              <w:pStyle w:val="TableText"/>
              <w:keepLines/>
              <w:rPr>
                <w:szCs w:val="20"/>
              </w:rPr>
            </w:pPr>
            <w:r w:rsidRPr="003A7F84">
              <w:rPr>
                <w:szCs w:val="20"/>
              </w:rPr>
              <w:t>Trajano ML, Sanchez BC, Lukban MB, Salonga AM. Buccal midazolam compared to rectal diazepam and intravenous midazolam as emergent treatment of acute seizures in children: preliminary study.</w:t>
            </w:r>
          </w:p>
        </w:tc>
        <w:tc>
          <w:tcPr>
            <w:tcW w:w="1308" w:type="pct"/>
          </w:tcPr>
          <w:p w14:paraId="07344CEC" w14:textId="77777777" w:rsidR="00C71CB6" w:rsidRPr="003A7F84" w:rsidRDefault="00C71CB6" w:rsidP="00AB32A3">
            <w:pPr>
              <w:pStyle w:val="TableText"/>
              <w:keepLines/>
            </w:pPr>
            <w:r w:rsidRPr="003A7F84">
              <w:rPr>
                <w:i/>
                <w:iCs/>
              </w:rPr>
              <w:t>Journal of the Neurological Sciences</w:t>
            </w:r>
            <w:r w:rsidRPr="003A7F84">
              <w:t xml:space="preserve">, 2009; </w:t>
            </w:r>
            <w:proofErr w:type="gramStart"/>
            <w:r w:rsidRPr="003A7F84">
              <w:t>285:S</w:t>
            </w:r>
            <w:proofErr w:type="gramEnd"/>
            <w:r w:rsidRPr="003A7F84">
              <w:t>254-255.</w:t>
            </w:r>
          </w:p>
        </w:tc>
      </w:tr>
    </w:tbl>
    <w:p w14:paraId="0D11A55C" w14:textId="370770E7" w:rsidR="00C71CB6" w:rsidRPr="003A7F84" w:rsidRDefault="00C71CB6" w:rsidP="000C7544">
      <w:pPr>
        <w:pStyle w:val="TableFigureFooter"/>
        <w:keepLines/>
      </w:pPr>
      <w:r w:rsidRPr="003A7F84">
        <w:t>Source: Table 2-2, p68 of the submission</w:t>
      </w:r>
      <w:r w:rsidR="00C6555D" w:rsidRPr="003A7F84">
        <w:t>.</w:t>
      </w:r>
    </w:p>
    <w:p w14:paraId="3FB2E1DA" w14:textId="5EEEF650" w:rsidR="00C71CB6" w:rsidRPr="003A7F84" w:rsidRDefault="004B732D" w:rsidP="00C71CB6">
      <w:pPr>
        <w:pStyle w:val="ExecSumBodyText"/>
      </w:pPr>
      <w:r w:rsidRPr="003A7F84">
        <w:t>Key features of the</w:t>
      </w:r>
      <w:r w:rsidR="005D5F16" w:rsidRPr="003A7F84">
        <w:t xml:space="preserve"> </w:t>
      </w:r>
      <w:r w:rsidR="00070CCE" w:rsidRPr="003A7F84">
        <w:t xml:space="preserve">included </w:t>
      </w:r>
      <w:r w:rsidR="004D3A7B" w:rsidRPr="003A7F84">
        <w:t>trials</w:t>
      </w:r>
      <w:r w:rsidR="005D5F16" w:rsidRPr="003A7F84">
        <w:t xml:space="preserve"> are </w:t>
      </w:r>
      <w:r w:rsidR="008D1AF0" w:rsidRPr="003A7F84">
        <w:t>summari</w:t>
      </w:r>
      <w:r w:rsidR="00234BBC" w:rsidRPr="003A7F84">
        <w:t>s</w:t>
      </w:r>
      <w:r w:rsidR="008D1AF0" w:rsidRPr="003A7F84">
        <w:t>ed</w:t>
      </w:r>
      <w:r w:rsidR="005D5F16" w:rsidRPr="003A7F84">
        <w:t xml:space="preserve"> in</w:t>
      </w:r>
      <w:r w:rsidR="00C1167C" w:rsidRPr="003A7F84">
        <w:t xml:space="preserve"> </w:t>
      </w:r>
      <w:r w:rsidR="00C1167C" w:rsidRPr="003A7F84">
        <w:fldChar w:fldCharType="begin"/>
      </w:r>
      <w:r w:rsidR="00C1167C" w:rsidRPr="003A7F84">
        <w:instrText xml:space="preserve"> REF _Ref104393180 \h </w:instrText>
      </w:r>
      <w:r w:rsidR="00C1167C" w:rsidRPr="003A7F84">
        <w:fldChar w:fldCharType="separate"/>
      </w:r>
      <w:r w:rsidR="009466A1" w:rsidRPr="003A7F84">
        <w:t xml:space="preserve">Table </w:t>
      </w:r>
      <w:r w:rsidR="009466A1">
        <w:rPr>
          <w:noProof/>
        </w:rPr>
        <w:t>4</w:t>
      </w:r>
      <w:r w:rsidR="00C1167C" w:rsidRPr="003A7F84">
        <w:fldChar w:fldCharType="end"/>
      </w:r>
      <w:r w:rsidR="005D5F16" w:rsidRPr="003A7F84">
        <w:t>.</w:t>
      </w:r>
    </w:p>
    <w:p w14:paraId="5F28CD99" w14:textId="7A8969B4" w:rsidR="008B3E0F" w:rsidRPr="003A7F84" w:rsidRDefault="008B3E0F" w:rsidP="008B3E0F">
      <w:pPr>
        <w:pStyle w:val="Caption"/>
        <w:rPr>
          <w:b w:val="0"/>
        </w:rPr>
      </w:pPr>
      <w:bookmarkStart w:id="25" w:name="_Ref104393180"/>
      <w:r w:rsidRPr="003A7F84">
        <w:lastRenderedPageBreak/>
        <w:t xml:space="preserve">Table </w:t>
      </w:r>
      <w:fldSimple w:instr=" SEQ Table \* ARABIC ">
        <w:r w:rsidR="009466A1">
          <w:rPr>
            <w:noProof/>
          </w:rPr>
          <w:t>4</w:t>
        </w:r>
      </w:fldSimple>
      <w:bookmarkEnd w:id="25"/>
      <w:r w:rsidRPr="003A7F84">
        <w:t xml:space="preserve">: Key features of the included </w:t>
      </w:r>
      <w:r w:rsidR="004D3A7B" w:rsidRPr="003A7F84">
        <w:t>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7"/>
        <w:gridCol w:w="566"/>
        <w:gridCol w:w="992"/>
        <w:gridCol w:w="2552"/>
        <w:gridCol w:w="1984"/>
        <w:gridCol w:w="1468"/>
        <w:gridCol w:w="608"/>
      </w:tblGrid>
      <w:tr w:rsidR="00830BBE" w:rsidRPr="003A7F84" w14:paraId="4097E777" w14:textId="77777777" w:rsidTr="00AB32A3">
        <w:trPr>
          <w:cantSplit/>
          <w:tblHeader/>
        </w:trPr>
        <w:tc>
          <w:tcPr>
            <w:tcW w:w="470" w:type="pct"/>
            <w:shd w:val="clear" w:color="auto" w:fill="auto"/>
            <w:vAlign w:val="center"/>
          </w:tcPr>
          <w:p w14:paraId="6C68EA3E" w14:textId="77777777" w:rsidR="00830BBE" w:rsidRPr="003A7F84" w:rsidRDefault="00830BBE" w:rsidP="00AB32A3">
            <w:pPr>
              <w:pStyle w:val="Tableheadingrow"/>
              <w:keepNext w:val="0"/>
              <w:rPr>
                <w:lang w:val="en-AU"/>
              </w:rPr>
            </w:pPr>
            <w:r w:rsidRPr="003A7F84">
              <w:rPr>
                <w:lang w:val="en-AU"/>
              </w:rPr>
              <w:t>Trial</w:t>
            </w:r>
          </w:p>
        </w:tc>
        <w:tc>
          <w:tcPr>
            <w:tcW w:w="314" w:type="pct"/>
            <w:shd w:val="clear" w:color="auto" w:fill="auto"/>
            <w:vAlign w:val="center"/>
          </w:tcPr>
          <w:p w14:paraId="0FEF4BD4" w14:textId="77777777" w:rsidR="00830BBE" w:rsidRPr="003A7F84" w:rsidRDefault="00830BBE" w:rsidP="00AB32A3">
            <w:pPr>
              <w:pStyle w:val="Tableheadingrow"/>
              <w:keepNext w:val="0"/>
              <w:ind w:left="-50" w:right="-23"/>
              <w:jc w:val="center"/>
              <w:rPr>
                <w:lang w:val="en-AU"/>
              </w:rPr>
            </w:pPr>
            <w:r w:rsidRPr="003A7F84">
              <w:rPr>
                <w:lang w:val="en-AU"/>
              </w:rPr>
              <w:t>N/ events</w:t>
            </w:r>
          </w:p>
        </w:tc>
        <w:tc>
          <w:tcPr>
            <w:tcW w:w="550" w:type="pct"/>
            <w:shd w:val="clear" w:color="auto" w:fill="auto"/>
            <w:vAlign w:val="center"/>
          </w:tcPr>
          <w:p w14:paraId="6A3CCEDE" w14:textId="77777777" w:rsidR="00830BBE" w:rsidRPr="003A7F84" w:rsidRDefault="00830BBE" w:rsidP="00AB32A3">
            <w:pPr>
              <w:pStyle w:val="Tableheadingrow"/>
              <w:keepNext w:val="0"/>
              <w:jc w:val="center"/>
              <w:rPr>
                <w:lang w:val="en-AU"/>
              </w:rPr>
            </w:pPr>
            <w:r w:rsidRPr="003A7F84">
              <w:rPr>
                <w:lang w:val="en-AU"/>
              </w:rPr>
              <w:t>Design</w:t>
            </w:r>
          </w:p>
        </w:tc>
        <w:tc>
          <w:tcPr>
            <w:tcW w:w="1415" w:type="pct"/>
            <w:shd w:val="clear" w:color="auto" w:fill="auto"/>
            <w:vAlign w:val="center"/>
          </w:tcPr>
          <w:p w14:paraId="39D90619" w14:textId="77777777" w:rsidR="00830BBE" w:rsidRPr="003A7F84" w:rsidRDefault="00830BBE" w:rsidP="00AB32A3">
            <w:pPr>
              <w:pStyle w:val="Tableheadingrow"/>
              <w:keepNext w:val="0"/>
              <w:jc w:val="center"/>
              <w:rPr>
                <w:lang w:val="en-AU"/>
              </w:rPr>
            </w:pPr>
            <w:r w:rsidRPr="003A7F84">
              <w:rPr>
                <w:lang w:val="en-AU"/>
              </w:rPr>
              <w:t>Patient population</w:t>
            </w:r>
          </w:p>
        </w:tc>
        <w:tc>
          <w:tcPr>
            <w:tcW w:w="1100" w:type="pct"/>
            <w:shd w:val="clear" w:color="auto" w:fill="auto"/>
            <w:vAlign w:val="center"/>
          </w:tcPr>
          <w:p w14:paraId="55CBB2B0" w14:textId="77777777" w:rsidR="00830BBE" w:rsidRPr="003A7F84" w:rsidRDefault="00830BBE" w:rsidP="00AB32A3">
            <w:pPr>
              <w:pStyle w:val="Tableheadingrow"/>
              <w:keepNext w:val="0"/>
              <w:jc w:val="center"/>
              <w:rPr>
                <w:lang w:val="en-AU"/>
              </w:rPr>
            </w:pPr>
            <w:r w:rsidRPr="003A7F84">
              <w:rPr>
                <w:lang w:val="en-AU"/>
              </w:rPr>
              <w:t>Interventions</w:t>
            </w:r>
          </w:p>
        </w:tc>
        <w:tc>
          <w:tcPr>
            <w:tcW w:w="814" w:type="pct"/>
            <w:shd w:val="clear" w:color="auto" w:fill="auto"/>
            <w:vAlign w:val="center"/>
          </w:tcPr>
          <w:p w14:paraId="02930054" w14:textId="77777777" w:rsidR="00830BBE" w:rsidRPr="003A7F84" w:rsidRDefault="00830BBE" w:rsidP="00AB32A3">
            <w:pPr>
              <w:pStyle w:val="Tableheadingrow"/>
              <w:keepNext w:val="0"/>
              <w:jc w:val="center"/>
              <w:rPr>
                <w:lang w:val="en-AU"/>
              </w:rPr>
            </w:pPr>
            <w:r w:rsidRPr="003A7F84">
              <w:rPr>
                <w:lang w:val="en-AU"/>
              </w:rPr>
              <w:t>Primary outcome</w:t>
            </w:r>
          </w:p>
        </w:tc>
        <w:tc>
          <w:tcPr>
            <w:tcW w:w="337" w:type="pct"/>
            <w:shd w:val="clear" w:color="auto" w:fill="auto"/>
            <w:vAlign w:val="center"/>
          </w:tcPr>
          <w:p w14:paraId="5C8049B1" w14:textId="77777777" w:rsidR="00830BBE" w:rsidRPr="003A7F84" w:rsidRDefault="00830BBE" w:rsidP="00AB32A3">
            <w:pPr>
              <w:pStyle w:val="Tableheadingrow"/>
              <w:keepNext w:val="0"/>
              <w:jc w:val="center"/>
              <w:rPr>
                <w:lang w:val="en-AU"/>
              </w:rPr>
            </w:pPr>
            <w:r w:rsidRPr="003A7F84">
              <w:rPr>
                <w:lang w:val="en-AU"/>
              </w:rPr>
              <w:t>Risk of bias</w:t>
            </w:r>
          </w:p>
        </w:tc>
      </w:tr>
      <w:tr w:rsidR="00830BBE" w:rsidRPr="003A7F84" w14:paraId="747913A3" w14:textId="77777777" w:rsidTr="005C7F14">
        <w:trPr>
          <w:cantSplit/>
        </w:trPr>
        <w:tc>
          <w:tcPr>
            <w:tcW w:w="470" w:type="pct"/>
            <w:shd w:val="clear" w:color="auto" w:fill="B6DDE8" w:themeFill="accent5" w:themeFillTint="66"/>
          </w:tcPr>
          <w:p w14:paraId="1E979ABF" w14:textId="77777777" w:rsidR="00830BBE" w:rsidRPr="003A7F84" w:rsidRDefault="00830BBE" w:rsidP="00AB32A3">
            <w:pPr>
              <w:pStyle w:val="TableText"/>
              <w:keepNext w:val="0"/>
            </w:pPr>
            <w:r w:rsidRPr="003A7F84">
              <w:t>Ashrafi 2010</w:t>
            </w:r>
          </w:p>
        </w:tc>
        <w:tc>
          <w:tcPr>
            <w:tcW w:w="314" w:type="pct"/>
            <w:shd w:val="clear" w:color="auto" w:fill="B6DDE8" w:themeFill="accent5" w:themeFillTint="66"/>
          </w:tcPr>
          <w:p w14:paraId="3918550C" w14:textId="77777777" w:rsidR="00830BBE" w:rsidRPr="003A7F84" w:rsidRDefault="00830BBE" w:rsidP="00AB32A3">
            <w:pPr>
              <w:pStyle w:val="TableText"/>
              <w:keepNext w:val="0"/>
              <w:jc w:val="center"/>
            </w:pPr>
            <w:r w:rsidRPr="003A7F84">
              <w:t>N=98</w:t>
            </w:r>
          </w:p>
        </w:tc>
        <w:tc>
          <w:tcPr>
            <w:tcW w:w="550" w:type="pct"/>
            <w:shd w:val="clear" w:color="auto" w:fill="B6DDE8" w:themeFill="accent5" w:themeFillTint="66"/>
          </w:tcPr>
          <w:p w14:paraId="75838805" w14:textId="77777777" w:rsidR="00830BBE" w:rsidRPr="003A7F84" w:rsidRDefault="00830BBE" w:rsidP="00AB32A3">
            <w:pPr>
              <w:pStyle w:val="TableText"/>
              <w:keepNext w:val="0"/>
              <w:jc w:val="center"/>
            </w:pPr>
            <w:r w:rsidRPr="003A7F84">
              <w:t>Prospective</w:t>
            </w:r>
          </w:p>
          <w:p w14:paraId="52061FC7" w14:textId="77777777" w:rsidR="00830BBE" w:rsidRPr="003A7F84" w:rsidRDefault="00830BBE" w:rsidP="00AB32A3">
            <w:pPr>
              <w:pStyle w:val="TableText"/>
              <w:keepNext w:val="0"/>
              <w:jc w:val="center"/>
            </w:pPr>
            <w:r w:rsidRPr="003A7F84">
              <w:t>R, AC, OL, MC.</w:t>
            </w:r>
          </w:p>
          <w:p w14:paraId="4FFDE7CA" w14:textId="77777777" w:rsidR="00830BBE" w:rsidRPr="003A7F84" w:rsidRDefault="00830BBE" w:rsidP="00AB32A3">
            <w:pPr>
              <w:pStyle w:val="TableText"/>
              <w:keepNext w:val="0"/>
              <w:jc w:val="center"/>
            </w:pPr>
            <w:r w:rsidRPr="003A7F84">
              <w:t xml:space="preserve">Apr 2007 - </w:t>
            </w:r>
          </w:p>
          <w:p w14:paraId="5AB209B2" w14:textId="77777777" w:rsidR="00830BBE" w:rsidRPr="003A7F84" w:rsidRDefault="00830BBE" w:rsidP="00AB32A3">
            <w:pPr>
              <w:pStyle w:val="TableText"/>
              <w:keepNext w:val="0"/>
              <w:jc w:val="center"/>
            </w:pPr>
            <w:r w:rsidRPr="003A7F84">
              <w:t>Apr 2008.</w:t>
            </w:r>
          </w:p>
          <w:p w14:paraId="7B2ADF48" w14:textId="77777777" w:rsidR="00830BBE" w:rsidRPr="003A7F84" w:rsidRDefault="00830BBE" w:rsidP="00AB32A3">
            <w:pPr>
              <w:pStyle w:val="TableText"/>
              <w:keepNext w:val="0"/>
              <w:jc w:val="center"/>
            </w:pPr>
          </w:p>
        </w:tc>
        <w:tc>
          <w:tcPr>
            <w:tcW w:w="1415" w:type="pct"/>
            <w:shd w:val="clear" w:color="auto" w:fill="B6DDE8" w:themeFill="accent5" w:themeFillTint="66"/>
          </w:tcPr>
          <w:p w14:paraId="36C4C365"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Children aged ≥3 months, with no IV access, admitted to 2 major referral hospitals (Iran)</w:t>
            </w:r>
          </w:p>
          <w:p w14:paraId="3588C572"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Prolonged convulsive seizure &gt;5 minutes, or convulsing on admission.</w:t>
            </w:r>
          </w:p>
          <w:p w14:paraId="5B0B7264"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Any aetiology. 86% with generalised convulsive seizures.</w:t>
            </w:r>
          </w:p>
        </w:tc>
        <w:tc>
          <w:tcPr>
            <w:tcW w:w="1100" w:type="pct"/>
            <w:shd w:val="clear" w:color="auto" w:fill="B6DDE8" w:themeFill="accent5" w:themeFillTint="66"/>
          </w:tcPr>
          <w:p w14:paraId="61304735" w14:textId="77777777" w:rsidR="00830BBE" w:rsidRPr="003A7F84" w:rsidRDefault="00830BBE" w:rsidP="00AB32A3">
            <w:pPr>
              <w:pStyle w:val="TableText"/>
              <w:keepNext w:val="0"/>
              <w:jc w:val="center"/>
            </w:pPr>
            <w:r w:rsidRPr="003A7F84">
              <w:t>Buccal midazolam (Epistatus or midazolam maleate solution)</w:t>
            </w:r>
          </w:p>
          <w:p w14:paraId="1428B724" w14:textId="77777777" w:rsidR="00830BBE" w:rsidRPr="003A7F84" w:rsidRDefault="00830BBE" w:rsidP="00AB32A3">
            <w:pPr>
              <w:pStyle w:val="TableText"/>
              <w:keepNext w:val="0"/>
              <w:jc w:val="center"/>
              <w:rPr>
                <w:bCs w:val="0"/>
              </w:rPr>
            </w:pPr>
            <w:r w:rsidRPr="003A7F84">
              <w:t>0.3-0.5 mg/kg</w:t>
            </w:r>
            <w:r w:rsidRPr="003A7F84">
              <w:rPr>
                <w:vertAlign w:val="superscript"/>
              </w:rPr>
              <w:t>a</w:t>
            </w:r>
            <w:r w:rsidRPr="003A7F84">
              <w:br/>
              <w:t>vs</w:t>
            </w:r>
            <w:r w:rsidRPr="003A7F84">
              <w:br/>
              <w:t>Rectal diazepam for injection 0.5 mg/kg</w:t>
            </w:r>
            <w:r w:rsidRPr="003A7F84">
              <w:rPr>
                <w:bCs w:val="0"/>
                <w:vertAlign w:val="superscript"/>
              </w:rPr>
              <w:t>a</w:t>
            </w:r>
          </w:p>
        </w:tc>
        <w:tc>
          <w:tcPr>
            <w:tcW w:w="814" w:type="pct"/>
            <w:shd w:val="clear" w:color="auto" w:fill="B6DDE8" w:themeFill="accent5" w:themeFillTint="66"/>
          </w:tcPr>
          <w:p w14:paraId="79068F5B" w14:textId="77777777" w:rsidR="00830BBE" w:rsidRPr="003A7F84" w:rsidRDefault="00830BBE" w:rsidP="00AB32A3">
            <w:pPr>
              <w:pStyle w:val="TableText"/>
              <w:keepNext w:val="0"/>
              <w:rPr>
                <w:rFonts w:eastAsiaTheme="minorHAnsi" w:cstheme="minorHAnsi"/>
                <w:szCs w:val="20"/>
                <w:lang w:eastAsia="en-GB"/>
              </w:rPr>
            </w:pPr>
            <w:r w:rsidRPr="003A7F84">
              <w:t>Cessation of convulsions within &lt;5 minutes, without respiratory depression, or recurrence within 1 hour.</w:t>
            </w:r>
          </w:p>
        </w:tc>
        <w:tc>
          <w:tcPr>
            <w:tcW w:w="337" w:type="pct"/>
            <w:shd w:val="clear" w:color="auto" w:fill="B6DDE8" w:themeFill="accent5" w:themeFillTint="66"/>
          </w:tcPr>
          <w:p w14:paraId="0BB68781" w14:textId="77777777" w:rsidR="00830BBE" w:rsidRPr="003A7F84" w:rsidRDefault="00830BBE" w:rsidP="00AB32A3">
            <w:pPr>
              <w:pStyle w:val="TableText"/>
              <w:keepNext w:val="0"/>
              <w:jc w:val="center"/>
            </w:pPr>
            <w:r w:rsidRPr="003A7F84">
              <w:t>High</w:t>
            </w:r>
          </w:p>
        </w:tc>
      </w:tr>
      <w:tr w:rsidR="00830BBE" w:rsidRPr="003A7F84" w14:paraId="27C72ACA" w14:textId="77777777" w:rsidTr="00AB32A3">
        <w:trPr>
          <w:cantSplit/>
        </w:trPr>
        <w:tc>
          <w:tcPr>
            <w:tcW w:w="470" w:type="pct"/>
            <w:shd w:val="clear" w:color="auto" w:fill="auto"/>
          </w:tcPr>
          <w:p w14:paraId="63F341C2" w14:textId="77777777" w:rsidR="00830BBE" w:rsidRPr="003A7F84" w:rsidRDefault="00830BBE" w:rsidP="00AB32A3">
            <w:pPr>
              <w:pStyle w:val="TableText"/>
              <w:keepNext w:val="0"/>
            </w:pPr>
            <w:r w:rsidRPr="003A7F84">
              <w:t>Baysun 2005</w:t>
            </w:r>
          </w:p>
        </w:tc>
        <w:tc>
          <w:tcPr>
            <w:tcW w:w="314" w:type="pct"/>
            <w:shd w:val="clear" w:color="auto" w:fill="auto"/>
          </w:tcPr>
          <w:p w14:paraId="062E9EE6" w14:textId="77777777" w:rsidR="00830BBE" w:rsidRPr="003A7F84" w:rsidRDefault="00830BBE" w:rsidP="00AB32A3">
            <w:pPr>
              <w:pStyle w:val="TableText"/>
              <w:keepNext w:val="0"/>
              <w:jc w:val="center"/>
            </w:pPr>
            <w:r w:rsidRPr="003A7F84">
              <w:t>N=43</w:t>
            </w:r>
          </w:p>
        </w:tc>
        <w:tc>
          <w:tcPr>
            <w:tcW w:w="550" w:type="pct"/>
            <w:shd w:val="clear" w:color="auto" w:fill="auto"/>
          </w:tcPr>
          <w:p w14:paraId="459294DA" w14:textId="77777777" w:rsidR="00830BBE" w:rsidRPr="003A7F84" w:rsidRDefault="00830BBE" w:rsidP="00AB32A3">
            <w:pPr>
              <w:pStyle w:val="TableText"/>
              <w:keepNext w:val="0"/>
              <w:jc w:val="center"/>
            </w:pPr>
            <w:r w:rsidRPr="003A7F84">
              <w:t>Prospective</w:t>
            </w:r>
          </w:p>
          <w:p w14:paraId="23654AFC" w14:textId="77777777" w:rsidR="00830BBE" w:rsidRPr="003A7F84" w:rsidRDefault="00830BBE" w:rsidP="00AB32A3">
            <w:pPr>
              <w:pStyle w:val="TableText"/>
              <w:keepNext w:val="0"/>
              <w:jc w:val="center"/>
            </w:pPr>
            <w:r w:rsidRPr="003A7F84">
              <w:t>AC, OL, SC.</w:t>
            </w:r>
          </w:p>
          <w:p w14:paraId="7FFA6C93" w14:textId="77777777" w:rsidR="00830BBE" w:rsidRPr="003A7F84" w:rsidRDefault="00830BBE" w:rsidP="00AB32A3">
            <w:pPr>
              <w:pStyle w:val="TableText"/>
              <w:keepNext w:val="0"/>
              <w:jc w:val="center"/>
            </w:pPr>
            <w:r w:rsidRPr="003A7F84">
              <w:t>Trial period not reported.</w:t>
            </w:r>
          </w:p>
        </w:tc>
        <w:tc>
          <w:tcPr>
            <w:tcW w:w="1415" w:type="pct"/>
            <w:shd w:val="clear" w:color="auto" w:fill="auto"/>
          </w:tcPr>
          <w:p w14:paraId="45244B19"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Children aged 2 months to 12 years, admitted to a hospital emergency unit (Turkey).</w:t>
            </w:r>
          </w:p>
          <w:p w14:paraId="1C61D620"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Convulsing on admission.</w:t>
            </w:r>
          </w:p>
          <w:p w14:paraId="70604D82"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Any aetiology. 42% with seizures possibly related to epilepsy.</w:t>
            </w:r>
          </w:p>
        </w:tc>
        <w:tc>
          <w:tcPr>
            <w:tcW w:w="1100" w:type="pct"/>
            <w:shd w:val="clear" w:color="auto" w:fill="auto"/>
          </w:tcPr>
          <w:p w14:paraId="398A63CC" w14:textId="77777777" w:rsidR="00830BBE" w:rsidRPr="003A7F84" w:rsidRDefault="00830BBE" w:rsidP="00AB32A3">
            <w:pPr>
              <w:pStyle w:val="TableText"/>
              <w:keepNext w:val="0"/>
              <w:ind w:left="17"/>
              <w:jc w:val="center"/>
              <w:rPr>
                <w:rFonts w:eastAsiaTheme="minorHAnsi" w:cstheme="minorHAnsi"/>
                <w:szCs w:val="20"/>
                <w:lang w:eastAsia="en-GB"/>
              </w:rPr>
            </w:pPr>
            <w:r w:rsidRPr="003A7F84">
              <w:rPr>
                <w:rFonts w:eastAsiaTheme="minorHAnsi" w:cstheme="minorHAnsi"/>
                <w:szCs w:val="20"/>
                <w:lang w:eastAsia="en-GB"/>
              </w:rPr>
              <w:t>Buccal midazolam for injection 0.25 mg/kg</w:t>
            </w:r>
            <w:r w:rsidRPr="003A7F84">
              <w:rPr>
                <w:rFonts w:eastAsiaTheme="minorHAnsi" w:cstheme="minorHAnsi"/>
                <w:szCs w:val="20"/>
                <w:lang w:eastAsia="en-GB"/>
              </w:rPr>
              <w:br/>
              <w:t>vs</w:t>
            </w:r>
            <w:r w:rsidRPr="003A7F84">
              <w:rPr>
                <w:rFonts w:eastAsiaTheme="minorHAnsi" w:cstheme="minorHAnsi"/>
                <w:szCs w:val="20"/>
                <w:lang w:eastAsia="en-GB"/>
              </w:rPr>
              <w:br/>
            </w:r>
            <w:r w:rsidRPr="003A7F84">
              <w:rPr>
                <w:lang w:eastAsia="en-GB"/>
              </w:rPr>
              <w:t>D</w:t>
            </w:r>
            <w:r w:rsidRPr="003A7F84">
              <w:rPr>
                <w:rFonts w:eastAsiaTheme="minorHAnsi" w:cstheme="minorHAnsi"/>
                <w:szCs w:val="20"/>
                <w:lang w:eastAsia="en-GB"/>
              </w:rPr>
              <w:t xml:space="preserve">iazepam rectal solution </w:t>
            </w:r>
          </w:p>
          <w:p w14:paraId="0D234E6C" w14:textId="77777777" w:rsidR="00830BBE" w:rsidRPr="003A7F84" w:rsidRDefault="00830BBE" w:rsidP="00AB32A3">
            <w:pPr>
              <w:pStyle w:val="TableText"/>
              <w:keepNext w:val="0"/>
              <w:ind w:left="17"/>
              <w:jc w:val="center"/>
              <w:rPr>
                <w:rFonts w:eastAsiaTheme="minorHAnsi" w:cstheme="minorHAnsi"/>
                <w:szCs w:val="20"/>
                <w:lang w:eastAsia="en-GB"/>
              </w:rPr>
            </w:pPr>
            <w:r w:rsidRPr="003A7F84">
              <w:rPr>
                <w:rFonts w:eastAsiaTheme="minorHAnsi" w:cstheme="minorHAnsi"/>
                <w:szCs w:val="20"/>
                <w:lang w:eastAsia="en-GB"/>
              </w:rPr>
              <w:t>0.3-0.6 mg/kg</w:t>
            </w:r>
            <w:r w:rsidRPr="003A7F84">
              <w:rPr>
                <w:rFonts w:eastAsiaTheme="minorHAnsi" w:cstheme="minorHAnsi"/>
                <w:szCs w:val="20"/>
                <w:vertAlign w:val="superscript"/>
                <w:lang w:eastAsia="en-GB"/>
              </w:rPr>
              <w:t>b</w:t>
            </w:r>
          </w:p>
        </w:tc>
        <w:tc>
          <w:tcPr>
            <w:tcW w:w="814" w:type="pct"/>
            <w:shd w:val="clear" w:color="auto" w:fill="auto"/>
          </w:tcPr>
          <w:p w14:paraId="1E843963" w14:textId="77777777" w:rsidR="00830BBE" w:rsidRPr="003A7F84" w:rsidRDefault="00830BBE" w:rsidP="00AB32A3">
            <w:pPr>
              <w:pStyle w:val="TableText"/>
              <w:keepNext w:val="0"/>
            </w:pPr>
            <w:r w:rsidRPr="003A7F84">
              <w:t>Cessation of convulsions in &lt;10 minutes.</w:t>
            </w:r>
          </w:p>
        </w:tc>
        <w:tc>
          <w:tcPr>
            <w:tcW w:w="337" w:type="pct"/>
            <w:shd w:val="clear" w:color="auto" w:fill="auto"/>
          </w:tcPr>
          <w:p w14:paraId="519A4EA0" w14:textId="77777777" w:rsidR="00830BBE" w:rsidRPr="003A7F84" w:rsidRDefault="00830BBE" w:rsidP="00AB32A3">
            <w:pPr>
              <w:pStyle w:val="TableText"/>
              <w:keepNext w:val="0"/>
              <w:jc w:val="center"/>
            </w:pPr>
            <w:r w:rsidRPr="003A7F84">
              <w:t>High</w:t>
            </w:r>
          </w:p>
        </w:tc>
      </w:tr>
      <w:tr w:rsidR="00830BBE" w:rsidRPr="003A7F84" w14:paraId="12CF5B7E" w14:textId="77777777" w:rsidTr="00AB32A3">
        <w:trPr>
          <w:cantSplit/>
        </w:trPr>
        <w:tc>
          <w:tcPr>
            <w:tcW w:w="470" w:type="pct"/>
            <w:shd w:val="clear" w:color="auto" w:fill="auto"/>
          </w:tcPr>
          <w:p w14:paraId="1EC158FB" w14:textId="77BF192C" w:rsidR="00830BBE" w:rsidRPr="003A7F84" w:rsidRDefault="004377D6" w:rsidP="00AB32A3">
            <w:pPr>
              <w:pStyle w:val="TableText"/>
              <w:keepNext w:val="0"/>
            </w:pPr>
            <w:r w:rsidRPr="003A7F84">
              <w:t>McIntyre 2005</w:t>
            </w:r>
          </w:p>
        </w:tc>
        <w:tc>
          <w:tcPr>
            <w:tcW w:w="314" w:type="pct"/>
            <w:shd w:val="clear" w:color="auto" w:fill="auto"/>
          </w:tcPr>
          <w:p w14:paraId="7A7F679A" w14:textId="77777777" w:rsidR="00830BBE" w:rsidRPr="003A7F84" w:rsidRDefault="00830BBE" w:rsidP="00AB32A3">
            <w:pPr>
              <w:pStyle w:val="TableText"/>
              <w:keepNext w:val="0"/>
              <w:jc w:val="center"/>
            </w:pPr>
            <w:r w:rsidRPr="003A7F84">
              <w:t>N=177</w:t>
            </w:r>
          </w:p>
          <w:p w14:paraId="04B677A9" w14:textId="77777777" w:rsidR="00830BBE" w:rsidRPr="003A7F84" w:rsidRDefault="00830BBE" w:rsidP="00AB32A3">
            <w:pPr>
              <w:pStyle w:val="TableText"/>
              <w:keepNext w:val="0"/>
              <w:jc w:val="center"/>
            </w:pPr>
          </w:p>
          <w:p w14:paraId="6719337B" w14:textId="77777777" w:rsidR="00830BBE" w:rsidRPr="003A7F84" w:rsidRDefault="00830BBE" w:rsidP="00AB32A3">
            <w:pPr>
              <w:pStyle w:val="TableText"/>
              <w:keepNext w:val="0"/>
              <w:jc w:val="center"/>
            </w:pPr>
            <w:r w:rsidRPr="003A7F84">
              <w:t>219 events</w:t>
            </w:r>
          </w:p>
        </w:tc>
        <w:tc>
          <w:tcPr>
            <w:tcW w:w="550" w:type="pct"/>
            <w:shd w:val="clear" w:color="auto" w:fill="auto"/>
          </w:tcPr>
          <w:p w14:paraId="4CD8F283" w14:textId="77777777" w:rsidR="00830BBE" w:rsidRPr="003A7F84" w:rsidRDefault="00830BBE" w:rsidP="00AB32A3">
            <w:pPr>
              <w:pStyle w:val="TableText"/>
              <w:keepNext w:val="0"/>
              <w:jc w:val="center"/>
            </w:pPr>
            <w:r w:rsidRPr="003A7F84">
              <w:t>Prospective</w:t>
            </w:r>
          </w:p>
          <w:p w14:paraId="39DC7CF5" w14:textId="77777777" w:rsidR="00830BBE" w:rsidRPr="003A7F84" w:rsidRDefault="00830BBE" w:rsidP="00AB32A3">
            <w:pPr>
              <w:pStyle w:val="TableText"/>
              <w:keepNext w:val="0"/>
              <w:jc w:val="center"/>
            </w:pPr>
            <w:r w:rsidRPr="003A7F84">
              <w:t>R, AC, OL, MC.</w:t>
            </w:r>
          </w:p>
          <w:p w14:paraId="5AB29606" w14:textId="77777777" w:rsidR="00830BBE" w:rsidRPr="003A7F84" w:rsidRDefault="00830BBE" w:rsidP="00AB32A3">
            <w:pPr>
              <w:pStyle w:val="TableText"/>
              <w:keepNext w:val="0"/>
              <w:jc w:val="center"/>
            </w:pPr>
            <w:r w:rsidRPr="003A7F84">
              <w:t xml:space="preserve"> Oct 2000 - </w:t>
            </w:r>
          </w:p>
          <w:p w14:paraId="103247EA" w14:textId="77777777" w:rsidR="00830BBE" w:rsidRPr="003A7F84" w:rsidRDefault="00830BBE" w:rsidP="00AB32A3">
            <w:pPr>
              <w:pStyle w:val="TableText"/>
              <w:keepNext w:val="0"/>
              <w:jc w:val="center"/>
            </w:pPr>
            <w:r w:rsidRPr="003A7F84">
              <w:t>Feb 2004.</w:t>
            </w:r>
          </w:p>
        </w:tc>
        <w:tc>
          <w:tcPr>
            <w:tcW w:w="1415" w:type="pct"/>
            <w:shd w:val="clear" w:color="auto" w:fill="auto"/>
          </w:tcPr>
          <w:p w14:paraId="73FD866A"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Children aged ≥6 months with no IV access, admitted to 4 hospital emergency units (UK).</w:t>
            </w:r>
          </w:p>
          <w:p w14:paraId="601A895E"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Convulsing on admission.</w:t>
            </w:r>
          </w:p>
          <w:p w14:paraId="7514B489"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Included patients receiving pre-hospital interventions.</w:t>
            </w:r>
          </w:p>
          <w:p w14:paraId="365EE05C"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Any aetiology.</w:t>
            </w:r>
          </w:p>
          <w:p w14:paraId="70D1F52C"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Patients contributed multiple episodes.</w:t>
            </w:r>
          </w:p>
        </w:tc>
        <w:tc>
          <w:tcPr>
            <w:tcW w:w="1100" w:type="pct"/>
            <w:shd w:val="clear" w:color="auto" w:fill="auto"/>
          </w:tcPr>
          <w:p w14:paraId="41B78B53" w14:textId="77777777" w:rsidR="00830BBE" w:rsidRPr="003A7F84" w:rsidRDefault="00830BBE" w:rsidP="00AB32A3">
            <w:pPr>
              <w:pStyle w:val="TableText"/>
              <w:keepNext w:val="0"/>
              <w:jc w:val="center"/>
              <w:rPr>
                <w:rFonts w:eastAsiaTheme="minorHAnsi" w:cstheme="minorHAnsi"/>
                <w:szCs w:val="20"/>
                <w:vertAlign w:val="superscript"/>
                <w:lang w:eastAsia="en-GB"/>
              </w:rPr>
            </w:pPr>
            <w:r w:rsidRPr="003A7F84">
              <w:rPr>
                <w:rFonts w:eastAsiaTheme="minorHAnsi" w:cstheme="minorHAnsi"/>
                <w:szCs w:val="20"/>
                <w:lang w:eastAsia="en-GB"/>
              </w:rPr>
              <w:t>Buccal midazolam for injection ~0.5 mg/kg</w:t>
            </w:r>
            <w:r w:rsidRPr="003A7F84">
              <w:rPr>
                <w:rFonts w:eastAsiaTheme="minorHAnsi" w:cstheme="minorHAnsi"/>
                <w:szCs w:val="20"/>
                <w:vertAlign w:val="superscript"/>
                <w:lang w:eastAsia="en-GB"/>
              </w:rPr>
              <w:t>a</w:t>
            </w:r>
            <w:r w:rsidRPr="003A7F84">
              <w:rPr>
                <w:rFonts w:eastAsiaTheme="minorHAnsi" w:cstheme="minorHAnsi"/>
                <w:szCs w:val="20"/>
                <w:lang w:eastAsia="en-GB"/>
              </w:rPr>
              <w:br/>
              <w:t>vs</w:t>
            </w:r>
            <w:r w:rsidRPr="003A7F84">
              <w:rPr>
                <w:rFonts w:eastAsiaTheme="minorHAnsi" w:cstheme="minorHAnsi"/>
                <w:szCs w:val="20"/>
                <w:lang w:eastAsia="en-GB"/>
              </w:rPr>
              <w:br/>
              <w:t>Rectal diazepam</w:t>
            </w:r>
          </w:p>
          <w:p w14:paraId="3968D02F" w14:textId="77777777" w:rsidR="00830BBE" w:rsidRPr="003A7F84" w:rsidRDefault="00830BBE" w:rsidP="00AB32A3">
            <w:pPr>
              <w:pStyle w:val="TableText"/>
              <w:keepNext w:val="0"/>
              <w:jc w:val="center"/>
              <w:rPr>
                <w:rFonts w:eastAsiaTheme="minorHAnsi" w:cstheme="minorHAnsi"/>
                <w:szCs w:val="20"/>
                <w:vertAlign w:val="superscript"/>
                <w:lang w:eastAsia="en-GB"/>
              </w:rPr>
            </w:pPr>
            <w:r w:rsidRPr="003A7F84">
              <w:rPr>
                <w:rFonts w:eastAsiaTheme="minorHAnsi" w:cstheme="minorHAnsi"/>
                <w:szCs w:val="20"/>
                <w:lang w:eastAsia="en-GB"/>
              </w:rPr>
              <w:t>~0.5 mg/kg</w:t>
            </w:r>
            <w:r w:rsidRPr="003A7F84">
              <w:rPr>
                <w:rFonts w:eastAsiaTheme="minorHAnsi" w:cstheme="minorHAnsi"/>
                <w:szCs w:val="20"/>
                <w:vertAlign w:val="superscript"/>
                <w:lang w:eastAsia="en-GB"/>
              </w:rPr>
              <w:t>a</w:t>
            </w:r>
          </w:p>
          <w:p w14:paraId="05077D89"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w:t>
            </w:r>
            <w:proofErr w:type="gramStart"/>
            <w:r w:rsidRPr="003A7F84">
              <w:rPr>
                <w:rFonts w:eastAsiaTheme="minorHAnsi" w:cstheme="minorHAnsi"/>
                <w:szCs w:val="20"/>
                <w:lang w:eastAsia="en-GB"/>
              </w:rPr>
              <w:t>formulation</w:t>
            </w:r>
            <w:proofErr w:type="gramEnd"/>
            <w:r w:rsidRPr="003A7F84">
              <w:rPr>
                <w:rFonts w:eastAsiaTheme="minorHAnsi" w:cstheme="minorHAnsi"/>
                <w:szCs w:val="20"/>
                <w:lang w:eastAsia="en-GB"/>
              </w:rPr>
              <w:t xml:space="preserve"> not reported)</w:t>
            </w:r>
          </w:p>
        </w:tc>
        <w:tc>
          <w:tcPr>
            <w:tcW w:w="814" w:type="pct"/>
            <w:shd w:val="clear" w:color="auto" w:fill="auto"/>
          </w:tcPr>
          <w:p w14:paraId="0B6797D0" w14:textId="77777777" w:rsidR="00830BBE" w:rsidRPr="003A7F84" w:rsidRDefault="00830BBE" w:rsidP="00AB32A3">
            <w:pPr>
              <w:pStyle w:val="TableText"/>
              <w:keepNext w:val="0"/>
            </w:pPr>
            <w:r w:rsidRPr="003A7F84">
              <w:t>Cessation of convulsions in &lt;10 mins, without respiratory depression requiring intervention, or recurrence within 1 hour.</w:t>
            </w:r>
          </w:p>
        </w:tc>
        <w:tc>
          <w:tcPr>
            <w:tcW w:w="337" w:type="pct"/>
            <w:shd w:val="clear" w:color="auto" w:fill="auto"/>
          </w:tcPr>
          <w:p w14:paraId="2037AC07" w14:textId="77777777" w:rsidR="00830BBE" w:rsidRPr="003A7F84" w:rsidRDefault="00830BBE" w:rsidP="00AB32A3">
            <w:pPr>
              <w:pStyle w:val="TableText"/>
              <w:keepNext w:val="0"/>
              <w:jc w:val="center"/>
            </w:pPr>
            <w:r w:rsidRPr="003A7F84">
              <w:t>High</w:t>
            </w:r>
          </w:p>
        </w:tc>
      </w:tr>
      <w:tr w:rsidR="00830BBE" w:rsidRPr="003A7F84" w14:paraId="177AAC89" w14:textId="77777777" w:rsidTr="00AB32A3">
        <w:trPr>
          <w:cantSplit/>
        </w:trPr>
        <w:tc>
          <w:tcPr>
            <w:tcW w:w="470" w:type="pct"/>
            <w:shd w:val="clear" w:color="auto" w:fill="auto"/>
          </w:tcPr>
          <w:p w14:paraId="37F5A72C" w14:textId="77777777" w:rsidR="00830BBE" w:rsidRPr="003A7F84" w:rsidRDefault="00830BBE" w:rsidP="00AB32A3">
            <w:pPr>
              <w:pStyle w:val="TableText"/>
              <w:keepNext w:val="0"/>
            </w:pPr>
            <w:r w:rsidRPr="003A7F84">
              <w:t>Mpimbaza 2008</w:t>
            </w:r>
          </w:p>
        </w:tc>
        <w:tc>
          <w:tcPr>
            <w:tcW w:w="314" w:type="pct"/>
            <w:shd w:val="clear" w:color="auto" w:fill="auto"/>
          </w:tcPr>
          <w:p w14:paraId="661B17E0" w14:textId="77777777" w:rsidR="00830BBE" w:rsidRPr="003A7F84" w:rsidRDefault="00830BBE" w:rsidP="00AB32A3">
            <w:pPr>
              <w:pStyle w:val="TableText"/>
              <w:keepNext w:val="0"/>
              <w:jc w:val="center"/>
            </w:pPr>
            <w:r w:rsidRPr="003A7F84">
              <w:t>N=330</w:t>
            </w:r>
          </w:p>
        </w:tc>
        <w:tc>
          <w:tcPr>
            <w:tcW w:w="550" w:type="pct"/>
            <w:shd w:val="clear" w:color="auto" w:fill="auto"/>
          </w:tcPr>
          <w:p w14:paraId="386FE4DC" w14:textId="77777777" w:rsidR="00830BBE" w:rsidRPr="003A7F84" w:rsidRDefault="00830BBE" w:rsidP="00AB32A3">
            <w:pPr>
              <w:pStyle w:val="TableText"/>
              <w:keepNext w:val="0"/>
              <w:jc w:val="center"/>
            </w:pPr>
            <w:r w:rsidRPr="003A7F84">
              <w:t>Prospective</w:t>
            </w:r>
          </w:p>
          <w:p w14:paraId="37ABA8C2" w14:textId="426DAFF3" w:rsidR="00830BBE" w:rsidRPr="003A7F84" w:rsidRDefault="00830BBE" w:rsidP="00AB32A3">
            <w:pPr>
              <w:pStyle w:val="TableText"/>
              <w:keepNext w:val="0"/>
              <w:jc w:val="center"/>
            </w:pPr>
            <w:r w:rsidRPr="003A7F84">
              <w:t xml:space="preserve">R, </w:t>
            </w:r>
            <w:r w:rsidR="00607F50" w:rsidRPr="003A7F84">
              <w:t>SB</w:t>
            </w:r>
            <w:r w:rsidRPr="003A7F84">
              <w:t>, AC, SC.</w:t>
            </w:r>
          </w:p>
          <w:p w14:paraId="4F75F657" w14:textId="77777777" w:rsidR="00830BBE" w:rsidRPr="003A7F84" w:rsidRDefault="00830BBE" w:rsidP="00AB32A3">
            <w:pPr>
              <w:pStyle w:val="TableText"/>
              <w:keepNext w:val="0"/>
              <w:jc w:val="center"/>
            </w:pPr>
            <w:r w:rsidRPr="003A7F84">
              <w:t xml:space="preserve"> Nov 2005 - </w:t>
            </w:r>
          </w:p>
          <w:p w14:paraId="7B78359A" w14:textId="77777777" w:rsidR="00830BBE" w:rsidRPr="003A7F84" w:rsidRDefault="00830BBE" w:rsidP="00AB32A3">
            <w:pPr>
              <w:pStyle w:val="TableText"/>
              <w:keepNext w:val="0"/>
              <w:jc w:val="center"/>
            </w:pPr>
            <w:r w:rsidRPr="003A7F84">
              <w:t>Jun 2006.</w:t>
            </w:r>
          </w:p>
        </w:tc>
        <w:tc>
          <w:tcPr>
            <w:tcW w:w="1415" w:type="pct"/>
            <w:shd w:val="clear" w:color="auto" w:fill="auto"/>
          </w:tcPr>
          <w:p w14:paraId="4DAD5885"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Children aged 3 months to 12 years, admitted to hospital acute care unit (Uganda).</w:t>
            </w:r>
          </w:p>
          <w:p w14:paraId="0E29BEA9"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Prolonged convulsive seizure &gt;5 minutes, or convulsing on admission.</w:t>
            </w:r>
          </w:p>
          <w:p w14:paraId="728412C9"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Any aetiology. 70% with malaria, febrile convulsions. &lt;4% with epilepsy.</w:t>
            </w:r>
          </w:p>
        </w:tc>
        <w:tc>
          <w:tcPr>
            <w:tcW w:w="1100" w:type="pct"/>
            <w:shd w:val="clear" w:color="auto" w:fill="auto"/>
          </w:tcPr>
          <w:p w14:paraId="4FD1AE77"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 xml:space="preserve">Buccal midazolam </w:t>
            </w:r>
          </w:p>
          <w:p w14:paraId="3A1EF867"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~0.5 mg/kg</w:t>
            </w:r>
            <w:r w:rsidRPr="003A7F84">
              <w:rPr>
                <w:rFonts w:eastAsiaTheme="minorHAnsi" w:cstheme="minorHAnsi"/>
                <w:szCs w:val="20"/>
                <w:vertAlign w:val="superscript"/>
                <w:lang w:eastAsia="en-GB"/>
              </w:rPr>
              <w:t>a</w:t>
            </w:r>
            <w:r w:rsidRPr="003A7F84">
              <w:rPr>
                <w:rFonts w:eastAsiaTheme="minorHAnsi" w:cstheme="minorHAnsi"/>
                <w:szCs w:val="20"/>
                <w:lang w:eastAsia="en-GB"/>
              </w:rPr>
              <w:br/>
              <w:t>vs</w:t>
            </w:r>
            <w:r w:rsidRPr="003A7F84">
              <w:rPr>
                <w:rFonts w:eastAsiaTheme="minorHAnsi" w:cstheme="minorHAnsi"/>
                <w:szCs w:val="20"/>
                <w:lang w:eastAsia="en-GB"/>
              </w:rPr>
              <w:br/>
              <w:t>Rectal diazepam</w:t>
            </w:r>
          </w:p>
          <w:p w14:paraId="512C53D8" w14:textId="77777777" w:rsidR="00830BBE" w:rsidRPr="003A7F84" w:rsidRDefault="00830BBE" w:rsidP="00AB32A3">
            <w:pPr>
              <w:pStyle w:val="TableText"/>
              <w:keepNext w:val="0"/>
              <w:jc w:val="center"/>
              <w:rPr>
                <w:rFonts w:eastAsiaTheme="minorHAnsi" w:cstheme="minorHAnsi"/>
                <w:szCs w:val="20"/>
                <w:vertAlign w:val="superscript"/>
                <w:lang w:eastAsia="en-GB"/>
              </w:rPr>
            </w:pPr>
            <w:r w:rsidRPr="003A7F84">
              <w:rPr>
                <w:rFonts w:eastAsiaTheme="minorHAnsi" w:cstheme="minorHAnsi"/>
                <w:szCs w:val="20"/>
                <w:lang w:eastAsia="en-GB"/>
              </w:rPr>
              <w:t>~0.5 mg/kg</w:t>
            </w:r>
            <w:r w:rsidRPr="003A7F84">
              <w:rPr>
                <w:rFonts w:eastAsiaTheme="minorHAnsi" w:cstheme="minorHAnsi"/>
                <w:szCs w:val="20"/>
                <w:vertAlign w:val="superscript"/>
                <w:lang w:eastAsia="en-GB"/>
              </w:rPr>
              <w:t>a</w:t>
            </w:r>
          </w:p>
          <w:p w14:paraId="2C9969CD"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w:t>
            </w:r>
            <w:proofErr w:type="gramStart"/>
            <w:r w:rsidRPr="003A7F84">
              <w:rPr>
                <w:rFonts w:eastAsiaTheme="minorHAnsi" w:cstheme="minorHAnsi"/>
                <w:szCs w:val="20"/>
                <w:lang w:eastAsia="en-GB"/>
              </w:rPr>
              <w:t>formulations</w:t>
            </w:r>
            <w:proofErr w:type="gramEnd"/>
            <w:r w:rsidRPr="003A7F84">
              <w:rPr>
                <w:rFonts w:eastAsiaTheme="minorHAnsi" w:cstheme="minorHAnsi"/>
                <w:szCs w:val="20"/>
                <w:lang w:eastAsia="en-GB"/>
              </w:rPr>
              <w:t xml:space="preserve"> not reported)</w:t>
            </w:r>
          </w:p>
        </w:tc>
        <w:tc>
          <w:tcPr>
            <w:tcW w:w="814" w:type="pct"/>
            <w:shd w:val="clear" w:color="auto" w:fill="auto"/>
          </w:tcPr>
          <w:p w14:paraId="147C9945" w14:textId="77777777" w:rsidR="00830BBE" w:rsidRPr="003A7F84" w:rsidRDefault="00830BBE" w:rsidP="00AB32A3">
            <w:pPr>
              <w:pStyle w:val="TableText"/>
              <w:keepNext w:val="0"/>
            </w:pPr>
            <w:r w:rsidRPr="003A7F84">
              <w:t>Cessation of convulsions in &lt;10 minutes, without recurrence within 1 hour.</w:t>
            </w:r>
          </w:p>
        </w:tc>
        <w:tc>
          <w:tcPr>
            <w:tcW w:w="337" w:type="pct"/>
            <w:shd w:val="clear" w:color="auto" w:fill="auto"/>
          </w:tcPr>
          <w:p w14:paraId="0B109D99" w14:textId="77777777" w:rsidR="00830BBE" w:rsidRPr="003A7F84" w:rsidRDefault="00830BBE" w:rsidP="00AB32A3">
            <w:pPr>
              <w:pStyle w:val="TableText"/>
              <w:keepNext w:val="0"/>
              <w:jc w:val="center"/>
            </w:pPr>
            <w:r w:rsidRPr="003A7F84">
              <w:t>High</w:t>
            </w:r>
          </w:p>
        </w:tc>
      </w:tr>
      <w:tr w:rsidR="00830BBE" w:rsidRPr="003A7F84" w14:paraId="4CBF4CD3" w14:textId="77777777" w:rsidTr="005C7F14">
        <w:trPr>
          <w:cantSplit/>
        </w:trPr>
        <w:tc>
          <w:tcPr>
            <w:tcW w:w="470" w:type="pct"/>
            <w:shd w:val="clear" w:color="auto" w:fill="B6DDE8" w:themeFill="accent5" w:themeFillTint="66"/>
          </w:tcPr>
          <w:p w14:paraId="5839AEDA" w14:textId="77777777" w:rsidR="00830BBE" w:rsidRPr="003A7F84" w:rsidRDefault="00830BBE" w:rsidP="00AB32A3">
            <w:pPr>
              <w:pStyle w:val="TableText"/>
              <w:keepNext w:val="0"/>
            </w:pPr>
            <w:r w:rsidRPr="003A7F84">
              <w:t>Nakken 2011</w:t>
            </w:r>
          </w:p>
        </w:tc>
        <w:tc>
          <w:tcPr>
            <w:tcW w:w="314" w:type="pct"/>
            <w:shd w:val="clear" w:color="auto" w:fill="B6DDE8" w:themeFill="accent5" w:themeFillTint="66"/>
          </w:tcPr>
          <w:p w14:paraId="37F5CC0B" w14:textId="77777777" w:rsidR="00830BBE" w:rsidRPr="003A7F84" w:rsidRDefault="00830BBE" w:rsidP="00AB32A3">
            <w:pPr>
              <w:pStyle w:val="TableText"/>
              <w:keepNext w:val="0"/>
              <w:jc w:val="center"/>
            </w:pPr>
            <w:r w:rsidRPr="003A7F84">
              <w:t>N=22</w:t>
            </w:r>
          </w:p>
          <w:p w14:paraId="6BA19C95" w14:textId="77777777" w:rsidR="00830BBE" w:rsidRPr="003A7F84" w:rsidRDefault="00830BBE" w:rsidP="00AB32A3">
            <w:pPr>
              <w:pStyle w:val="TableText"/>
              <w:keepNext w:val="0"/>
              <w:jc w:val="center"/>
            </w:pPr>
          </w:p>
          <w:p w14:paraId="3200F11F" w14:textId="77777777" w:rsidR="00830BBE" w:rsidRPr="003A7F84" w:rsidRDefault="00830BBE" w:rsidP="00AB32A3">
            <w:pPr>
              <w:pStyle w:val="TableText"/>
              <w:keepNext w:val="0"/>
              <w:jc w:val="center"/>
            </w:pPr>
            <w:r w:rsidRPr="003A7F84">
              <w:t>80 events</w:t>
            </w:r>
          </w:p>
        </w:tc>
        <w:tc>
          <w:tcPr>
            <w:tcW w:w="550" w:type="pct"/>
            <w:shd w:val="clear" w:color="auto" w:fill="B6DDE8" w:themeFill="accent5" w:themeFillTint="66"/>
          </w:tcPr>
          <w:p w14:paraId="692F08CD" w14:textId="77777777" w:rsidR="00830BBE" w:rsidRPr="003A7F84" w:rsidRDefault="00830BBE" w:rsidP="00AB32A3">
            <w:pPr>
              <w:pStyle w:val="TableText"/>
              <w:keepNext w:val="0"/>
              <w:jc w:val="center"/>
            </w:pPr>
            <w:r w:rsidRPr="003A7F84">
              <w:t>Prospective</w:t>
            </w:r>
          </w:p>
          <w:p w14:paraId="4C7198CF" w14:textId="77777777" w:rsidR="00830BBE" w:rsidRPr="003A7F84" w:rsidRDefault="00830BBE" w:rsidP="00AB32A3">
            <w:pPr>
              <w:pStyle w:val="TableText"/>
              <w:keepNext w:val="0"/>
              <w:jc w:val="center"/>
            </w:pPr>
            <w:r w:rsidRPr="003A7F84">
              <w:t>AC, OL, SC.</w:t>
            </w:r>
          </w:p>
          <w:p w14:paraId="3D000C19" w14:textId="77777777" w:rsidR="00830BBE" w:rsidRPr="003A7F84" w:rsidRDefault="00830BBE" w:rsidP="00AB32A3">
            <w:pPr>
              <w:pStyle w:val="TableText"/>
              <w:keepNext w:val="0"/>
              <w:jc w:val="center"/>
            </w:pPr>
            <w:r w:rsidRPr="003A7F84">
              <w:t xml:space="preserve"> Trial period not reported.</w:t>
            </w:r>
          </w:p>
        </w:tc>
        <w:tc>
          <w:tcPr>
            <w:tcW w:w="1415" w:type="pct"/>
            <w:shd w:val="clear" w:color="auto" w:fill="B6DDE8" w:themeFill="accent5" w:themeFillTint="66"/>
          </w:tcPr>
          <w:p w14:paraId="45DCFF30"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Adults in residential care (Norway).</w:t>
            </w:r>
          </w:p>
          <w:p w14:paraId="4A36A1B0"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Convulsive or non-convulsive status epilepticus or prolonged convulsive seizure &gt;5 minutes.</w:t>
            </w:r>
          </w:p>
          <w:p w14:paraId="2CE5C131" w14:textId="4352B614"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 xml:space="preserve">Difficult to treat epilepsy. 91% with </w:t>
            </w:r>
            <w:r w:rsidR="00686DF7" w:rsidRPr="003A7F84">
              <w:rPr>
                <w:rFonts w:eastAsiaTheme="minorHAnsi" w:cstheme="minorHAnsi"/>
                <w:szCs w:val="20"/>
                <w:lang w:eastAsia="en-GB"/>
              </w:rPr>
              <w:t xml:space="preserve">history of </w:t>
            </w:r>
            <w:r w:rsidRPr="003A7F84">
              <w:rPr>
                <w:rFonts w:eastAsiaTheme="minorHAnsi" w:cstheme="minorHAnsi"/>
                <w:szCs w:val="20"/>
                <w:lang w:eastAsia="en-GB"/>
              </w:rPr>
              <w:t>focal seizures.</w:t>
            </w:r>
          </w:p>
          <w:p w14:paraId="05314FFE"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Patients contributed multiple episodes.</w:t>
            </w:r>
          </w:p>
        </w:tc>
        <w:tc>
          <w:tcPr>
            <w:tcW w:w="1100" w:type="pct"/>
            <w:shd w:val="clear" w:color="auto" w:fill="B6DDE8" w:themeFill="accent5" w:themeFillTint="66"/>
          </w:tcPr>
          <w:p w14:paraId="4FD678EC"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 xml:space="preserve">Buccal midazolam </w:t>
            </w:r>
          </w:p>
          <w:p w14:paraId="71E9D1AB"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(Epistatus)</w:t>
            </w:r>
            <w:r w:rsidRPr="003A7F84">
              <w:rPr>
                <w:rFonts w:eastAsiaTheme="minorHAnsi" w:cstheme="minorHAnsi"/>
                <w:szCs w:val="20"/>
                <w:lang w:eastAsia="en-GB"/>
              </w:rPr>
              <w:br/>
              <w:t>vs</w:t>
            </w:r>
            <w:r w:rsidRPr="003A7F84">
              <w:rPr>
                <w:rFonts w:eastAsiaTheme="minorHAnsi" w:cstheme="minorHAnsi"/>
                <w:szCs w:val="20"/>
                <w:lang w:eastAsia="en-GB"/>
              </w:rPr>
              <w:br/>
              <w:t>Diazepam rectal solution</w:t>
            </w:r>
          </w:p>
          <w:p w14:paraId="321D8874" w14:textId="77777777" w:rsidR="00830BBE" w:rsidRPr="003A7F84" w:rsidRDefault="00830BBE" w:rsidP="00AB32A3">
            <w:pPr>
              <w:pStyle w:val="TableText"/>
              <w:keepNext w:val="0"/>
              <w:jc w:val="center"/>
              <w:rPr>
                <w:rFonts w:eastAsiaTheme="minorHAnsi" w:cstheme="minorHAnsi"/>
                <w:szCs w:val="20"/>
                <w:vertAlign w:val="superscript"/>
                <w:lang w:eastAsia="en-GB"/>
              </w:rPr>
            </w:pPr>
            <w:r w:rsidRPr="003A7F84">
              <w:rPr>
                <w:rFonts w:eastAsiaTheme="minorHAnsi" w:cstheme="minorHAnsi"/>
                <w:szCs w:val="20"/>
                <w:lang w:eastAsia="en-GB"/>
              </w:rPr>
              <w:t xml:space="preserve">(doses not </w:t>
            </w:r>
            <w:proofErr w:type="gramStart"/>
            <w:r w:rsidRPr="003A7F84">
              <w:rPr>
                <w:rFonts w:eastAsiaTheme="minorHAnsi" w:cstheme="minorHAnsi"/>
                <w:szCs w:val="20"/>
                <w:lang w:eastAsia="en-GB"/>
              </w:rPr>
              <w:t>reported)</w:t>
            </w:r>
            <w:r w:rsidRPr="003A7F84">
              <w:rPr>
                <w:rFonts w:eastAsiaTheme="minorHAnsi" w:cstheme="minorHAnsi"/>
                <w:szCs w:val="20"/>
                <w:vertAlign w:val="superscript"/>
                <w:lang w:eastAsia="en-GB"/>
              </w:rPr>
              <w:t>c</w:t>
            </w:r>
            <w:proofErr w:type="gramEnd"/>
          </w:p>
        </w:tc>
        <w:tc>
          <w:tcPr>
            <w:tcW w:w="814" w:type="pct"/>
            <w:shd w:val="clear" w:color="auto" w:fill="B6DDE8" w:themeFill="accent5" w:themeFillTint="66"/>
          </w:tcPr>
          <w:p w14:paraId="3208A362" w14:textId="77777777" w:rsidR="00830BBE" w:rsidRPr="003A7F84" w:rsidRDefault="00830BBE" w:rsidP="00AB32A3">
            <w:pPr>
              <w:pStyle w:val="TableText"/>
              <w:keepNext w:val="0"/>
            </w:pPr>
            <w:r w:rsidRPr="003A7F84">
              <w:t>Cessation of seizure activity in &lt;10 minutes, without recurrence within 2 hours.</w:t>
            </w:r>
          </w:p>
        </w:tc>
        <w:tc>
          <w:tcPr>
            <w:tcW w:w="337" w:type="pct"/>
            <w:shd w:val="clear" w:color="auto" w:fill="B6DDE8" w:themeFill="accent5" w:themeFillTint="66"/>
          </w:tcPr>
          <w:p w14:paraId="1070A6E5" w14:textId="77777777" w:rsidR="00830BBE" w:rsidRPr="003A7F84" w:rsidRDefault="00830BBE" w:rsidP="00AB32A3">
            <w:pPr>
              <w:pStyle w:val="TableText"/>
              <w:keepNext w:val="0"/>
              <w:jc w:val="center"/>
            </w:pPr>
            <w:r w:rsidRPr="003A7F84">
              <w:t>High</w:t>
            </w:r>
          </w:p>
        </w:tc>
      </w:tr>
      <w:tr w:rsidR="00830BBE" w:rsidRPr="003A7F84" w14:paraId="79C08E76" w14:textId="77777777" w:rsidTr="00AB32A3">
        <w:trPr>
          <w:cantSplit/>
          <w:trHeight w:val="1429"/>
        </w:trPr>
        <w:tc>
          <w:tcPr>
            <w:tcW w:w="470" w:type="pct"/>
            <w:shd w:val="clear" w:color="auto" w:fill="auto"/>
          </w:tcPr>
          <w:p w14:paraId="61F305E1" w14:textId="77777777" w:rsidR="00830BBE" w:rsidRPr="003A7F84" w:rsidRDefault="00830BBE" w:rsidP="00AB32A3">
            <w:pPr>
              <w:pStyle w:val="TableText"/>
              <w:keepNext w:val="0"/>
            </w:pPr>
            <w:r w:rsidRPr="003A7F84">
              <w:t>Scott 1999</w:t>
            </w:r>
          </w:p>
        </w:tc>
        <w:tc>
          <w:tcPr>
            <w:tcW w:w="314" w:type="pct"/>
            <w:shd w:val="clear" w:color="auto" w:fill="auto"/>
          </w:tcPr>
          <w:p w14:paraId="433570AA" w14:textId="77777777" w:rsidR="00830BBE" w:rsidRPr="003A7F84" w:rsidRDefault="00830BBE" w:rsidP="00AB32A3">
            <w:pPr>
              <w:pStyle w:val="TableText"/>
              <w:keepNext w:val="0"/>
              <w:jc w:val="center"/>
            </w:pPr>
            <w:r w:rsidRPr="003A7F84">
              <w:t>N=18</w:t>
            </w:r>
          </w:p>
          <w:p w14:paraId="7430011F" w14:textId="77777777" w:rsidR="00830BBE" w:rsidRPr="003A7F84" w:rsidRDefault="00830BBE" w:rsidP="00AB32A3">
            <w:pPr>
              <w:pStyle w:val="TableText"/>
              <w:keepNext w:val="0"/>
              <w:jc w:val="center"/>
            </w:pPr>
          </w:p>
          <w:p w14:paraId="70A7FA85" w14:textId="77777777" w:rsidR="00830BBE" w:rsidRPr="003A7F84" w:rsidRDefault="00830BBE" w:rsidP="00AB32A3">
            <w:pPr>
              <w:pStyle w:val="TableText"/>
              <w:keepNext w:val="0"/>
              <w:jc w:val="center"/>
            </w:pPr>
            <w:r w:rsidRPr="003A7F84">
              <w:t>79 events</w:t>
            </w:r>
          </w:p>
        </w:tc>
        <w:tc>
          <w:tcPr>
            <w:tcW w:w="550" w:type="pct"/>
            <w:shd w:val="clear" w:color="auto" w:fill="auto"/>
          </w:tcPr>
          <w:p w14:paraId="7742AEAF" w14:textId="77777777" w:rsidR="00830BBE" w:rsidRPr="003A7F84" w:rsidRDefault="00830BBE" w:rsidP="00AB32A3">
            <w:pPr>
              <w:pStyle w:val="TableText"/>
              <w:keepNext w:val="0"/>
              <w:jc w:val="center"/>
            </w:pPr>
            <w:r w:rsidRPr="003A7F84">
              <w:t>Prospective</w:t>
            </w:r>
          </w:p>
          <w:p w14:paraId="54345ED8" w14:textId="77777777" w:rsidR="00830BBE" w:rsidRPr="003A7F84" w:rsidRDefault="00830BBE" w:rsidP="00AB32A3">
            <w:pPr>
              <w:pStyle w:val="TableText"/>
              <w:keepNext w:val="0"/>
              <w:jc w:val="center"/>
            </w:pPr>
            <w:r w:rsidRPr="003A7F84">
              <w:t>R, AC, OL, SC.</w:t>
            </w:r>
          </w:p>
          <w:p w14:paraId="78275444" w14:textId="77777777" w:rsidR="00830BBE" w:rsidRPr="003A7F84" w:rsidRDefault="00830BBE" w:rsidP="00AB32A3">
            <w:pPr>
              <w:pStyle w:val="TableText"/>
              <w:keepNext w:val="0"/>
              <w:jc w:val="center"/>
            </w:pPr>
            <w:r w:rsidRPr="003A7F84">
              <w:t xml:space="preserve"> Trial period not reported.</w:t>
            </w:r>
          </w:p>
        </w:tc>
        <w:tc>
          <w:tcPr>
            <w:tcW w:w="1415" w:type="pct"/>
            <w:shd w:val="clear" w:color="auto" w:fill="auto"/>
          </w:tcPr>
          <w:p w14:paraId="17D89FB4"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t>Students aged 5 to 22 years in residential centre for severe epilepsy (Surrey, UK).</w:t>
            </w:r>
          </w:p>
          <w:p w14:paraId="6C737E8D" w14:textId="77777777" w:rsidR="00830BBE" w:rsidRPr="003A7F84" w:rsidRDefault="00830BBE" w:rsidP="002912B0">
            <w:pPr>
              <w:pStyle w:val="TableText"/>
              <w:keepNext w:val="0"/>
              <w:numPr>
                <w:ilvl w:val="0"/>
                <w:numId w:val="7"/>
              </w:numPr>
              <w:ind w:left="136" w:hanging="119"/>
              <w:rPr>
                <w:iCs/>
              </w:rPr>
            </w:pPr>
            <w:r w:rsidRPr="003A7F84">
              <w:rPr>
                <w:rFonts w:eastAsiaTheme="minorHAnsi" w:cstheme="minorHAnsi"/>
                <w:szCs w:val="20"/>
                <w:lang w:eastAsia="en-GB"/>
              </w:rPr>
              <w:t xml:space="preserve">Prolonged convulsive seizure &gt;3 minutes. </w:t>
            </w:r>
          </w:p>
          <w:p w14:paraId="25CACFF9" w14:textId="77777777" w:rsidR="00830BBE" w:rsidRPr="003A7F84" w:rsidRDefault="00830BBE" w:rsidP="002912B0">
            <w:pPr>
              <w:pStyle w:val="TableText"/>
              <w:keepNext w:val="0"/>
              <w:numPr>
                <w:ilvl w:val="0"/>
                <w:numId w:val="7"/>
              </w:numPr>
              <w:ind w:left="136" w:hanging="119"/>
            </w:pPr>
            <w:r w:rsidRPr="003A7F84">
              <w:t>Severe epilepsy.</w:t>
            </w:r>
          </w:p>
          <w:p w14:paraId="70995AE5" w14:textId="77777777" w:rsidR="00830BBE" w:rsidRPr="003A7F84" w:rsidRDefault="00830BBE" w:rsidP="002912B0">
            <w:pPr>
              <w:pStyle w:val="TableText"/>
              <w:keepNext w:val="0"/>
              <w:numPr>
                <w:ilvl w:val="0"/>
                <w:numId w:val="7"/>
              </w:numPr>
              <w:ind w:left="136" w:hanging="119"/>
            </w:pPr>
            <w:r w:rsidRPr="003A7F84">
              <w:rPr>
                <w:rFonts w:eastAsiaTheme="minorHAnsi" w:cstheme="minorHAnsi"/>
                <w:szCs w:val="20"/>
                <w:lang w:eastAsia="en-GB"/>
              </w:rPr>
              <w:t>Patients contributed multiple episodes.</w:t>
            </w:r>
          </w:p>
        </w:tc>
        <w:tc>
          <w:tcPr>
            <w:tcW w:w="1100" w:type="pct"/>
            <w:shd w:val="clear" w:color="auto" w:fill="auto"/>
          </w:tcPr>
          <w:p w14:paraId="4641026B" w14:textId="77777777" w:rsidR="00830BBE" w:rsidRPr="003A7F84" w:rsidRDefault="00830BBE" w:rsidP="00AB32A3">
            <w:pPr>
              <w:pStyle w:val="TableText"/>
              <w:keepNext w:val="0"/>
              <w:ind w:left="17"/>
              <w:jc w:val="center"/>
              <w:rPr>
                <w:rFonts w:eastAsiaTheme="minorHAnsi" w:cstheme="minorHAnsi"/>
                <w:szCs w:val="20"/>
                <w:lang w:eastAsia="en-GB"/>
              </w:rPr>
            </w:pPr>
            <w:r w:rsidRPr="003A7F84">
              <w:rPr>
                <w:rFonts w:eastAsiaTheme="minorHAnsi" w:cstheme="minorHAnsi"/>
                <w:szCs w:val="20"/>
                <w:lang w:eastAsia="en-GB"/>
              </w:rPr>
              <w:t xml:space="preserve">Buccal midazolam </w:t>
            </w:r>
          </w:p>
          <w:p w14:paraId="4706AD32" w14:textId="77777777" w:rsidR="00830BBE" w:rsidRPr="003A7F84" w:rsidRDefault="00830BBE" w:rsidP="00AB32A3">
            <w:pPr>
              <w:pStyle w:val="TableText"/>
              <w:keepNext w:val="0"/>
              <w:ind w:left="17"/>
              <w:jc w:val="center"/>
              <w:rPr>
                <w:rFonts w:eastAsiaTheme="minorHAnsi" w:cstheme="minorHAnsi"/>
                <w:szCs w:val="20"/>
                <w:lang w:eastAsia="en-GB"/>
              </w:rPr>
            </w:pPr>
            <w:r w:rsidRPr="003A7F84">
              <w:rPr>
                <w:rFonts w:eastAsiaTheme="minorHAnsi" w:cstheme="minorHAnsi"/>
                <w:szCs w:val="20"/>
                <w:lang w:eastAsia="en-GB"/>
              </w:rPr>
              <w:t>(</w:t>
            </w:r>
            <w:proofErr w:type="gramStart"/>
            <w:r w:rsidRPr="003A7F84">
              <w:rPr>
                <w:rFonts w:eastAsiaTheme="minorHAnsi" w:cstheme="minorHAnsi"/>
                <w:szCs w:val="20"/>
                <w:lang w:eastAsia="en-GB"/>
              </w:rPr>
              <w:t>formulation</w:t>
            </w:r>
            <w:proofErr w:type="gramEnd"/>
            <w:r w:rsidRPr="003A7F84">
              <w:rPr>
                <w:rFonts w:eastAsiaTheme="minorHAnsi" w:cstheme="minorHAnsi"/>
                <w:szCs w:val="20"/>
                <w:lang w:eastAsia="en-GB"/>
              </w:rPr>
              <w:t xml:space="preserve"> not reported)</w:t>
            </w:r>
            <w:r w:rsidRPr="003A7F84">
              <w:rPr>
                <w:rFonts w:eastAsiaTheme="minorHAnsi" w:cstheme="minorHAnsi"/>
                <w:szCs w:val="20"/>
                <w:lang w:eastAsia="en-GB"/>
              </w:rPr>
              <w:br/>
              <w:t>vs</w:t>
            </w:r>
            <w:r w:rsidRPr="003A7F84">
              <w:rPr>
                <w:rFonts w:eastAsiaTheme="minorHAnsi" w:cstheme="minorHAnsi"/>
                <w:szCs w:val="20"/>
                <w:lang w:eastAsia="en-GB"/>
              </w:rPr>
              <w:br/>
            </w:r>
            <w:r w:rsidRPr="003A7F84">
              <w:t xml:space="preserve">Diazepam rectal </w:t>
            </w:r>
            <w:r w:rsidRPr="003A7F84">
              <w:rPr>
                <w:rFonts w:eastAsiaTheme="minorHAnsi" w:cstheme="minorHAnsi"/>
                <w:szCs w:val="20"/>
                <w:lang w:eastAsia="en-GB"/>
              </w:rPr>
              <w:t>solution</w:t>
            </w:r>
          </w:p>
          <w:p w14:paraId="662F2756" w14:textId="77777777" w:rsidR="00830BBE" w:rsidRPr="003A7F84" w:rsidRDefault="00830BBE" w:rsidP="00AB32A3">
            <w:pPr>
              <w:pStyle w:val="TableText"/>
              <w:keepNext w:val="0"/>
              <w:jc w:val="center"/>
              <w:rPr>
                <w:rFonts w:eastAsiaTheme="minorHAnsi" w:cstheme="minorHAnsi"/>
                <w:szCs w:val="20"/>
                <w:vertAlign w:val="superscript"/>
                <w:lang w:eastAsia="en-GB"/>
              </w:rPr>
            </w:pPr>
            <w:r w:rsidRPr="003A7F84">
              <w:rPr>
                <w:rFonts w:eastAsiaTheme="minorHAnsi" w:cstheme="minorHAnsi"/>
                <w:szCs w:val="20"/>
                <w:lang w:eastAsia="en-GB"/>
              </w:rPr>
              <w:t xml:space="preserve">(doses not </w:t>
            </w:r>
            <w:proofErr w:type="gramStart"/>
            <w:r w:rsidRPr="003A7F84">
              <w:rPr>
                <w:rFonts w:eastAsiaTheme="minorHAnsi" w:cstheme="minorHAnsi"/>
                <w:szCs w:val="20"/>
                <w:lang w:eastAsia="en-GB"/>
              </w:rPr>
              <w:t>reported)</w:t>
            </w:r>
            <w:r w:rsidRPr="003A7F84">
              <w:rPr>
                <w:rFonts w:eastAsiaTheme="minorHAnsi" w:cstheme="minorHAnsi"/>
                <w:szCs w:val="20"/>
                <w:vertAlign w:val="superscript"/>
                <w:lang w:eastAsia="en-GB"/>
              </w:rPr>
              <w:t>d</w:t>
            </w:r>
            <w:proofErr w:type="gramEnd"/>
          </w:p>
        </w:tc>
        <w:tc>
          <w:tcPr>
            <w:tcW w:w="814" w:type="pct"/>
            <w:shd w:val="clear" w:color="auto" w:fill="auto"/>
          </w:tcPr>
          <w:p w14:paraId="3A04F5B8" w14:textId="77777777" w:rsidR="00830BBE" w:rsidRPr="003A7F84" w:rsidRDefault="00830BBE" w:rsidP="00AB32A3">
            <w:pPr>
              <w:pStyle w:val="TableText"/>
              <w:keepNext w:val="0"/>
            </w:pPr>
            <w:r w:rsidRPr="003A7F84">
              <w:t>Cessation of seizure activity in &lt;10 minutes.</w:t>
            </w:r>
          </w:p>
        </w:tc>
        <w:tc>
          <w:tcPr>
            <w:tcW w:w="337" w:type="pct"/>
            <w:shd w:val="clear" w:color="auto" w:fill="auto"/>
          </w:tcPr>
          <w:p w14:paraId="6B5367C3" w14:textId="77777777" w:rsidR="00830BBE" w:rsidRPr="003A7F84" w:rsidRDefault="00830BBE" w:rsidP="00AB32A3">
            <w:pPr>
              <w:pStyle w:val="TableText"/>
              <w:keepNext w:val="0"/>
              <w:jc w:val="center"/>
            </w:pPr>
            <w:r w:rsidRPr="003A7F84">
              <w:t>High</w:t>
            </w:r>
          </w:p>
        </w:tc>
      </w:tr>
      <w:tr w:rsidR="00830BBE" w:rsidRPr="003A7F84" w14:paraId="01BDBF1C" w14:textId="77777777" w:rsidTr="00AB32A3">
        <w:trPr>
          <w:cantSplit/>
        </w:trPr>
        <w:tc>
          <w:tcPr>
            <w:tcW w:w="470" w:type="pct"/>
            <w:shd w:val="clear" w:color="auto" w:fill="auto"/>
          </w:tcPr>
          <w:p w14:paraId="6B2630FD" w14:textId="77777777" w:rsidR="00830BBE" w:rsidRPr="003A7F84" w:rsidRDefault="00830BBE" w:rsidP="00AB32A3">
            <w:pPr>
              <w:pStyle w:val="TableText"/>
              <w:keepNext w:val="0"/>
            </w:pPr>
            <w:r w:rsidRPr="003A7F84">
              <w:lastRenderedPageBreak/>
              <w:t>Trajano 2009</w:t>
            </w:r>
          </w:p>
        </w:tc>
        <w:tc>
          <w:tcPr>
            <w:tcW w:w="314" w:type="pct"/>
            <w:shd w:val="clear" w:color="auto" w:fill="auto"/>
          </w:tcPr>
          <w:p w14:paraId="333237F2" w14:textId="77777777" w:rsidR="00830BBE" w:rsidRPr="003A7F84" w:rsidRDefault="00830BBE" w:rsidP="00AB32A3">
            <w:pPr>
              <w:pStyle w:val="TableText"/>
              <w:keepNext w:val="0"/>
              <w:jc w:val="center"/>
            </w:pPr>
            <w:r w:rsidRPr="003A7F84">
              <w:t>N=34</w:t>
            </w:r>
          </w:p>
        </w:tc>
        <w:tc>
          <w:tcPr>
            <w:tcW w:w="550" w:type="pct"/>
            <w:shd w:val="clear" w:color="auto" w:fill="auto"/>
          </w:tcPr>
          <w:p w14:paraId="28991742" w14:textId="77777777" w:rsidR="00830BBE" w:rsidRPr="003A7F84" w:rsidRDefault="00830BBE" w:rsidP="00AB32A3">
            <w:pPr>
              <w:pStyle w:val="TableText"/>
              <w:keepNext w:val="0"/>
              <w:jc w:val="center"/>
            </w:pPr>
            <w:r w:rsidRPr="003A7F84">
              <w:t>Prospective</w:t>
            </w:r>
          </w:p>
          <w:p w14:paraId="141DF860" w14:textId="77777777" w:rsidR="00830BBE" w:rsidRPr="003A7F84" w:rsidRDefault="00830BBE" w:rsidP="00AB32A3">
            <w:pPr>
              <w:pStyle w:val="TableText"/>
              <w:keepNext w:val="0"/>
              <w:jc w:val="center"/>
            </w:pPr>
            <w:r w:rsidRPr="003A7F84">
              <w:t>R, AC, OL, SC.</w:t>
            </w:r>
          </w:p>
          <w:p w14:paraId="5CCE3398" w14:textId="77777777" w:rsidR="00830BBE" w:rsidRPr="003A7F84" w:rsidRDefault="00830BBE" w:rsidP="00AB32A3">
            <w:pPr>
              <w:pStyle w:val="TableText"/>
              <w:keepNext w:val="0"/>
              <w:jc w:val="center"/>
            </w:pPr>
            <w:r w:rsidRPr="003A7F84">
              <w:t xml:space="preserve"> May 2006 - </w:t>
            </w:r>
          </w:p>
          <w:p w14:paraId="6D9E3B50" w14:textId="77777777" w:rsidR="00830BBE" w:rsidRPr="003A7F84" w:rsidRDefault="00830BBE" w:rsidP="00AB32A3">
            <w:pPr>
              <w:pStyle w:val="TableText"/>
              <w:keepNext w:val="0"/>
              <w:jc w:val="center"/>
            </w:pPr>
            <w:r w:rsidRPr="003A7F84">
              <w:t>Apr 2007.</w:t>
            </w:r>
          </w:p>
        </w:tc>
        <w:tc>
          <w:tcPr>
            <w:tcW w:w="1415" w:type="pct"/>
            <w:shd w:val="clear" w:color="auto" w:fill="auto"/>
          </w:tcPr>
          <w:p w14:paraId="6A5657E2"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Children aged 1 month to 15 years admitted to emergency unit (Philippines).</w:t>
            </w:r>
          </w:p>
          <w:p w14:paraId="0D7661A1"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Convulsing on admission.</w:t>
            </w:r>
          </w:p>
          <w:p w14:paraId="118C1FE1" w14:textId="77777777" w:rsidR="00830BBE" w:rsidRPr="003A7F84" w:rsidRDefault="00830BBE" w:rsidP="002912B0">
            <w:pPr>
              <w:pStyle w:val="TableText"/>
              <w:keepNext w:val="0"/>
              <w:numPr>
                <w:ilvl w:val="0"/>
                <w:numId w:val="7"/>
              </w:numPr>
              <w:ind w:left="136" w:hanging="119"/>
              <w:rPr>
                <w:rFonts w:eastAsiaTheme="minorHAnsi" w:cstheme="minorHAnsi"/>
                <w:szCs w:val="20"/>
                <w:lang w:eastAsia="en-GB"/>
              </w:rPr>
            </w:pPr>
            <w:r w:rsidRPr="003A7F84">
              <w:rPr>
                <w:rFonts w:eastAsiaTheme="minorHAnsi" w:cstheme="minorHAnsi"/>
                <w:szCs w:val="20"/>
                <w:lang w:eastAsia="en-GB"/>
              </w:rPr>
              <w:t>Any aetiology. 35% with epilepsy.</w:t>
            </w:r>
          </w:p>
        </w:tc>
        <w:tc>
          <w:tcPr>
            <w:tcW w:w="1100" w:type="pct"/>
            <w:shd w:val="clear" w:color="auto" w:fill="auto"/>
          </w:tcPr>
          <w:p w14:paraId="47AFABAB" w14:textId="77777777" w:rsidR="00830BBE" w:rsidRPr="003A7F84" w:rsidRDefault="00830BBE" w:rsidP="00AB32A3">
            <w:pPr>
              <w:pStyle w:val="TableText"/>
              <w:keepNext w:val="0"/>
              <w:ind w:left="17"/>
              <w:jc w:val="center"/>
              <w:rPr>
                <w:rFonts w:eastAsiaTheme="minorHAnsi" w:cstheme="minorHAnsi"/>
                <w:szCs w:val="20"/>
                <w:lang w:eastAsia="en-GB"/>
              </w:rPr>
            </w:pPr>
            <w:r w:rsidRPr="003A7F84">
              <w:rPr>
                <w:rFonts w:eastAsiaTheme="minorHAnsi" w:cstheme="minorHAnsi"/>
                <w:szCs w:val="20"/>
                <w:lang w:eastAsia="en-GB"/>
              </w:rPr>
              <w:t>Buccal or intravenous midazolam 0.5 mg/kg</w:t>
            </w:r>
          </w:p>
          <w:p w14:paraId="39598A0D" w14:textId="77777777" w:rsidR="00830BBE" w:rsidRPr="003A7F84" w:rsidRDefault="00830BBE" w:rsidP="00AB32A3">
            <w:pPr>
              <w:pStyle w:val="TableText"/>
              <w:keepNext w:val="0"/>
              <w:ind w:left="17"/>
              <w:jc w:val="center"/>
              <w:rPr>
                <w:rFonts w:eastAsiaTheme="minorHAnsi" w:cstheme="minorHAnsi"/>
                <w:szCs w:val="20"/>
                <w:lang w:eastAsia="en-GB"/>
              </w:rPr>
            </w:pPr>
            <w:r w:rsidRPr="003A7F84">
              <w:rPr>
                <w:rFonts w:eastAsiaTheme="minorHAnsi" w:cstheme="minorHAnsi"/>
                <w:szCs w:val="20"/>
                <w:lang w:eastAsia="en-GB"/>
              </w:rPr>
              <w:t>vs</w:t>
            </w:r>
            <w:r w:rsidRPr="003A7F84">
              <w:rPr>
                <w:rFonts w:eastAsiaTheme="minorHAnsi" w:cstheme="minorHAnsi"/>
                <w:szCs w:val="20"/>
                <w:lang w:eastAsia="en-GB"/>
              </w:rPr>
              <w:br/>
            </w:r>
            <w:r w:rsidRPr="003A7F84">
              <w:t xml:space="preserve">Rectal </w:t>
            </w:r>
            <w:r w:rsidRPr="003A7F84">
              <w:rPr>
                <w:rFonts w:eastAsiaTheme="minorHAnsi" w:cstheme="minorHAnsi"/>
                <w:szCs w:val="20"/>
                <w:lang w:eastAsia="en-GB"/>
              </w:rPr>
              <w:t>diazepam 0.5 mg/kg</w:t>
            </w:r>
          </w:p>
          <w:p w14:paraId="3B11E0C7" w14:textId="77777777" w:rsidR="00830BBE" w:rsidRPr="003A7F84" w:rsidRDefault="00830BBE" w:rsidP="00AB32A3">
            <w:pPr>
              <w:pStyle w:val="TableText"/>
              <w:keepNext w:val="0"/>
              <w:jc w:val="center"/>
              <w:rPr>
                <w:rFonts w:eastAsiaTheme="minorHAnsi" w:cstheme="minorHAnsi"/>
                <w:szCs w:val="20"/>
                <w:lang w:eastAsia="en-GB"/>
              </w:rPr>
            </w:pPr>
            <w:r w:rsidRPr="003A7F84">
              <w:rPr>
                <w:rFonts w:eastAsiaTheme="minorHAnsi" w:cstheme="minorHAnsi"/>
                <w:szCs w:val="20"/>
                <w:lang w:eastAsia="en-GB"/>
              </w:rPr>
              <w:t>(</w:t>
            </w:r>
            <w:proofErr w:type="gramStart"/>
            <w:r w:rsidRPr="003A7F84">
              <w:rPr>
                <w:rFonts w:eastAsiaTheme="minorHAnsi" w:cstheme="minorHAnsi"/>
                <w:szCs w:val="20"/>
                <w:lang w:eastAsia="en-GB"/>
              </w:rPr>
              <w:t>formulations</w:t>
            </w:r>
            <w:proofErr w:type="gramEnd"/>
            <w:r w:rsidRPr="003A7F84">
              <w:rPr>
                <w:rFonts w:eastAsiaTheme="minorHAnsi" w:cstheme="minorHAnsi"/>
                <w:szCs w:val="20"/>
                <w:lang w:eastAsia="en-GB"/>
              </w:rPr>
              <w:t xml:space="preserve"> not reported)</w:t>
            </w:r>
          </w:p>
        </w:tc>
        <w:tc>
          <w:tcPr>
            <w:tcW w:w="814" w:type="pct"/>
            <w:shd w:val="clear" w:color="auto" w:fill="auto"/>
          </w:tcPr>
          <w:p w14:paraId="37E8F3C8" w14:textId="77777777" w:rsidR="00830BBE" w:rsidRPr="003A7F84" w:rsidRDefault="00830BBE" w:rsidP="00AB32A3">
            <w:pPr>
              <w:pStyle w:val="TableText"/>
              <w:keepNext w:val="0"/>
            </w:pPr>
            <w:r w:rsidRPr="003A7F84">
              <w:t>Cessation of seizure activity in &lt;10 minutes.</w:t>
            </w:r>
          </w:p>
        </w:tc>
        <w:tc>
          <w:tcPr>
            <w:tcW w:w="337" w:type="pct"/>
            <w:shd w:val="clear" w:color="auto" w:fill="auto"/>
          </w:tcPr>
          <w:p w14:paraId="7EDD100D" w14:textId="77777777" w:rsidR="00830BBE" w:rsidRPr="003A7F84" w:rsidRDefault="00830BBE" w:rsidP="00AB32A3">
            <w:pPr>
              <w:pStyle w:val="TableText"/>
              <w:keepNext w:val="0"/>
              <w:jc w:val="center"/>
            </w:pPr>
            <w:r w:rsidRPr="003A7F84">
              <w:t>High</w:t>
            </w:r>
          </w:p>
        </w:tc>
      </w:tr>
    </w:tbl>
    <w:p w14:paraId="6759365D" w14:textId="77777777" w:rsidR="00830BBE" w:rsidRPr="003A7F84" w:rsidRDefault="00830BBE" w:rsidP="00830BBE">
      <w:pPr>
        <w:pStyle w:val="TableFigureFooter"/>
      </w:pPr>
      <w:r w:rsidRPr="003A7F84">
        <w:t>Source: Section 2.4, pp74-88 of the submission.</w:t>
      </w:r>
    </w:p>
    <w:p w14:paraId="64877988" w14:textId="5CEB8660" w:rsidR="00830BBE" w:rsidRPr="003A7F84" w:rsidRDefault="00830BBE" w:rsidP="00830BBE">
      <w:pPr>
        <w:pStyle w:val="TableFigureFooter"/>
      </w:pPr>
      <w:r w:rsidRPr="003A7F84">
        <w:t>Abbreviations: AC, active control; IV, intravenous; MC, multi-centre; OL, open label; R, randomised; SC, single centre; UK, United Kingdom.</w:t>
      </w:r>
    </w:p>
    <w:p w14:paraId="528F0922" w14:textId="3B397970" w:rsidR="005C7F14" w:rsidRPr="003A7F84" w:rsidRDefault="005C7F14" w:rsidP="00830BBE">
      <w:pPr>
        <w:pStyle w:val="TableFigureFooter"/>
      </w:pPr>
      <w:r w:rsidRPr="003A7F84">
        <w:t>Note: Shaded rows correspond to studies that used buccal midazolam maleate (Epistatus</w:t>
      </w:r>
      <w:r w:rsidR="00AC74E8" w:rsidRPr="003A7F84">
        <w:t xml:space="preserve">, the previous brand name of Zyamis) </w:t>
      </w:r>
    </w:p>
    <w:p w14:paraId="3C4E4EE4" w14:textId="77777777" w:rsidR="00830BBE" w:rsidRPr="003A7F84" w:rsidRDefault="00830BBE" w:rsidP="00830BBE">
      <w:pPr>
        <w:pStyle w:val="TableFigureFooter"/>
      </w:pPr>
      <w:proofErr w:type="gramStart"/>
      <w:r w:rsidRPr="003A7F84">
        <w:rPr>
          <w:vertAlign w:val="superscript"/>
        </w:rPr>
        <w:t>a</w:t>
      </w:r>
      <w:proofErr w:type="gramEnd"/>
      <w:r w:rsidRPr="003A7F84">
        <w:t xml:space="preserve"> Age-based doses: ≤12 months - 2.5mg; 1-4 years - 5mg; 5-9 years - 7.5mg; &gt;10 years - 10mg.</w:t>
      </w:r>
    </w:p>
    <w:p w14:paraId="23355DAB" w14:textId="77777777" w:rsidR="00830BBE" w:rsidRPr="003A7F84" w:rsidRDefault="00830BBE" w:rsidP="00830BBE">
      <w:pPr>
        <w:pStyle w:val="TableFigureFooter"/>
      </w:pPr>
      <w:r w:rsidRPr="003A7F84">
        <w:rPr>
          <w:vertAlign w:val="superscript"/>
        </w:rPr>
        <w:t>b</w:t>
      </w:r>
      <w:r w:rsidRPr="003A7F84">
        <w:t xml:space="preserve"> Age-based doses: ≤5 years - 0.5 mg/kg; ≥6 years - 0.3 mg/kg.</w:t>
      </w:r>
    </w:p>
    <w:p w14:paraId="51571E9F" w14:textId="77777777" w:rsidR="00830BBE" w:rsidRPr="003A7F84" w:rsidRDefault="00830BBE" w:rsidP="00830BBE">
      <w:pPr>
        <w:pStyle w:val="TableFigureFooter"/>
      </w:pPr>
      <w:r w:rsidRPr="003A7F84">
        <w:rPr>
          <w:vertAlign w:val="superscript"/>
        </w:rPr>
        <w:t>c</w:t>
      </w:r>
      <w:r w:rsidRPr="003A7F84">
        <w:t xml:space="preserve"> Individualised dosing based on prior experiences.</w:t>
      </w:r>
    </w:p>
    <w:p w14:paraId="6675BAF2" w14:textId="7C1297DF" w:rsidR="00830BBE" w:rsidRPr="003A7F84" w:rsidRDefault="00830BBE" w:rsidP="002437CD">
      <w:pPr>
        <w:pStyle w:val="TableFigureFooter"/>
      </w:pPr>
      <w:r w:rsidRPr="003A7F84">
        <w:rPr>
          <w:vertAlign w:val="superscript"/>
        </w:rPr>
        <w:t>d</w:t>
      </w:r>
      <w:r w:rsidRPr="003A7F84">
        <w:t xml:space="preserve"> Midazolam 10 mg and diazepam 10 mg preparations were used, but dose administered was not reported.</w:t>
      </w:r>
    </w:p>
    <w:p w14:paraId="0D2A780D" w14:textId="3C4522BE" w:rsidR="00E10C09" w:rsidRPr="003A7F84" w:rsidRDefault="00E10C09" w:rsidP="00E10C09">
      <w:pPr>
        <w:pStyle w:val="ExecSumBodyText"/>
      </w:pPr>
      <w:r w:rsidRPr="003A7F84">
        <w:rPr>
          <w:iCs/>
        </w:rPr>
        <w:t xml:space="preserve">Allocation/randomisation </w:t>
      </w:r>
      <w:r w:rsidR="000F6BA6" w:rsidRPr="003A7F84">
        <w:rPr>
          <w:iCs/>
        </w:rPr>
        <w:t xml:space="preserve">in the included studies </w:t>
      </w:r>
      <w:r w:rsidRPr="003A7F84">
        <w:rPr>
          <w:iCs/>
        </w:rPr>
        <w:t xml:space="preserve">was </w:t>
      </w:r>
      <w:r w:rsidR="00AB789C" w:rsidRPr="003A7F84">
        <w:rPr>
          <w:iCs/>
        </w:rPr>
        <w:t>poor.</w:t>
      </w:r>
      <w:r w:rsidR="00AB789C" w:rsidRPr="003A7F84">
        <w:t xml:space="preserve"> </w:t>
      </w:r>
      <w:r w:rsidR="008C0B71" w:rsidRPr="003A7F84">
        <w:t>Six</w:t>
      </w:r>
      <w:r w:rsidRPr="003A7F84">
        <w:t xml:space="preserve"> studies were open label with an easily identified active comparator arm (rectal diazepam). Mpimbaza 2008 was a </w:t>
      </w:r>
      <w:r w:rsidR="00932EA2" w:rsidRPr="003A7F84">
        <w:t>single</w:t>
      </w:r>
      <w:r w:rsidRPr="003A7F84">
        <w:t xml:space="preserve">-blind </w:t>
      </w:r>
      <w:proofErr w:type="gramStart"/>
      <w:r w:rsidRPr="003A7F84">
        <w:t>placebo controlled</w:t>
      </w:r>
      <w:proofErr w:type="gramEnd"/>
      <w:r w:rsidRPr="003A7F84">
        <w:t xml:space="preserve"> study. </w:t>
      </w:r>
      <w:r w:rsidRPr="003A7F84">
        <w:rPr>
          <w:iCs/>
        </w:rPr>
        <w:t xml:space="preserve">Overall, given the methods of randomisation, identification of treatment allocation, and the limited recording of results, the risk of bias in all studies was high. </w:t>
      </w:r>
    </w:p>
    <w:p w14:paraId="1DD06D7D" w14:textId="6D698D13" w:rsidR="007F1017" w:rsidRPr="003A7F84" w:rsidRDefault="00225765" w:rsidP="00EC5836">
      <w:pPr>
        <w:pStyle w:val="ExecSumBodyText"/>
        <w:rPr>
          <w:color w:val="0066FF"/>
        </w:rPr>
      </w:pPr>
      <w:r w:rsidRPr="003A7F84">
        <w:t xml:space="preserve">All studies recruited </w:t>
      </w:r>
      <w:r w:rsidR="00827B8E" w:rsidRPr="003A7F84">
        <w:t xml:space="preserve">patients </w:t>
      </w:r>
      <w:r w:rsidRPr="003A7F84">
        <w:t xml:space="preserve">on presentation to hospital emergency or acute care units with prolonged seizures (Ashrafi 2010, Baysun 2005, McIntyre 2005, Mpimbaza 2008, Trajano 2009), or on experiencing prolonged seizures in residential care (Nakken 2011, Scott 1999). </w:t>
      </w:r>
    </w:p>
    <w:p w14:paraId="00E0BFE8" w14:textId="7B50D7E3" w:rsidR="005A6A53" w:rsidRPr="003A7F84" w:rsidRDefault="005A6A53" w:rsidP="00EC5836">
      <w:pPr>
        <w:pStyle w:val="ExecSumBodyText"/>
        <w:rPr>
          <w:color w:val="0066FF"/>
        </w:rPr>
      </w:pPr>
      <w:r w:rsidRPr="003A7F84">
        <w:rPr>
          <w:iCs/>
        </w:rPr>
        <w:t>Study design and methodology varied substantially between studies in terms of patient recruitment, location, randomisation and treatment allocation, aetiology and presentation of seizure activity, index seizure duration, intervention (formulation, dose, method of administration), and outcome definition</w:t>
      </w:r>
      <w:r w:rsidRPr="003A7F84">
        <w:t>.</w:t>
      </w:r>
    </w:p>
    <w:p w14:paraId="4A4FE085" w14:textId="6E8B808E" w:rsidR="00B60939" w:rsidRPr="003A7F84" w:rsidRDefault="00B60939" w:rsidP="00EC5836">
      <w:pPr>
        <w:pStyle w:val="3-SubsectionHeading"/>
      </w:pPr>
      <w:bookmarkStart w:id="26" w:name="_Toc22897641"/>
      <w:bookmarkStart w:id="27" w:name="_Toc103714920"/>
      <w:r w:rsidRPr="003A7F84">
        <w:t>Comparative effectiveness</w:t>
      </w:r>
      <w:bookmarkEnd w:id="26"/>
      <w:bookmarkEnd w:id="27"/>
    </w:p>
    <w:p w14:paraId="77CC262E" w14:textId="3C8E8A28" w:rsidR="00A34972" w:rsidRPr="003A7F84" w:rsidRDefault="00A34972" w:rsidP="00A34972">
      <w:pPr>
        <w:pStyle w:val="ExecSumBodyText"/>
      </w:pPr>
      <w:r w:rsidRPr="003A7F84">
        <w:t>The key outcome presented in the submission (cessation of seizure activity) varied substantially between studies, with three studies requiring cessation of seizure activity within 10 minutes of treatment (Baysun 2005, McIntyre 2005, Mpimbaza 2008, Scott 1999 and Trajano 2009), Ashrafi 2010 applying a shorter period of 5 minutes, and four studies using composite endpoints of seizure cessation and respiratory depression and/or recurrence of seizure activity within 1 or 2 hours (Ashrafi 2010, McIntyre 2005, Mpimbaza 2008; Nakken 2011).</w:t>
      </w:r>
    </w:p>
    <w:p w14:paraId="313E139B" w14:textId="1F62A9DF" w:rsidR="00B34FE2" w:rsidRPr="003A7F84" w:rsidRDefault="00C1167C" w:rsidP="00EC5836">
      <w:pPr>
        <w:pStyle w:val="ExecSumBodyText"/>
      </w:pPr>
      <w:r w:rsidRPr="003A7F84">
        <w:rPr>
          <w:snapToGrid/>
        </w:rPr>
        <w:fldChar w:fldCharType="begin"/>
      </w:r>
      <w:r w:rsidRPr="003A7F84">
        <w:rPr>
          <w:snapToGrid/>
        </w:rPr>
        <w:instrText xml:space="preserve"> REF _Ref104393194 \h </w:instrText>
      </w:r>
      <w:r w:rsidRPr="003A7F84">
        <w:rPr>
          <w:snapToGrid/>
        </w:rPr>
      </w:r>
      <w:r w:rsidRPr="003A7F84">
        <w:rPr>
          <w:snapToGrid/>
        </w:rPr>
        <w:fldChar w:fldCharType="separate"/>
      </w:r>
      <w:r w:rsidR="009466A1" w:rsidRPr="003A7F84">
        <w:t xml:space="preserve">Table </w:t>
      </w:r>
      <w:r w:rsidR="009466A1">
        <w:rPr>
          <w:noProof/>
        </w:rPr>
        <w:t>5</w:t>
      </w:r>
      <w:r w:rsidRPr="003A7F84">
        <w:rPr>
          <w:snapToGrid/>
        </w:rPr>
        <w:fldChar w:fldCharType="end"/>
      </w:r>
      <w:r w:rsidRPr="003A7F84">
        <w:rPr>
          <w:snapToGrid/>
        </w:rPr>
        <w:t xml:space="preserve"> </w:t>
      </w:r>
      <w:r w:rsidR="006932AC" w:rsidRPr="003A7F84">
        <w:rPr>
          <w:snapToGrid/>
        </w:rPr>
        <w:t xml:space="preserve">summarises the key outcome of </w:t>
      </w:r>
      <w:r w:rsidR="006932AC" w:rsidRPr="003A7F84">
        <w:t>cessation of seizure or convulsion activity within 5 or 10 minutes of administration of buccal midazolam or rectal diazepam.</w:t>
      </w:r>
    </w:p>
    <w:p w14:paraId="50239B9D" w14:textId="5E573EA3" w:rsidR="008B3E0F" w:rsidRPr="003A7F84" w:rsidRDefault="008B3E0F" w:rsidP="008B3E0F">
      <w:pPr>
        <w:pStyle w:val="Caption"/>
        <w:rPr>
          <w:b w:val="0"/>
        </w:rPr>
      </w:pPr>
      <w:bookmarkStart w:id="28" w:name="_Ref104393194"/>
      <w:r w:rsidRPr="003A7F84">
        <w:lastRenderedPageBreak/>
        <w:t xml:space="preserve">Table </w:t>
      </w:r>
      <w:fldSimple w:instr=" SEQ Table \* ARABIC ">
        <w:r w:rsidR="009466A1">
          <w:rPr>
            <w:noProof/>
          </w:rPr>
          <w:t>5</w:t>
        </w:r>
      </w:fldSimple>
      <w:bookmarkEnd w:id="28"/>
      <w:r w:rsidRPr="003A7F84">
        <w:t>: Patients achieving treatment success (cessation of seizures</w:t>
      </w:r>
      <w:r w:rsidR="0012750C" w:rsidRPr="003A7F84">
        <w: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54"/>
        <w:gridCol w:w="2055"/>
        <w:gridCol w:w="2735"/>
      </w:tblGrid>
      <w:tr w:rsidR="006932AC" w:rsidRPr="003A7F84" w14:paraId="289C15C4" w14:textId="77777777" w:rsidTr="00AB32A3">
        <w:trPr>
          <w:tblHeader/>
        </w:trPr>
        <w:tc>
          <w:tcPr>
            <w:tcW w:w="1184" w:type="pct"/>
            <w:vAlign w:val="center"/>
          </w:tcPr>
          <w:p w14:paraId="38FE9358" w14:textId="77777777" w:rsidR="006932AC" w:rsidRPr="003A7F84" w:rsidRDefault="006932AC" w:rsidP="00AB32A3">
            <w:pPr>
              <w:pStyle w:val="Tableheadingrow"/>
              <w:ind w:right="-82"/>
              <w:rPr>
                <w:lang w:val="en-AU"/>
              </w:rPr>
            </w:pPr>
            <w:r w:rsidRPr="003A7F84">
              <w:rPr>
                <w:lang w:val="en-AU"/>
              </w:rPr>
              <w:t>Trial ID</w:t>
            </w:r>
          </w:p>
        </w:tc>
        <w:tc>
          <w:tcPr>
            <w:tcW w:w="1145" w:type="pct"/>
            <w:vAlign w:val="center"/>
          </w:tcPr>
          <w:p w14:paraId="19675E61" w14:textId="77777777" w:rsidR="006932AC" w:rsidRPr="003A7F84" w:rsidRDefault="006932AC" w:rsidP="00AB32A3">
            <w:pPr>
              <w:pStyle w:val="Tableheadingrow"/>
              <w:ind w:left="-51" w:right="-82"/>
              <w:jc w:val="center"/>
              <w:rPr>
                <w:lang w:val="en-AU"/>
              </w:rPr>
            </w:pPr>
            <w:r w:rsidRPr="003A7F84">
              <w:rPr>
                <w:lang w:val="en-AU"/>
              </w:rPr>
              <w:t>Buccal midazolam</w:t>
            </w:r>
          </w:p>
        </w:tc>
        <w:tc>
          <w:tcPr>
            <w:tcW w:w="1146" w:type="pct"/>
            <w:vAlign w:val="center"/>
          </w:tcPr>
          <w:p w14:paraId="2D9C66B0" w14:textId="77777777" w:rsidR="006932AC" w:rsidRPr="003A7F84" w:rsidRDefault="006932AC" w:rsidP="00AB32A3">
            <w:pPr>
              <w:pStyle w:val="Tableheadingrow"/>
              <w:ind w:left="-51" w:right="-82"/>
              <w:jc w:val="center"/>
              <w:rPr>
                <w:lang w:val="en-AU"/>
              </w:rPr>
            </w:pPr>
            <w:r w:rsidRPr="003A7F84">
              <w:rPr>
                <w:lang w:val="en-AU"/>
              </w:rPr>
              <w:t>Rectal diazepam</w:t>
            </w:r>
          </w:p>
        </w:tc>
        <w:tc>
          <w:tcPr>
            <w:tcW w:w="1525" w:type="pct"/>
            <w:vAlign w:val="center"/>
          </w:tcPr>
          <w:p w14:paraId="641C314C" w14:textId="77777777" w:rsidR="006932AC" w:rsidRPr="003A7F84" w:rsidRDefault="006932AC" w:rsidP="00AB32A3">
            <w:pPr>
              <w:pStyle w:val="Tableheadingrow"/>
              <w:ind w:left="-51" w:right="-82"/>
              <w:jc w:val="center"/>
              <w:rPr>
                <w:lang w:val="en-AU"/>
              </w:rPr>
            </w:pPr>
            <w:r w:rsidRPr="003A7F84">
              <w:rPr>
                <w:lang w:val="en-AU"/>
              </w:rPr>
              <w:t>Difference</w:t>
            </w:r>
          </w:p>
        </w:tc>
      </w:tr>
      <w:tr w:rsidR="006932AC" w:rsidRPr="003A7F84" w14:paraId="02651DA9" w14:textId="77777777" w:rsidTr="00AB32A3">
        <w:tc>
          <w:tcPr>
            <w:tcW w:w="5000" w:type="pct"/>
            <w:gridSpan w:val="4"/>
          </w:tcPr>
          <w:p w14:paraId="06FBBBED" w14:textId="77777777" w:rsidR="006932AC" w:rsidRPr="003A7F84" w:rsidRDefault="006932AC" w:rsidP="00AB32A3">
            <w:pPr>
              <w:pStyle w:val="TableText"/>
              <w:ind w:right="-82"/>
              <w:rPr>
                <w:b/>
                <w:bCs w:val="0"/>
              </w:rPr>
            </w:pPr>
            <w:r w:rsidRPr="003A7F84">
              <w:rPr>
                <w:b/>
                <w:bCs w:val="0"/>
              </w:rPr>
              <w:t>Cessation of seizure in &lt;5 minutes without respiratory depression or recurrence within 1 hour</w:t>
            </w:r>
          </w:p>
        </w:tc>
      </w:tr>
      <w:tr w:rsidR="006932AC" w:rsidRPr="003A7F84" w14:paraId="6D6CEB8D" w14:textId="77777777" w:rsidTr="00AB32A3">
        <w:trPr>
          <w:trHeight w:val="139"/>
        </w:trPr>
        <w:tc>
          <w:tcPr>
            <w:tcW w:w="1184" w:type="pct"/>
          </w:tcPr>
          <w:p w14:paraId="7C2F9676" w14:textId="77777777" w:rsidR="006932AC" w:rsidRPr="003A7F84" w:rsidRDefault="006932AC" w:rsidP="00AB32A3">
            <w:pPr>
              <w:pStyle w:val="TableText"/>
              <w:ind w:right="-82"/>
            </w:pPr>
            <w:r w:rsidRPr="003A7F84">
              <w:t>Ashrafi 2010</w:t>
            </w:r>
          </w:p>
        </w:tc>
        <w:tc>
          <w:tcPr>
            <w:tcW w:w="1145" w:type="pct"/>
          </w:tcPr>
          <w:p w14:paraId="48AC244E" w14:textId="77777777" w:rsidR="006932AC" w:rsidRPr="003A7F84" w:rsidRDefault="006932AC" w:rsidP="00AB32A3">
            <w:pPr>
              <w:pStyle w:val="TableText"/>
              <w:ind w:left="-51" w:right="-82"/>
              <w:jc w:val="center"/>
              <w:rPr>
                <w:szCs w:val="20"/>
              </w:rPr>
            </w:pPr>
            <w:r w:rsidRPr="003A7F84">
              <w:rPr>
                <w:szCs w:val="20"/>
              </w:rPr>
              <w:t>49/49 (100%)</w:t>
            </w:r>
          </w:p>
        </w:tc>
        <w:tc>
          <w:tcPr>
            <w:tcW w:w="1146" w:type="pct"/>
          </w:tcPr>
          <w:p w14:paraId="0EF9A36C" w14:textId="77777777" w:rsidR="006932AC" w:rsidRPr="003A7F84" w:rsidRDefault="006932AC" w:rsidP="00AB32A3">
            <w:pPr>
              <w:pStyle w:val="TableText"/>
              <w:ind w:left="-51" w:right="-82"/>
              <w:jc w:val="center"/>
              <w:rPr>
                <w:szCs w:val="20"/>
              </w:rPr>
            </w:pPr>
            <w:r w:rsidRPr="003A7F84">
              <w:rPr>
                <w:szCs w:val="20"/>
              </w:rPr>
              <w:t>40/49 (82%)</w:t>
            </w:r>
          </w:p>
        </w:tc>
        <w:tc>
          <w:tcPr>
            <w:tcW w:w="1525" w:type="pct"/>
          </w:tcPr>
          <w:p w14:paraId="19FF2CF8"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p &lt; 0.001</w:t>
            </w:r>
          </w:p>
        </w:tc>
      </w:tr>
      <w:tr w:rsidR="006932AC" w:rsidRPr="003A7F84" w14:paraId="2CDD706B" w14:textId="77777777" w:rsidTr="00AB32A3">
        <w:tc>
          <w:tcPr>
            <w:tcW w:w="5000" w:type="pct"/>
            <w:gridSpan w:val="4"/>
          </w:tcPr>
          <w:p w14:paraId="069568AD" w14:textId="77777777" w:rsidR="006932AC" w:rsidRPr="003A7F84" w:rsidRDefault="006932AC" w:rsidP="00AB32A3">
            <w:pPr>
              <w:pStyle w:val="TableText"/>
              <w:ind w:right="-82"/>
              <w:rPr>
                <w:b/>
                <w:bCs w:val="0"/>
              </w:rPr>
            </w:pPr>
            <w:r w:rsidRPr="003A7F84">
              <w:rPr>
                <w:b/>
                <w:bCs w:val="0"/>
              </w:rPr>
              <w:t>Cessation of seizure in &lt;10 minutes</w:t>
            </w:r>
          </w:p>
        </w:tc>
      </w:tr>
      <w:tr w:rsidR="006932AC" w:rsidRPr="003A7F84" w14:paraId="0580C635" w14:textId="77777777" w:rsidTr="00AB32A3">
        <w:tc>
          <w:tcPr>
            <w:tcW w:w="1184" w:type="pct"/>
          </w:tcPr>
          <w:p w14:paraId="462E7BDB" w14:textId="77777777" w:rsidR="006932AC" w:rsidRPr="003A7F84" w:rsidRDefault="006932AC" w:rsidP="00AB32A3">
            <w:pPr>
              <w:pStyle w:val="TableText"/>
              <w:ind w:right="-82"/>
            </w:pPr>
            <w:r w:rsidRPr="003A7F84">
              <w:t>Baysun 2005</w:t>
            </w:r>
          </w:p>
        </w:tc>
        <w:tc>
          <w:tcPr>
            <w:tcW w:w="1145" w:type="pct"/>
          </w:tcPr>
          <w:p w14:paraId="0052693D" w14:textId="77777777" w:rsidR="006932AC" w:rsidRPr="003A7F84" w:rsidRDefault="006932AC" w:rsidP="00AB32A3">
            <w:pPr>
              <w:pStyle w:val="TableText"/>
              <w:ind w:left="-51" w:right="-82"/>
              <w:jc w:val="center"/>
              <w:rPr>
                <w:szCs w:val="20"/>
              </w:rPr>
            </w:pPr>
            <w:r w:rsidRPr="003A7F84">
              <w:rPr>
                <w:szCs w:val="20"/>
              </w:rPr>
              <w:t>18/23 (78%)</w:t>
            </w:r>
          </w:p>
        </w:tc>
        <w:tc>
          <w:tcPr>
            <w:tcW w:w="1146" w:type="pct"/>
          </w:tcPr>
          <w:p w14:paraId="749BF31E" w14:textId="77777777" w:rsidR="006932AC" w:rsidRPr="003A7F84" w:rsidRDefault="006932AC" w:rsidP="00AB32A3">
            <w:pPr>
              <w:pStyle w:val="TableText"/>
              <w:ind w:left="-51" w:right="-82"/>
              <w:jc w:val="center"/>
              <w:rPr>
                <w:szCs w:val="20"/>
              </w:rPr>
            </w:pPr>
            <w:r w:rsidRPr="003A7F84">
              <w:rPr>
                <w:szCs w:val="20"/>
              </w:rPr>
              <w:t>17/20 (85%)</w:t>
            </w:r>
          </w:p>
        </w:tc>
        <w:tc>
          <w:tcPr>
            <w:tcW w:w="1525" w:type="pct"/>
          </w:tcPr>
          <w:p w14:paraId="1DCABB51"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p &gt; 0.05</w:t>
            </w:r>
          </w:p>
        </w:tc>
      </w:tr>
      <w:tr w:rsidR="006932AC" w:rsidRPr="003A7F84" w14:paraId="5283DB7C" w14:textId="77777777" w:rsidTr="00AB32A3">
        <w:tc>
          <w:tcPr>
            <w:tcW w:w="1184" w:type="pct"/>
            <w:tcBorders>
              <w:top w:val="single" w:sz="4" w:space="0" w:color="auto"/>
              <w:left w:val="single" w:sz="4" w:space="0" w:color="auto"/>
              <w:bottom w:val="single" w:sz="4" w:space="0" w:color="auto"/>
              <w:right w:val="single" w:sz="4" w:space="0" w:color="auto"/>
            </w:tcBorders>
          </w:tcPr>
          <w:p w14:paraId="38408013" w14:textId="77777777" w:rsidR="006932AC" w:rsidRPr="003A7F84" w:rsidRDefault="006932AC" w:rsidP="00AB32A3">
            <w:pPr>
              <w:pStyle w:val="TableText"/>
              <w:ind w:right="-82"/>
            </w:pPr>
            <w:r w:rsidRPr="003A7F84">
              <w:t>Scott 1999 (episodes)</w:t>
            </w:r>
          </w:p>
        </w:tc>
        <w:tc>
          <w:tcPr>
            <w:tcW w:w="1145" w:type="pct"/>
            <w:tcBorders>
              <w:top w:val="single" w:sz="4" w:space="0" w:color="auto"/>
              <w:left w:val="single" w:sz="4" w:space="0" w:color="auto"/>
              <w:bottom w:val="single" w:sz="4" w:space="0" w:color="auto"/>
              <w:right w:val="single" w:sz="4" w:space="0" w:color="auto"/>
            </w:tcBorders>
          </w:tcPr>
          <w:p w14:paraId="1D7E21CF" w14:textId="77777777" w:rsidR="006932AC" w:rsidRPr="003A7F84" w:rsidRDefault="006932AC" w:rsidP="00AB32A3">
            <w:pPr>
              <w:pStyle w:val="TableText"/>
              <w:ind w:left="-51" w:right="-82"/>
              <w:jc w:val="center"/>
              <w:rPr>
                <w:szCs w:val="20"/>
              </w:rPr>
            </w:pPr>
            <w:r w:rsidRPr="003A7F84">
              <w:rPr>
                <w:szCs w:val="20"/>
              </w:rPr>
              <w:t>30/40 (75%)</w:t>
            </w:r>
          </w:p>
        </w:tc>
        <w:tc>
          <w:tcPr>
            <w:tcW w:w="1146" w:type="pct"/>
            <w:tcBorders>
              <w:top w:val="single" w:sz="4" w:space="0" w:color="auto"/>
              <w:left w:val="single" w:sz="4" w:space="0" w:color="auto"/>
              <w:bottom w:val="single" w:sz="4" w:space="0" w:color="auto"/>
              <w:right w:val="single" w:sz="4" w:space="0" w:color="auto"/>
            </w:tcBorders>
          </w:tcPr>
          <w:p w14:paraId="0AE3D1ED" w14:textId="77777777" w:rsidR="006932AC" w:rsidRPr="003A7F84" w:rsidRDefault="006932AC" w:rsidP="00AB32A3">
            <w:pPr>
              <w:pStyle w:val="TableText"/>
              <w:ind w:left="-51" w:right="-82"/>
              <w:jc w:val="center"/>
              <w:rPr>
                <w:szCs w:val="20"/>
              </w:rPr>
            </w:pPr>
            <w:r w:rsidRPr="003A7F84">
              <w:rPr>
                <w:szCs w:val="20"/>
              </w:rPr>
              <w:t>23/39 (59%)</w:t>
            </w:r>
          </w:p>
        </w:tc>
        <w:tc>
          <w:tcPr>
            <w:tcW w:w="1525" w:type="pct"/>
            <w:tcBorders>
              <w:top w:val="single" w:sz="4" w:space="0" w:color="auto"/>
              <w:left w:val="single" w:sz="4" w:space="0" w:color="auto"/>
              <w:bottom w:val="single" w:sz="4" w:space="0" w:color="auto"/>
              <w:right w:val="single" w:sz="4" w:space="0" w:color="auto"/>
            </w:tcBorders>
          </w:tcPr>
          <w:p w14:paraId="60F92EC3"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p = 0.16</w:t>
            </w:r>
          </w:p>
        </w:tc>
      </w:tr>
      <w:tr w:rsidR="006932AC" w:rsidRPr="003A7F84" w14:paraId="19441F9C" w14:textId="77777777" w:rsidTr="00AB32A3">
        <w:tc>
          <w:tcPr>
            <w:tcW w:w="1184" w:type="pct"/>
            <w:tcBorders>
              <w:top w:val="single" w:sz="4" w:space="0" w:color="auto"/>
              <w:left w:val="single" w:sz="4" w:space="0" w:color="auto"/>
              <w:bottom w:val="single" w:sz="4" w:space="0" w:color="auto"/>
              <w:right w:val="single" w:sz="4" w:space="0" w:color="auto"/>
            </w:tcBorders>
          </w:tcPr>
          <w:p w14:paraId="27880C6C" w14:textId="77777777" w:rsidR="006932AC" w:rsidRPr="003A7F84" w:rsidRDefault="006932AC" w:rsidP="00AB32A3">
            <w:pPr>
              <w:pStyle w:val="TableText"/>
              <w:ind w:right="-82"/>
            </w:pPr>
            <w:r w:rsidRPr="003A7F84">
              <w:t>Trajano 2009</w:t>
            </w:r>
          </w:p>
        </w:tc>
        <w:tc>
          <w:tcPr>
            <w:tcW w:w="1145" w:type="pct"/>
            <w:tcBorders>
              <w:top w:val="single" w:sz="4" w:space="0" w:color="auto"/>
              <w:left w:val="single" w:sz="4" w:space="0" w:color="auto"/>
              <w:bottom w:val="single" w:sz="4" w:space="0" w:color="auto"/>
              <w:right w:val="single" w:sz="4" w:space="0" w:color="auto"/>
            </w:tcBorders>
          </w:tcPr>
          <w:p w14:paraId="2951660D" w14:textId="77777777" w:rsidR="006932AC" w:rsidRPr="003A7F84" w:rsidRDefault="006932AC" w:rsidP="00AB32A3">
            <w:pPr>
              <w:pStyle w:val="TableText"/>
              <w:ind w:left="-51" w:right="-82"/>
              <w:jc w:val="center"/>
              <w:rPr>
                <w:szCs w:val="20"/>
              </w:rPr>
            </w:pPr>
            <w:r w:rsidRPr="003A7F84">
              <w:rPr>
                <w:szCs w:val="20"/>
              </w:rPr>
              <w:t>12/13 (92%)</w:t>
            </w:r>
          </w:p>
        </w:tc>
        <w:tc>
          <w:tcPr>
            <w:tcW w:w="1146" w:type="pct"/>
            <w:tcBorders>
              <w:top w:val="single" w:sz="4" w:space="0" w:color="auto"/>
              <w:left w:val="single" w:sz="4" w:space="0" w:color="auto"/>
              <w:bottom w:val="single" w:sz="4" w:space="0" w:color="auto"/>
              <w:right w:val="single" w:sz="4" w:space="0" w:color="auto"/>
            </w:tcBorders>
          </w:tcPr>
          <w:p w14:paraId="32C4B9E5" w14:textId="77777777" w:rsidR="006932AC" w:rsidRPr="003A7F84" w:rsidRDefault="006932AC" w:rsidP="00AB32A3">
            <w:pPr>
              <w:pStyle w:val="TableText"/>
              <w:ind w:left="-51" w:right="-82"/>
              <w:jc w:val="center"/>
              <w:rPr>
                <w:szCs w:val="20"/>
              </w:rPr>
            </w:pPr>
            <w:r w:rsidRPr="003A7F84">
              <w:rPr>
                <w:szCs w:val="20"/>
              </w:rPr>
              <w:t>6/6 (100%)</w:t>
            </w:r>
          </w:p>
        </w:tc>
        <w:tc>
          <w:tcPr>
            <w:tcW w:w="1525" w:type="pct"/>
            <w:tcBorders>
              <w:top w:val="single" w:sz="4" w:space="0" w:color="auto"/>
              <w:left w:val="single" w:sz="4" w:space="0" w:color="auto"/>
              <w:bottom w:val="single" w:sz="4" w:space="0" w:color="auto"/>
              <w:right w:val="single" w:sz="4" w:space="0" w:color="auto"/>
            </w:tcBorders>
          </w:tcPr>
          <w:p w14:paraId="401C505F"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NR</w:t>
            </w:r>
          </w:p>
        </w:tc>
      </w:tr>
      <w:tr w:rsidR="006932AC" w:rsidRPr="003A7F84" w14:paraId="170BE162" w14:textId="77777777" w:rsidTr="00AB32A3">
        <w:tc>
          <w:tcPr>
            <w:tcW w:w="5000" w:type="pct"/>
            <w:gridSpan w:val="4"/>
          </w:tcPr>
          <w:p w14:paraId="657D6801" w14:textId="77777777" w:rsidR="006932AC" w:rsidRPr="003A7F84" w:rsidRDefault="006932AC" w:rsidP="00AB32A3">
            <w:pPr>
              <w:pStyle w:val="TableText"/>
              <w:ind w:right="-82"/>
              <w:rPr>
                <w:b/>
                <w:bCs w:val="0"/>
              </w:rPr>
            </w:pPr>
            <w:r w:rsidRPr="003A7F84">
              <w:rPr>
                <w:b/>
                <w:bCs w:val="0"/>
              </w:rPr>
              <w:t>Cessation of seizure in &lt;10 minutes, without recurrence within 1 hour</w:t>
            </w:r>
          </w:p>
        </w:tc>
      </w:tr>
      <w:tr w:rsidR="006932AC" w:rsidRPr="003A7F84" w14:paraId="27DA4DB6" w14:textId="77777777" w:rsidTr="00AB32A3">
        <w:tc>
          <w:tcPr>
            <w:tcW w:w="1184" w:type="pct"/>
            <w:tcBorders>
              <w:top w:val="single" w:sz="4" w:space="0" w:color="auto"/>
              <w:left w:val="single" w:sz="4" w:space="0" w:color="auto"/>
              <w:bottom w:val="single" w:sz="4" w:space="0" w:color="auto"/>
              <w:right w:val="single" w:sz="4" w:space="0" w:color="auto"/>
            </w:tcBorders>
          </w:tcPr>
          <w:p w14:paraId="3DD2191C" w14:textId="77777777" w:rsidR="006932AC" w:rsidRPr="003A7F84" w:rsidRDefault="006932AC" w:rsidP="00AB32A3">
            <w:pPr>
              <w:pStyle w:val="TableText"/>
              <w:ind w:right="-82"/>
              <w:rPr>
                <w:vertAlign w:val="superscript"/>
              </w:rPr>
            </w:pPr>
            <w:r w:rsidRPr="003A7F84">
              <w:t>Mpimbaza 2008</w:t>
            </w:r>
            <w:r w:rsidRPr="003A7F84">
              <w:rPr>
                <w:vertAlign w:val="superscript"/>
              </w:rPr>
              <w:t>a</w:t>
            </w:r>
          </w:p>
        </w:tc>
        <w:tc>
          <w:tcPr>
            <w:tcW w:w="1145" w:type="pct"/>
            <w:tcBorders>
              <w:top w:val="single" w:sz="4" w:space="0" w:color="auto"/>
              <w:left w:val="single" w:sz="4" w:space="0" w:color="auto"/>
              <w:bottom w:val="single" w:sz="4" w:space="0" w:color="auto"/>
              <w:right w:val="single" w:sz="4" w:space="0" w:color="auto"/>
            </w:tcBorders>
          </w:tcPr>
          <w:p w14:paraId="401A1CF7" w14:textId="77777777" w:rsidR="006932AC" w:rsidRPr="003A7F84" w:rsidRDefault="006932AC" w:rsidP="00AB32A3">
            <w:pPr>
              <w:pStyle w:val="TableText"/>
              <w:ind w:left="-51" w:right="-82"/>
              <w:jc w:val="center"/>
              <w:rPr>
                <w:szCs w:val="20"/>
              </w:rPr>
            </w:pPr>
            <w:r w:rsidRPr="003A7F84">
              <w:rPr>
                <w:szCs w:val="20"/>
              </w:rPr>
              <w:t>115/165 (70%)</w:t>
            </w:r>
          </w:p>
        </w:tc>
        <w:tc>
          <w:tcPr>
            <w:tcW w:w="1146" w:type="pct"/>
            <w:tcBorders>
              <w:top w:val="single" w:sz="4" w:space="0" w:color="auto"/>
              <w:left w:val="single" w:sz="4" w:space="0" w:color="auto"/>
              <w:bottom w:val="single" w:sz="4" w:space="0" w:color="auto"/>
              <w:right w:val="single" w:sz="4" w:space="0" w:color="auto"/>
            </w:tcBorders>
          </w:tcPr>
          <w:p w14:paraId="44D608BF" w14:textId="77777777" w:rsidR="006932AC" w:rsidRPr="003A7F84" w:rsidRDefault="006932AC" w:rsidP="00AB32A3">
            <w:pPr>
              <w:pStyle w:val="TableText"/>
              <w:ind w:left="-51" w:right="-82"/>
              <w:jc w:val="center"/>
              <w:rPr>
                <w:szCs w:val="20"/>
              </w:rPr>
            </w:pPr>
            <w:r w:rsidRPr="003A7F84">
              <w:rPr>
                <w:szCs w:val="20"/>
              </w:rPr>
              <w:t>94/165 (57%)</w:t>
            </w:r>
          </w:p>
        </w:tc>
        <w:tc>
          <w:tcPr>
            <w:tcW w:w="1525" w:type="pct"/>
            <w:tcBorders>
              <w:top w:val="single" w:sz="4" w:space="0" w:color="auto"/>
              <w:left w:val="single" w:sz="4" w:space="0" w:color="auto"/>
              <w:bottom w:val="single" w:sz="4" w:space="0" w:color="auto"/>
              <w:right w:val="single" w:sz="4" w:space="0" w:color="auto"/>
            </w:tcBorders>
          </w:tcPr>
          <w:p w14:paraId="621A5922"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NR</w:t>
            </w:r>
          </w:p>
        </w:tc>
      </w:tr>
      <w:tr w:rsidR="006932AC" w:rsidRPr="003A7F84" w14:paraId="53429BD5" w14:textId="77777777" w:rsidTr="00AB32A3">
        <w:tc>
          <w:tcPr>
            <w:tcW w:w="5000" w:type="pct"/>
            <w:gridSpan w:val="4"/>
          </w:tcPr>
          <w:p w14:paraId="7CE40938" w14:textId="77777777" w:rsidR="006932AC" w:rsidRPr="003A7F84" w:rsidRDefault="006932AC" w:rsidP="00AB32A3">
            <w:pPr>
              <w:pStyle w:val="TableText"/>
              <w:ind w:right="-82"/>
              <w:rPr>
                <w:b/>
                <w:bCs w:val="0"/>
              </w:rPr>
            </w:pPr>
            <w:r w:rsidRPr="003A7F84">
              <w:rPr>
                <w:b/>
                <w:bCs w:val="0"/>
              </w:rPr>
              <w:t>Cessation of seizure in &lt;10 minutes, without recurrence within 2 hours</w:t>
            </w:r>
          </w:p>
        </w:tc>
      </w:tr>
      <w:tr w:rsidR="006932AC" w:rsidRPr="003A7F84" w14:paraId="6EA3E7BC" w14:textId="77777777" w:rsidTr="00AB32A3">
        <w:tc>
          <w:tcPr>
            <w:tcW w:w="1184" w:type="pct"/>
          </w:tcPr>
          <w:p w14:paraId="3D612933" w14:textId="77777777" w:rsidR="006932AC" w:rsidRPr="003A7F84" w:rsidRDefault="006932AC" w:rsidP="00AB32A3">
            <w:pPr>
              <w:pStyle w:val="TableText"/>
              <w:ind w:right="-82"/>
              <w:rPr>
                <w:vertAlign w:val="superscript"/>
              </w:rPr>
            </w:pPr>
            <w:r w:rsidRPr="003A7F84">
              <w:t>Nakken 2011 (episodes)</w:t>
            </w:r>
          </w:p>
        </w:tc>
        <w:tc>
          <w:tcPr>
            <w:tcW w:w="1145" w:type="pct"/>
          </w:tcPr>
          <w:p w14:paraId="537655CE" w14:textId="77777777" w:rsidR="006932AC" w:rsidRPr="003A7F84" w:rsidRDefault="006932AC" w:rsidP="00AB32A3">
            <w:pPr>
              <w:pStyle w:val="TableText"/>
              <w:ind w:left="-51" w:right="-82"/>
              <w:jc w:val="center"/>
              <w:rPr>
                <w:szCs w:val="20"/>
              </w:rPr>
            </w:pPr>
            <w:r w:rsidRPr="003A7F84">
              <w:rPr>
                <w:szCs w:val="20"/>
              </w:rPr>
              <w:t>30/37 (81%)</w:t>
            </w:r>
          </w:p>
        </w:tc>
        <w:tc>
          <w:tcPr>
            <w:tcW w:w="1146" w:type="pct"/>
          </w:tcPr>
          <w:p w14:paraId="7DC6963A" w14:textId="77777777" w:rsidR="006932AC" w:rsidRPr="003A7F84" w:rsidRDefault="006932AC" w:rsidP="00AB32A3">
            <w:pPr>
              <w:pStyle w:val="TableText"/>
              <w:ind w:left="-51" w:right="-82"/>
              <w:jc w:val="center"/>
              <w:rPr>
                <w:szCs w:val="20"/>
              </w:rPr>
            </w:pPr>
            <w:r w:rsidRPr="003A7F84">
              <w:rPr>
                <w:szCs w:val="20"/>
              </w:rPr>
              <w:t>32/43 (74%)</w:t>
            </w:r>
          </w:p>
        </w:tc>
        <w:tc>
          <w:tcPr>
            <w:tcW w:w="1525" w:type="pct"/>
          </w:tcPr>
          <w:p w14:paraId="467E1978"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NR</w:t>
            </w:r>
          </w:p>
        </w:tc>
      </w:tr>
      <w:tr w:rsidR="006932AC" w:rsidRPr="003A7F84" w14:paraId="4A85AD1D" w14:textId="77777777" w:rsidTr="00AB32A3">
        <w:tc>
          <w:tcPr>
            <w:tcW w:w="5000" w:type="pct"/>
            <w:gridSpan w:val="4"/>
          </w:tcPr>
          <w:p w14:paraId="20FDFAA7" w14:textId="77777777" w:rsidR="006932AC" w:rsidRPr="003A7F84" w:rsidRDefault="006932AC" w:rsidP="00AB32A3">
            <w:pPr>
              <w:pStyle w:val="TableText"/>
              <w:ind w:right="-82"/>
              <w:rPr>
                <w:b/>
                <w:bCs w:val="0"/>
              </w:rPr>
            </w:pPr>
            <w:r w:rsidRPr="003A7F84">
              <w:rPr>
                <w:b/>
                <w:bCs w:val="0"/>
              </w:rPr>
              <w:t>Cessation of seizure in &lt;10 minutes, without respiratory depression or recurrence within 1 hour</w:t>
            </w:r>
          </w:p>
        </w:tc>
      </w:tr>
      <w:tr w:rsidR="006932AC" w:rsidRPr="003A7F84" w14:paraId="03D2DE19" w14:textId="77777777" w:rsidTr="00AB32A3">
        <w:tc>
          <w:tcPr>
            <w:tcW w:w="1184" w:type="pct"/>
          </w:tcPr>
          <w:p w14:paraId="054F0037" w14:textId="2895430F" w:rsidR="006932AC" w:rsidRPr="003A7F84" w:rsidRDefault="004377D6" w:rsidP="00AB32A3">
            <w:pPr>
              <w:pStyle w:val="TableText"/>
              <w:ind w:right="-82"/>
              <w:rPr>
                <w:vertAlign w:val="superscript"/>
              </w:rPr>
            </w:pPr>
            <w:r w:rsidRPr="003A7F84">
              <w:t>McIntyre 2005</w:t>
            </w:r>
            <w:r w:rsidR="006932AC" w:rsidRPr="003A7F84">
              <w:t xml:space="preserve"> (initial)</w:t>
            </w:r>
          </w:p>
        </w:tc>
        <w:tc>
          <w:tcPr>
            <w:tcW w:w="1145" w:type="pct"/>
          </w:tcPr>
          <w:p w14:paraId="42C7E6D1" w14:textId="77777777" w:rsidR="006932AC" w:rsidRPr="003A7F84" w:rsidRDefault="006932AC" w:rsidP="00AB32A3">
            <w:pPr>
              <w:pStyle w:val="TableText"/>
              <w:ind w:left="-51" w:right="-82"/>
              <w:jc w:val="center"/>
              <w:rPr>
                <w:szCs w:val="20"/>
              </w:rPr>
            </w:pPr>
            <w:r w:rsidRPr="003A7F84">
              <w:rPr>
                <w:szCs w:val="20"/>
              </w:rPr>
              <w:t>49/92 (53%)</w:t>
            </w:r>
          </w:p>
        </w:tc>
        <w:tc>
          <w:tcPr>
            <w:tcW w:w="1146" w:type="pct"/>
          </w:tcPr>
          <w:p w14:paraId="09EEB98B" w14:textId="77777777" w:rsidR="006932AC" w:rsidRPr="003A7F84" w:rsidRDefault="006932AC" w:rsidP="00AB32A3">
            <w:pPr>
              <w:pStyle w:val="TableText"/>
              <w:ind w:left="-51" w:right="-82"/>
              <w:jc w:val="center"/>
              <w:rPr>
                <w:szCs w:val="20"/>
              </w:rPr>
            </w:pPr>
            <w:r w:rsidRPr="003A7F84">
              <w:rPr>
                <w:szCs w:val="20"/>
              </w:rPr>
              <w:t>24/85 (28%)</w:t>
            </w:r>
          </w:p>
        </w:tc>
        <w:tc>
          <w:tcPr>
            <w:tcW w:w="1525" w:type="pct"/>
          </w:tcPr>
          <w:p w14:paraId="2650C644" w14:textId="77777777" w:rsidR="006932AC" w:rsidRPr="003A7F84" w:rsidRDefault="006932AC" w:rsidP="00AB32A3">
            <w:pPr>
              <w:pStyle w:val="Table"/>
              <w:ind w:left="-51" w:right="-82"/>
              <w:jc w:val="center"/>
              <w:rPr>
                <w:rFonts w:ascii="Arial Narrow" w:hAnsi="Arial Narrow"/>
                <w:b/>
                <w:szCs w:val="20"/>
              </w:rPr>
            </w:pPr>
            <w:r w:rsidRPr="003A7F84">
              <w:rPr>
                <w:rFonts w:ascii="Arial Narrow" w:hAnsi="Arial Narrow"/>
                <w:bCs/>
                <w:szCs w:val="20"/>
              </w:rPr>
              <w:t>25% (95% CI 11, 39)</w:t>
            </w:r>
          </w:p>
        </w:tc>
      </w:tr>
      <w:tr w:rsidR="006932AC" w:rsidRPr="003A7F84" w14:paraId="3AA9DFB7" w14:textId="77777777" w:rsidTr="00AB32A3">
        <w:tc>
          <w:tcPr>
            <w:tcW w:w="1184" w:type="pct"/>
            <w:tcBorders>
              <w:top w:val="single" w:sz="4" w:space="0" w:color="auto"/>
              <w:left w:val="single" w:sz="4" w:space="0" w:color="auto"/>
              <w:bottom w:val="single" w:sz="4" w:space="0" w:color="auto"/>
              <w:right w:val="single" w:sz="4" w:space="0" w:color="auto"/>
            </w:tcBorders>
          </w:tcPr>
          <w:p w14:paraId="4B9F0BD2" w14:textId="397F9DBA" w:rsidR="006932AC" w:rsidRPr="003A7F84" w:rsidRDefault="004377D6" w:rsidP="00AB32A3">
            <w:pPr>
              <w:pStyle w:val="TableText"/>
              <w:ind w:right="-82"/>
              <w:rPr>
                <w:vertAlign w:val="superscript"/>
              </w:rPr>
            </w:pPr>
            <w:r w:rsidRPr="003A7F84">
              <w:t>McIntyre 2005</w:t>
            </w:r>
            <w:r w:rsidR="006932AC" w:rsidRPr="003A7F84">
              <w:t xml:space="preserve"> (episodes)</w:t>
            </w:r>
          </w:p>
        </w:tc>
        <w:tc>
          <w:tcPr>
            <w:tcW w:w="1145" w:type="pct"/>
            <w:tcBorders>
              <w:top w:val="single" w:sz="4" w:space="0" w:color="auto"/>
              <w:left w:val="single" w:sz="4" w:space="0" w:color="auto"/>
              <w:bottom w:val="single" w:sz="4" w:space="0" w:color="auto"/>
              <w:right w:val="single" w:sz="4" w:space="0" w:color="auto"/>
            </w:tcBorders>
          </w:tcPr>
          <w:p w14:paraId="2F954D9C" w14:textId="77777777" w:rsidR="006932AC" w:rsidRPr="003A7F84" w:rsidRDefault="006932AC" w:rsidP="00AB32A3">
            <w:pPr>
              <w:pStyle w:val="TableText"/>
              <w:ind w:left="-51" w:right="-82"/>
              <w:jc w:val="center"/>
              <w:rPr>
                <w:szCs w:val="20"/>
              </w:rPr>
            </w:pPr>
            <w:r w:rsidRPr="003A7F84">
              <w:rPr>
                <w:szCs w:val="20"/>
              </w:rPr>
              <w:t>61/109 (56%)</w:t>
            </w:r>
          </w:p>
        </w:tc>
        <w:tc>
          <w:tcPr>
            <w:tcW w:w="1146" w:type="pct"/>
            <w:tcBorders>
              <w:top w:val="single" w:sz="4" w:space="0" w:color="auto"/>
              <w:left w:val="single" w:sz="4" w:space="0" w:color="auto"/>
              <w:bottom w:val="single" w:sz="4" w:space="0" w:color="auto"/>
              <w:right w:val="single" w:sz="4" w:space="0" w:color="auto"/>
            </w:tcBorders>
          </w:tcPr>
          <w:p w14:paraId="0DCF16BE" w14:textId="77777777" w:rsidR="006932AC" w:rsidRPr="003A7F84" w:rsidRDefault="006932AC" w:rsidP="00AB32A3">
            <w:pPr>
              <w:pStyle w:val="TableText"/>
              <w:ind w:left="-51" w:right="-82"/>
              <w:jc w:val="center"/>
              <w:rPr>
                <w:szCs w:val="20"/>
              </w:rPr>
            </w:pPr>
            <w:r w:rsidRPr="003A7F84">
              <w:rPr>
                <w:szCs w:val="20"/>
              </w:rPr>
              <w:t>30/110 (27%)</w:t>
            </w:r>
          </w:p>
        </w:tc>
        <w:tc>
          <w:tcPr>
            <w:tcW w:w="1525" w:type="pct"/>
            <w:tcBorders>
              <w:top w:val="single" w:sz="4" w:space="0" w:color="auto"/>
              <w:left w:val="single" w:sz="4" w:space="0" w:color="auto"/>
              <w:bottom w:val="single" w:sz="4" w:space="0" w:color="auto"/>
              <w:right w:val="single" w:sz="4" w:space="0" w:color="auto"/>
            </w:tcBorders>
          </w:tcPr>
          <w:p w14:paraId="5CA82BEC" w14:textId="77777777" w:rsidR="006932AC" w:rsidRPr="003A7F84" w:rsidRDefault="006932AC" w:rsidP="00AB32A3">
            <w:pPr>
              <w:pStyle w:val="Table"/>
              <w:ind w:left="-51" w:right="-82"/>
              <w:jc w:val="center"/>
              <w:rPr>
                <w:rFonts w:ascii="Arial Narrow" w:hAnsi="Arial Narrow"/>
                <w:bCs/>
                <w:szCs w:val="20"/>
              </w:rPr>
            </w:pPr>
            <w:r w:rsidRPr="003A7F84">
              <w:rPr>
                <w:rFonts w:ascii="Arial Narrow" w:hAnsi="Arial Narrow"/>
                <w:bCs/>
                <w:szCs w:val="20"/>
              </w:rPr>
              <w:t>29% (95% CI 16, 41)</w:t>
            </w:r>
          </w:p>
        </w:tc>
      </w:tr>
    </w:tbl>
    <w:p w14:paraId="21F8474C" w14:textId="77777777" w:rsidR="006932AC" w:rsidRPr="003A7F84" w:rsidRDefault="006932AC" w:rsidP="006932AC">
      <w:pPr>
        <w:pStyle w:val="TableFigureFooter"/>
        <w:rPr>
          <w:sz w:val="20"/>
        </w:rPr>
      </w:pPr>
      <w:r w:rsidRPr="003A7F84">
        <w:t>Source: Table 2-12, p91 of the submission.</w:t>
      </w:r>
    </w:p>
    <w:p w14:paraId="4CD403F4" w14:textId="77777777" w:rsidR="006932AC" w:rsidRPr="003A7F84" w:rsidRDefault="006932AC" w:rsidP="006932AC">
      <w:pPr>
        <w:pStyle w:val="TableFigureFooter"/>
        <w:rPr>
          <w:rFonts w:eastAsia="Calibri"/>
        </w:rPr>
      </w:pPr>
      <w:r w:rsidRPr="003A7F84">
        <w:rPr>
          <w:rFonts w:eastAsia="Calibri"/>
        </w:rPr>
        <w:t>Abbreviations: CI, confidence interval.</w:t>
      </w:r>
    </w:p>
    <w:p w14:paraId="7E246CB5" w14:textId="68983254" w:rsidR="006932AC" w:rsidRPr="003A7F84" w:rsidRDefault="006932AC" w:rsidP="00A34972">
      <w:pPr>
        <w:pStyle w:val="TableFigureFooter"/>
        <w:rPr>
          <w:rFonts w:eastAsia="Calibri"/>
        </w:rPr>
      </w:pPr>
      <w:r w:rsidRPr="003A7F84">
        <w:rPr>
          <w:rFonts w:eastAsia="Calibri"/>
          <w:vertAlign w:val="superscript"/>
        </w:rPr>
        <w:t>a</w:t>
      </w:r>
      <w:r w:rsidRPr="003A7F84">
        <w:rPr>
          <w:rFonts w:eastAsia="Calibri"/>
        </w:rPr>
        <w:t xml:space="preserve"> Study analysed treatment failures. Treatment success calculated post-hoc for the submission.</w:t>
      </w:r>
    </w:p>
    <w:p w14:paraId="090D348C" w14:textId="31CFA6CB" w:rsidR="00A70067" w:rsidRPr="003A7F84" w:rsidRDefault="00A70067" w:rsidP="00A70067">
      <w:pPr>
        <w:pStyle w:val="ExecSumBodyText"/>
        <w:rPr>
          <w:snapToGrid/>
        </w:rPr>
      </w:pPr>
      <w:r w:rsidRPr="003A7F84">
        <w:rPr>
          <w:snapToGrid/>
        </w:rPr>
        <w:t xml:space="preserve">Larger proportions of patients administered buccal midazolam achieved cessation of seizures within 5 or 10 minutes of administration, compared to rectal diazepam in five studies (Ashrafi 2010, McIntyre 2005, Mpimbaza 2008, Nakken 2011, Scott 1999), while larger proportions of patients administered rectal diazepam achieved cessation of seizures within 5 or 10 minutes of administration, compared to buccal midazolam in two studies (Baysun 2005, Trajano 2009). </w:t>
      </w:r>
      <w:r w:rsidRPr="003A7F84">
        <w:rPr>
          <w:iCs/>
          <w:snapToGrid/>
        </w:rPr>
        <w:t>The proportions of patients achieving treatment success varied widely between studies for both buccal midazolam (53-100%) and rectal diazepam (27-100%).</w:t>
      </w:r>
      <w:r w:rsidRPr="003A7F84">
        <w:rPr>
          <w:snapToGrid/>
        </w:rPr>
        <w:t xml:space="preserve"> </w:t>
      </w:r>
    </w:p>
    <w:p w14:paraId="60DF51B1" w14:textId="302547F7" w:rsidR="006932AC" w:rsidRPr="003A7F84" w:rsidRDefault="00A70067" w:rsidP="00A70067">
      <w:pPr>
        <w:pStyle w:val="ExecSumBodyText"/>
        <w:rPr>
          <w:snapToGrid/>
        </w:rPr>
      </w:pPr>
      <w:r w:rsidRPr="003A7F84">
        <w:rPr>
          <w:snapToGrid/>
        </w:rPr>
        <w:t>The submission presented the results of a post hoc analysis of seizure cessation within 10 minutes for the studies that used a composite endpoint to define treatment success. The results were generally consistent with the primary outcome results.</w:t>
      </w:r>
    </w:p>
    <w:p w14:paraId="5B5C66AB" w14:textId="7EFB79AF" w:rsidR="0017711F" w:rsidRPr="003A7F84" w:rsidRDefault="0017711F" w:rsidP="00A70067">
      <w:pPr>
        <w:pStyle w:val="ExecSumBodyText"/>
        <w:rPr>
          <w:snapToGrid/>
        </w:rPr>
      </w:pPr>
      <w:r w:rsidRPr="003A7F84">
        <w:t>Median time to seizure cessation was generally shorter for patients treated with buccal midazolam, but varied widely between studies (2.8-10 minutes for buccal midazolam; 4.35-15 minutes for rectal diazepam</w:t>
      </w:r>
      <w:r w:rsidR="00877B27" w:rsidRPr="003A7F84">
        <w:t>).</w:t>
      </w:r>
    </w:p>
    <w:p w14:paraId="1696B6EB" w14:textId="3234F031" w:rsidR="004373C3" w:rsidRPr="003A7F84" w:rsidRDefault="00877B27" w:rsidP="00A70067">
      <w:pPr>
        <w:pStyle w:val="ExecSumBodyText"/>
        <w:rPr>
          <w:snapToGrid/>
        </w:rPr>
      </w:pPr>
      <w:bookmarkStart w:id="29" w:name="_Ref103629584"/>
      <w:r w:rsidRPr="003A7F84">
        <w:t xml:space="preserve">In Nakken 2011 larger proportions of patients achieving treatment success experienced seizure recurrence within 2 hours in the buccal midazolam treatment arm </w:t>
      </w:r>
      <w:r w:rsidR="006B4781" w:rsidRPr="003A7F84">
        <w:t>(9</w:t>
      </w:r>
      <w:r w:rsidR="00DF60B9" w:rsidRPr="003A7F84">
        <w:t xml:space="preserve">.3%) </w:t>
      </w:r>
      <w:r w:rsidRPr="003A7F84">
        <w:t>compared to rectal diazepam</w:t>
      </w:r>
      <w:r w:rsidR="00DF60B9" w:rsidRPr="003A7F84">
        <w:t xml:space="preserve"> (2.7%)</w:t>
      </w:r>
      <w:r w:rsidRPr="003A7F84">
        <w:t>. However, in McIntyre 2005 and Mpimbaza 2008, smaller proportions of patients achieving treatment success experienced seizure recurrence within 1 hour, in the buccal midazolam treatment arm</w:t>
      </w:r>
      <w:r w:rsidR="00E10551" w:rsidRPr="003A7F84">
        <w:t xml:space="preserve"> </w:t>
      </w:r>
      <w:r w:rsidR="00DF60B9" w:rsidRPr="003A7F84">
        <w:t>(12.5%</w:t>
      </w:r>
      <w:r w:rsidR="003734E0" w:rsidRPr="003A7F84">
        <w:t xml:space="preserve"> versus</w:t>
      </w:r>
      <w:r w:rsidR="00DF60B9" w:rsidRPr="003A7F84">
        <w:t xml:space="preserve"> 8% respectively), compared to rectal midazolam (38.7%</w:t>
      </w:r>
      <w:r w:rsidR="003734E0" w:rsidRPr="003A7F84">
        <w:t xml:space="preserve"> versus</w:t>
      </w:r>
      <w:r w:rsidR="00DF60B9" w:rsidRPr="003A7F84">
        <w:t xml:space="preserve"> 17.5% respectively)</w:t>
      </w:r>
      <w:r w:rsidRPr="003A7F84">
        <w:t>. Ashrafi 2010 reported no recurrence of seizure activity within 1 hour, in both treatment arms.</w:t>
      </w:r>
      <w:bookmarkEnd w:id="29"/>
    </w:p>
    <w:p w14:paraId="06C53E70" w14:textId="79D4B8BB" w:rsidR="00877B27" w:rsidRPr="003A7F84" w:rsidRDefault="00560546" w:rsidP="00A70067">
      <w:pPr>
        <w:pStyle w:val="ExecSumBodyText"/>
        <w:rPr>
          <w:snapToGrid/>
        </w:rPr>
      </w:pPr>
      <w:r w:rsidRPr="003A7F84">
        <w:t>Quality of life outcomes were not collected in the included studies.</w:t>
      </w:r>
    </w:p>
    <w:p w14:paraId="48B22F3A" w14:textId="33EF4A90" w:rsidR="004E74B2" w:rsidRPr="003A7F84" w:rsidRDefault="00092D5F" w:rsidP="00A70067">
      <w:pPr>
        <w:pStyle w:val="ExecSumBodyText"/>
        <w:rPr>
          <w:snapToGrid/>
        </w:rPr>
      </w:pPr>
      <w:bookmarkStart w:id="30" w:name="_Ref106221989"/>
      <w:r w:rsidRPr="003A7F84">
        <w:rPr>
          <w:snapToGrid/>
        </w:rPr>
        <w:t xml:space="preserve">The submission </w:t>
      </w:r>
      <w:r w:rsidR="004E74B2" w:rsidRPr="003A7F84">
        <w:rPr>
          <w:snapToGrid/>
        </w:rPr>
        <w:t xml:space="preserve">presented </w:t>
      </w:r>
      <w:r w:rsidR="004E74B2" w:rsidRPr="003A7F84">
        <w:t xml:space="preserve">the results of a meta-analysis of the included studies.  </w:t>
      </w:r>
      <w:r w:rsidR="004E74B2" w:rsidRPr="003A7F84">
        <w:rPr>
          <w:iCs/>
        </w:rPr>
        <w:t xml:space="preserve">Given the substantial clinical and statistical heterogeneity across the included studies in terms of study methodology and study design, location, randomisation and treatment </w:t>
      </w:r>
      <w:r w:rsidR="004E74B2" w:rsidRPr="003A7F84">
        <w:rPr>
          <w:iCs/>
        </w:rPr>
        <w:lastRenderedPageBreak/>
        <w:t>allocation, patient characteristics, intervention (formulation, dose, method of administration), and outcome definition, and the high risk of bias in the included studies, the results of the meta-analyses are not reliable.</w:t>
      </w:r>
      <w:bookmarkEnd w:id="30"/>
    </w:p>
    <w:p w14:paraId="70BFCF86" w14:textId="7E0C4A14" w:rsidR="004C16E1" w:rsidRPr="003A7F84" w:rsidRDefault="004E74B2" w:rsidP="00A70067">
      <w:pPr>
        <w:pStyle w:val="ExecSumBodyText"/>
        <w:rPr>
          <w:snapToGrid/>
        </w:rPr>
      </w:pPr>
      <w:bookmarkStart w:id="31" w:name="_Ref106221991"/>
      <w:r w:rsidRPr="003A7F84">
        <w:t xml:space="preserve">The submission also identified five published meta-analyses </w:t>
      </w:r>
      <w:r w:rsidR="00EE03F9" w:rsidRPr="003A7F84">
        <w:t>of the studies included in the submission</w:t>
      </w:r>
      <w:r w:rsidRPr="003A7F84">
        <w:t xml:space="preserve">. </w:t>
      </w:r>
      <w:r w:rsidR="00EE03F9" w:rsidRPr="003A7F84">
        <w:rPr>
          <w:iCs/>
        </w:rPr>
        <w:t>T</w:t>
      </w:r>
      <w:r w:rsidRPr="003A7F84">
        <w:rPr>
          <w:iCs/>
        </w:rPr>
        <w:t xml:space="preserve">he results of the published meta-analyses </w:t>
      </w:r>
      <w:r w:rsidR="00EE03F9" w:rsidRPr="003A7F84">
        <w:rPr>
          <w:iCs/>
        </w:rPr>
        <w:t>are</w:t>
      </w:r>
      <w:r w:rsidRPr="003A7F84">
        <w:rPr>
          <w:iCs/>
        </w:rPr>
        <w:t xml:space="preserve"> similar to the meta-analyses conducted for the submission discussed above, </w:t>
      </w:r>
      <w:r w:rsidR="00EE03F9" w:rsidRPr="003A7F84">
        <w:rPr>
          <w:iCs/>
        </w:rPr>
        <w:t>reported similar substantial clinical and statistical heterogeneity,</w:t>
      </w:r>
      <w:r w:rsidR="003734E0" w:rsidRPr="003A7F84">
        <w:rPr>
          <w:iCs/>
        </w:rPr>
        <w:t xml:space="preserve"> and</w:t>
      </w:r>
      <w:r w:rsidR="00EE03F9" w:rsidRPr="003A7F84">
        <w:rPr>
          <w:iCs/>
        </w:rPr>
        <w:t xml:space="preserve"> </w:t>
      </w:r>
      <w:r w:rsidRPr="003A7F84">
        <w:rPr>
          <w:iCs/>
        </w:rPr>
        <w:t>offer no additional reliable evidence</w:t>
      </w:r>
      <w:r w:rsidR="00EE03F9" w:rsidRPr="003A7F84">
        <w:rPr>
          <w:iCs/>
        </w:rPr>
        <w:t>.</w:t>
      </w:r>
      <w:bookmarkEnd w:id="31"/>
      <w:r w:rsidRPr="003A7F84">
        <w:t xml:space="preserve"> </w:t>
      </w:r>
    </w:p>
    <w:p w14:paraId="66675EF8" w14:textId="22F594D6" w:rsidR="00FA45EA" w:rsidRPr="003A7F84" w:rsidRDefault="00423AEB" w:rsidP="00423AEB">
      <w:pPr>
        <w:pStyle w:val="ExecSumBodyText"/>
        <w:rPr>
          <w:iCs/>
          <w:snapToGrid/>
        </w:rPr>
      </w:pPr>
      <w:r w:rsidRPr="003A7F84">
        <w:rPr>
          <w:iCs/>
          <w:snapToGrid/>
        </w:rPr>
        <w:t xml:space="preserve">The ESC </w:t>
      </w:r>
      <w:r w:rsidR="00FA45EA" w:rsidRPr="003A7F84">
        <w:rPr>
          <w:iCs/>
          <w:snapToGrid/>
        </w:rPr>
        <w:t>noted that the submission had presented seven studies of rectal diazepam vs buccal midazolam (</w:t>
      </w:r>
      <w:r w:rsidR="00FA45EA" w:rsidRPr="003A7F84">
        <w:rPr>
          <w:iCs/>
          <w:snapToGrid/>
        </w:rPr>
        <w:fldChar w:fldCharType="begin"/>
      </w:r>
      <w:r w:rsidR="00FA45EA" w:rsidRPr="003A7F84">
        <w:rPr>
          <w:iCs/>
          <w:snapToGrid/>
        </w:rPr>
        <w:instrText xml:space="preserve"> REF _Ref104393180 \h  \* MERGEFORMAT </w:instrText>
      </w:r>
      <w:r w:rsidR="00FA45EA" w:rsidRPr="003A7F84">
        <w:rPr>
          <w:iCs/>
          <w:snapToGrid/>
        </w:rPr>
      </w:r>
      <w:r w:rsidR="00FA45EA" w:rsidRPr="003A7F84">
        <w:rPr>
          <w:iCs/>
          <w:snapToGrid/>
        </w:rPr>
        <w:fldChar w:fldCharType="separate"/>
      </w:r>
      <w:r w:rsidR="009466A1" w:rsidRPr="009466A1">
        <w:rPr>
          <w:iCs/>
        </w:rPr>
        <w:t>Table 4</w:t>
      </w:r>
      <w:r w:rsidR="00FA45EA" w:rsidRPr="003A7F84">
        <w:rPr>
          <w:iCs/>
          <w:snapToGrid/>
        </w:rPr>
        <w:fldChar w:fldCharType="end"/>
      </w:r>
      <w:r w:rsidR="00FA45EA" w:rsidRPr="003A7F84">
        <w:rPr>
          <w:iCs/>
          <w:snapToGrid/>
        </w:rPr>
        <w:t xml:space="preserve">), and that all of the studies had a high risk of bias.  As the comparator was rectal diazepam, the clinical evidence could not be used in the economic analysis, and the evidence had limited applicability to Australian clinical practice due to the widespread use of (off-label) buccal midazolam.  The ESC noted that the submission had also presented a meta-analysis of the studies, and described five published meta-analyses (see paragraphs </w:t>
      </w:r>
      <w:r w:rsidR="00FA45EA" w:rsidRPr="003A7F84">
        <w:rPr>
          <w:iCs/>
          <w:snapToGrid/>
        </w:rPr>
        <w:fldChar w:fldCharType="begin"/>
      </w:r>
      <w:r w:rsidR="00FA45EA" w:rsidRPr="003A7F84">
        <w:rPr>
          <w:iCs/>
          <w:snapToGrid/>
        </w:rPr>
        <w:instrText xml:space="preserve"> REF _Ref106221989 \r \h  \* MERGEFORMAT </w:instrText>
      </w:r>
      <w:r w:rsidR="00FA45EA" w:rsidRPr="003A7F84">
        <w:rPr>
          <w:iCs/>
          <w:snapToGrid/>
        </w:rPr>
      </w:r>
      <w:r w:rsidR="00FA45EA" w:rsidRPr="003A7F84">
        <w:rPr>
          <w:iCs/>
          <w:snapToGrid/>
        </w:rPr>
        <w:fldChar w:fldCharType="separate"/>
      </w:r>
      <w:r w:rsidR="009466A1">
        <w:rPr>
          <w:iCs/>
          <w:snapToGrid/>
        </w:rPr>
        <w:t>6.21</w:t>
      </w:r>
      <w:r w:rsidR="00FA45EA" w:rsidRPr="003A7F84">
        <w:rPr>
          <w:iCs/>
          <w:snapToGrid/>
        </w:rPr>
        <w:fldChar w:fldCharType="end"/>
      </w:r>
      <w:r w:rsidR="00FA45EA" w:rsidRPr="003A7F84">
        <w:rPr>
          <w:iCs/>
          <w:snapToGrid/>
        </w:rPr>
        <w:t xml:space="preserve"> to </w:t>
      </w:r>
      <w:r w:rsidR="00FA45EA" w:rsidRPr="003A7F84">
        <w:rPr>
          <w:iCs/>
          <w:snapToGrid/>
        </w:rPr>
        <w:fldChar w:fldCharType="begin"/>
      </w:r>
      <w:r w:rsidR="00FA45EA" w:rsidRPr="003A7F84">
        <w:rPr>
          <w:iCs/>
          <w:snapToGrid/>
        </w:rPr>
        <w:instrText xml:space="preserve"> REF _Ref106221991 \r \h  \* MERGEFORMAT </w:instrText>
      </w:r>
      <w:r w:rsidR="00FA45EA" w:rsidRPr="003A7F84">
        <w:rPr>
          <w:iCs/>
          <w:snapToGrid/>
        </w:rPr>
      </w:r>
      <w:r w:rsidR="00FA45EA" w:rsidRPr="003A7F84">
        <w:rPr>
          <w:iCs/>
          <w:snapToGrid/>
        </w:rPr>
        <w:fldChar w:fldCharType="separate"/>
      </w:r>
      <w:r w:rsidR="009466A1">
        <w:rPr>
          <w:iCs/>
          <w:snapToGrid/>
        </w:rPr>
        <w:t>6.22</w:t>
      </w:r>
      <w:r w:rsidR="00FA45EA" w:rsidRPr="003A7F84">
        <w:rPr>
          <w:iCs/>
          <w:snapToGrid/>
        </w:rPr>
        <w:fldChar w:fldCharType="end"/>
      </w:r>
      <w:r w:rsidR="00FA45EA" w:rsidRPr="003A7F84">
        <w:rPr>
          <w:iCs/>
          <w:snapToGrid/>
        </w:rPr>
        <w:t>), however differences between the include</w:t>
      </w:r>
      <w:r w:rsidR="009026D9" w:rsidRPr="003A7F84">
        <w:rPr>
          <w:iCs/>
          <w:snapToGrid/>
        </w:rPr>
        <w:t>d</w:t>
      </w:r>
      <w:r w:rsidR="00FA45EA" w:rsidRPr="003A7F84">
        <w:rPr>
          <w:iCs/>
          <w:snapToGrid/>
        </w:rPr>
        <w:t xml:space="preserve"> studies made the results difficult to interpret.  Overall the ESC considered it was reasonable to conclude that the clinical efficacy of buccal midazolam is similar to rectal diazepam.</w:t>
      </w:r>
    </w:p>
    <w:p w14:paraId="1452C351" w14:textId="4B3E9676" w:rsidR="00B60939" w:rsidRPr="003A7F84" w:rsidRDefault="00B60939" w:rsidP="00D86231">
      <w:pPr>
        <w:pStyle w:val="3-SubsectionHeading"/>
      </w:pPr>
      <w:bookmarkStart w:id="32" w:name="_Toc22897642"/>
      <w:bookmarkStart w:id="33" w:name="_Toc103714921"/>
      <w:r w:rsidRPr="003A7F84">
        <w:t>Comparative harms</w:t>
      </w:r>
      <w:bookmarkEnd w:id="32"/>
      <w:bookmarkEnd w:id="33"/>
    </w:p>
    <w:p w14:paraId="1D512D43" w14:textId="2000B92C" w:rsidR="00877B27" w:rsidRPr="003A7F84" w:rsidRDefault="004726C1" w:rsidP="004726C1">
      <w:pPr>
        <w:pStyle w:val="ExecSumBodyText"/>
      </w:pPr>
      <w:r w:rsidRPr="003A7F84">
        <w:t xml:space="preserve">Adverse events were not reported, or poorly reported in the included studies. </w:t>
      </w:r>
      <w:r w:rsidR="00877B27" w:rsidRPr="003A7F84">
        <w:t>Adverse events were not reported in the Ashrafi 2010 and Trajano 2009 studies, but Ashrafi 2010 noted that respiratory depression requiring mechanical intervention occurred infrequently in both treatment groups</w:t>
      </w:r>
      <w:r w:rsidR="00745684" w:rsidRPr="003A7F84">
        <w:t>.</w:t>
      </w:r>
      <w:r w:rsidR="00981AE7" w:rsidRPr="003A7F84">
        <w:t xml:space="preserve"> Nakken 2011 and Scott 1999 reported no respiratory depression and no other observed important adverse events.</w:t>
      </w:r>
    </w:p>
    <w:p w14:paraId="5C1577B2" w14:textId="545FD614" w:rsidR="00877B27" w:rsidRPr="003A7F84" w:rsidRDefault="00877B27" w:rsidP="00877B27">
      <w:pPr>
        <w:pStyle w:val="ExecSumBodyText"/>
      </w:pPr>
      <w:r w:rsidRPr="003A7F84">
        <w:t xml:space="preserve">Baysun 2005 reported one </w:t>
      </w:r>
      <w:proofErr w:type="gramStart"/>
      <w:r w:rsidRPr="003A7F84">
        <w:t>5 minute</w:t>
      </w:r>
      <w:proofErr w:type="gramEnd"/>
      <w:r w:rsidRPr="003A7F84">
        <w:t xml:space="preserve"> episode of bradypnea with oxygen desaturation (84%) in a patient treated with rectal diazepam, and one 2 minute episode of non-paroxysmal coughing in a patient treated with buccal midazolam</w:t>
      </w:r>
      <w:r w:rsidR="00981AE7" w:rsidRPr="003A7F84">
        <w:t>, with</w:t>
      </w:r>
      <w:r w:rsidRPr="003A7F84">
        <w:t xml:space="preserve"> </w:t>
      </w:r>
      <w:r w:rsidR="00981AE7" w:rsidRPr="003A7F84">
        <w:t>b</w:t>
      </w:r>
      <w:r w:rsidRPr="003A7F84">
        <w:t xml:space="preserve">oth episodes resolved spontaneously. </w:t>
      </w:r>
    </w:p>
    <w:p w14:paraId="46237761" w14:textId="0DF5312B" w:rsidR="00877B27" w:rsidRPr="003A7F84" w:rsidRDefault="00877B27" w:rsidP="00877B27">
      <w:pPr>
        <w:pStyle w:val="ExecSumBodyText"/>
      </w:pPr>
      <w:r w:rsidRPr="003A7F84">
        <w:t>McIntyre 2005 reported a low frequency of respiratory depression in children treated with buccal midazolam (5/109 episodes) and rectal diazepam (7/110 episodes), with five children requiring intubation (buccal midazolam 2/5 episodes; rectal diazepam 3/7 episodes).</w:t>
      </w:r>
    </w:p>
    <w:p w14:paraId="0BBD66A4" w14:textId="126BF878" w:rsidR="00877B27" w:rsidRPr="003A7F84" w:rsidRDefault="00877B27" w:rsidP="001E0EF1">
      <w:pPr>
        <w:pStyle w:val="ExecSumBodyText"/>
      </w:pPr>
      <w:r w:rsidRPr="003A7F84">
        <w:t xml:space="preserve">Mpimbaza 2008 reported four patients with respiratory depression, two in each treatment arm, three of whom recovered and one (treated with rectal diazepam) who died after seizure cessation (possibly related to cerebral malaria). Twenty deaths during the study were attributed to underlying </w:t>
      </w:r>
      <w:proofErr w:type="gramStart"/>
      <w:r w:rsidRPr="003A7F84">
        <w:t>illness;</w:t>
      </w:r>
      <w:proofErr w:type="gramEnd"/>
      <w:r w:rsidRPr="003A7F84">
        <w:t xml:space="preserve"> i.e. malaria 10, malnutrition 3, sepsis 3, pneumonia (HIV related) 2, meningitis 2. One child experienced intense pruritus that resolved with oral antihistamines, and was possibly related to buccal midazolam.</w:t>
      </w:r>
    </w:p>
    <w:p w14:paraId="3302C1F5" w14:textId="211604D3" w:rsidR="00CE1B0C" w:rsidRPr="003A7F84" w:rsidRDefault="00CE1B0C" w:rsidP="00CE1B0C">
      <w:pPr>
        <w:pStyle w:val="ExecSumBodyText"/>
      </w:pPr>
      <w:bookmarkStart w:id="34" w:name="_Hlk109647183"/>
      <w:r w:rsidRPr="003A7F84">
        <w:rPr>
          <w:iCs/>
        </w:rPr>
        <w:t>Overall, there were few adverse events reported in the included studies and treatment related respiratory depression was infrequent</w:t>
      </w:r>
      <w:r w:rsidRPr="003A7F84">
        <w:t>.</w:t>
      </w:r>
    </w:p>
    <w:bookmarkEnd w:id="34"/>
    <w:p w14:paraId="75F64BE0" w14:textId="0EDCD105" w:rsidR="009324DA" w:rsidRPr="003A7F84" w:rsidRDefault="009324DA" w:rsidP="00CE1B0C">
      <w:pPr>
        <w:pStyle w:val="ExecSumBodyText"/>
      </w:pPr>
      <w:r w:rsidRPr="003A7F84">
        <w:rPr>
          <w:rFonts w:cstheme="minorHAnsi"/>
        </w:rPr>
        <w:lastRenderedPageBreak/>
        <w:t>The submission also presented the results of Connolly et al. 2015, an Australian telephone survey of 63 carers exploring carer perceptions of training for out-of-hospital use of buccal midazolam for seizures. Twenty-one carers (33%) gave buccal midazolam after appropriate training. Ten carers reported problems administering midazolam including excessive buccal secretions (N=7), difficulties in drawing up the solution (N=2) and difficulty in placing the syringe in the buccal space (N=1). Most carers reported no adverse effects when using buccal midazolam, with some carers reporting sleepiness (</w:t>
      </w:r>
      <w:r w:rsidR="004373C3" w:rsidRPr="003A7F84">
        <w:rPr>
          <w:rFonts w:cstheme="minorHAnsi"/>
        </w:rPr>
        <w:t>N=</w:t>
      </w:r>
      <w:r w:rsidRPr="003A7F84">
        <w:rPr>
          <w:rFonts w:cstheme="minorHAnsi"/>
        </w:rPr>
        <w:t>7), post-ictal irritability (</w:t>
      </w:r>
      <w:r w:rsidR="004373C3" w:rsidRPr="003A7F84">
        <w:rPr>
          <w:rFonts w:cstheme="minorHAnsi"/>
        </w:rPr>
        <w:t>N=</w:t>
      </w:r>
      <w:r w:rsidRPr="003A7F84">
        <w:rPr>
          <w:rFonts w:cstheme="minorHAnsi"/>
        </w:rPr>
        <w:t>1) and hiccups (</w:t>
      </w:r>
      <w:r w:rsidR="004373C3" w:rsidRPr="003A7F84">
        <w:rPr>
          <w:rFonts w:cstheme="minorHAnsi"/>
        </w:rPr>
        <w:t>N=</w:t>
      </w:r>
      <w:r w:rsidRPr="003A7F84">
        <w:rPr>
          <w:rFonts w:cstheme="minorHAnsi"/>
        </w:rPr>
        <w:t xml:space="preserve">1). Respiratory depression was reported by two carers, one related to a child receiving palliative care management and typically receiving multiple doses. Four children were admitted to intensive care with status epilepticus requiring intubation. </w:t>
      </w:r>
    </w:p>
    <w:p w14:paraId="5327CFC3" w14:textId="3E417C00" w:rsidR="00A231BA" w:rsidRPr="003A7F84" w:rsidRDefault="00D13677" w:rsidP="001E0EF1">
      <w:pPr>
        <w:pStyle w:val="ExecSumBodyText"/>
      </w:pPr>
      <w:r w:rsidRPr="003A7F84">
        <w:t>T</w:t>
      </w:r>
      <w:r w:rsidR="00A231BA" w:rsidRPr="003A7F84">
        <w:t xml:space="preserve">he most recent </w:t>
      </w:r>
      <w:r w:rsidRPr="003A7F84">
        <w:rPr>
          <w:rFonts w:cstheme="minorHAnsi"/>
        </w:rPr>
        <w:t xml:space="preserve">Periodic Benefit Risk Evaluation Report (PBRER), for the period 10 September 2016 to 09 September 2019, </w:t>
      </w:r>
      <w:r w:rsidR="00CE1B0C" w:rsidRPr="003A7F84">
        <w:rPr>
          <w:rFonts w:cstheme="minorHAnsi"/>
        </w:rPr>
        <w:t xml:space="preserve">reported important identified risks including shallow or slow breathing (respiratory depression), sedation (CNS depression), interactions with other drugs which act on the brain (including alcohol), apnoea, respiratory arrest, cardiac arrest, memory loss (anterograde amnesia), paradoxical reactions, nausea and vomiting, and pruritis, and important potential risks including physical dependence, off label use, asphyxiation/aspiration, abuse potential/diversion, buccal irritation, oral/facial trauma, and drug-facilitated sexual assault. </w:t>
      </w:r>
      <w:r w:rsidR="00EF4D1A" w:rsidRPr="003A7F84">
        <w:rPr>
          <w:rFonts w:cstheme="minorHAnsi"/>
        </w:rPr>
        <w:t xml:space="preserve">However, post-marketing data suggest serious adverse events are </w:t>
      </w:r>
      <w:r w:rsidR="007122F0" w:rsidRPr="003A7F84">
        <w:rPr>
          <w:rFonts w:cstheme="minorHAnsi"/>
        </w:rPr>
        <w:t>rare.</w:t>
      </w:r>
    </w:p>
    <w:p w14:paraId="15A222EE" w14:textId="61A72CA1" w:rsidR="00D97F29" w:rsidRPr="003A7F84" w:rsidRDefault="00D97F29" w:rsidP="00921083">
      <w:pPr>
        <w:pStyle w:val="ExecSumBodyText"/>
        <w:rPr>
          <w:iCs/>
          <w:snapToGrid/>
        </w:rPr>
      </w:pPr>
      <w:bookmarkStart w:id="35" w:name="_Hlk109647212"/>
      <w:r w:rsidRPr="003A7F84">
        <w:rPr>
          <w:iCs/>
          <w:snapToGrid/>
        </w:rPr>
        <w:t xml:space="preserve">The ESC considered that the </w:t>
      </w:r>
      <w:r w:rsidR="00E4559D" w:rsidRPr="003A7F84">
        <w:rPr>
          <w:iCs/>
          <w:snapToGrid/>
        </w:rPr>
        <w:t xml:space="preserve">potential </w:t>
      </w:r>
      <w:r w:rsidRPr="003A7F84">
        <w:rPr>
          <w:iCs/>
          <w:snapToGrid/>
        </w:rPr>
        <w:t>harms associated with midazolam are well recognised by prescribers</w:t>
      </w:r>
      <w:r w:rsidR="00E4559D" w:rsidRPr="003A7F84">
        <w:rPr>
          <w:iCs/>
          <w:snapToGrid/>
        </w:rPr>
        <w:t>.</w:t>
      </w:r>
    </w:p>
    <w:p w14:paraId="04908C7F" w14:textId="415B9B7D" w:rsidR="007F1017" w:rsidRPr="003A7F84" w:rsidRDefault="007F1017" w:rsidP="00D86231">
      <w:pPr>
        <w:pStyle w:val="3-SubsectionHeading"/>
      </w:pPr>
      <w:bookmarkStart w:id="36" w:name="_Toc22897643"/>
      <w:bookmarkStart w:id="37" w:name="_Toc103714922"/>
      <w:bookmarkEnd w:id="35"/>
      <w:r w:rsidRPr="003A7F84">
        <w:t>Benefits/harms</w:t>
      </w:r>
      <w:bookmarkEnd w:id="36"/>
      <w:bookmarkEnd w:id="37"/>
    </w:p>
    <w:p w14:paraId="3B653B96" w14:textId="4DFC54BD" w:rsidR="00FC1884" w:rsidRPr="003A7F84" w:rsidRDefault="00BE2EA1" w:rsidP="005A168B">
      <w:pPr>
        <w:pStyle w:val="ExecSumBodyText"/>
      </w:pPr>
      <w:r w:rsidRPr="003A7F84">
        <w:rPr>
          <w:iCs/>
        </w:rPr>
        <w:t>A benefit/harms summary was not presented due to the claim of noninferiority</w:t>
      </w:r>
      <w:r w:rsidR="00DD0DE6" w:rsidRPr="003A7F84">
        <w:t>.</w:t>
      </w:r>
    </w:p>
    <w:p w14:paraId="7A1772B6" w14:textId="23BB3145" w:rsidR="00B60939" w:rsidRPr="003A7F84" w:rsidRDefault="00B60939" w:rsidP="00E9094A">
      <w:pPr>
        <w:pStyle w:val="3-SubsectionHeading"/>
      </w:pPr>
      <w:bookmarkStart w:id="38" w:name="_Toc22897644"/>
      <w:bookmarkStart w:id="39" w:name="_Toc103714923"/>
      <w:r w:rsidRPr="003A7F84">
        <w:t>Clinical claim</w:t>
      </w:r>
      <w:bookmarkEnd w:id="38"/>
      <w:bookmarkEnd w:id="39"/>
    </w:p>
    <w:p w14:paraId="75A3AFAC" w14:textId="28B6D682" w:rsidR="00DD0DE6" w:rsidRPr="003A7F84" w:rsidRDefault="00DD0DE6" w:rsidP="00DD0DE6">
      <w:pPr>
        <w:pStyle w:val="ExecSumBodyText"/>
      </w:pPr>
      <w:r w:rsidRPr="003A7F84">
        <w:t>The submission described midazolam oromucosal solution as non-inferior in terms of effectiveness and safety compared to buccal</w:t>
      </w:r>
      <w:r w:rsidR="005E7613" w:rsidRPr="003A7F84">
        <w:t xml:space="preserve"> or intranasal</w:t>
      </w:r>
      <w:r w:rsidRPr="003A7F84">
        <w:t xml:space="preserve"> midazolam hydrochloride. </w:t>
      </w:r>
      <w:r w:rsidRPr="003A7F84">
        <w:rPr>
          <w:iCs/>
        </w:rPr>
        <w:t xml:space="preserve">The therapeutic conclusion presented in the submission was not supported by the evidence presented in the submission, given the included studies do not inform the comparison between midazolam oromucosal solution and the main comparator, buccal </w:t>
      </w:r>
      <w:r w:rsidR="00A82400" w:rsidRPr="003A7F84">
        <w:rPr>
          <w:iCs/>
        </w:rPr>
        <w:t xml:space="preserve">or intranasal </w:t>
      </w:r>
      <w:r w:rsidRPr="003A7F84">
        <w:rPr>
          <w:iCs/>
        </w:rPr>
        <w:t xml:space="preserve">midazolam hydrochloride (off-label). However, </w:t>
      </w:r>
      <w:r w:rsidR="001B63EC" w:rsidRPr="003A7F84">
        <w:rPr>
          <w:iCs/>
        </w:rPr>
        <w:t xml:space="preserve">the clinical evidence presented in the submission suggests </w:t>
      </w:r>
      <w:r w:rsidR="00966B19" w:rsidRPr="003A7F84">
        <w:rPr>
          <w:iCs/>
        </w:rPr>
        <w:t xml:space="preserve">the efficacy of </w:t>
      </w:r>
      <w:r w:rsidR="001B63EC" w:rsidRPr="003A7F84">
        <w:rPr>
          <w:iCs/>
        </w:rPr>
        <w:t>buccal administration of midazolam</w:t>
      </w:r>
      <w:r w:rsidR="002D1BD6" w:rsidRPr="003A7F84">
        <w:rPr>
          <w:iCs/>
        </w:rPr>
        <w:t xml:space="preserve"> is </w:t>
      </w:r>
      <w:r w:rsidR="00966B19" w:rsidRPr="003A7F84">
        <w:rPr>
          <w:iCs/>
        </w:rPr>
        <w:t>similar</w:t>
      </w:r>
      <w:r w:rsidR="002D1BD6" w:rsidRPr="003A7F84">
        <w:rPr>
          <w:iCs/>
        </w:rPr>
        <w:t xml:space="preserve"> to </w:t>
      </w:r>
      <w:r w:rsidR="00966B19" w:rsidRPr="003A7F84">
        <w:rPr>
          <w:iCs/>
        </w:rPr>
        <w:t xml:space="preserve">rectal diazepam. </w:t>
      </w:r>
    </w:p>
    <w:p w14:paraId="7F613CD1" w14:textId="3858A420" w:rsidR="005F7588" w:rsidRPr="003A7F84" w:rsidRDefault="00DD0DE6" w:rsidP="00DD0DE6">
      <w:pPr>
        <w:pStyle w:val="ExecSumBodyText"/>
        <w:rPr>
          <w:rFonts w:eastAsia="Calibri"/>
        </w:rPr>
      </w:pPr>
      <w:r w:rsidRPr="003A7F84">
        <w:t xml:space="preserve">In addition to the clinical claim, the submission claimed that midazolam oromucosal solution provides </w:t>
      </w:r>
      <w:r w:rsidR="002437CD" w:rsidRPr="003A7F84">
        <w:t>s</w:t>
      </w:r>
      <w:r w:rsidRPr="003A7F84">
        <w:t xml:space="preserve">ignificantly superior and important pragmatic and practical improvements to the accurate and timely administration of midazolam during an acute health emergency. </w:t>
      </w:r>
      <w:r w:rsidRPr="003A7F84">
        <w:rPr>
          <w:iCs/>
        </w:rPr>
        <w:t>This claim was not supported by clinical evidence presented in</w:t>
      </w:r>
      <w:r w:rsidR="004F14BA" w:rsidRPr="003A7F84">
        <w:rPr>
          <w:iCs/>
        </w:rPr>
        <w:t xml:space="preserve"> </w:t>
      </w:r>
      <w:r w:rsidR="004C18E8" w:rsidRPr="003A7F84">
        <w:rPr>
          <w:iCs/>
        </w:rPr>
        <w:t xml:space="preserve">the </w:t>
      </w:r>
      <w:r w:rsidRPr="003A7F84">
        <w:rPr>
          <w:iCs/>
        </w:rPr>
        <w:t>submission.</w:t>
      </w:r>
    </w:p>
    <w:p w14:paraId="147E2796" w14:textId="440BC3CF" w:rsidR="00861D09" w:rsidRPr="003A7F84" w:rsidRDefault="00861D09" w:rsidP="00DD0DE6">
      <w:pPr>
        <w:pStyle w:val="ExecSumBodyText"/>
        <w:rPr>
          <w:rFonts w:eastAsia="Calibri"/>
        </w:rPr>
      </w:pPr>
      <w:bookmarkStart w:id="40" w:name="_Ref109578398"/>
      <w:r w:rsidRPr="003A7F84">
        <w:t xml:space="preserve">The ESC noted that the submission’s claim was supported by expert advice and considered it plausible that the prefilled syringe </w:t>
      </w:r>
      <w:r w:rsidR="009026D9" w:rsidRPr="003A7F84">
        <w:t>c</w:t>
      </w:r>
      <w:r w:rsidRPr="003A7F84">
        <w:t>ould be beneficial as compared with</w:t>
      </w:r>
      <w:r w:rsidR="00622C34" w:rsidRPr="003A7F84">
        <w:t xml:space="preserve"> </w:t>
      </w:r>
      <w:r w:rsidRPr="003A7F84">
        <w:lastRenderedPageBreak/>
        <w:t>off-label use of midazolam ampoules which require carers to either draw up liquid into a syringe before administration (syringe method) or to squeeze a plastic ampoule to administer the drug to the buccal cavity (ampoule method)</w:t>
      </w:r>
      <w:r w:rsidR="009026D9" w:rsidRPr="003A7F84">
        <w:t>, noting that GCSE is a stressful situation for parents and carers</w:t>
      </w:r>
      <w:r w:rsidRPr="003A7F84">
        <w:t xml:space="preserve">.  </w:t>
      </w:r>
      <w:r w:rsidRPr="003A7F84">
        <w:rPr>
          <w:lang w:eastAsia="nl-NL"/>
        </w:rPr>
        <w:t xml:space="preserve">The ESC also noted that some paediatric hospitals have ceased dispensing off-label midazolam for this purpose due to </w:t>
      </w:r>
      <w:r w:rsidR="0015346B" w:rsidRPr="003A7F84">
        <w:rPr>
          <w:lang w:eastAsia="nl-NL"/>
        </w:rPr>
        <w:t xml:space="preserve">legal reasons or </w:t>
      </w:r>
      <w:r w:rsidRPr="003A7F84">
        <w:rPr>
          <w:lang w:eastAsia="nl-NL"/>
        </w:rPr>
        <w:t>hospital policies.</w:t>
      </w:r>
      <w:bookmarkEnd w:id="40"/>
    </w:p>
    <w:p w14:paraId="7056562B" w14:textId="7E7D24D2" w:rsidR="006E127F" w:rsidRPr="003A7F84" w:rsidRDefault="006E127F" w:rsidP="00DD0DE6">
      <w:pPr>
        <w:pStyle w:val="ExecSumBodyText"/>
        <w:rPr>
          <w:rFonts w:eastAsia="Calibri"/>
        </w:rPr>
      </w:pPr>
      <w:r w:rsidRPr="003A7F84">
        <w:t xml:space="preserve">The ESC considered that process benefits associated with the pre-filled syringe could provide benefits to patients and carers, e.g. associated with relative ease of use of the device (compared with ampoules) and due to improvements in product labelling and instructions for use which could support </w:t>
      </w:r>
      <w:r w:rsidR="00622C34" w:rsidRPr="003A7F84">
        <w:t>its</w:t>
      </w:r>
      <w:r w:rsidRPr="003A7F84">
        <w:t xml:space="preserve"> appropriate use in the community (compared with ampoules).  The submission acknowledged that parents and carers can be anxious about giving midazolam, and that training is needed.  </w:t>
      </w:r>
    </w:p>
    <w:p w14:paraId="459B8ACD" w14:textId="728AFD79" w:rsidR="00E16E0F" w:rsidRPr="003A7F84" w:rsidRDefault="00E16E0F" w:rsidP="00E16E0F">
      <w:pPr>
        <w:pStyle w:val="ExecSumBodyText"/>
      </w:pPr>
      <w:r w:rsidRPr="003A7F84">
        <w:t>The PBAC noted that the submission described midazolam oromucosal solution as non-inferior in terms of effectiveness and safety compared to buccal or intranasal midazolam hydrochloride. The PBAC considered it was reasonable to consider midazolam oromucosal solution comparable to midazolam parenteral solution given via the oromucosal route, although the TGA had not issued a bioequivalence statement.</w:t>
      </w:r>
    </w:p>
    <w:p w14:paraId="7B28A89F" w14:textId="49283F55" w:rsidR="00E16E0F" w:rsidRPr="003A7F84" w:rsidRDefault="00E16E0F" w:rsidP="00E16E0F">
      <w:pPr>
        <w:pStyle w:val="ExecSumBodyText"/>
      </w:pPr>
      <w:r w:rsidRPr="003A7F84">
        <w:t>The PBAC noted the submission’s claim that midazolam oromucosal solution provides a significantly superior and important pragmatic and practical improvement to the accurate and timely administration of midazolam during an acute health emergency</w:t>
      </w:r>
      <w:r w:rsidR="00EE47B6" w:rsidRPr="003A7F84">
        <w:t xml:space="preserve">.  The PBAC </w:t>
      </w:r>
      <w:r w:rsidRPr="003A7F84">
        <w:t xml:space="preserve">considered it plausible that the prefilled syringe would be beneficial as compared with off-label use of midazolam ampoules which require carers to either draw up liquid into a syringe before administration or to squeeze a plastic ampoule to administer the drug to the buccal cavity, noting that GCSE is a stressful situation for parents and carers.  </w:t>
      </w:r>
    </w:p>
    <w:p w14:paraId="74A1172E" w14:textId="128C170E" w:rsidR="00B60939" w:rsidRPr="003A7F84" w:rsidRDefault="00B60939" w:rsidP="00E9094A">
      <w:pPr>
        <w:pStyle w:val="3-SubsectionHeading"/>
      </w:pPr>
      <w:bookmarkStart w:id="41" w:name="_Toc22897645"/>
      <w:bookmarkStart w:id="42" w:name="_Toc103714924"/>
      <w:r w:rsidRPr="003A7F84">
        <w:t>Economic analysis</w:t>
      </w:r>
      <w:bookmarkEnd w:id="41"/>
      <w:bookmarkEnd w:id="42"/>
      <w:r w:rsidR="00491B3A" w:rsidRPr="003A7F84">
        <w:t xml:space="preserve"> </w:t>
      </w:r>
    </w:p>
    <w:p w14:paraId="14C1E8F9" w14:textId="772341CC" w:rsidR="00275C5A" w:rsidRPr="003A7F84" w:rsidRDefault="004935EA" w:rsidP="00641FB3">
      <w:pPr>
        <w:pStyle w:val="ExecSumBodyText"/>
        <w:rPr>
          <w:bCs/>
          <w:color w:val="0066FF"/>
        </w:rPr>
      </w:pPr>
      <w:r w:rsidRPr="003A7F84">
        <w:t xml:space="preserve">The submission presented a cost-consequences analysis of the use of midazolam oromucosal solution for the treatment of GCSE events in adults and children over 6 months of age with a diagnosis of epilepsy, compared to buccal midazolam hydrochloride, based on the claim of noninferior effectiveness and safety. </w:t>
      </w:r>
      <w:r w:rsidRPr="003A7F84">
        <w:rPr>
          <w:iCs/>
        </w:rPr>
        <w:t xml:space="preserve">The economic analysis was not supported by the clinical evidence presented in the submission, but may be reasonable </w:t>
      </w:r>
      <w:r w:rsidR="00323EA0" w:rsidRPr="003A7F84">
        <w:rPr>
          <w:iCs/>
        </w:rPr>
        <w:t>if the formulations are assumed to provide equivalent doses of midazolam</w:t>
      </w:r>
      <w:r w:rsidRPr="003A7F84">
        <w:rPr>
          <w:iCs/>
        </w:rPr>
        <w:t>.</w:t>
      </w:r>
    </w:p>
    <w:p w14:paraId="609E0153" w14:textId="73BF35AA" w:rsidR="0001776A" w:rsidRPr="003A7F84" w:rsidRDefault="00ED73C9" w:rsidP="00E857BB">
      <w:pPr>
        <w:pStyle w:val="ExecSumBodyText"/>
        <w:rPr>
          <w:rFonts w:ascii="Calibri" w:hAnsi="Calibri"/>
          <w:iCs/>
          <w:snapToGrid/>
        </w:rPr>
      </w:pPr>
      <w:r w:rsidRPr="003A7F84">
        <w:t xml:space="preserve">The cost consequences analysis presented in the submission compared the costs of medicines for the treatment of GCSE, the costs of epilepsy management, and the claimed benefits of improved accuracy and timely administration of midazolam during an acute health emergency for midazolam oromucosal solution versus midazolam hydrochloride. </w:t>
      </w:r>
      <w:r w:rsidRPr="003A7F84">
        <w:rPr>
          <w:iCs/>
        </w:rPr>
        <w:t>The inclusion of the costs of epilepsy management</w:t>
      </w:r>
      <w:r w:rsidR="00E857BB" w:rsidRPr="003A7F84">
        <w:rPr>
          <w:iCs/>
        </w:rPr>
        <w:t>, based on the Deloitte 2020 Economic Burden of Epilepsy in Australia 2019-2020 report,</w:t>
      </w:r>
      <w:r w:rsidRPr="003A7F84">
        <w:rPr>
          <w:iCs/>
        </w:rPr>
        <w:t xml:space="preserve"> </w:t>
      </w:r>
      <w:r w:rsidR="00EB1A40" w:rsidRPr="003A7F84">
        <w:rPr>
          <w:iCs/>
        </w:rPr>
        <w:t xml:space="preserve">was not </w:t>
      </w:r>
      <w:r w:rsidR="00EB1A40" w:rsidRPr="003A7F84">
        <w:rPr>
          <w:iCs/>
        </w:rPr>
        <w:lastRenderedPageBreak/>
        <w:t xml:space="preserve">justified given the results </w:t>
      </w:r>
      <w:r w:rsidR="00A1063E" w:rsidRPr="003A7F84">
        <w:rPr>
          <w:iCs/>
        </w:rPr>
        <w:t>were not directly applicable to the use of midazolam in the emergency treatment of GCSE</w:t>
      </w:r>
      <w:r w:rsidR="00EB1A40" w:rsidRPr="003A7F84">
        <w:rPr>
          <w:iCs/>
        </w:rPr>
        <w:t xml:space="preserve"> and</w:t>
      </w:r>
      <w:r w:rsidRPr="003A7F84">
        <w:rPr>
          <w:iCs/>
        </w:rPr>
        <w:t xml:space="preserve"> no differences between treatments were assumed.</w:t>
      </w:r>
      <w:r w:rsidR="008C5739" w:rsidRPr="003A7F84">
        <w:rPr>
          <w:iCs/>
        </w:rPr>
        <w:t xml:space="preserve">  </w:t>
      </w:r>
    </w:p>
    <w:p w14:paraId="6BB5EA46" w14:textId="77777777" w:rsidR="00A53132" w:rsidRPr="003A7F84" w:rsidRDefault="0001776A" w:rsidP="00725A66">
      <w:pPr>
        <w:pStyle w:val="ExecSumBodyText"/>
        <w:rPr>
          <w:rFonts w:cstheme="minorHAnsi"/>
        </w:rPr>
      </w:pPr>
      <w:r w:rsidRPr="003A7F84">
        <w:t xml:space="preserve">The submission assumed that the doses of midazolam administered are equi-effective at a ratio of 1 mg:1 mg, based on the </w:t>
      </w:r>
      <w:r w:rsidR="00772159" w:rsidRPr="003A7F84">
        <w:t xml:space="preserve">assumed </w:t>
      </w:r>
      <w:r w:rsidRPr="003A7F84">
        <w:t xml:space="preserve">bioequivalence of midazolam oromucosal solution and midazolam hydrochloride administered buccally. However, the submission assumed that the drawing-up of midazolam hydrochloride from ampoules </w:t>
      </w:r>
      <w:r w:rsidR="00F36099" w:rsidRPr="003A7F84">
        <w:t xml:space="preserve">will </w:t>
      </w:r>
      <w:r w:rsidRPr="003A7F84">
        <w:t xml:space="preserve">result in substantial wastage, </w:t>
      </w:r>
      <w:r w:rsidR="007F6CA7" w:rsidRPr="003A7F84">
        <w:t xml:space="preserve">as up to 10 ampoules may be dispensed on each occasion.  The submission assumed that remaining ampoules </w:t>
      </w:r>
      <w:r w:rsidR="00A53132" w:rsidRPr="003A7F84">
        <w:t>w</w:t>
      </w:r>
      <w:r w:rsidR="007F6CA7" w:rsidRPr="003A7F84">
        <w:t>ould not be used, either due to spillage or expiration</w:t>
      </w:r>
      <w:r w:rsidR="007F6CA7" w:rsidRPr="003A7F84">
        <w:rPr>
          <w:rStyle w:val="FootnoteReference"/>
        </w:rPr>
        <w:footnoteReference w:id="3"/>
      </w:r>
      <w:r w:rsidR="00A53132" w:rsidRPr="003A7F84">
        <w:t xml:space="preserve">. </w:t>
      </w:r>
      <w:r w:rsidR="00E857BB" w:rsidRPr="003A7F84">
        <w:rPr>
          <w:iCs/>
        </w:rPr>
        <w:t xml:space="preserve">Given the maximum recommended dose of midazolam hydrochloride 10 mg can be obtained from 2 ampoules of this formulation, the assumption that each </w:t>
      </w:r>
      <w:r w:rsidR="00A53132" w:rsidRPr="003A7F84">
        <w:rPr>
          <w:iCs/>
        </w:rPr>
        <w:t>episode</w:t>
      </w:r>
      <w:r w:rsidR="00E857BB" w:rsidRPr="003A7F84">
        <w:rPr>
          <w:iCs/>
        </w:rPr>
        <w:t xml:space="preserve"> of buccal midazolam hydrochloride would require 10 × 1 mL ampoules (50 mg) of this formulation</w:t>
      </w:r>
      <w:r w:rsidR="00EA277A" w:rsidRPr="003A7F84">
        <w:rPr>
          <w:iCs/>
        </w:rPr>
        <w:t xml:space="preserve"> </w:t>
      </w:r>
      <w:r w:rsidR="00E857BB" w:rsidRPr="003A7F84">
        <w:rPr>
          <w:iCs/>
        </w:rPr>
        <w:t>was not adequately justified.</w:t>
      </w:r>
    </w:p>
    <w:p w14:paraId="5F6F0858" w14:textId="45B05F74" w:rsidR="00725A66" w:rsidRPr="003A7F84" w:rsidRDefault="00725A66" w:rsidP="00725A66">
      <w:pPr>
        <w:pStyle w:val="ExecSumBodyText"/>
        <w:rPr>
          <w:rFonts w:cstheme="minorHAnsi"/>
        </w:rPr>
      </w:pPr>
      <w:r w:rsidRPr="003A7F84">
        <w:rPr>
          <w:rFonts w:cstheme="minorHAnsi"/>
        </w:rPr>
        <w:t>The cost of midazolam oromucosal solution was based on the proposed DPMQ of $</w:t>
      </w:r>
      <w:proofErr w:type="gramStart"/>
      <w:r w:rsidR="001F03AF" w:rsidRPr="005A6BE3">
        <w:rPr>
          <w:rFonts w:cstheme="minorHAnsi"/>
          <w:color w:val="000000"/>
          <w:w w:val="15"/>
          <w:shd w:val="solid" w:color="000000" w:fill="000000"/>
          <w:fitText w:val="-20" w:id="-1435807744"/>
          <w14:textFill>
            <w14:solidFill>
              <w14:srgbClr w14:val="000000">
                <w14:alpha w14:val="100000"/>
              </w14:srgbClr>
            </w14:solidFill>
          </w14:textFill>
        </w:rPr>
        <w:t xml:space="preserve">|  </w:t>
      </w:r>
      <w:r w:rsidR="001F03AF" w:rsidRPr="005A6BE3">
        <w:rPr>
          <w:rFonts w:cstheme="minorHAnsi"/>
          <w:color w:val="000000"/>
          <w:spacing w:val="-69"/>
          <w:w w:val="15"/>
          <w:shd w:val="solid" w:color="000000" w:fill="000000"/>
          <w:fitText w:val="-20" w:id="-1435807744"/>
          <w14:textFill>
            <w14:solidFill>
              <w14:srgbClr w14:val="000000">
                <w14:alpha w14:val="100000"/>
              </w14:srgbClr>
            </w14:solidFill>
          </w14:textFill>
        </w:rPr>
        <w:t>|</w:t>
      </w:r>
      <w:proofErr w:type="gramEnd"/>
      <w:r w:rsidRPr="003A7F84">
        <w:rPr>
          <w:rFonts w:cstheme="minorHAnsi"/>
        </w:rPr>
        <w:t xml:space="preserve"> for each of the dose strengths (2.5 mg in 0.25 mL, 5 mg in 0.5 mL, 7.5 mg in 0.75 mL, 10 mg in 1.0 mL). The submission used the listed price of midazolam hydrochloride (5 mg/mL, 10 x 1mL ampoules) </w:t>
      </w:r>
      <w:r w:rsidR="00861016" w:rsidRPr="003A7F84">
        <w:rPr>
          <w:rFonts w:cstheme="minorHAnsi"/>
        </w:rPr>
        <w:t>for</w:t>
      </w:r>
      <w:r w:rsidRPr="003A7F84">
        <w:rPr>
          <w:rFonts w:cstheme="minorHAnsi"/>
        </w:rPr>
        <w:t xml:space="preserve"> the PBS Prescribers Bag ($39.85 DPMQ; PBS item 10178Q), as a proxy for the cost of this formulation to patients. </w:t>
      </w:r>
      <w:r w:rsidRPr="003A7F84">
        <w:rPr>
          <w:rFonts w:cstheme="minorHAnsi"/>
          <w:iCs/>
        </w:rPr>
        <w:t xml:space="preserve">The cost of midazolam hydrochloride to patients could not be determined during the evaluation. </w:t>
      </w:r>
    </w:p>
    <w:p w14:paraId="5B5F7B98" w14:textId="2A93F22B" w:rsidR="00490B17" w:rsidRPr="003A7F84" w:rsidRDefault="00C1167C" w:rsidP="002E1071">
      <w:pPr>
        <w:pStyle w:val="ExecSumBodyText"/>
        <w:rPr>
          <w:color w:val="0066FF"/>
        </w:rPr>
      </w:pPr>
      <w:r w:rsidRPr="003A7F84">
        <w:fldChar w:fldCharType="begin"/>
      </w:r>
      <w:r w:rsidRPr="003A7F84">
        <w:instrText xml:space="preserve"> REF _Ref104393207 \h </w:instrText>
      </w:r>
      <w:r w:rsidRPr="003A7F84">
        <w:fldChar w:fldCharType="separate"/>
      </w:r>
      <w:r w:rsidR="009466A1" w:rsidRPr="003A7F84">
        <w:t xml:space="preserve">Table </w:t>
      </w:r>
      <w:r w:rsidR="009466A1">
        <w:rPr>
          <w:noProof/>
        </w:rPr>
        <w:t>6</w:t>
      </w:r>
      <w:r w:rsidRPr="003A7F84">
        <w:fldChar w:fldCharType="end"/>
      </w:r>
      <w:r w:rsidRPr="003A7F84">
        <w:t xml:space="preserve"> </w:t>
      </w:r>
      <w:r w:rsidR="00AB4E2D" w:rsidRPr="003A7F84">
        <w:t xml:space="preserve">summarises the results of the cost consequences analysis. The cost of treating one episode of GCSE with midazolam oromucosal solution or midazolam hydrochloride was combined with the annual cost of epilepsy management. </w:t>
      </w:r>
      <w:r w:rsidR="00AB4E2D" w:rsidRPr="003A7F84">
        <w:rPr>
          <w:iCs/>
        </w:rPr>
        <w:t>No justification was provided for the assumption of one GC</w:t>
      </w:r>
      <w:r w:rsidR="00971CAE" w:rsidRPr="003A7F84">
        <w:rPr>
          <w:iCs/>
        </w:rPr>
        <w:t>S</w:t>
      </w:r>
      <w:r w:rsidR="00AB4E2D" w:rsidRPr="003A7F84">
        <w:rPr>
          <w:iCs/>
        </w:rPr>
        <w:t>E episode requiring one midazolam treatment per patient per year. It may be more appropriate to compare the drug costs of treating GCSE alone, given the assumption of no difference in epilepsy management costs</w:t>
      </w:r>
      <w:r w:rsidR="003C4AA2" w:rsidRPr="003A7F84">
        <w:rPr>
          <w:iCs/>
        </w:rPr>
        <w:t>.</w:t>
      </w:r>
    </w:p>
    <w:p w14:paraId="3B83F8CE" w14:textId="4851AF6D" w:rsidR="0012750C" w:rsidRPr="003A7F84" w:rsidRDefault="0012750C" w:rsidP="0012750C">
      <w:pPr>
        <w:pStyle w:val="Caption"/>
        <w:rPr>
          <w:b w:val="0"/>
        </w:rPr>
      </w:pPr>
      <w:bookmarkStart w:id="43" w:name="_Ref104393207"/>
      <w:r w:rsidRPr="003A7F84">
        <w:t xml:space="preserve">Table </w:t>
      </w:r>
      <w:fldSimple w:instr=" SEQ Table \* ARABIC ">
        <w:r w:rsidR="009466A1">
          <w:rPr>
            <w:noProof/>
          </w:rPr>
          <w:t>6</w:t>
        </w:r>
      </w:fldSimple>
      <w:bookmarkEnd w:id="43"/>
      <w:r w:rsidRPr="003A7F84">
        <w:t>: Cost consequences analysis: midazolam oromucosal solution versus midazolam hydrochloride</w:t>
      </w:r>
    </w:p>
    <w:tbl>
      <w:tblPr>
        <w:tblStyle w:val="TableGrid"/>
        <w:tblW w:w="9067" w:type="dxa"/>
        <w:tblLayout w:type="fixed"/>
        <w:tblLook w:val="04A0" w:firstRow="1" w:lastRow="0" w:firstColumn="1" w:lastColumn="0" w:noHBand="0" w:noVBand="1"/>
      </w:tblPr>
      <w:tblGrid>
        <w:gridCol w:w="2689"/>
        <w:gridCol w:w="2126"/>
        <w:gridCol w:w="2126"/>
        <w:gridCol w:w="2126"/>
      </w:tblGrid>
      <w:tr w:rsidR="00ED73C9" w:rsidRPr="003A7F84" w14:paraId="3E6A8CF5" w14:textId="77777777" w:rsidTr="00846A9E">
        <w:tc>
          <w:tcPr>
            <w:tcW w:w="2689" w:type="dxa"/>
            <w:tcBorders>
              <w:bottom w:val="single" w:sz="4" w:space="0" w:color="auto"/>
            </w:tcBorders>
            <w:noWrap/>
            <w:hideMark/>
          </w:tcPr>
          <w:p w14:paraId="43DEA62A" w14:textId="77777777" w:rsidR="00ED73C9" w:rsidRPr="003A7F84" w:rsidRDefault="00ED73C9" w:rsidP="00AB32A3">
            <w:pPr>
              <w:pStyle w:val="Tabletext0"/>
              <w:spacing w:before="0" w:after="0"/>
              <w:rPr>
                <w:rStyle w:val="SmallBold"/>
                <w:rFonts w:ascii="Arial Narrow" w:hAnsi="Arial Narrow"/>
              </w:rPr>
            </w:pPr>
            <w:r w:rsidRPr="003A7F84">
              <w:rPr>
                <w:rStyle w:val="SmallBold"/>
                <w:rFonts w:ascii="Arial Narrow" w:hAnsi="Arial Narrow"/>
              </w:rPr>
              <w:t>Service</w:t>
            </w:r>
          </w:p>
        </w:tc>
        <w:tc>
          <w:tcPr>
            <w:tcW w:w="2126" w:type="dxa"/>
            <w:tcBorders>
              <w:bottom w:val="single" w:sz="4" w:space="0" w:color="auto"/>
            </w:tcBorders>
            <w:noWrap/>
          </w:tcPr>
          <w:p w14:paraId="4F995F2A" w14:textId="77777777" w:rsidR="00ED73C9" w:rsidRPr="003A7F84" w:rsidRDefault="00ED73C9" w:rsidP="00AB32A3">
            <w:pPr>
              <w:pStyle w:val="Tabletext0"/>
              <w:spacing w:before="0" w:after="0"/>
              <w:jc w:val="center"/>
              <w:rPr>
                <w:rStyle w:val="SmallBold"/>
                <w:rFonts w:ascii="Arial Narrow" w:hAnsi="Arial Narrow"/>
              </w:rPr>
            </w:pPr>
            <w:r w:rsidRPr="003A7F84">
              <w:rPr>
                <w:rStyle w:val="SmallBold"/>
                <w:rFonts w:ascii="Arial Narrow" w:hAnsi="Arial Narrow"/>
              </w:rPr>
              <w:t>Midazolam</w:t>
            </w:r>
          </w:p>
          <w:p w14:paraId="49E4BA27" w14:textId="77777777" w:rsidR="00ED73C9" w:rsidRPr="003A7F84" w:rsidRDefault="00ED73C9" w:rsidP="00AB32A3">
            <w:pPr>
              <w:pStyle w:val="Tabletext0"/>
              <w:spacing w:before="0" w:after="0"/>
              <w:jc w:val="center"/>
              <w:rPr>
                <w:rStyle w:val="SmallBold"/>
                <w:rFonts w:ascii="Arial Narrow" w:hAnsi="Arial Narrow"/>
              </w:rPr>
            </w:pPr>
            <w:r w:rsidRPr="003A7F84">
              <w:rPr>
                <w:rStyle w:val="SmallBold"/>
                <w:rFonts w:ascii="Arial Narrow" w:hAnsi="Arial Narrow"/>
              </w:rPr>
              <w:t>oromucosal solution</w:t>
            </w:r>
          </w:p>
        </w:tc>
        <w:tc>
          <w:tcPr>
            <w:tcW w:w="2126" w:type="dxa"/>
            <w:tcBorders>
              <w:bottom w:val="single" w:sz="4" w:space="0" w:color="auto"/>
            </w:tcBorders>
          </w:tcPr>
          <w:p w14:paraId="66C65996" w14:textId="77777777" w:rsidR="00ED73C9" w:rsidRPr="003A7F84" w:rsidRDefault="00ED73C9" w:rsidP="00AB32A3">
            <w:pPr>
              <w:pStyle w:val="Tabletext0"/>
              <w:spacing w:before="0" w:after="0"/>
              <w:jc w:val="center"/>
              <w:rPr>
                <w:rStyle w:val="SmallBold"/>
                <w:rFonts w:ascii="Arial Narrow" w:hAnsi="Arial Narrow"/>
              </w:rPr>
            </w:pPr>
            <w:r w:rsidRPr="003A7F84">
              <w:rPr>
                <w:rStyle w:val="SmallBold"/>
                <w:rFonts w:ascii="Arial Narrow" w:hAnsi="Arial Narrow"/>
              </w:rPr>
              <w:t>Midazolam hydrochloride</w:t>
            </w:r>
          </w:p>
        </w:tc>
        <w:tc>
          <w:tcPr>
            <w:tcW w:w="2126" w:type="dxa"/>
            <w:tcBorders>
              <w:bottom w:val="single" w:sz="4" w:space="0" w:color="auto"/>
            </w:tcBorders>
            <w:noWrap/>
          </w:tcPr>
          <w:p w14:paraId="6267AD27" w14:textId="77777777" w:rsidR="00ED73C9" w:rsidRPr="003A7F84" w:rsidRDefault="00ED73C9" w:rsidP="00AB32A3">
            <w:pPr>
              <w:pStyle w:val="Tabletext0"/>
              <w:spacing w:before="0" w:after="0"/>
              <w:jc w:val="center"/>
              <w:rPr>
                <w:rStyle w:val="SmallBold"/>
                <w:rFonts w:ascii="Arial Narrow" w:hAnsi="Arial Narrow"/>
              </w:rPr>
            </w:pPr>
            <w:r w:rsidRPr="003A7F84">
              <w:rPr>
                <w:rStyle w:val="SmallBold"/>
                <w:rFonts w:ascii="Arial Narrow" w:hAnsi="Arial Narrow"/>
              </w:rPr>
              <w:t>Increment</w:t>
            </w:r>
          </w:p>
        </w:tc>
      </w:tr>
      <w:tr w:rsidR="00ED73C9" w:rsidRPr="003A7F84" w14:paraId="73C0EC99" w14:textId="77777777" w:rsidTr="00AB32A3">
        <w:tc>
          <w:tcPr>
            <w:tcW w:w="9067" w:type="dxa"/>
            <w:gridSpan w:val="4"/>
            <w:noWrap/>
          </w:tcPr>
          <w:p w14:paraId="18AE5A0A" w14:textId="77777777" w:rsidR="00ED73C9" w:rsidRPr="003A7F84" w:rsidRDefault="00ED73C9" w:rsidP="00AB32A3">
            <w:pPr>
              <w:pStyle w:val="TableText"/>
              <w:rPr>
                <w:rStyle w:val="SmallBold"/>
                <w:rFonts w:ascii="Arial Narrow" w:hAnsi="Arial Narrow"/>
                <w:szCs w:val="20"/>
              </w:rPr>
            </w:pPr>
            <w:r w:rsidRPr="003A7F84">
              <w:rPr>
                <w:rStyle w:val="SmallBold"/>
                <w:rFonts w:ascii="Arial Narrow" w:hAnsi="Arial Narrow"/>
                <w:szCs w:val="20"/>
              </w:rPr>
              <w:t>Costs</w:t>
            </w:r>
          </w:p>
        </w:tc>
      </w:tr>
      <w:tr w:rsidR="00ED73C9" w:rsidRPr="003A7F84" w14:paraId="2CB8E62B" w14:textId="77777777" w:rsidTr="00AB32A3">
        <w:tc>
          <w:tcPr>
            <w:tcW w:w="2689" w:type="dxa"/>
            <w:noWrap/>
          </w:tcPr>
          <w:p w14:paraId="4B41A7E9" w14:textId="77777777" w:rsidR="00ED73C9" w:rsidRPr="003A7F84" w:rsidRDefault="00ED73C9" w:rsidP="00AB32A3">
            <w:pPr>
              <w:pStyle w:val="TableText"/>
              <w:rPr>
                <w:szCs w:val="20"/>
              </w:rPr>
            </w:pPr>
            <w:r w:rsidRPr="003A7F84">
              <w:rPr>
                <w:szCs w:val="20"/>
              </w:rPr>
              <w:t>Drug costs (based on 1 GCSE episode per person per year)</w:t>
            </w:r>
          </w:p>
        </w:tc>
        <w:tc>
          <w:tcPr>
            <w:tcW w:w="2126" w:type="dxa"/>
            <w:noWrap/>
            <w:vAlign w:val="center"/>
          </w:tcPr>
          <w:p w14:paraId="30D37913" w14:textId="311D59D1" w:rsidR="00ED73C9" w:rsidRPr="003A7F84" w:rsidRDefault="00ED73C9" w:rsidP="00AB32A3">
            <w:pPr>
              <w:pStyle w:val="TableText"/>
              <w:jc w:val="center"/>
              <w:rPr>
                <w:szCs w:val="20"/>
              </w:rPr>
            </w:pPr>
            <w:r w:rsidRPr="003A7F84">
              <w:rPr>
                <w:szCs w:val="20"/>
              </w:rPr>
              <w:t>$</w:t>
            </w:r>
            <w:r w:rsidR="001F03AF" w:rsidRPr="001F03AF">
              <w:rPr>
                <w:color w:val="000000"/>
                <w:szCs w:val="20"/>
                <w:shd w:val="solid" w:color="000000" w:fill="000000"/>
                <w14:textFill>
                  <w14:solidFill>
                    <w14:srgbClr w14:val="000000">
                      <w14:alpha w14:val="100000"/>
                    </w14:srgbClr>
                  </w14:solidFill>
                </w14:textFill>
              </w:rPr>
              <w:t>|</w:t>
            </w:r>
          </w:p>
        </w:tc>
        <w:tc>
          <w:tcPr>
            <w:tcW w:w="2126" w:type="dxa"/>
            <w:vAlign w:val="center"/>
          </w:tcPr>
          <w:p w14:paraId="3BD8A92A" w14:textId="77777777" w:rsidR="00ED73C9" w:rsidRPr="003A7F84" w:rsidRDefault="00ED73C9" w:rsidP="00AB32A3">
            <w:pPr>
              <w:pStyle w:val="TableText"/>
              <w:jc w:val="center"/>
              <w:rPr>
                <w:szCs w:val="20"/>
              </w:rPr>
            </w:pPr>
            <w:r w:rsidRPr="003A7F84">
              <w:rPr>
                <w:szCs w:val="20"/>
              </w:rPr>
              <w:t>$39.85</w:t>
            </w:r>
          </w:p>
        </w:tc>
        <w:tc>
          <w:tcPr>
            <w:tcW w:w="2126" w:type="dxa"/>
            <w:noWrap/>
            <w:vAlign w:val="center"/>
          </w:tcPr>
          <w:p w14:paraId="01DE933E" w14:textId="2E3CD7C9" w:rsidR="00ED73C9" w:rsidRPr="009636C9" w:rsidRDefault="00ED73C9" w:rsidP="00AB32A3">
            <w:pPr>
              <w:pStyle w:val="TableText"/>
              <w:tabs>
                <w:tab w:val="left" w:pos="1200"/>
              </w:tabs>
              <w:jc w:val="center"/>
              <w:rPr>
                <w:szCs w:val="20"/>
              </w:rPr>
            </w:pPr>
            <w:r w:rsidRPr="009636C9">
              <w:rPr>
                <w:szCs w:val="20"/>
              </w:rPr>
              <w:t>$</w:t>
            </w:r>
            <w:r w:rsidR="001F03AF" w:rsidRPr="001F03AF">
              <w:rPr>
                <w:color w:val="000000"/>
                <w:szCs w:val="20"/>
                <w:shd w:val="solid" w:color="000000" w:fill="000000"/>
                <w14:textFill>
                  <w14:solidFill>
                    <w14:srgbClr w14:val="000000">
                      <w14:alpha w14:val="100000"/>
                    </w14:srgbClr>
                  </w14:solidFill>
                </w14:textFill>
              </w:rPr>
              <w:t>|</w:t>
            </w:r>
          </w:p>
          <w:p w14:paraId="52C362FA" w14:textId="22DFBC1D" w:rsidR="00ED73C9" w:rsidRPr="003A7F84" w:rsidRDefault="00ED73C9" w:rsidP="00AB32A3">
            <w:pPr>
              <w:pStyle w:val="TableText"/>
              <w:tabs>
                <w:tab w:val="left" w:pos="1200"/>
              </w:tabs>
              <w:jc w:val="center"/>
              <w:rPr>
                <w:szCs w:val="20"/>
              </w:rPr>
            </w:pPr>
            <w:proofErr w:type="gramStart"/>
            <w:r w:rsidRPr="009636C9">
              <w:rPr>
                <w:szCs w:val="20"/>
              </w:rPr>
              <w:t>(</w:t>
            </w:r>
            <w:r w:rsidR="001F03AF" w:rsidRPr="001F03AF">
              <w:rPr>
                <w:rFonts w:hint="eastAsia"/>
                <w:color w:val="000000"/>
                <w:w w:val="15"/>
                <w:szCs w:val="20"/>
                <w:shd w:val="solid" w:color="000000" w:fill="000000"/>
                <w:fitText w:val="50" w:id="-1435807743"/>
                <w14:textFill>
                  <w14:solidFill>
                    <w14:srgbClr w14:val="000000">
                      <w14:alpha w14:val="100000"/>
                    </w14:srgbClr>
                  </w14:solidFill>
                </w14:textFill>
              </w:rPr>
              <w:t xml:space="preserve">　</w:t>
            </w:r>
            <w:r w:rsidR="001F03AF" w:rsidRPr="001F03AF">
              <w:rPr>
                <w:color w:val="000000"/>
                <w:w w:val="15"/>
                <w:szCs w:val="20"/>
                <w:shd w:val="solid" w:color="000000" w:fill="000000"/>
                <w:fitText w:val="50" w:id="-1435807743"/>
                <w14:textFill>
                  <w14:solidFill>
                    <w14:srgbClr w14:val="000000">
                      <w14:alpha w14:val="100000"/>
                    </w14:srgbClr>
                  </w14:solidFill>
                </w14:textFill>
              </w:rPr>
              <w:t>|</w:t>
            </w:r>
            <w:proofErr w:type="gramEnd"/>
            <w:r w:rsidR="001F03AF" w:rsidRPr="001F03AF">
              <w:rPr>
                <w:rFonts w:hint="eastAsia"/>
                <w:color w:val="000000"/>
                <w:spacing w:val="-15"/>
                <w:w w:val="15"/>
                <w:szCs w:val="20"/>
                <w:shd w:val="solid" w:color="000000" w:fill="000000"/>
                <w:fitText w:val="50" w:id="-1435807743"/>
                <w14:textFill>
                  <w14:solidFill>
                    <w14:srgbClr w14:val="000000">
                      <w14:alpha w14:val="100000"/>
                    </w14:srgbClr>
                  </w14:solidFill>
                </w14:textFill>
              </w:rPr>
              <w:t xml:space="preserve">　</w:t>
            </w:r>
            <w:r w:rsidRPr="009636C9">
              <w:rPr>
                <w:szCs w:val="20"/>
              </w:rPr>
              <w:t>% increase</w:t>
            </w:r>
            <w:r w:rsidRPr="003A7F84">
              <w:rPr>
                <w:szCs w:val="20"/>
              </w:rPr>
              <w:t>)</w:t>
            </w:r>
          </w:p>
        </w:tc>
      </w:tr>
      <w:tr w:rsidR="00ED73C9" w:rsidRPr="003A7F84" w14:paraId="73A9E781" w14:textId="77777777" w:rsidTr="00AB32A3">
        <w:tc>
          <w:tcPr>
            <w:tcW w:w="2689" w:type="dxa"/>
            <w:noWrap/>
          </w:tcPr>
          <w:p w14:paraId="4C62C5D4" w14:textId="77777777" w:rsidR="00ED73C9" w:rsidRPr="003A7F84" w:rsidRDefault="00ED73C9" w:rsidP="00AB32A3">
            <w:pPr>
              <w:pStyle w:val="TableText"/>
              <w:rPr>
                <w:szCs w:val="20"/>
              </w:rPr>
            </w:pPr>
            <w:r w:rsidRPr="003A7F84">
              <w:rPr>
                <w:szCs w:val="20"/>
              </w:rPr>
              <w:t>Annual costs of epilepsy management</w:t>
            </w:r>
          </w:p>
        </w:tc>
        <w:tc>
          <w:tcPr>
            <w:tcW w:w="2126" w:type="dxa"/>
            <w:noWrap/>
            <w:vAlign w:val="center"/>
          </w:tcPr>
          <w:p w14:paraId="044C376D" w14:textId="13D0767C" w:rsidR="00ED73C9" w:rsidRPr="003A7F84" w:rsidRDefault="00ED73C9" w:rsidP="00AB32A3">
            <w:pPr>
              <w:pStyle w:val="TableText"/>
              <w:jc w:val="center"/>
              <w:rPr>
                <w:szCs w:val="20"/>
              </w:rPr>
            </w:pPr>
            <w:r w:rsidRPr="003A7F84">
              <w:rPr>
                <w:rFonts w:cs="Calibri"/>
                <w:color w:val="000000"/>
                <w:szCs w:val="20"/>
              </w:rPr>
              <w:t>$</w:t>
            </w:r>
            <w:r w:rsidR="001F03AF" w:rsidRPr="001F03AF">
              <w:rPr>
                <w:rFonts w:cs="Calibri"/>
                <w:color w:val="000000"/>
                <w:szCs w:val="20"/>
                <w:shd w:val="solid" w:color="000000" w:fill="000000"/>
                <w14:textFill>
                  <w14:solidFill>
                    <w14:srgbClr w14:val="000000">
                      <w14:alpha w14:val="100000"/>
                    </w14:srgbClr>
                  </w14:solidFill>
                </w14:textFill>
              </w:rPr>
              <w:t>|</w:t>
            </w:r>
          </w:p>
        </w:tc>
        <w:tc>
          <w:tcPr>
            <w:tcW w:w="2126" w:type="dxa"/>
            <w:vAlign w:val="center"/>
          </w:tcPr>
          <w:p w14:paraId="7AF7092A" w14:textId="77777777" w:rsidR="00ED73C9" w:rsidRPr="003A7F84" w:rsidRDefault="00ED73C9" w:rsidP="00AB32A3">
            <w:pPr>
              <w:pStyle w:val="TableText"/>
              <w:jc w:val="center"/>
              <w:rPr>
                <w:szCs w:val="20"/>
              </w:rPr>
            </w:pPr>
            <w:r w:rsidRPr="003A7F84">
              <w:rPr>
                <w:rFonts w:cs="Calibri"/>
                <w:color w:val="000000"/>
                <w:szCs w:val="20"/>
              </w:rPr>
              <w:t>$2,802.07</w:t>
            </w:r>
          </w:p>
        </w:tc>
        <w:tc>
          <w:tcPr>
            <w:tcW w:w="2126" w:type="dxa"/>
            <w:noWrap/>
            <w:vAlign w:val="center"/>
          </w:tcPr>
          <w:p w14:paraId="722795C7" w14:textId="77777777" w:rsidR="00ED73C9" w:rsidRPr="003A7F84" w:rsidRDefault="00ED73C9" w:rsidP="00AB32A3">
            <w:pPr>
              <w:pStyle w:val="TableText"/>
              <w:jc w:val="center"/>
              <w:rPr>
                <w:szCs w:val="20"/>
              </w:rPr>
            </w:pPr>
            <w:r w:rsidRPr="003A7F84">
              <w:rPr>
                <w:szCs w:val="20"/>
              </w:rPr>
              <w:t>$0</w:t>
            </w:r>
          </w:p>
        </w:tc>
      </w:tr>
      <w:tr w:rsidR="00ED73C9" w:rsidRPr="003A7F84" w14:paraId="244D0136" w14:textId="77777777" w:rsidTr="00AB32A3">
        <w:trPr>
          <w:trHeight w:val="28"/>
        </w:trPr>
        <w:tc>
          <w:tcPr>
            <w:tcW w:w="2689" w:type="dxa"/>
            <w:noWrap/>
            <w:vAlign w:val="center"/>
          </w:tcPr>
          <w:p w14:paraId="58233593" w14:textId="77777777" w:rsidR="00ED73C9" w:rsidRPr="003A7F84" w:rsidRDefault="00ED73C9" w:rsidP="00AB32A3">
            <w:pPr>
              <w:pStyle w:val="TableText"/>
              <w:rPr>
                <w:b/>
                <w:bCs w:val="0"/>
                <w:szCs w:val="20"/>
              </w:rPr>
            </w:pPr>
            <w:r w:rsidRPr="003A7F84">
              <w:rPr>
                <w:b/>
                <w:bCs w:val="0"/>
                <w:szCs w:val="20"/>
              </w:rPr>
              <w:t>Total costs</w:t>
            </w:r>
          </w:p>
        </w:tc>
        <w:tc>
          <w:tcPr>
            <w:tcW w:w="2126" w:type="dxa"/>
            <w:noWrap/>
            <w:vAlign w:val="center"/>
          </w:tcPr>
          <w:p w14:paraId="59CB3007" w14:textId="77E85D6F" w:rsidR="00ED73C9" w:rsidRPr="003A7F84" w:rsidRDefault="00ED73C9" w:rsidP="00AB32A3">
            <w:pPr>
              <w:pStyle w:val="TableText"/>
              <w:jc w:val="center"/>
              <w:rPr>
                <w:b/>
                <w:bCs w:val="0"/>
                <w:szCs w:val="20"/>
              </w:rPr>
            </w:pPr>
            <w:r w:rsidRPr="003A7F84">
              <w:rPr>
                <w:b/>
                <w:bCs w:val="0"/>
                <w:szCs w:val="20"/>
              </w:rPr>
              <w:t>$</w:t>
            </w:r>
            <w:r w:rsidR="001F03AF" w:rsidRPr="001F03AF">
              <w:rPr>
                <w:b/>
                <w:bCs w:val="0"/>
                <w:color w:val="000000"/>
                <w:szCs w:val="20"/>
                <w:shd w:val="solid" w:color="000000" w:fill="000000"/>
                <w14:textFill>
                  <w14:solidFill>
                    <w14:srgbClr w14:val="000000">
                      <w14:alpha w14:val="100000"/>
                    </w14:srgbClr>
                  </w14:solidFill>
                </w14:textFill>
              </w:rPr>
              <w:t>|</w:t>
            </w:r>
          </w:p>
        </w:tc>
        <w:tc>
          <w:tcPr>
            <w:tcW w:w="2126" w:type="dxa"/>
            <w:vAlign w:val="center"/>
          </w:tcPr>
          <w:p w14:paraId="62FE5E66" w14:textId="77777777" w:rsidR="00ED73C9" w:rsidRPr="003A7F84" w:rsidRDefault="00ED73C9" w:rsidP="00AB32A3">
            <w:pPr>
              <w:pStyle w:val="TableText"/>
              <w:jc w:val="center"/>
              <w:rPr>
                <w:b/>
                <w:bCs w:val="0"/>
                <w:szCs w:val="20"/>
              </w:rPr>
            </w:pPr>
            <w:r w:rsidRPr="003A7F84">
              <w:rPr>
                <w:b/>
                <w:bCs w:val="0"/>
                <w:szCs w:val="20"/>
              </w:rPr>
              <w:t>$2,841.92</w:t>
            </w:r>
          </w:p>
        </w:tc>
        <w:tc>
          <w:tcPr>
            <w:tcW w:w="2126" w:type="dxa"/>
            <w:noWrap/>
            <w:vAlign w:val="center"/>
          </w:tcPr>
          <w:p w14:paraId="5378516F" w14:textId="6F6D961B" w:rsidR="00ED73C9" w:rsidRPr="009636C9" w:rsidRDefault="00ED73C9" w:rsidP="00AB32A3">
            <w:pPr>
              <w:pStyle w:val="TableText"/>
              <w:jc w:val="center"/>
              <w:rPr>
                <w:b/>
                <w:bCs w:val="0"/>
                <w:szCs w:val="20"/>
              </w:rPr>
            </w:pPr>
            <w:r w:rsidRPr="009636C9">
              <w:rPr>
                <w:b/>
                <w:bCs w:val="0"/>
                <w:szCs w:val="20"/>
              </w:rPr>
              <w:t>$</w:t>
            </w:r>
            <w:r w:rsidR="001F03AF" w:rsidRPr="001F03AF">
              <w:rPr>
                <w:b/>
                <w:bCs w:val="0"/>
                <w:color w:val="000000"/>
                <w:szCs w:val="20"/>
                <w:shd w:val="solid" w:color="000000" w:fill="000000"/>
                <w14:textFill>
                  <w14:solidFill>
                    <w14:srgbClr w14:val="000000">
                      <w14:alpha w14:val="100000"/>
                    </w14:srgbClr>
                  </w14:solidFill>
                </w14:textFill>
              </w:rPr>
              <w:t>|</w:t>
            </w:r>
          </w:p>
          <w:p w14:paraId="49D8FC1F" w14:textId="4FE98B7D" w:rsidR="00ED73C9" w:rsidRPr="003A7F84" w:rsidRDefault="00ED73C9" w:rsidP="00AB32A3">
            <w:pPr>
              <w:pStyle w:val="TableText"/>
              <w:jc w:val="center"/>
              <w:rPr>
                <w:b/>
                <w:bCs w:val="0"/>
                <w:szCs w:val="20"/>
                <w:vertAlign w:val="superscript"/>
              </w:rPr>
            </w:pPr>
            <w:r w:rsidRPr="009636C9">
              <w:rPr>
                <w:b/>
                <w:bCs w:val="0"/>
                <w:szCs w:val="20"/>
              </w:rPr>
              <w:t>(</w:t>
            </w:r>
            <w:r w:rsidR="001F03AF" w:rsidRPr="001F03AF">
              <w:rPr>
                <w:b/>
                <w:bCs w:val="0"/>
                <w:iCs/>
                <w:color w:val="000000"/>
                <w:spacing w:val="71"/>
                <w:szCs w:val="20"/>
                <w:shd w:val="solid" w:color="000000" w:fill="000000"/>
                <w:fitText w:val="163" w:id="-1435807742"/>
                <w14:textFill>
                  <w14:solidFill>
                    <w14:srgbClr w14:val="000000">
                      <w14:alpha w14:val="100000"/>
                    </w14:srgbClr>
                  </w14:solidFill>
                </w14:textFill>
              </w:rPr>
              <w:t>|</w:t>
            </w:r>
            <w:r w:rsidR="001F03AF" w:rsidRPr="001F03AF">
              <w:rPr>
                <w:b/>
                <w:bCs w:val="0"/>
                <w:iCs/>
                <w:color w:val="000000"/>
                <w:spacing w:val="1"/>
                <w:szCs w:val="20"/>
                <w:shd w:val="solid" w:color="000000" w:fill="000000"/>
                <w:fitText w:val="163" w:id="-1435807742"/>
                <w14:textFill>
                  <w14:solidFill>
                    <w14:srgbClr w14:val="000000">
                      <w14:alpha w14:val="100000"/>
                    </w14:srgbClr>
                  </w14:solidFill>
                </w14:textFill>
              </w:rPr>
              <w:t>|</w:t>
            </w:r>
            <w:r w:rsidRPr="009636C9">
              <w:rPr>
                <w:b/>
                <w:bCs w:val="0"/>
                <w:iCs/>
                <w:szCs w:val="20"/>
              </w:rPr>
              <w:t>%</w:t>
            </w:r>
            <w:r w:rsidRPr="009636C9">
              <w:rPr>
                <w:b/>
                <w:bCs w:val="0"/>
                <w:szCs w:val="20"/>
              </w:rPr>
              <w:t xml:space="preserve"> </w:t>
            </w:r>
            <w:proofErr w:type="gramStart"/>
            <w:r w:rsidRPr="009636C9">
              <w:rPr>
                <w:b/>
                <w:bCs w:val="0"/>
                <w:szCs w:val="20"/>
              </w:rPr>
              <w:t>increase</w:t>
            </w:r>
            <w:r w:rsidRPr="003A7F84">
              <w:rPr>
                <w:b/>
                <w:bCs w:val="0"/>
                <w:szCs w:val="20"/>
              </w:rPr>
              <w:t>)</w:t>
            </w:r>
            <w:r w:rsidRPr="003A7F84">
              <w:rPr>
                <w:b/>
                <w:bCs w:val="0"/>
                <w:szCs w:val="20"/>
                <w:vertAlign w:val="superscript"/>
              </w:rPr>
              <w:t>a</w:t>
            </w:r>
            <w:proofErr w:type="gramEnd"/>
          </w:p>
        </w:tc>
      </w:tr>
      <w:tr w:rsidR="00ED73C9" w:rsidRPr="003A7F84" w14:paraId="3802C838" w14:textId="77777777" w:rsidTr="00AB32A3">
        <w:trPr>
          <w:trHeight w:val="800"/>
        </w:trPr>
        <w:tc>
          <w:tcPr>
            <w:tcW w:w="2689" w:type="dxa"/>
            <w:noWrap/>
            <w:vAlign w:val="center"/>
          </w:tcPr>
          <w:p w14:paraId="39344730" w14:textId="77777777" w:rsidR="00ED73C9" w:rsidRPr="003A7F84" w:rsidRDefault="00ED73C9" w:rsidP="00AB32A3">
            <w:pPr>
              <w:pStyle w:val="TableText"/>
              <w:rPr>
                <w:b/>
                <w:bCs w:val="0"/>
                <w:szCs w:val="20"/>
              </w:rPr>
            </w:pPr>
            <w:r w:rsidRPr="003A7F84">
              <w:rPr>
                <w:b/>
                <w:bCs w:val="0"/>
                <w:szCs w:val="20"/>
              </w:rPr>
              <w:t>Benefits</w:t>
            </w:r>
          </w:p>
        </w:tc>
        <w:tc>
          <w:tcPr>
            <w:tcW w:w="4252" w:type="dxa"/>
            <w:gridSpan w:val="2"/>
            <w:noWrap/>
          </w:tcPr>
          <w:p w14:paraId="259BDCB9" w14:textId="77777777" w:rsidR="00ED73C9" w:rsidRPr="003A7F84" w:rsidRDefault="00ED73C9" w:rsidP="00AB32A3">
            <w:pPr>
              <w:pStyle w:val="TableText"/>
              <w:jc w:val="center"/>
              <w:rPr>
                <w:szCs w:val="20"/>
              </w:rPr>
            </w:pPr>
            <w:r w:rsidRPr="003A7F84">
              <w:rPr>
                <w:szCs w:val="20"/>
              </w:rPr>
              <w:t>Midazolam oromucosal solution is associated with improved accuracy and timely administration of midazolam during an acute health emergency compared to midazolam hydrochloride</w:t>
            </w:r>
          </w:p>
        </w:tc>
        <w:tc>
          <w:tcPr>
            <w:tcW w:w="2126" w:type="dxa"/>
            <w:noWrap/>
            <w:vAlign w:val="center"/>
          </w:tcPr>
          <w:p w14:paraId="676F6857" w14:textId="77777777" w:rsidR="00ED73C9" w:rsidRPr="003A7F84" w:rsidRDefault="00ED73C9" w:rsidP="00AB32A3">
            <w:pPr>
              <w:pStyle w:val="TableText"/>
              <w:jc w:val="center"/>
              <w:rPr>
                <w:iCs/>
                <w:szCs w:val="20"/>
              </w:rPr>
            </w:pPr>
            <w:r w:rsidRPr="003A7F84">
              <w:rPr>
                <w:iCs/>
                <w:szCs w:val="20"/>
              </w:rPr>
              <w:t>Not quantified.</w:t>
            </w:r>
          </w:p>
        </w:tc>
      </w:tr>
    </w:tbl>
    <w:p w14:paraId="5DC7D46C" w14:textId="77777777" w:rsidR="00ED73C9" w:rsidRPr="003A7F84" w:rsidRDefault="00ED73C9" w:rsidP="00ED73C9">
      <w:pPr>
        <w:pStyle w:val="TableFigureFooter"/>
      </w:pPr>
      <w:r w:rsidRPr="003A7F84">
        <w:t>Source: Table 3-6, p177 of the submission.</w:t>
      </w:r>
    </w:p>
    <w:p w14:paraId="562D2965" w14:textId="77777777" w:rsidR="00ED73C9" w:rsidRPr="003A7F84" w:rsidRDefault="00ED73C9" w:rsidP="00ED73C9">
      <w:pPr>
        <w:pStyle w:val="TableFigureFooter"/>
      </w:pPr>
      <w:r w:rsidRPr="003A7F84">
        <w:t>Abbreviations: GCSE, generalised convulsive status epilepticus.</w:t>
      </w:r>
    </w:p>
    <w:p w14:paraId="4351A4F0" w14:textId="0C56BC67" w:rsidR="00ED73C9" w:rsidRPr="003A7F84" w:rsidRDefault="00ED73C9" w:rsidP="00AB4E2D">
      <w:pPr>
        <w:pStyle w:val="TableFigureFooter"/>
      </w:pPr>
      <w:r w:rsidRPr="003A7F84">
        <w:rPr>
          <w:vertAlign w:val="superscript"/>
        </w:rPr>
        <w:lastRenderedPageBreak/>
        <w:t>a</w:t>
      </w:r>
      <w:r w:rsidRPr="003A7F84">
        <w:t xml:space="preserve"> Corrected during the evaluation. The submission inappropriately estimated the difference between treatments as a proportion of the costs associated with midazolam oromucosal solution, instead of the comparator.</w:t>
      </w:r>
    </w:p>
    <w:p w14:paraId="2B5F3719" w14:textId="2A09C57A" w:rsidR="002524D5" w:rsidRPr="003A7F84" w:rsidRDefault="003C4AA2" w:rsidP="00763FE0">
      <w:pPr>
        <w:pStyle w:val="ExecSumBodyText"/>
      </w:pPr>
      <w:r w:rsidRPr="003A7F84">
        <w:t>Based on the submission’s cost consequences analysis, midazolam oromucosal solution is associated with additional drug costs of $</w:t>
      </w:r>
      <w:proofErr w:type="gramStart"/>
      <w:r w:rsidR="001F03AF" w:rsidRPr="005A6BE3">
        <w:rPr>
          <w:color w:val="000000"/>
          <w:w w:val="15"/>
          <w:shd w:val="solid" w:color="000000" w:fill="000000"/>
          <w:fitText w:val="-20" w:id="-1435807741"/>
          <w14:textFill>
            <w14:solidFill>
              <w14:srgbClr w14:val="000000">
                <w14:alpha w14:val="100000"/>
              </w14:srgbClr>
            </w14:solidFill>
          </w14:textFill>
        </w:rPr>
        <w:t xml:space="preserve">|  </w:t>
      </w:r>
      <w:r w:rsidR="001F03AF" w:rsidRPr="005A6BE3">
        <w:rPr>
          <w:color w:val="000000"/>
          <w:spacing w:val="-69"/>
          <w:w w:val="15"/>
          <w:shd w:val="solid" w:color="000000" w:fill="000000"/>
          <w:fitText w:val="-20" w:id="-1435807741"/>
          <w14:textFill>
            <w14:solidFill>
              <w14:srgbClr w14:val="000000">
                <w14:alpha w14:val="100000"/>
              </w14:srgbClr>
            </w14:solidFill>
          </w14:textFill>
        </w:rPr>
        <w:t>|</w:t>
      </w:r>
      <w:proofErr w:type="gramEnd"/>
      <w:r w:rsidRPr="003A7F84">
        <w:t xml:space="preserve"> compared with midazolam hydrochloride, with no difference in epilepsy management costs, and improved accuracy and timely administration of midazolam during an acute health emergency. </w:t>
      </w:r>
      <w:r w:rsidR="00323EA0" w:rsidRPr="003A7F84">
        <w:t xml:space="preserve">  </w:t>
      </w:r>
      <w:r w:rsidR="00323EA0" w:rsidRPr="003A7F84">
        <w:rPr>
          <w:iCs/>
        </w:rPr>
        <w:t>No justification was provided for the assumption of one GC</w:t>
      </w:r>
      <w:r w:rsidR="00971CAE" w:rsidRPr="003A7F84">
        <w:rPr>
          <w:iCs/>
        </w:rPr>
        <w:t>S</w:t>
      </w:r>
      <w:r w:rsidR="00323EA0" w:rsidRPr="003A7F84">
        <w:rPr>
          <w:iCs/>
        </w:rPr>
        <w:t xml:space="preserve">E episode requiring one midazolam treatment per patient per year. </w:t>
      </w:r>
      <w:r w:rsidRPr="003A7F84">
        <w:rPr>
          <w:iCs/>
        </w:rPr>
        <w:t xml:space="preserve">The drug costs of midazolam hydrochloride </w:t>
      </w:r>
      <w:r w:rsidR="004A42DB" w:rsidRPr="003A7F84">
        <w:rPr>
          <w:iCs/>
        </w:rPr>
        <w:t>were</w:t>
      </w:r>
      <w:r w:rsidRPr="003A7F84">
        <w:rPr>
          <w:iCs/>
        </w:rPr>
        <w:t xml:space="preserve"> based on the </w:t>
      </w:r>
      <w:r w:rsidRPr="003A7F84">
        <w:rPr>
          <w:rFonts w:cstheme="minorHAnsi"/>
          <w:iCs/>
        </w:rPr>
        <w:t xml:space="preserve">listed price of midazolam hydrochloride on the PBS Prescriber Bag listing, as a proxy for the cost to patients. </w:t>
      </w:r>
      <w:r w:rsidR="006E77CC" w:rsidRPr="003A7F84">
        <w:rPr>
          <w:iCs/>
        </w:rPr>
        <w:t xml:space="preserve">The ESC noted that </w:t>
      </w:r>
      <w:r w:rsidR="006B405F" w:rsidRPr="003A7F84">
        <w:rPr>
          <w:iCs/>
        </w:rPr>
        <w:t xml:space="preserve">based on the PBS price for the Prescriber Bag listing, </w:t>
      </w:r>
      <w:r w:rsidR="006E77CC" w:rsidRPr="003A7F84">
        <w:rPr>
          <w:iCs/>
        </w:rPr>
        <w:t>midazolam hydrochloride injection ampoules, while not specifically indicated for the proposed population, are available for a substantially lower price than was requested for midazolam oromucosal solution.</w:t>
      </w:r>
    </w:p>
    <w:p w14:paraId="7FDF823E" w14:textId="38E57848" w:rsidR="0087027E" w:rsidRPr="003A7F84" w:rsidRDefault="0087027E" w:rsidP="00677408">
      <w:pPr>
        <w:pStyle w:val="ExecSumBodyText"/>
      </w:pPr>
      <w:r w:rsidRPr="003A7F84">
        <w:rPr>
          <w:iCs/>
        </w:rPr>
        <w:t xml:space="preserve">During the evaluation, it was noted that </w:t>
      </w:r>
      <w:r w:rsidR="008771C1" w:rsidRPr="003A7F84">
        <w:rPr>
          <w:iCs/>
        </w:rPr>
        <w:t xml:space="preserve">a guideline covering diagnosis and management of epilepsy was recently published by the </w:t>
      </w:r>
      <w:r w:rsidR="00AC74E8" w:rsidRPr="003A7F84">
        <w:rPr>
          <w:iCs/>
        </w:rPr>
        <w:t xml:space="preserve">UK </w:t>
      </w:r>
      <w:r w:rsidR="008771C1" w:rsidRPr="003A7F84">
        <w:rPr>
          <w:iCs/>
        </w:rPr>
        <w:t xml:space="preserve">National Institute for Health and Care Excellence (NICE), including guidance </w:t>
      </w:r>
      <w:r w:rsidR="00DD268E" w:rsidRPr="003A7F84">
        <w:rPr>
          <w:iCs/>
        </w:rPr>
        <w:t>for</w:t>
      </w:r>
      <w:r w:rsidR="008771C1" w:rsidRPr="003A7F84">
        <w:rPr>
          <w:iCs/>
        </w:rPr>
        <w:t xml:space="preserve"> treating status epilepticus</w:t>
      </w:r>
      <w:r w:rsidR="00AC74E8" w:rsidRPr="003A7F84">
        <w:rPr>
          <w:iCs/>
        </w:rPr>
        <w:t xml:space="preserve"> (NG217</w:t>
      </w:r>
      <w:r w:rsidR="00DD268E" w:rsidRPr="003A7F84">
        <w:rPr>
          <w:iCs/>
        </w:rPr>
        <w:t>, published 27 April 2022</w:t>
      </w:r>
      <w:r w:rsidR="00AC74E8" w:rsidRPr="003A7F84">
        <w:rPr>
          <w:iCs/>
        </w:rPr>
        <w:t>)</w:t>
      </w:r>
      <w:r w:rsidR="008771C1" w:rsidRPr="003A7F84">
        <w:rPr>
          <w:rStyle w:val="FootnoteReference"/>
          <w:iCs/>
        </w:rPr>
        <w:footnoteReference w:id="4"/>
      </w:r>
      <w:r w:rsidR="008771C1" w:rsidRPr="003A7F84">
        <w:rPr>
          <w:iCs/>
        </w:rPr>
        <w:t>.  It was noted that t</w:t>
      </w:r>
      <w:r w:rsidRPr="003A7F84">
        <w:rPr>
          <w:iCs/>
        </w:rPr>
        <w:t xml:space="preserve">he proposed price </w:t>
      </w:r>
      <w:r w:rsidR="00AC74E8" w:rsidRPr="003A7F84">
        <w:rPr>
          <w:iCs/>
        </w:rPr>
        <w:t xml:space="preserve">per dose of </w:t>
      </w:r>
      <w:r w:rsidRPr="003A7F84">
        <w:rPr>
          <w:iCs/>
        </w:rPr>
        <w:t xml:space="preserve">midazolam oromucosal solution </w:t>
      </w:r>
      <w:r w:rsidR="00AC74E8" w:rsidRPr="003A7F84">
        <w:rPr>
          <w:iCs/>
        </w:rPr>
        <w:t>for</w:t>
      </w:r>
      <w:r w:rsidR="008771C1" w:rsidRPr="003A7F84">
        <w:rPr>
          <w:iCs/>
        </w:rPr>
        <w:t xml:space="preserve"> Australia </w:t>
      </w:r>
      <w:r w:rsidR="00AC74E8" w:rsidRPr="003A7F84">
        <w:rPr>
          <w:iCs/>
        </w:rPr>
        <w:t>was</w:t>
      </w:r>
      <w:r w:rsidRPr="003A7F84">
        <w:rPr>
          <w:iCs/>
        </w:rPr>
        <w:t xml:space="preserve"> higher than the price</w:t>
      </w:r>
      <w:r w:rsidR="00AC74E8" w:rsidRPr="003A7F84">
        <w:rPr>
          <w:iCs/>
        </w:rPr>
        <w:t>s</w:t>
      </w:r>
      <w:r w:rsidRPr="003A7F84">
        <w:rPr>
          <w:iCs/>
        </w:rPr>
        <w:t xml:space="preserve"> described</w:t>
      </w:r>
      <w:r w:rsidR="008771C1" w:rsidRPr="003A7F84">
        <w:rPr>
          <w:iCs/>
        </w:rPr>
        <w:t xml:space="preserve"> in the </w:t>
      </w:r>
      <w:r w:rsidR="00AC74E8" w:rsidRPr="003A7F84">
        <w:rPr>
          <w:iCs/>
        </w:rPr>
        <w:t xml:space="preserve">corresponding </w:t>
      </w:r>
      <w:r w:rsidR="008771C1" w:rsidRPr="003A7F84">
        <w:rPr>
          <w:iCs/>
        </w:rPr>
        <w:t>evidence revie</w:t>
      </w:r>
      <w:r w:rsidR="00AC74E8" w:rsidRPr="003A7F84">
        <w:rPr>
          <w:iCs/>
        </w:rPr>
        <w:t>w u</w:t>
      </w:r>
      <w:r w:rsidR="008771C1" w:rsidRPr="003A7F84">
        <w:rPr>
          <w:iCs/>
        </w:rPr>
        <w:t>nderpinning NICE guideline NG217</w:t>
      </w:r>
      <w:r w:rsidR="008771C1" w:rsidRPr="003A7F84">
        <w:rPr>
          <w:rStyle w:val="FootnoteReference"/>
          <w:iCs/>
        </w:rPr>
        <w:footnoteReference w:id="5"/>
      </w:r>
      <w:r w:rsidR="00AC74E8" w:rsidRPr="003A7F84">
        <w:rPr>
          <w:iCs/>
        </w:rPr>
        <w:t xml:space="preserve"> (price per dose of £45.76 for Epistatus (the previous brand name of Zyamis) and £22.88 for Buccolam (brand not registered in Australia)</w:t>
      </w:r>
      <w:r w:rsidR="008771C1" w:rsidRPr="003A7F84">
        <w:rPr>
          <w:iCs/>
        </w:rPr>
        <w:t>.</w:t>
      </w:r>
      <w:r w:rsidR="00877ADC" w:rsidRPr="003A7F84">
        <w:rPr>
          <w:iCs/>
        </w:rPr>
        <w:t xml:space="preserve">  </w:t>
      </w:r>
      <w:r w:rsidR="00877ADC" w:rsidRPr="003A7F84">
        <w:t xml:space="preserve">The ESC noted that the proposed price per dose in Australia appears significantly higher than international prices. </w:t>
      </w:r>
      <w:r w:rsidR="00AD0C01" w:rsidRPr="003A7F84">
        <w:t xml:space="preserve">  The pre-PBAC response </w:t>
      </w:r>
      <w:r w:rsidR="000766CF" w:rsidRPr="003A7F84">
        <w:t>noted differences between the UK setting and Australian setting including the smaller market size in Australia, and r</w:t>
      </w:r>
      <w:r w:rsidR="00AD0C01" w:rsidRPr="003A7F84">
        <w:t>eiterated the sponsor’s intention to list four different dosages of midazolam oromuc</w:t>
      </w:r>
      <w:r w:rsidR="000766CF" w:rsidRPr="003A7F84">
        <w:t>o</w:t>
      </w:r>
      <w:r w:rsidR="00AD0C01" w:rsidRPr="003A7F84">
        <w:t xml:space="preserve">sal solution to cater for all age groups, while in comparison there is only </w:t>
      </w:r>
      <w:r w:rsidR="00EE47B6" w:rsidRPr="003A7F84">
        <w:t>one</w:t>
      </w:r>
      <w:r w:rsidR="00AD0C01" w:rsidRPr="003A7F84">
        <w:t xml:space="preserve"> strength of Epistatus marketed in the UK.</w:t>
      </w:r>
      <w:r w:rsidR="000766CF" w:rsidRPr="003A7F84">
        <w:t xml:space="preserve">  The response </w:t>
      </w:r>
      <w:r w:rsidR="00AC0D96" w:rsidRPr="003A7F84">
        <w:t>also described additional costs associated with supplying the product in Australia such as costs for secure transport of goods to Australia, import permits, and costs associated with damage or wastage in the distribution channel.</w:t>
      </w:r>
    </w:p>
    <w:p w14:paraId="3234B55F" w14:textId="0CAA6E42" w:rsidR="00E51AD2" w:rsidRPr="003A7F84" w:rsidRDefault="0031077E" w:rsidP="00960506">
      <w:pPr>
        <w:pStyle w:val="ExecSumBodyText"/>
      </w:pPr>
      <w:r w:rsidRPr="003A7F84">
        <w:t xml:space="preserve">The ESC noted that a cost-consequences analysis was provided in the base case which was not consistent with PBAC guidelines.  </w:t>
      </w:r>
      <w:r w:rsidR="00AE0A18" w:rsidRPr="003A7F84">
        <w:t xml:space="preserve">The ESC noted that a cost-minimisation analysis is usually required where there is a claim of non-inferior efficacy and safety however the submission claimed that the proposed PBS listing would provide quality use of medicines benefits. </w:t>
      </w:r>
    </w:p>
    <w:p w14:paraId="7052A513" w14:textId="2139E214" w:rsidR="00A03635" w:rsidRPr="00953E31" w:rsidRDefault="00AE0A18" w:rsidP="00921083">
      <w:pPr>
        <w:pStyle w:val="ExecSumBodyText"/>
      </w:pPr>
      <w:bookmarkStart w:id="44" w:name="_Ref106230473"/>
      <w:r w:rsidRPr="003A7F84">
        <w:t>The ESC considered that the cost-consequences analysis presented by the submission was incomplete</w:t>
      </w:r>
      <w:r w:rsidR="00877ADC" w:rsidRPr="003A7F84">
        <w:t xml:space="preserve"> and largely uninformative</w:t>
      </w:r>
      <w:r w:rsidRPr="003A7F84">
        <w:t xml:space="preserve">, because it did not model any difference in outcomes between the proposed medicine and comparator.  </w:t>
      </w:r>
      <w:r w:rsidR="00F304F5" w:rsidRPr="003A7F84">
        <w:t xml:space="preserve">The ESC considered it </w:t>
      </w:r>
      <w:r w:rsidR="00F304F5" w:rsidRPr="00953E31">
        <w:lastRenderedPageBreak/>
        <w:t>plausible that the prefilled syringe would be beneficial as compared with off-label use of midazolam ampoules and noted that a number of benefits were described in the PSCR, such as</w:t>
      </w:r>
      <w:r w:rsidR="00E51AD2" w:rsidRPr="00953E31">
        <w:t>:</w:t>
      </w:r>
      <w:bookmarkEnd w:id="44"/>
    </w:p>
    <w:p w14:paraId="78AC9EE5" w14:textId="6FEBDF9C" w:rsidR="00F304F5" w:rsidRPr="00953E31" w:rsidRDefault="00F304F5" w:rsidP="00E51AD2">
      <w:pPr>
        <w:pStyle w:val="ListParagraph"/>
        <w:numPr>
          <w:ilvl w:val="0"/>
          <w:numId w:val="20"/>
        </w:numPr>
        <w:rPr>
          <w:iCs/>
        </w:rPr>
      </w:pPr>
      <w:r w:rsidRPr="00953E31">
        <w:t>Enabling midazolam to be administered by carers who previously were not allowed to draw up/measure medications as part of their organisational medication</w:t>
      </w:r>
      <w:r w:rsidRPr="00953E31">
        <w:rPr>
          <w:iCs/>
        </w:rPr>
        <w:t xml:space="preserve"> </w:t>
      </w:r>
      <w:proofErr w:type="gramStart"/>
      <w:r w:rsidRPr="00953E31">
        <w:rPr>
          <w:iCs/>
        </w:rPr>
        <w:t>policy;</w:t>
      </w:r>
      <w:proofErr w:type="gramEnd"/>
      <w:r w:rsidRPr="00953E31">
        <w:rPr>
          <w:iCs/>
        </w:rPr>
        <w:t xml:space="preserve"> </w:t>
      </w:r>
    </w:p>
    <w:p w14:paraId="1158B3CD" w14:textId="0E76899B" w:rsidR="00F304F5" w:rsidRPr="00953E31" w:rsidRDefault="00F304F5" w:rsidP="00E51AD2">
      <w:pPr>
        <w:pStyle w:val="ListParagraph"/>
        <w:numPr>
          <w:ilvl w:val="0"/>
          <w:numId w:val="20"/>
        </w:numPr>
        <w:rPr>
          <w:iCs/>
        </w:rPr>
      </w:pPr>
      <w:r w:rsidRPr="00953E31">
        <w:rPr>
          <w:iCs/>
        </w:rPr>
        <w:t>Making it easier to access the buccal cavity and give the full dose (and less risk of the dose being dribbled out</w:t>
      </w:r>
      <w:proofErr w:type="gramStart"/>
      <w:r w:rsidRPr="00953E31">
        <w:rPr>
          <w:iCs/>
        </w:rPr>
        <w:t>);</w:t>
      </w:r>
      <w:proofErr w:type="gramEnd"/>
    </w:p>
    <w:p w14:paraId="10C1F54F" w14:textId="218BD10A" w:rsidR="00F304F5" w:rsidRPr="00953E31" w:rsidRDefault="00E51AD2" w:rsidP="00E51AD2">
      <w:pPr>
        <w:pStyle w:val="ListParagraph"/>
        <w:numPr>
          <w:ilvl w:val="0"/>
          <w:numId w:val="20"/>
        </w:numPr>
        <w:rPr>
          <w:iCs/>
        </w:rPr>
      </w:pPr>
      <w:r w:rsidRPr="00953E31">
        <w:rPr>
          <w:iCs/>
        </w:rPr>
        <w:t>Reduced</w:t>
      </w:r>
      <w:r w:rsidR="00F304F5" w:rsidRPr="00953E31">
        <w:rPr>
          <w:iCs/>
        </w:rPr>
        <w:t xml:space="preserve"> time and stress associated with drawing up midazolam. </w:t>
      </w:r>
    </w:p>
    <w:p w14:paraId="12F675A6" w14:textId="27E944A0" w:rsidR="00F304F5" w:rsidRPr="00953E31" w:rsidRDefault="00F304F5" w:rsidP="00E51AD2">
      <w:pPr>
        <w:pStyle w:val="ListParagraph"/>
        <w:numPr>
          <w:ilvl w:val="0"/>
          <w:numId w:val="20"/>
        </w:numPr>
        <w:rPr>
          <w:iCs/>
        </w:rPr>
      </w:pPr>
      <w:r w:rsidRPr="00953E31">
        <w:rPr>
          <w:iCs/>
        </w:rPr>
        <w:t>Reduc</w:t>
      </w:r>
      <w:r w:rsidR="00E51AD2" w:rsidRPr="00953E31">
        <w:rPr>
          <w:iCs/>
        </w:rPr>
        <w:t>ed</w:t>
      </w:r>
      <w:r w:rsidRPr="00953E31">
        <w:rPr>
          <w:iCs/>
        </w:rPr>
        <w:t xml:space="preserve"> potential complications associated with drawing up medication into a syringe such as air bubbles, inaccurate dose and </w:t>
      </w:r>
      <w:proofErr w:type="gramStart"/>
      <w:r w:rsidRPr="00953E31">
        <w:rPr>
          <w:iCs/>
        </w:rPr>
        <w:t>spillage;</w:t>
      </w:r>
      <w:proofErr w:type="gramEnd"/>
    </w:p>
    <w:p w14:paraId="29777E5E" w14:textId="7F62E7FD" w:rsidR="00E51AD2" w:rsidRPr="00953E31" w:rsidRDefault="00E51AD2" w:rsidP="00E51AD2">
      <w:pPr>
        <w:pStyle w:val="ListParagraph"/>
        <w:numPr>
          <w:ilvl w:val="0"/>
          <w:numId w:val="20"/>
        </w:numPr>
        <w:rPr>
          <w:iCs/>
        </w:rPr>
      </w:pPr>
      <w:r w:rsidRPr="00953E31">
        <w:rPr>
          <w:iCs/>
        </w:rPr>
        <w:t>Removed the need to measure small volumes to meet dosing requirements</w:t>
      </w:r>
    </w:p>
    <w:p w14:paraId="57CF99A5" w14:textId="02ED75C8" w:rsidR="00F304F5" w:rsidRPr="00953E31" w:rsidRDefault="00E51AD2" w:rsidP="00E51AD2">
      <w:pPr>
        <w:pStyle w:val="ListParagraph"/>
        <w:numPr>
          <w:ilvl w:val="0"/>
          <w:numId w:val="20"/>
        </w:numPr>
        <w:rPr>
          <w:iCs/>
        </w:rPr>
      </w:pPr>
      <w:r w:rsidRPr="00953E31">
        <w:rPr>
          <w:iCs/>
        </w:rPr>
        <w:t>Reduced s</w:t>
      </w:r>
      <w:r w:rsidR="00F304F5" w:rsidRPr="00953E31">
        <w:rPr>
          <w:iCs/>
        </w:rPr>
        <w:t xml:space="preserve">pillage out of the mouth </w:t>
      </w:r>
      <w:r w:rsidRPr="00953E31">
        <w:rPr>
          <w:iCs/>
        </w:rPr>
        <w:t>due to</w:t>
      </w:r>
      <w:r w:rsidR="00F304F5" w:rsidRPr="00953E31">
        <w:rPr>
          <w:iCs/>
        </w:rPr>
        <w:t xml:space="preserve"> </w:t>
      </w:r>
      <w:r w:rsidRPr="00953E31">
        <w:rPr>
          <w:iCs/>
        </w:rPr>
        <w:t>smaller</w:t>
      </w:r>
      <w:r w:rsidR="00F304F5" w:rsidRPr="00953E31">
        <w:rPr>
          <w:iCs/>
        </w:rPr>
        <w:t xml:space="preserve"> medication </w:t>
      </w:r>
      <w:proofErr w:type="gramStart"/>
      <w:r w:rsidR="00F304F5" w:rsidRPr="00953E31">
        <w:rPr>
          <w:iCs/>
        </w:rPr>
        <w:t>volumes;</w:t>
      </w:r>
      <w:proofErr w:type="gramEnd"/>
    </w:p>
    <w:p w14:paraId="5246355E" w14:textId="7A1B7FD9" w:rsidR="00F304F5" w:rsidRPr="00953E31" w:rsidRDefault="00F304F5" w:rsidP="00E51AD2">
      <w:pPr>
        <w:pStyle w:val="ListParagraph"/>
        <w:numPr>
          <w:ilvl w:val="0"/>
          <w:numId w:val="20"/>
        </w:numPr>
        <w:rPr>
          <w:iCs/>
        </w:rPr>
      </w:pPr>
      <w:r w:rsidRPr="00953E31">
        <w:rPr>
          <w:iCs/>
        </w:rPr>
        <w:t xml:space="preserve">Reduced bitterness compared with the IV solution, providing a significant benefit for people who require midazolam and have awareness during their </w:t>
      </w:r>
      <w:proofErr w:type="gramStart"/>
      <w:r w:rsidRPr="00953E31">
        <w:rPr>
          <w:iCs/>
        </w:rPr>
        <w:t>seizure;</w:t>
      </w:r>
      <w:proofErr w:type="gramEnd"/>
      <w:r w:rsidRPr="00953E31">
        <w:rPr>
          <w:iCs/>
        </w:rPr>
        <w:t xml:space="preserve"> and </w:t>
      </w:r>
    </w:p>
    <w:p w14:paraId="6A7A3C99" w14:textId="61F9196E" w:rsidR="00F304F5" w:rsidRPr="00953E31" w:rsidRDefault="00F304F5" w:rsidP="00E51AD2">
      <w:pPr>
        <w:pStyle w:val="ListParagraph"/>
        <w:numPr>
          <w:ilvl w:val="0"/>
          <w:numId w:val="20"/>
        </w:numPr>
        <w:rPr>
          <w:iCs/>
        </w:rPr>
      </w:pPr>
      <w:r w:rsidRPr="00953E31">
        <w:rPr>
          <w:iCs/>
        </w:rPr>
        <w:t>Single doses are packaged separately, thereby reducing wastage.</w:t>
      </w:r>
    </w:p>
    <w:p w14:paraId="2C517837" w14:textId="77777777" w:rsidR="00D9328A" w:rsidRPr="00953E31" w:rsidRDefault="00D9328A" w:rsidP="00D9328A">
      <w:pPr>
        <w:pStyle w:val="ListParagraph"/>
        <w:ind w:left="1440"/>
        <w:rPr>
          <w:iCs/>
          <w:color w:val="FF0000"/>
        </w:rPr>
      </w:pPr>
    </w:p>
    <w:p w14:paraId="1604447D" w14:textId="005E4C5A" w:rsidR="00836671" w:rsidRPr="003A7F84" w:rsidRDefault="00E51AD2" w:rsidP="00D9328A">
      <w:pPr>
        <w:pStyle w:val="ExecSumBodyText"/>
      </w:pPr>
      <w:bookmarkStart w:id="45" w:name="_Ref106269683"/>
      <w:bookmarkStart w:id="46" w:name="_Ref109578174"/>
      <w:r w:rsidRPr="00953E31">
        <w:t xml:space="preserve">The ESC </w:t>
      </w:r>
      <w:r w:rsidR="00921083" w:rsidRPr="00953E31">
        <w:t xml:space="preserve">noted the claim regarding improvements in accurate and timely administration and </w:t>
      </w:r>
      <w:r w:rsidRPr="00953E31">
        <w:t>considered</w:t>
      </w:r>
      <w:r w:rsidRPr="003A7F84">
        <w:t xml:space="preserve"> that the submission could have done more to map out potential consequences of the proposed listing</w:t>
      </w:r>
      <w:r w:rsidR="00877ADC" w:rsidRPr="003A7F84">
        <w:t xml:space="preserve"> based on published literature</w:t>
      </w:r>
      <w:r w:rsidRPr="003A7F84">
        <w:t xml:space="preserve">, even if it was unable to quantify these.  </w:t>
      </w:r>
      <w:r w:rsidR="000E38B7" w:rsidRPr="003A7F84">
        <w:t>T</w:t>
      </w:r>
      <w:r w:rsidRPr="003A7F84">
        <w:t xml:space="preserve">he sponsor could </w:t>
      </w:r>
      <w:r w:rsidR="00E4572D" w:rsidRPr="003A7F84">
        <w:t xml:space="preserve">have </w:t>
      </w:r>
      <w:r w:rsidRPr="003A7F84">
        <w:t>map</w:t>
      </w:r>
      <w:r w:rsidR="00E4572D" w:rsidRPr="003A7F84">
        <w:t>ped</w:t>
      </w:r>
      <w:r w:rsidRPr="003A7F84">
        <w:t xml:space="preserve"> out the causal chain of expected effects that may feasibly result from the proposed listing, especially in relation to risks</w:t>
      </w:r>
      <w:r w:rsidR="00921083" w:rsidRPr="003A7F84">
        <w:t xml:space="preserve"> or benefits that may impact survival and/or quality of life.  </w:t>
      </w:r>
      <w:r w:rsidR="00960506" w:rsidRPr="003A7F84">
        <w:t>The ESC also noted that process benefits could have been described, and potential for cost savings (reduced waste</w:t>
      </w:r>
      <w:r w:rsidR="005925CC" w:rsidRPr="003A7F84">
        <w:t xml:space="preserve"> and hospitalisations</w:t>
      </w:r>
      <w:r w:rsidR="00960506" w:rsidRPr="003A7F84">
        <w:t xml:space="preserve">).  </w:t>
      </w:r>
      <w:r w:rsidR="00CF47DF" w:rsidRPr="003A7F84">
        <w:t xml:space="preserve">The proposed mapping may also be informed by </w:t>
      </w:r>
      <w:r w:rsidR="00960506" w:rsidRPr="003A7F84">
        <w:t xml:space="preserve">input </w:t>
      </w:r>
      <w:r w:rsidR="00CF47DF" w:rsidRPr="003A7F84">
        <w:t>f</w:t>
      </w:r>
      <w:r w:rsidR="00960506" w:rsidRPr="003A7F84">
        <w:t xml:space="preserve">rom experienced clinicians and patients/carers with </w:t>
      </w:r>
      <w:r w:rsidR="00CF47DF" w:rsidRPr="003A7F84">
        <w:t>knowledge</w:t>
      </w:r>
      <w:r w:rsidR="00960506" w:rsidRPr="003A7F84">
        <w:t xml:space="preserve"> </w:t>
      </w:r>
      <w:r w:rsidR="00CF47DF" w:rsidRPr="003A7F84">
        <w:t>of</w:t>
      </w:r>
      <w:r w:rsidR="00960506" w:rsidRPr="003A7F84">
        <w:t xml:space="preserve"> the treatment of GCSE</w:t>
      </w:r>
      <w:r w:rsidR="000E38B7" w:rsidRPr="003A7F84">
        <w:t xml:space="preserve">, such as the benefits described </w:t>
      </w:r>
      <w:r w:rsidR="00960506" w:rsidRPr="003A7F84">
        <w:t xml:space="preserve">by the Epilepsy Foundation </w:t>
      </w:r>
      <w:r w:rsidR="000E38B7" w:rsidRPr="003A7F84">
        <w:t xml:space="preserve">in </w:t>
      </w:r>
      <w:r w:rsidR="00960506" w:rsidRPr="003A7F84">
        <w:t xml:space="preserve">the PSCR (see </w:t>
      </w:r>
      <w:r w:rsidR="000E38B7" w:rsidRPr="003A7F84">
        <w:t xml:space="preserve">paragraph </w:t>
      </w:r>
      <w:r w:rsidR="000E38B7" w:rsidRPr="003A7F84">
        <w:fldChar w:fldCharType="begin"/>
      </w:r>
      <w:r w:rsidR="000E38B7" w:rsidRPr="003A7F84">
        <w:instrText xml:space="preserve"> REF _Ref106230473 \r \h </w:instrText>
      </w:r>
      <w:r w:rsidR="00CF47DF" w:rsidRPr="003A7F84">
        <w:instrText xml:space="preserve"> \* MERGEFORMAT </w:instrText>
      </w:r>
      <w:r w:rsidR="000E38B7" w:rsidRPr="003A7F84">
        <w:fldChar w:fldCharType="separate"/>
      </w:r>
      <w:r w:rsidR="009466A1">
        <w:t>6.47</w:t>
      </w:r>
      <w:r w:rsidR="000E38B7" w:rsidRPr="003A7F84">
        <w:fldChar w:fldCharType="end"/>
      </w:r>
      <w:r w:rsidR="00960506" w:rsidRPr="003A7F84">
        <w:t>)</w:t>
      </w:r>
      <w:r w:rsidR="000E38B7" w:rsidRPr="003A7F84">
        <w:t>.</w:t>
      </w:r>
      <w:r w:rsidR="00CF47DF" w:rsidRPr="003A7F84">
        <w:t xml:space="preserve">  The ESC considered that a consolidated list of potential effects would be valuable to the PBAC to assist understanding of the potential </w:t>
      </w:r>
      <w:r w:rsidR="00CA4843" w:rsidRPr="003A7F84">
        <w:t xml:space="preserve">value of </w:t>
      </w:r>
      <w:r w:rsidR="00CF47DF" w:rsidRPr="003A7F84">
        <w:t>quality use of medicines benefits.</w:t>
      </w:r>
      <w:bookmarkEnd w:id="45"/>
      <w:r w:rsidR="001728C9" w:rsidRPr="003A7F84">
        <w:t xml:space="preserve">  The PBAC noted that a summary table was provided in the pre-PBAC response which </w:t>
      </w:r>
      <w:r w:rsidR="00387281" w:rsidRPr="003A7F84">
        <w:t>listed</w:t>
      </w:r>
      <w:r w:rsidR="001728C9" w:rsidRPr="003A7F84">
        <w:t xml:space="preserve"> </w:t>
      </w:r>
      <w:r w:rsidR="00387281" w:rsidRPr="003A7F84">
        <w:t>potential beneficial impacts</w:t>
      </w:r>
      <w:r w:rsidR="001728C9" w:rsidRPr="003A7F84">
        <w:t xml:space="preserve"> such as reduced time to treatment, increased dosing accuracy, less likelihood of diversion for illicit IV administration, </w:t>
      </w:r>
      <w:r w:rsidR="00387281" w:rsidRPr="003A7F84">
        <w:t>reduced administration errors, better patient care, reduced hospitalisations and reduced long-term consequences from extended seizures</w:t>
      </w:r>
      <w:r w:rsidR="001728C9" w:rsidRPr="003A7F84">
        <w:t>.</w:t>
      </w:r>
      <w:bookmarkEnd w:id="46"/>
    </w:p>
    <w:p w14:paraId="472842D7" w14:textId="387FA5C6" w:rsidR="00C25D9C" w:rsidRPr="003A7F84" w:rsidRDefault="00C25D9C" w:rsidP="00BB732D">
      <w:pPr>
        <w:pStyle w:val="3-SubsectionHeading"/>
      </w:pPr>
      <w:bookmarkStart w:id="47" w:name="_Toc22897646"/>
      <w:bookmarkStart w:id="48" w:name="_Toc103714925"/>
      <w:r w:rsidRPr="003A7F84">
        <w:t>Drug cost</w:t>
      </w:r>
      <w:r w:rsidR="00DC1E7D" w:rsidRPr="003A7F84">
        <w:t xml:space="preserve"> </w:t>
      </w:r>
      <w:bookmarkEnd w:id="47"/>
      <w:r w:rsidR="00DC1E7D" w:rsidRPr="003A7F84">
        <w:t>per GCSE event</w:t>
      </w:r>
      <w:bookmarkEnd w:id="48"/>
    </w:p>
    <w:p w14:paraId="14076949" w14:textId="072E10A4" w:rsidR="0012750C" w:rsidRPr="003A7F84" w:rsidRDefault="00CA568A" w:rsidP="0012750C">
      <w:pPr>
        <w:pStyle w:val="ExecSumBodyText"/>
      </w:pPr>
      <w:r w:rsidRPr="003A7F84">
        <w:t xml:space="preserve">The cost of treating one GCSE event with midazolam oromucosal solution </w:t>
      </w:r>
      <w:r w:rsidR="00F238BE" w:rsidRPr="003A7F84">
        <w:t>is</w:t>
      </w:r>
      <w:r w:rsidRPr="003A7F84">
        <w:t xml:space="preserve"> </w:t>
      </w:r>
      <w:r w:rsidRPr="00057E2A">
        <w:t>$</w:t>
      </w:r>
      <w:r w:rsidR="001F03AF" w:rsidRPr="001F03AF">
        <w:rPr>
          <w:color w:val="000000"/>
          <w:w w:val="60"/>
          <w:shd w:val="solid" w:color="000000" w:fill="000000"/>
          <w:fitText w:val="468" w:id="-1435807488"/>
          <w14:textFill>
            <w14:solidFill>
              <w14:srgbClr w14:val="000000">
                <w14:alpha w14:val="100000"/>
              </w14:srgbClr>
            </w14:solidFill>
          </w14:textFill>
        </w:rPr>
        <w:t>||</w:t>
      </w:r>
      <w:proofErr w:type="gramStart"/>
      <w:r w:rsidR="001F03AF" w:rsidRPr="001F03AF">
        <w:rPr>
          <w:color w:val="000000"/>
          <w:w w:val="60"/>
          <w:shd w:val="solid" w:color="000000" w:fill="000000"/>
          <w:fitText w:val="468" w:id="-1435807488"/>
          <w14:textFill>
            <w14:solidFill>
              <w14:srgbClr w14:val="000000">
                <w14:alpha w14:val="100000"/>
              </w14:srgbClr>
            </w14:solidFill>
          </w14:textFill>
        </w:rPr>
        <w:t>|  |</w:t>
      </w:r>
      <w:proofErr w:type="gramEnd"/>
      <w:r w:rsidR="001F03AF" w:rsidRPr="001F03AF">
        <w:rPr>
          <w:color w:val="000000"/>
          <w:w w:val="60"/>
          <w:shd w:val="solid" w:color="000000" w:fill="000000"/>
          <w:fitText w:val="468" w:id="-1435807488"/>
          <w14:textFill>
            <w14:solidFill>
              <w14:srgbClr w14:val="000000">
                <w14:alpha w14:val="100000"/>
              </w14:srgbClr>
            </w14:solidFill>
          </w14:textFill>
        </w:rPr>
        <w:t>|</w:t>
      </w:r>
      <w:r w:rsidR="001F03AF" w:rsidRPr="001F03AF">
        <w:rPr>
          <w:color w:val="000000"/>
          <w:spacing w:val="4"/>
          <w:w w:val="60"/>
          <w:shd w:val="solid" w:color="000000" w:fill="000000"/>
          <w:fitText w:val="468" w:id="-1435807488"/>
          <w14:textFill>
            <w14:solidFill>
              <w14:srgbClr w14:val="000000">
                <w14:alpha w14:val="100000"/>
              </w14:srgbClr>
            </w14:solidFill>
          </w14:textFill>
        </w:rPr>
        <w:t>|</w:t>
      </w:r>
      <w:r w:rsidR="001F03AF" w:rsidRPr="001F03AF">
        <w:t xml:space="preserve"> </w:t>
      </w:r>
      <w:r w:rsidR="00F238BE" w:rsidRPr="003A7F84">
        <w:t>(DPMQ)</w:t>
      </w:r>
      <w:r w:rsidR="00DA7261" w:rsidRPr="003A7F84">
        <w:t>, for all dose strengths</w:t>
      </w:r>
      <w:r w:rsidR="006E13C0" w:rsidRPr="003A7F84">
        <w:t xml:space="preserve"> based on the price proposed in the submission</w:t>
      </w:r>
      <w:r w:rsidR="00112DD5" w:rsidRPr="003A7F84">
        <w:t xml:space="preserve"> and assuming that a single dose is used</w:t>
      </w:r>
      <w:r w:rsidR="00F238BE" w:rsidRPr="003A7F84">
        <w:t>.</w:t>
      </w:r>
      <w:r w:rsidR="00C4737F" w:rsidRPr="003A7F84">
        <w:t xml:space="preserve"> </w:t>
      </w:r>
    </w:p>
    <w:p w14:paraId="268768EF" w14:textId="3626F292" w:rsidR="00B60939" w:rsidRPr="003A7F84" w:rsidRDefault="00B60939" w:rsidP="002B05A1">
      <w:pPr>
        <w:pStyle w:val="3-SubsectionHeading"/>
      </w:pPr>
      <w:bookmarkStart w:id="49" w:name="_Toc22897647"/>
      <w:bookmarkStart w:id="50" w:name="_Toc103714926"/>
      <w:r w:rsidRPr="003A7F84">
        <w:lastRenderedPageBreak/>
        <w:t>Estimated PBS usage &amp; financial implications</w:t>
      </w:r>
      <w:bookmarkEnd w:id="49"/>
      <w:bookmarkEnd w:id="50"/>
    </w:p>
    <w:p w14:paraId="5F93F279" w14:textId="751433CD" w:rsidR="00725A66" w:rsidRPr="003A7F84" w:rsidRDefault="00C25D9C" w:rsidP="00071B00">
      <w:pPr>
        <w:pStyle w:val="ExecSumBodyText"/>
      </w:pPr>
      <w:r w:rsidRPr="003A7F84">
        <w:t>This submission</w:t>
      </w:r>
      <w:r w:rsidR="00CA197C" w:rsidRPr="003A7F84">
        <w:t xml:space="preserve"> was</w:t>
      </w:r>
      <w:r w:rsidRPr="003A7F84">
        <w:t xml:space="preserve"> not considered by DUSC.</w:t>
      </w:r>
      <w:r w:rsidR="00BC591F" w:rsidRPr="003A7F84">
        <w:t xml:space="preserve"> </w:t>
      </w:r>
      <w:r w:rsidR="00725A66" w:rsidRPr="003A7F84">
        <w:t>The submission used an epidemiological approach to estimate the utilisation and financial impact associated with the PBS listing of midazolam oromucosal solution for the treatment of GCSE in patients over the age of 6 months</w:t>
      </w:r>
      <w:r w:rsidR="00536AB3" w:rsidRPr="003A7F84">
        <w:t xml:space="preserve"> </w:t>
      </w:r>
      <w:r w:rsidR="00725A66" w:rsidRPr="003A7F84">
        <w:t>with epilepsy</w:t>
      </w:r>
      <w:r w:rsidR="00071B00" w:rsidRPr="003A7F84">
        <w:t>, using an inciden</w:t>
      </w:r>
      <w:r w:rsidR="00097139" w:rsidRPr="003A7F84">
        <w:t>ce/</w:t>
      </w:r>
      <w:r w:rsidR="00071B00" w:rsidRPr="003A7F84">
        <w:t>prevalen</w:t>
      </w:r>
      <w:r w:rsidR="00097139" w:rsidRPr="003A7F84">
        <w:t>ce</w:t>
      </w:r>
      <w:r w:rsidR="00071B00" w:rsidRPr="003A7F84">
        <w:t xml:space="preserve"> model</w:t>
      </w:r>
      <w:r w:rsidR="00201D98" w:rsidRPr="003A7F84">
        <w:t xml:space="preserve">. </w:t>
      </w:r>
    </w:p>
    <w:p w14:paraId="0A40A587" w14:textId="6A380CE7" w:rsidR="00C1167C" w:rsidRPr="003A7F84" w:rsidRDefault="00C1167C" w:rsidP="00C1167C">
      <w:pPr>
        <w:pStyle w:val="ExecSumBodyText"/>
      </w:pPr>
      <w:r w:rsidRPr="003A7F84">
        <w:t xml:space="preserve">The key inputs used in the financial estimates are presented in </w:t>
      </w:r>
      <w:r w:rsidRPr="003A7F84">
        <w:fldChar w:fldCharType="begin"/>
      </w:r>
      <w:r w:rsidRPr="003A7F84">
        <w:instrText xml:space="preserve"> REF _Ref104393291 \h </w:instrText>
      </w:r>
      <w:r w:rsidRPr="003A7F84">
        <w:fldChar w:fldCharType="separate"/>
      </w:r>
      <w:r w:rsidR="009466A1" w:rsidRPr="003A7F84">
        <w:t xml:space="preserve">Table </w:t>
      </w:r>
      <w:r w:rsidR="009466A1">
        <w:rPr>
          <w:noProof/>
        </w:rPr>
        <w:t>7</w:t>
      </w:r>
      <w:r w:rsidRPr="003A7F84">
        <w:fldChar w:fldCharType="end"/>
      </w:r>
      <w:r w:rsidRPr="003A7F84">
        <w:t>.</w:t>
      </w:r>
    </w:p>
    <w:p w14:paraId="16EF4367" w14:textId="19113AFD" w:rsidR="002B05A1" w:rsidRPr="003A7F84" w:rsidRDefault="00071B00" w:rsidP="00AB32A3">
      <w:pPr>
        <w:pStyle w:val="ExecSumBodyText"/>
      </w:pPr>
      <w:r w:rsidRPr="003A7F84">
        <w:t xml:space="preserve">The submission estimated the prevalent pool of patients based on separate incident cohorts of patients diagnosed with epilepsy and GCSE in each of the 6 years prior to listing. </w:t>
      </w:r>
      <w:r w:rsidRPr="003A7F84">
        <w:rPr>
          <w:iCs/>
        </w:rPr>
        <w:t>However, the submission incorrectly estimated the size of the eligible population by treating the prevalent population in each year of each cohort as unique patients rather than the same patients over time. For example, for patients diagnosed six years ago (in 2016), the patients eligible in Year 1 of listing are assumed to be distinct from the patients eligible from the 2016 cohort in Year 2, Year 3, and up to Year 6 of listing</w:t>
      </w:r>
      <w:r w:rsidR="00C11297" w:rsidRPr="003A7F84">
        <w:rPr>
          <w:iCs/>
        </w:rPr>
        <w:t>; and their persistence to treatment over the six years of listing subsequently calculated</w:t>
      </w:r>
      <w:r w:rsidRPr="003A7F84">
        <w:rPr>
          <w:iCs/>
        </w:rPr>
        <w:t>. This significantly overestimated the number of eligible patients in the prevalent population.</w:t>
      </w:r>
      <w:r w:rsidR="00C85AB1" w:rsidRPr="003A7F84">
        <w:rPr>
          <w:iCs/>
        </w:rPr>
        <w:t xml:space="preserve"> </w:t>
      </w:r>
      <w:r w:rsidR="00B96F8E" w:rsidRPr="003A7F84">
        <w:rPr>
          <w:iCs/>
        </w:rPr>
        <w:t>The submission’s estimate</w:t>
      </w:r>
      <w:r w:rsidR="00C85AB1" w:rsidRPr="003A7F84">
        <w:rPr>
          <w:iCs/>
        </w:rPr>
        <w:t>s</w:t>
      </w:r>
      <w:r w:rsidR="00D5522D" w:rsidRPr="003A7F84">
        <w:rPr>
          <w:iCs/>
        </w:rPr>
        <w:t xml:space="preserve"> of financial implications to the </w:t>
      </w:r>
      <w:r w:rsidR="00ED2D4B" w:rsidRPr="003A7F84">
        <w:rPr>
          <w:iCs/>
        </w:rPr>
        <w:t>PBS were</w:t>
      </w:r>
      <w:r w:rsidR="00B96F8E" w:rsidRPr="003A7F84">
        <w:rPr>
          <w:iCs/>
        </w:rPr>
        <w:t xml:space="preserve"> corrected during the </w:t>
      </w:r>
      <w:r w:rsidR="007A50D6">
        <w:rPr>
          <w:iCs/>
        </w:rPr>
        <w:t>evaluation</w:t>
      </w:r>
      <w:r w:rsidR="00B839D8" w:rsidRPr="003A7F84">
        <w:rPr>
          <w:iCs/>
        </w:rPr>
        <w:t xml:space="preserve"> and presented </w:t>
      </w:r>
      <w:r w:rsidR="007A50D6">
        <w:rPr>
          <w:iCs/>
        </w:rPr>
        <w:t xml:space="preserve">below </w:t>
      </w:r>
      <w:r w:rsidR="00C1167C" w:rsidRPr="003A7F84">
        <w:rPr>
          <w:iCs/>
        </w:rPr>
        <w:t xml:space="preserve">in </w:t>
      </w:r>
      <w:r w:rsidR="00C1167C" w:rsidRPr="003A7F84">
        <w:rPr>
          <w:iCs/>
        </w:rPr>
        <w:fldChar w:fldCharType="begin"/>
      </w:r>
      <w:r w:rsidR="00C1167C" w:rsidRPr="003A7F84">
        <w:rPr>
          <w:iCs/>
        </w:rPr>
        <w:instrText xml:space="preserve"> REF _Ref104393261 \h </w:instrText>
      </w:r>
      <w:r w:rsidR="00C1167C" w:rsidRPr="003A7F84">
        <w:rPr>
          <w:iCs/>
        </w:rPr>
      </w:r>
      <w:r w:rsidR="00C1167C" w:rsidRPr="003A7F84">
        <w:rPr>
          <w:iCs/>
        </w:rPr>
        <w:fldChar w:fldCharType="separate"/>
      </w:r>
      <w:r w:rsidR="009466A1" w:rsidRPr="003A7F84">
        <w:t xml:space="preserve">Table </w:t>
      </w:r>
      <w:r w:rsidR="009466A1">
        <w:rPr>
          <w:noProof/>
        </w:rPr>
        <w:t>8</w:t>
      </w:r>
      <w:r w:rsidR="00C1167C" w:rsidRPr="003A7F84">
        <w:rPr>
          <w:iCs/>
        </w:rPr>
        <w:fldChar w:fldCharType="end"/>
      </w:r>
      <w:r w:rsidR="00B839D8" w:rsidRPr="003A7F84">
        <w:rPr>
          <w:iCs/>
        </w:rPr>
        <w:t>.</w:t>
      </w:r>
      <w:r w:rsidR="00D5522D" w:rsidRPr="003A7F84">
        <w:rPr>
          <w:iCs/>
        </w:rPr>
        <w:t xml:space="preserve"> </w:t>
      </w:r>
    </w:p>
    <w:p w14:paraId="7E9B47FA" w14:textId="56D98062" w:rsidR="0012750C" w:rsidRPr="003A7F84" w:rsidRDefault="0012750C" w:rsidP="000476E2">
      <w:pPr>
        <w:pStyle w:val="Caption"/>
        <w:rPr>
          <w:b w:val="0"/>
        </w:rPr>
      </w:pPr>
      <w:bookmarkStart w:id="51" w:name="_Ref104393291"/>
      <w:r w:rsidRPr="003A7F84">
        <w:t xml:space="preserve">Table </w:t>
      </w:r>
      <w:fldSimple w:instr=" SEQ Table \* ARABIC ">
        <w:r w:rsidR="009466A1">
          <w:rPr>
            <w:noProof/>
          </w:rPr>
          <w:t>7</w:t>
        </w:r>
      </w:fldSimple>
      <w:bookmarkEnd w:id="51"/>
      <w:r w:rsidRPr="003A7F84">
        <w:t>: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4"/>
        <w:gridCol w:w="3350"/>
        <w:gridCol w:w="3713"/>
      </w:tblGrid>
      <w:tr w:rsidR="005C1807" w:rsidRPr="003A7F84" w14:paraId="5C14DCDC" w14:textId="77777777" w:rsidTr="007A50D6">
        <w:trPr>
          <w:cantSplit/>
          <w:tblHeader/>
        </w:trPr>
        <w:tc>
          <w:tcPr>
            <w:tcW w:w="0" w:type="auto"/>
            <w:shd w:val="clear" w:color="auto" w:fill="auto"/>
            <w:vAlign w:val="center"/>
          </w:tcPr>
          <w:p w14:paraId="560E941F" w14:textId="77777777" w:rsidR="005C1807" w:rsidRPr="003A7F84" w:rsidRDefault="005C1807" w:rsidP="000476E2">
            <w:pPr>
              <w:pStyle w:val="Tableheadingrow"/>
              <w:rPr>
                <w:lang w:val="en-AU"/>
              </w:rPr>
            </w:pPr>
            <w:r w:rsidRPr="003A7F84">
              <w:rPr>
                <w:lang w:val="en-AU"/>
              </w:rPr>
              <w:t>Parameter</w:t>
            </w:r>
          </w:p>
        </w:tc>
        <w:tc>
          <w:tcPr>
            <w:tcW w:w="0" w:type="auto"/>
            <w:shd w:val="clear" w:color="auto" w:fill="auto"/>
            <w:vAlign w:val="center"/>
          </w:tcPr>
          <w:p w14:paraId="08553A7D" w14:textId="77777777" w:rsidR="005C1807" w:rsidRPr="003A7F84" w:rsidRDefault="005C1807" w:rsidP="000476E2">
            <w:pPr>
              <w:pStyle w:val="Tableheadingrow"/>
              <w:tabs>
                <w:tab w:val="center" w:pos="1548"/>
              </w:tabs>
              <w:jc w:val="center"/>
              <w:rPr>
                <w:lang w:val="en-AU"/>
              </w:rPr>
            </w:pPr>
            <w:r w:rsidRPr="003A7F84">
              <w:rPr>
                <w:lang w:val="en-AU"/>
              </w:rPr>
              <w:t>Value applied and source</w:t>
            </w:r>
          </w:p>
        </w:tc>
        <w:tc>
          <w:tcPr>
            <w:tcW w:w="0" w:type="auto"/>
            <w:shd w:val="clear" w:color="auto" w:fill="auto"/>
            <w:vAlign w:val="center"/>
          </w:tcPr>
          <w:p w14:paraId="48B17CFD" w14:textId="77777777" w:rsidR="005C1807" w:rsidRPr="003A7F84" w:rsidRDefault="005C1807" w:rsidP="000476E2">
            <w:pPr>
              <w:pStyle w:val="Tableheadingrow"/>
              <w:jc w:val="center"/>
              <w:rPr>
                <w:lang w:val="en-AU"/>
              </w:rPr>
            </w:pPr>
            <w:r w:rsidRPr="003A7F84">
              <w:rPr>
                <w:lang w:val="en-AU"/>
              </w:rPr>
              <w:t>Comment</w:t>
            </w:r>
          </w:p>
        </w:tc>
      </w:tr>
      <w:tr w:rsidR="005C1807" w:rsidRPr="003A7F84" w14:paraId="21EECD7E" w14:textId="77777777" w:rsidTr="007A50D6">
        <w:trPr>
          <w:cantSplit/>
          <w:trHeight w:val="46"/>
        </w:trPr>
        <w:tc>
          <w:tcPr>
            <w:tcW w:w="0" w:type="auto"/>
            <w:gridSpan w:val="3"/>
            <w:shd w:val="clear" w:color="auto" w:fill="auto"/>
            <w:vAlign w:val="center"/>
          </w:tcPr>
          <w:p w14:paraId="2769D3CB" w14:textId="77777777" w:rsidR="005C1807" w:rsidRPr="003A7F84" w:rsidRDefault="005C1807" w:rsidP="000476E2">
            <w:pPr>
              <w:pStyle w:val="TableText"/>
              <w:tabs>
                <w:tab w:val="center" w:pos="1548"/>
              </w:tabs>
              <w:rPr>
                <w:b/>
                <w:bCs w:val="0"/>
              </w:rPr>
            </w:pPr>
            <w:r w:rsidRPr="003A7F84">
              <w:rPr>
                <w:b/>
                <w:bCs w:val="0"/>
              </w:rPr>
              <w:t>Eligible population</w:t>
            </w:r>
          </w:p>
        </w:tc>
      </w:tr>
      <w:tr w:rsidR="005C1807" w:rsidRPr="003A7F84" w14:paraId="5E643709" w14:textId="77777777" w:rsidTr="007A50D6">
        <w:trPr>
          <w:cantSplit/>
          <w:trHeight w:val="46"/>
        </w:trPr>
        <w:tc>
          <w:tcPr>
            <w:tcW w:w="0" w:type="auto"/>
            <w:shd w:val="clear" w:color="auto" w:fill="auto"/>
            <w:vAlign w:val="center"/>
          </w:tcPr>
          <w:p w14:paraId="71730413" w14:textId="77777777" w:rsidR="005C1807" w:rsidRPr="003A7F84" w:rsidRDefault="005C1807" w:rsidP="00AB32A3">
            <w:pPr>
              <w:pStyle w:val="TableText"/>
              <w:keepNext w:val="0"/>
            </w:pPr>
            <w:r w:rsidRPr="003A7F84">
              <w:t>Prevalence of epilepsy in the Australian population</w:t>
            </w:r>
          </w:p>
        </w:tc>
        <w:tc>
          <w:tcPr>
            <w:tcW w:w="0" w:type="auto"/>
            <w:shd w:val="clear" w:color="auto" w:fill="auto"/>
            <w:vAlign w:val="center"/>
          </w:tcPr>
          <w:p w14:paraId="64704490" w14:textId="77777777" w:rsidR="005C1807" w:rsidRPr="003A7F84" w:rsidRDefault="005C1807" w:rsidP="00AB32A3">
            <w:pPr>
              <w:pStyle w:val="Table"/>
              <w:jc w:val="center"/>
              <w:rPr>
                <w:rFonts w:ascii="Arial Narrow" w:hAnsi="Arial Narrow"/>
              </w:rPr>
            </w:pPr>
            <w:r w:rsidRPr="003A7F84">
              <w:rPr>
                <w:rFonts w:ascii="Arial Narrow" w:hAnsi="Arial Narrow"/>
              </w:rPr>
              <w:t>Adults &gt;18 years = 0.7%</w:t>
            </w:r>
          </w:p>
          <w:p w14:paraId="4203254C" w14:textId="77777777" w:rsidR="005C1807" w:rsidRPr="003A7F84" w:rsidRDefault="005C1807" w:rsidP="00AB32A3">
            <w:pPr>
              <w:pStyle w:val="Table"/>
              <w:jc w:val="center"/>
              <w:rPr>
                <w:rFonts w:ascii="Arial Narrow" w:hAnsi="Arial Narrow"/>
              </w:rPr>
            </w:pPr>
            <w:r w:rsidRPr="003A7F84">
              <w:rPr>
                <w:rFonts w:ascii="Arial Narrow" w:hAnsi="Arial Narrow"/>
              </w:rPr>
              <w:t>Children 0-17 years = 0.5%</w:t>
            </w:r>
          </w:p>
          <w:p w14:paraId="502787E7" w14:textId="57A04274" w:rsidR="005C1807" w:rsidRPr="003A7F84" w:rsidRDefault="005C1807" w:rsidP="007A50D6">
            <w:pPr>
              <w:pStyle w:val="Table"/>
              <w:jc w:val="center"/>
              <w:rPr>
                <w:rFonts w:ascii="Arial Narrow" w:hAnsi="Arial Narrow"/>
              </w:rPr>
            </w:pPr>
            <w:r w:rsidRPr="003A7F84">
              <w:rPr>
                <w:rFonts w:ascii="Arial Narrow" w:hAnsi="Arial Narrow"/>
              </w:rPr>
              <w:t>(ABS National Health Survey 2017-2018).</w:t>
            </w:r>
          </w:p>
        </w:tc>
        <w:tc>
          <w:tcPr>
            <w:tcW w:w="0" w:type="auto"/>
            <w:shd w:val="clear" w:color="auto" w:fill="auto"/>
            <w:vAlign w:val="center"/>
          </w:tcPr>
          <w:p w14:paraId="179586E1" w14:textId="77777777" w:rsidR="005C1807" w:rsidRPr="003A7F84" w:rsidRDefault="005C1807" w:rsidP="00AB32A3">
            <w:pPr>
              <w:pStyle w:val="TableText"/>
              <w:keepNext w:val="0"/>
              <w:rPr>
                <w:iCs/>
              </w:rPr>
            </w:pPr>
            <w:r w:rsidRPr="003A7F84">
              <w:rPr>
                <w:iCs/>
              </w:rPr>
              <w:t>This is appropriate.</w:t>
            </w:r>
          </w:p>
        </w:tc>
      </w:tr>
      <w:tr w:rsidR="005C1807" w:rsidRPr="003A7F84" w14:paraId="44AFF1EF" w14:textId="77777777" w:rsidTr="007A50D6">
        <w:trPr>
          <w:cantSplit/>
          <w:trHeight w:val="46"/>
        </w:trPr>
        <w:tc>
          <w:tcPr>
            <w:tcW w:w="0" w:type="auto"/>
            <w:shd w:val="clear" w:color="auto" w:fill="auto"/>
            <w:vAlign w:val="center"/>
          </w:tcPr>
          <w:p w14:paraId="7FEBEC16" w14:textId="77777777" w:rsidR="005C1807" w:rsidRPr="003A7F84" w:rsidRDefault="005C1807" w:rsidP="00AB32A3">
            <w:pPr>
              <w:pStyle w:val="TableText"/>
              <w:keepNext w:val="0"/>
            </w:pPr>
            <w:r w:rsidRPr="003A7F84">
              <w:t xml:space="preserve">Annual incidence of epilepsy </w:t>
            </w:r>
          </w:p>
        </w:tc>
        <w:tc>
          <w:tcPr>
            <w:tcW w:w="0" w:type="auto"/>
            <w:shd w:val="clear" w:color="auto" w:fill="auto"/>
            <w:vAlign w:val="center"/>
          </w:tcPr>
          <w:p w14:paraId="18CD0F64" w14:textId="77777777" w:rsidR="005C1807" w:rsidRPr="003A7F84" w:rsidRDefault="005C1807" w:rsidP="00AB32A3">
            <w:pPr>
              <w:pStyle w:val="TableText"/>
              <w:keepNext w:val="0"/>
              <w:jc w:val="center"/>
            </w:pPr>
            <w:r w:rsidRPr="003A7F84">
              <w:t xml:space="preserve">Adults &gt;18 years: 0. 072% </w:t>
            </w:r>
          </w:p>
          <w:p w14:paraId="0DD42B80" w14:textId="77777777" w:rsidR="005C1807" w:rsidRPr="003A7F84" w:rsidRDefault="005C1807" w:rsidP="00AB32A3">
            <w:pPr>
              <w:pStyle w:val="TableText"/>
              <w:keepNext w:val="0"/>
              <w:jc w:val="center"/>
            </w:pPr>
            <w:r w:rsidRPr="003A7F84">
              <w:t>Children 0-17 years: 0.051%</w:t>
            </w:r>
          </w:p>
        </w:tc>
        <w:tc>
          <w:tcPr>
            <w:tcW w:w="0" w:type="auto"/>
            <w:shd w:val="clear" w:color="auto" w:fill="auto"/>
            <w:vAlign w:val="center"/>
          </w:tcPr>
          <w:p w14:paraId="1F957B82" w14:textId="2547F42B" w:rsidR="005C1807" w:rsidRPr="003A7F84" w:rsidRDefault="005C1807" w:rsidP="00AB32A3">
            <w:pPr>
              <w:pStyle w:val="Table"/>
              <w:rPr>
                <w:rFonts w:ascii="Arial Narrow" w:hAnsi="Arial Narrow"/>
              </w:rPr>
            </w:pPr>
            <w:r w:rsidRPr="003A7F84">
              <w:rPr>
                <w:rFonts w:ascii="Arial Narrow" w:hAnsi="Arial Narrow"/>
              </w:rPr>
              <w:t xml:space="preserve">Incidence to prevalence ratio </w:t>
            </w:r>
            <w:r w:rsidR="00E65F9E" w:rsidRPr="003A7F84">
              <w:rPr>
                <w:rFonts w:ascii="Arial Narrow" w:hAnsi="Arial Narrow"/>
              </w:rPr>
              <w:t xml:space="preserve">(0.1023 per 1,000 persons) </w:t>
            </w:r>
            <w:r w:rsidR="00A46A57" w:rsidRPr="003A7F84">
              <w:rPr>
                <w:rFonts w:ascii="Arial Narrow" w:hAnsi="Arial Narrow"/>
              </w:rPr>
              <w:t xml:space="preserve">derived from Deloitte 2020, </w:t>
            </w:r>
            <w:r w:rsidRPr="003A7F84">
              <w:rPr>
                <w:rFonts w:ascii="Arial Narrow" w:hAnsi="Arial Narrow"/>
              </w:rPr>
              <w:t>applied to the ABS National Health Survey prevalence data to transform prevalence to incidence.</w:t>
            </w:r>
          </w:p>
        </w:tc>
      </w:tr>
      <w:tr w:rsidR="005C1807" w:rsidRPr="003A7F84" w14:paraId="572E1DED" w14:textId="77777777" w:rsidTr="007A50D6">
        <w:trPr>
          <w:cantSplit/>
          <w:trHeight w:val="46"/>
        </w:trPr>
        <w:tc>
          <w:tcPr>
            <w:tcW w:w="0" w:type="auto"/>
            <w:shd w:val="clear" w:color="auto" w:fill="auto"/>
            <w:vAlign w:val="center"/>
          </w:tcPr>
          <w:p w14:paraId="2CE13125" w14:textId="77777777" w:rsidR="005C1807" w:rsidRPr="003A7F84" w:rsidRDefault="005C1807" w:rsidP="00AB32A3">
            <w:pPr>
              <w:pStyle w:val="TableText"/>
              <w:keepNext w:val="0"/>
              <w:rPr>
                <w:rFonts w:cs="Calibri"/>
                <w:color w:val="000000"/>
                <w:szCs w:val="20"/>
              </w:rPr>
            </w:pPr>
            <w:r w:rsidRPr="003A7F84">
              <w:t>Proportion of population with epilepsy likely to experience ≥ 1 prolonged seizure in a lifetime</w:t>
            </w:r>
          </w:p>
        </w:tc>
        <w:tc>
          <w:tcPr>
            <w:tcW w:w="0" w:type="auto"/>
            <w:shd w:val="clear" w:color="auto" w:fill="auto"/>
            <w:vAlign w:val="center"/>
          </w:tcPr>
          <w:p w14:paraId="562731AE" w14:textId="77777777" w:rsidR="005C1807" w:rsidRPr="003A7F84" w:rsidRDefault="005C1807" w:rsidP="00AB32A3">
            <w:pPr>
              <w:pStyle w:val="Table"/>
              <w:jc w:val="center"/>
              <w:rPr>
                <w:rFonts w:ascii="Arial Narrow" w:hAnsi="Arial Narrow"/>
              </w:rPr>
            </w:pPr>
            <w:r w:rsidRPr="003A7F84">
              <w:rPr>
                <w:rFonts w:ascii="Arial Narrow" w:hAnsi="Arial Narrow"/>
              </w:rPr>
              <w:t xml:space="preserve">Adults: 15% </w:t>
            </w:r>
          </w:p>
          <w:p w14:paraId="38A9C6DD" w14:textId="77777777" w:rsidR="005C1807" w:rsidRPr="003A7F84" w:rsidRDefault="005C1807" w:rsidP="00AB32A3">
            <w:pPr>
              <w:pStyle w:val="Table"/>
              <w:jc w:val="center"/>
              <w:rPr>
                <w:rFonts w:ascii="Arial Narrow" w:hAnsi="Arial Narrow"/>
              </w:rPr>
            </w:pPr>
            <w:r w:rsidRPr="003A7F84">
              <w:rPr>
                <w:rFonts w:ascii="Arial Narrow" w:hAnsi="Arial Narrow"/>
              </w:rPr>
              <w:t>(Trinka 2012)</w:t>
            </w:r>
          </w:p>
          <w:p w14:paraId="643EE047" w14:textId="77777777" w:rsidR="005C1807" w:rsidRPr="003A7F84" w:rsidRDefault="005C1807" w:rsidP="00AB32A3">
            <w:pPr>
              <w:pStyle w:val="Table"/>
              <w:jc w:val="center"/>
              <w:rPr>
                <w:rFonts w:ascii="Arial Narrow" w:hAnsi="Arial Narrow"/>
              </w:rPr>
            </w:pPr>
          </w:p>
          <w:p w14:paraId="5B2EF562" w14:textId="77777777" w:rsidR="005C1807" w:rsidRPr="003A7F84" w:rsidRDefault="005C1807" w:rsidP="00AB32A3">
            <w:pPr>
              <w:pStyle w:val="Table"/>
              <w:jc w:val="center"/>
              <w:rPr>
                <w:rFonts w:ascii="Arial Narrow" w:hAnsi="Arial Narrow"/>
              </w:rPr>
            </w:pPr>
            <w:r w:rsidRPr="003A7F84">
              <w:rPr>
                <w:rFonts w:ascii="Arial Narrow" w:hAnsi="Arial Narrow"/>
              </w:rPr>
              <w:t>Children: 27%</w:t>
            </w:r>
          </w:p>
          <w:p w14:paraId="33889887" w14:textId="77777777" w:rsidR="005C1807" w:rsidRPr="003A7F84" w:rsidRDefault="005C1807" w:rsidP="00AB32A3">
            <w:pPr>
              <w:pStyle w:val="TableText"/>
              <w:keepNext w:val="0"/>
              <w:jc w:val="center"/>
            </w:pPr>
            <w:r w:rsidRPr="003A7F84">
              <w:t>(Sillanpaa 2002)</w:t>
            </w:r>
          </w:p>
        </w:tc>
        <w:tc>
          <w:tcPr>
            <w:tcW w:w="0" w:type="auto"/>
            <w:shd w:val="clear" w:color="auto" w:fill="auto"/>
            <w:vAlign w:val="center"/>
          </w:tcPr>
          <w:p w14:paraId="1A504A69" w14:textId="784BE4D2" w:rsidR="005C1807" w:rsidRPr="003A7F84" w:rsidRDefault="005C1807" w:rsidP="00AB32A3">
            <w:pPr>
              <w:pStyle w:val="TableText"/>
              <w:keepNext w:val="0"/>
              <w:rPr>
                <w:iCs/>
              </w:rPr>
            </w:pPr>
            <w:r w:rsidRPr="003A7F84">
              <w:t xml:space="preserve">Proportions of adults likely to experience a GCSE during their lifetime derived from Trinka (2012), included all SE including non-convulsive and focal seizures. </w:t>
            </w:r>
            <w:r w:rsidRPr="003A7F84">
              <w:rPr>
                <w:iCs/>
              </w:rPr>
              <w:t>This is most likely an overestimate.</w:t>
            </w:r>
          </w:p>
          <w:p w14:paraId="1543700B" w14:textId="0DCA184D" w:rsidR="005C1807" w:rsidRPr="003A7F84" w:rsidRDefault="005C1807" w:rsidP="00AB32A3">
            <w:pPr>
              <w:pStyle w:val="TableText"/>
              <w:keepNext w:val="0"/>
            </w:pPr>
            <w:r w:rsidRPr="003A7F84">
              <w:t xml:space="preserve">Proportions of children likely to experience a GCSE event during their lifetime were derived from Sillanpaa 2002, a prospective cohort study of 150 children &lt;16 years with new onset epilepsy between 1961 and 1964 (Finland) observed from 1972 to 1997 (data were 50-25 years old). As a simplifying assumption, the submission assumed that the index GCSE event occurred in the year of diagnosis. </w:t>
            </w:r>
            <w:r w:rsidRPr="003A7F84">
              <w:rPr>
                <w:iCs/>
              </w:rPr>
              <w:t xml:space="preserve">Given the advances in epilepsy management and diagnosis over time, </w:t>
            </w:r>
            <w:bookmarkStart w:id="52" w:name="_Hlk101292719"/>
            <w:r w:rsidRPr="003A7F84">
              <w:rPr>
                <w:iCs/>
              </w:rPr>
              <w:t xml:space="preserve">these data </w:t>
            </w:r>
            <w:r w:rsidR="00F21EC5" w:rsidRPr="003A7F84">
              <w:rPr>
                <w:iCs/>
              </w:rPr>
              <w:t xml:space="preserve">do </w:t>
            </w:r>
            <w:r w:rsidRPr="003A7F84">
              <w:rPr>
                <w:iCs/>
              </w:rPr>
              <w:t>not reflect the contemporary Australian setting</w:t>
            </w:r>
            <w:bookmarkEnd w:id="52"/>
            <w:r w:rsidRPr="003A7F84">
              <w:rPr>
                <w:iCs/>
              </w:rPr>
              <w:t>.</w:t>
            </w:r>
            <w:r w:rsidRPr="003A7F84">
              <w:t xml:space="preserve"> </w:t>
            </w:r>
          </w:p>
        </w:tc>
      </w:tr>
      <w:tr w:rsidR="005C1807" w:rsidRPr="003A7F84" w14:paraId="244D2F9F" w14:textId="77777777" w:rsidTr="007A50D6">
        <w:trPr>
          <w:cantSplit/>
          <w:trHeight w:val="46"/>
        </w:trPr>
        <w:tc>
          <w:tcPr>
            <w:tcW w:w="0" w:type="auto"/>
            <w:shd w:val="clear" w:color="auto" w:fill="auto"/>
            <w:vAlign w:val="center"/>
          </w:tcPr>
          <w:p w14:paraId="75E7EE2E" w14:textId="77777777" w:rsidR="005C1807" w:rsidRPr="003A7F84" w:rsidRDefault="005C1807" w:rsidP="00AB32A3">
            <w:pPr>
              <w:pStyle w:val="TableText"/>
              <w:keepNext w:val="0"/>
              <w:rPr>
                <w:rFonts w:cs="Calibri"/>
                <w:color w:val="000000"/>
                <w:szCs w:val="20"/>
              </w:rPr>
            </w:pPr>
            <w:r w:rsidRPr="003A7F84">
              <w:rPr>
                <w:rFonts w:cs="Calibri"/>
                <w:color w:val="000000"/>
                <w:szCs w:val="20"/>
              </w:rPr>
              <w:lastRenderedPageBreak/>
              <w:t>Persistence</w:t>
            </w:r>
          </w:p>
        </w:tc>
        <w:tc>
          <w:tcPr>
            <w:tcW w:w="0" w:type="auto"/>
            <w:shd w:val="clear" w:color="auto" w:fill="auto"/>
            <w:vAlign w:val="center"/>
          </w:tcPr>
          <w:p w14:paraId="5DA946E8" w14:textId="50BB05DB" w:rsidR="005C1807" w:rsidRPr="00245109" w:rsidRDefault="005C1807" w:rsidP="00AB32A3">
            <w:pPr>
              <w:pStyle w:val="TableText"/>
              <w:keepNext w:val="0"/>
              <w:jc w:val="center"/>
            </w:pPr>
            <w:r w:rsidRPr="00245109">
              <w:t>100% Years 1-5</w:t>
            </w:r>
            <w:r w:rsidR="00AB70EB" w:rsidRPr="00245109">
              <w:t xml:space="preserve"> (assumption)</w:t>
            </w:r>
          </w:p>
          <w:p w14:paraId="42121736" w14:textId="77777777" w:rsidR="005C1807" w:rsidRPr="00245109" w:rsidRDefault="005C1807" w:rsidP="00AB32A3">
            <w:pPr>
              <w:pStyle w:val="TableText"/>
              <w:keepNext w:val="0"/>
              <w:jc w:val="center"/>
            </w:pPr>
            <w:r w:rsidRPr="00245109">
              <w:t>51% from Year 6 onwards</w:t>
            </w:r>
          </w:p>
          <w:p w14:paraId="4B113FCB" w14:textId="77777777" w:rsidR="005C1807" w:rsidRPr="00245109" w:rsidRDefault="005C1807" w:rsidP="00AB32A3">
            <w:pPr>
              <w:pStyle w:val="TableText"/>
              <w:keepNext w:val="0"/>
              <w:jc w:val="center"/>
            </w:pPr>
            <w:r w:rsidRPr="00245109">
              <w:t>(Sillanpaa 2002)</w:t>
            </w:r>
          </w:p>
        </w:tc>
        <w:tc>
          <w:tcPr>
            <w:tcW w:w="0" w:type="auto"/>
            <w:shd w:val="clear" w:color="auto" w:fill="auto"/>
            <w:vAlign w:val="center"/>
          </w:tcPr>
          <w:p w14:paraId="6FC92C07" w14:textId="22CBAFD8" w:rsidR="005C1807" w:rsidRPr="00245109" w:rsidRDefault="005C1807" w:rsidP="00AB32A3">
            <w:pPr>
              <w:rPr>
                <w:rFonts w:ascii="Arial Narrow" w:eastAsiaTheme="majorEastAsia" w:hAnsi="Arial Narrow" w:cstheme="majorBidi"/>
                <w:bCs/>
                <w:sz w:val="20"/>
              </w:rPr>
            </w:pPr>
            <w:r w:rsidRPr="00245109">
              <w:rPr>
                <w:rFonts w:ascii="Arial Narrow" w:eastAsiaTheme="majorEastAsia" w:hAnsi="Arial Narrow" w:cstheme="majorBidi"/>
                <w:bCs/>
                <w:iCs/>
                <w:sz w:val="20"/>
              </w:rPr>
              <w:t>The</w:t>
            </w:r>
            <w:r w:rsidR="00AB70EB" w:rsidRPr="00245109">
              <w:rPr>
                <w:rFonts w:ascii="Arial Narrow" w:eastAsiaTheme="majorEastAsia" w:hAnsi="Arial Narrow" w:cstheme="majorBidi"/>
                <w:bCs/>
                <w:iCs/>
                <w:sz w:val="20"/>
              </w:rPr>
              <w:t xml:space="preserve"> assumption of</w:t>
            </w:r>
            <w:r w:rsidRPr="00245109">
              <w:rPr>
                <w:rFonts w:ascii="Arial Narrow" w:eastAsiaTheme="majorEastAsia" w:hAnsi="Arial Narrow" w:cstheme="majorBidi"/>
                <w:bCs/>
                <w:iCs/>
                <w:sz w:val="20"/>
              </w:rPr>
              <w:t xml:space="preserve"> 100% persistence for Years 1-5</w:t>
            </w:r>
            <w:r w:rsidR="00AB70EB" w:rsidRPr="00245109">
              <w:rPr>
                <w:rFonts w:ascii="Arial Narrow" w:eastAsiaTheme="majorEastAsia" w:hAnsi="Arial Narrow" w:cstheme="majorBidi"/>
                <w:bCs/>
                <w:iCs/>
                <w:sz w:val="20"/>
              </w:rPr>
              <w:t xml:space="preserve"> i</w:t>
            </w:r>
            <w:r w:rsidRPr="00245109">
              <w:rPr>
                <w:rFonts w:ascii="Arial Narrow" w:eastAsiaTheme="majorEastAsia" w:hAnsi="Arial Narrow" w:cstheme="majorBidi"/>
                <w:bCs/>
                <w:iCs/>
                <w:sz w:val="20"/>
              </w:rPr>
              <w:t xml:space="preserve">s not plausible. </w:t>
            </w:r>
            <w:r w:rsidRPr="00245109">
              <w:rPr>
                <w:rFonts w:ascii="Arial Narrow" w:eastAsiaTheme="majorEastAsia" w:hAnsi="Arial Narrow" w:cstheme="majorBidi"/>
                <w:bCs/>
                <w:sz w:val="20"/>
              </w:rPr>
              <w:t xml:space="preserve"> </w:t>
            </w:r>
          </w:p>
          <w:p w14:paraId="13AB0E38" w14:textId="270745AD" w:rsidR="005C1807" w:rsidRPr="00245109" w:rsidRDefault="005C1807" w:rsidP="00AB32A3">
            <w:pPr>
              <w:jc w:val="left"/>
              <w:rPr>
                <w:b/>
                <w:bCs/>
                <w:i/>
                <w:iCs/>
                <w:szCs w:val="18"/>
              </w:rPr>
            </w:pPr>
            <w:r w:rsidRPr="00245109">
              <w:rPr>
                <w:rFonts w:ascii="Arial Narrow" w:eastAsiaTheme="majorEastAsia" w:hAnsi="Arial Narrow" w:cstheme="majorBidi"/>
                <w:bCs/>
                <w:sz w:val="20"/>
              </w:rPr>
              <w:t xml:space="preserve">The submission assumed that patients not experiencing a recurrent event within 5 years of their index event cease using midazolam in Year 6, and reduced the population by 49% in Year 6 (1.0 - 0.51; Sillanpaa 2002), but not in subsequent years. </w:t>
            </w:r>
            <w:r w:rsidR="00F21EC5" w:rsidRPr="00245109">
              <w:rPr>
                <w:rFonts w:ascii="Arial Narrow" w:eastAsiaTheme="majorEastAsia" w:hAnsi="Arial Narrow" w:cstheme="majorBidi"/>
                <w:bCs/>
                <w:iCs/>
                <w:sz w:val="20"/>
              </w:rPr>
              <w:t>As above, these data do not reflect the contemporary Australian setting</w:t>
            </w:r>
            <w:r w:rsidRPr="00245109">
              <w:rPr>
                <w:rFonts w:ascii="Arial Narrow" w:eastAsiaTheme="majorEastAsia" w:hAnsi="Arial Narrow" w:cstheme="majorBidi"/>
                <w:bCs/>
                <w:iCs/>
                <w:sz w:val="20"/>
              </w:rPr>
              <w:t xml:space="preserve">. Given prescribed midazolam oromucosal solution </w:t>
            </w:r>
            <w:r w:rsidR="00A244CB" w:rsidRPr="00245109">
              <w:rPr>
                <w:rFonts w:ascii="Arial Narrow" w:eastAsiaTheme="majorEastAsia" w:hAnsi="Arial Narrow" w:cstheme="majorBidi"/>
                <w:bCs/>
                <w:iCs/>
                <w:sz w:val="20"/>
              </w:rPr>
              <w:t>may</w:t>
            </w:r>
            <w:r w:rsidRPr="00245109">
              <w:rPr>
                <w:rFonts w:ascii="Arial Narrow" w:eastAsiaTheme="majorEastAsia" w:hAnsi="Arial Narrow" w:cstheme="majorBidi"/>
                <w:bCs/>
                <w:iCs/>
                <w:sz w:val="20"/>
              </w:rPr>
              <w:t xml:space="preserve"> be a core component of Epilepsy Management Plans (particularly in children), the cessation of treatment </w:t>
            </w:r>
            <w:r w:rsidR="007B5AD8" w:rsidRPr="00245109">
              <w:rPr>
                <w:rFonts w:ascii="Arial Narrow" w:eastAsiaTheme="majorEastAsia" w:hAnsi="Arial Narrow" w:cstheme="majorBidi"/>
                <w:bCs/>
                <w:iCs/>
                <w:sz w:val="20"/>
              </w:rPr>
              <w:t>after five years</w:t>
            </w:r>
            <w:r w:rsidRPr="00245109">
              <w:rPr>
                <w:rFonts w:ascii="Arial Narrow" w:eastAsiaTheme="majorEastAsia" w:hAnsi="Arial Narrow" w:cstheme="majorBidi"/>
                <w:bCs/>
                <w:iCs/>
                <w:sz w:val="20"/>
              </w:rPr>
              <w:t xml:space="preserve"> may not be reasonable. </w:t>
            </w:r>
          </w:p>
        </w:tc>
      </w:tr>
      <w:tr w:rsidR="005C1807" w:rsidRPr="003A7F84" w14:paraId="66C7DE2C" w14:textId="77777777" w:rsidTr="007A50D6">
        <w:trPr>
          <w:cantSplit/>
          <w:trHeight w:val="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289FDB" w14:textId="77777777" w:rsidR="005C1807" w:rsidRPr="003A7F84" w:rsidRDefault="005C1807" w:rsidP="00AB32A3">
            <w:pPr>
              <w:pStyle w:val="TableText"/>
              <w:keepNext w:val="0"/>
              <w:rPr>
                <w:rFonts w:cs="Calibri"/>
                <w:color w:val="000000"/>
                <w:szCs w:val="20"/>
              </w:rPr>
            </w:pPr>
            <w:r w:rsidRPr="003A7F84">
              <w:rPr>
                <w:rFonts w:cs="Calibri"/>
                <w:color w:val="000000"/>
                <w:szCs w:val="20"/>
              </w:rPr>
              <w:t>Uptake of midazolam oromucosal solution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97E21" w14:textId="7414604F" w:rsidR="005C1807" w:rsidRPr="00A17805" w:rsidRDefault="005C1807" w:rsidP="00AB32A3">
            <w:pPr>
              <w:pStyle w:val="TableText"/>
              <w:keepNext w:val="0"/>
              <w:tabs>
                <w:tab w:val="center" w:pos="1548"/>
              </w:tabs>
              <w:rPr>
                <w:rFonts w:cs="Arial"/>
                <w:szCs w:val="20"/>
              </w:rPr>
            </w:pPr>
            <w:r w:rsidRPr="00A17805">
              <w:t xml:space="preserve">Adults: </w:t>
            </w:r>
            <w:r w:rsidR="001F03AF" w:rsidRPr="001F03AF">
              <w:rPr>
                <w:color w:val="000000"/>
                <w:spacing w:val="55"/>
                <w:shd w:val="solid" w:color="000000" w:fill="000000"/>
                <w:fitText w:val="338" w:id="-1435807487"/>
                <w14:textFill>
                  <w14:solidFill>
                    <w14:srgbClr w14:val="000000">
                      <w14:alpha w14:val="100000"/>
                    </w14:srgbClr>
                  </w14:solidFill>
                </w14:textFill>
              </w:rPr>
              <w:t>|||</w:t>
            </w:r>
            <w:r w:rsidR="001F03AF" w:rsidRPr="001F03AF">
              <w:rPr>
                <w:color w:val="000000"/>
                <w:spacing w:val="3"/>
                <w:shd w:val="solid" w:color="000000" w:fill="000000"/>
                <w:fitText w:val="338" w:id="-1435807487"/>
                <w14:textFill>
                  <w14:solidFill>
                    <w14:srgbClr w14:val="000000">
                      <w14:alpha w14:val="100000"/>
                    </w14:srgbClr>
                  </w14:solidFill>
                </w14:textFill>
              </w:rPr>
              <w:t>|</w:t>
            </w:r>
            <w:r w:rsidRPr="00A17805">
              <w:t xml:space="preserve">% - </w:t>
            </w:r>
            <w:r w:rsidR="001F03AF" w:rsidRPr="001F03AF">
              <w:rPr>
                <w:color w:val="000000"/>
                <w:spacing w:val="51"/>
                <w:shd w:val="solid" w:color="000000" w:fill="000000"/>
                <w:fitText w:val="325" w:id="-1435807486"/>
                <w14:textFill>
                  <w14:solidFill>
                    <w14:srgbClr w14:val="000000">
                      <w14:alpha w14:val="100000"/>
                    </w14:srgbClr>
                  </w14:solidFill>
                </w14:textFill>
              </w:rPr>
              <w:t>|||</w:t>
            </w:r>
            <w:r w:rsidR="001F03AF" w:rsidRPr="001F03AF">
              <w:rPr>
                <w:color w:val="000000"/>
                <w:spacing w:val="2"/>
                <w:shd w:val="solid" w:color="000000" w:fill="000000"/>
                <w:fitText w:val="325" w:id="-1435807486"/>
                <w14:textFill>
                  <w14:solidFill>
                    <w14:srgbClr w14:val="000000">
                      <w14:alpha w14:val="100000"/>
                    </w14:srgbClr>
                  </w14:solidFill>
                </w14:textFill>
              </w:rPr>
              <w:t>|</w:t>
            </w:r>
            <w:r w:rsidRPr="00A17805">
              <w:t>% over 6 years</w:t>
            </w:r>
          </w:p>
          <w:p w14:paraId="42B8B591" w14:textId="2FE513F0" w:rsidR="005C1807" w:rsidRPr="00964EC6" w:rsidRDefault="005C1807" w:rsidP="00AB32A3">
            <w:pPr>
              <w:pStyle w:val="TableText"/>
              <w:keepNext w:val="0"/>
              <w:tabs>
                <w:tab w:val="center" w:pos="1548"/>
              </w:tabs>
              <w:rPr>
                <w:color w:val="FF0000"/>
                <w:highlight w:val="yellow"/>
              </w:rPr>
            </w:pPr>
            <w:r w:rsidRPr="00A17805">
              <w:rPr>
                <w:rFonts w:cs="Arial"/>
              </w:rPr>
              <w:t xml:space="preserve">Children: </w:t>
            </w:r>
            <w:r w:rsidR="001F03AF" w:rsidRPr="001F03AF">
              <w:rPr>
                <w:rFonts w:cs="Arial"/>
                <w:color w:val="000000"/>
                <w:spacing w:val="51"/>
                <w:shd w:val="solid" w:color="000000" w:fill="000000"/>
                <w:fitText w:val="325" w:id="-1435807485"/>
                <w14:textFill>
                  <w14:solidFill>
                    <w14:srgbClr w14:val="000000">
                      <w14:alpha w14:val="100000"/>
                    </w14:srgbClr>
                  </w14:solidFill>
                </w14:textFill>
              </w:rPr>
              <w:t>|||</w:t>
            </w:r>
            <w:r w:rsidR="001F03AF" w:rsidRPr="001F03AF">
              <w:rPr>
                <w:rFonts w:cs="Arial"/>
                <w:color w:val="000000"/>
                <w:spacing w:val="2"/>
                <w:shd w:val="solid" w:color="000000" w:fill="000000"/>
                <w:fitText w:val="325" w:id="-1435807485"/>
                <w14:textFill>
                  <w14:solidFill>
                    <w14:srgbClr w14:val="000000">
                      <w14:alpha w14:val="100000"/>
                    </w14:srgbClr>
                  </w14:solidFill>
                </w14:textFill>
              </w:rPr>
              <w:t>|</w:t>
            </w:r>
            <w:r w:rsidRPr="00A17805">
              <w:rPr>
                <w:rFonts w:cs="Arial"/>
              </w:rPr>
              <w:t xml:space="preserve">% - </w:t>
            </w:r>
            <w:r w:rsidR="001F03AF" w:rsidRPr="001F03AF">
              <w:rPr>
                <w:rFonts w:cs="Arial"/>
                <w:color w:val="000000"/>
                <w:spacing w:val="51"/>
                <w:shd w:val="solid" w:color="000000" w:fill="000000"/>
                <w:fitText w:val="326" w:id="-1435807484"/>
                <w14:textFill>
                  <w14:solidFill>
                    <w14:srgbClr w14:val="000000">
                      <w14:alpha w14:val="100000"/>
                    </w14:srgbClr>
                  </w14:solidFill>
                </w14:textFill>
              </w:rPr>
              <w:t>|||</w:t>
            </w:r>
            <w:r w:rsidR="001F03AF" w:rsidRPr="001F03AF">
              <w:rPr>
                <w:rFonts w:cs="Arial"/>
                <w:color w:val="000000"/>
                <w:spacing w:val="3"/>
                <w:shd w:val="solid" w:color="000000" w:fill="000000"/>
                <w:fitText w:val="326" w:id="-1435807484"/>
                <w14:textFill>
                  <w14:solidFill>
                    <w14:srgbClr w14:val="000000">
                      <w14:alpha w14:val="100000"/>
                    </w14:srgbClr>
                  </w14:solidFill>
                </w14:textFill>
              </w:rPr>
              <w:t>|</w:t>
            </w:r>
            <w:r w:rsidRPr="00A17805">
              <w:rPr>
                <w:rFonts w:cs="Arial"/>
              </w:rPr>
              <w:t>% over 6 years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A6600" w14:textId="77777777" w:rsidR="005C1807" w:rsidRPr="003A7F84" w:rsidRDefault="005C1807" w:rsidP="00AB32A3">
            <w:pPr>
              <w:pStyle w:val="TableText"/>
              <w:keepNext w:val="0"/>
            </w:pPr>
            <w:r w:rsidRPr="003A7F84">
              <w:t xml:space="preserve">Assumed. </w:t>
            </w:r>
            <w:r w:rsidRPr="003A7F84">
              <w:rPr>
                <w:iCs/>
              </w:rPr>
              <w:t>Uptake of midazolam oromucosal solution is highly uncertain</w:t>
            </w:r>
            <w:r w:rsidRPr="003A7F84">
              <w:t>.</w:t>
            </w:r>
          </w:p>
        </w:tc>
      </w:tr>
      <w:tr w:rsidR="005C1807" w:rsidRPr="003A7F84" w14:paraId="2F238FA0" w14:textId="77777777" w:rsidTr="007A50D6">
        <w:trPr>
          <w:cantSplit/>
          <w:trHeight w:val="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A32576" w14:textId="01B9E285" w:rsidR="005C1807" w:rsidRPr="003A7F84" w:rsidRDefault="005C1807" w:rsidP="00AB32A3">
            <w:pPr>
              <w:pStyle w:val="TableText"/>
              <w:keepNext w:val="0"/>
              <w:rPr>
                <w:rFonts w:cs="Calibri"/>
                <w:color w:val="000000"/>
                <w:szCs w:val="20"/>
              </w:rPr>
            </w:pPr>
            <w:r w:rsidRPr="003A7F84">
              <w:rPr>
                <w:rFonts w:cs="Calibri"/>
                <w:color w:val="000000"/>
                <w:szCs w:val="20"/>
              </w:rPr>
              <w:t>Average number of scripts/patient/index event</w:t>
            </w:r>
            <w:r w:rsidR="00BD115E" w:rsidRPr="003A7F84">
              <w:rPr>
                <w:rFonts w:cs="Calibri"/>
                <w:color w:val="000000"/>
                <w:szCs w:val="20"/>
              </w:rPr>
              <w:t xml:space="preserve"> and recurrent events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9250A" w14:textId="099BEF55" w:rsidR="00BD115E" w:rsidRPr="00A17805" w:rsidRDefault="00712791" w:rsidP="00BD115E">
            <w:pPr>
              <w:pStyle w:val="TableText"/>
              <w:keepNext w:val="0"/>
              <w:jc w:val="center"/>
            </w:pPr>
            <w:r w:rsidRPr="00A17805">
              <w:t xml:space="preserve">Index event: </w:t>
            </w:r>
            <w:r w:rsidR="005C1807" w:rsidRPr="00A17805">
              <w:t>1 script in Year 1</w:t>
            </w:r>
          </w:p>
          <w:p w14:paraId="146B0F40" w14:textId="7F0A0F73" w:rsidR="00BD115E" w:rsidRPr="00A17805" w:rsidRDefault="00712791" w:rsidP="00BD115E">
            <w:pPr>
              <w:pStyle w:val="TableText"/>
              <w:keepNext w:val="0"/>
              <w:jc w:val="center"/>
            </w:pPr>
            <w:r w:rsidRPr="00A17805">
              <w:t xml:space="preserve">Recurrent events: </w:t>
            </w:r>
            <w:r w:rsidR="00BD115E" w:rsidRPr="00A17805">
              <w:t>1.73 scripts/year</w:t>
            </w:r>
          </w:p>
          <w:p w14:paraId="39E0F3CA" w14:textId="6A34BE53" w:rsidR="005C1807" w:rsidRPr="00A17805" w:rsidRDefault="00BD115E" w:rsidP="00BD115E">
            <w:pPr>
              <w:pStyle w:val="TableText"/>
              <w:keepNext w:val="0"/>
              <w:jc w:val="center"/>
            </w:pPr>
            <w:r w:rsidRPr="00A17805">
              <w:t>(Sillanpaa 2002)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23C2A" w14:textId="77777777" w:rsidR="00712791" w:rsidRPr="00A17805" w:rsidRDefault="005C1807" w:rsidP="00AB32A3">
            <w:pPr>
              <w:pStyle w:val="TableText"/>
              <w:keepNext w:val="0"/>
            </w:pPr>
            <w:r w:rsidRPr="00A17805">
              <w:t>The submission assumed one additional script for all patients in Year 1 for the index event.</w:t>
            </w:r>
            <w:r w:rsidR="00712791" w:rsidRPr="00A17805">
              <w:t xml:space="preserve"> </w:t>
            </w:r>
          </w:p>
          <w:p w14:paraId="05F550A5" w14:textId="443A0DDA" w:rsidR="005C1807" w:rsidRPr="00A17805" w:rsidRDefault="00712791" w:rsidP="00AB32A3">
            <w:pPr>
              <w:pStyle w:val="TableText"/>
              <w:keepNext w:val="0"/>
            </w:pPr>
            <w:r w:rsidRPr="00A17805">
              <w:t xml:space="preserve">Based on the proportions of patients experiencing 2-3 (34%) or ≥4 (22%) GCSE events in a year, reported in Sillanpaa 2002. Calculated: [2.5 × 0.34] + [4 × 0.22] = 1.73. </w:t>
            </w:r>
            <w:r w:rsidRPr="00A17805">
              <w:rPr>
                <w:iCs/>
              </w:rPr>
              <w:t>As noted above, older data may not reflect the contemporary Australian setting</w:t>
            </w:r>
            <w:r w:rsidRPr="00A17805">
              <w:t>.</w:t>
            </w:r>
          </w:p>
        </w:tc>
      </w:tr>
      <w:tr w:rsidR="005C1807" w:rsidRPr="003A7F84" w14:paraId="43CCB7EC" w14:textId="77777777" w:rsidTr="007A50D6">
        <w:trPr>
          <w:cantSplit/>
          <w:trHeight w:val="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A77AE" w14:textId="77777777" w:rsidR="005C1807" w:rsidRPr="003A7F84" w:rsidRDefault="005C1807" w:rsidP="00AB32A3">
            <w:pPr>
              <w:pStyle w:val="TableText"/>
              <w:keepNext w:val="0"/>
              <w:rPr>
                <w:rFonts w:cs="Calibri"/>
                <w:color w:val="000000"/>
                <w:szCs w:val="20"/>
              </w:rPr>
            </w:pPr>
            <w:r w:rsidRPr="003A7F84">
              <w:rPr>
                <w:rFonts w:cs="Calibri"/>
                <w:color w:val="000000"/>
                <w:szCs w:val="20"/>
              </w:rPr>
              <w:t>Average number of scripts/patient/year</w:t>
            </w:r>
          </w:p>
          <w:p w14:paraId="1BFE5828" w14:textId="77777777" w:rsidR="005C1807" w:rsidRPr="003A7F84" w:rsidRDefault="005C1807" w:rsidP="00AB32A3">
            <w:pPr>
              <w:pStyle w:val="TableText"/>
              <w:keepNext w:val="0"/>
              <w:rPr>
                <w:rFonts w:cs="Calibri"/>
                <w:color w:val="000000"/>
                <w:szCs w:val="20"/>
              </w:rPr>
            </w:pPr>
            <w:r w:rsidRPr="003A7F84">
              <w:rPr>
                <w:rFonts w:cs="Calibri"/>
                <w:color w:val="000000"/>
                <w:szCs w:val="20"/>
              </w:rPr>
              <w:t>adjusted for used and expired medicines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C07AF" w14:textId="3D8BF6BF" w:rsidR="005C1807" w:rsidRPr="00A17805" w:rsidRDefault="005C1807" w:rsidP="00AB32A3">
            <w:pPr>
              <w:pStyle w:val="TableText"/>
              <w:keepNext w:val="0"/>
              <w:jc w:val="center"/>
            </w:pPr>
            <w:r w:rsidRPr="00A17805">
              <w:t>1.00173 scripts/patient/year</w:t>
            </w:r>
          </w:p>
          <w:p w14:paraId="0788B972" w14:textId="17165732" w:rsidR="001F7116" w:rsidRPr="00A17805" w:rsidRDefault="00B7749B" w:rsidP="00AB32A3">
            <w:pPr>
              <w:pStyle w:val="TableText"/>
              <w:keepNext w:val="0"/>
              <w:jc w:val="center"/>
              <w:rPr>
                <w:color w:val="FF0000"/>
              </w:rPr>
            </w:pPr>
            <w:r w:rsidRPr="00A17805">
              <w:t xml:space="preserve">Based on the </w:t>
            </w:r>
            <w:r w:rsidR="001F7116" w:rsidRPr="00A17805">
              <w:t xml:space="preserve">proportion of patients experiencing a GCSE event per year </w:t>
            </w:r>
            <w:r w:rsidR="0025785D" w:rsidRPr="00A17805">
              <w:t>and requiring replacement script</w:t>
            </w:r>
            <w:r w:rsidR="00602A43" w:rsidRPr="00A17805">
              <w:t>s</w:t>
            </w:r>
            <w:r w:rsidR="0025785D" w:rsidRPr="00A17805">
              <w:t xml:space="preserve"> </w:t>
            </w:r>
            <w:r w:rsidR="001F7116" w:rsidRPr="00A17805">
              <w:t>(based on cumulative incidence data from Sillanpaa 2002)</w:t>
            </w:r>
            <w:r w:rsidRPr="00A17805">
              <w:t>;</w:t>
            </w:r>
            <w:r w:rsidR="0025785D" w:rsidRPr="00A17805">
              <w:t xml:space="preserve"> and</w:t>
            </w:r>
            <w:r w:rsidRPr="00A17805">
              <w:t xml:space="preserve"> the assumption that patients w</w:t>
            </w:r>
            <w:r w:rsidR="007E0091" w:rsidRPr="00A17805">
              <w:t>ithout an event will</w:t>
            </w:r>
            <w:r w:rsidRPr="00A17805">
              <w:t xml:space="preserve"> require 1 script per year</w:t>
            </w:r>
            <w:r w:rsidR="0025785D" w:rsidRPr="00A17805">
              <w:t xml:space="preserve"> due to expiry</w:t>
            </w:r>
            <w:r w:rsidR="00F22001" w:rsidRPr="00A17805">
              <w:t xml:space="preserve"> (</w:t>
            </w:r>
            <w:proofErr w:type="gramStart"/>
            <w:r w:rsidR="00F22001" w:rsidRPr="00A17805">
              <w:t>14 month</w:t>
            </w:r>
            <w:proofErr w:type="gramEnd"/>
            <w:r w:rsidR="00F22001" w:rsidRPr="00A17805">
              <w:t xml:space="preserve"> shelf-life with an effective dispensed expiry of 12 months).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C8197" w14:textId="77777777" w:rsidR="008A7956" w:rsidRPr="003A7F84" w:rsidRDefault="008A7956" w:rsidP="00AB32A3">
            <w:pPr>
              <w:pStyle w:val="TableText"/>
              <w:keepNext w:val="0"/>
              <w:rPr>
                <w:iCs/>
              </w:rPr>
            </w:pPr>
          </w:p>
          <w:p w14:paraId="233F05C2" w14:textId="1001DBCE" w:rsidR="005C1807" w:rsidRPr="003A7F84" w:rsidRDefault="005C1807" w:rsidP="00AB32A3">
            <w:pPr>
              <w:pStyle w:val="TableText"/>
              <w:keepNext w:val="0"/>
              <w:rPr>
                <w:i/>
                <w:iCs/>
              </w:rPr>
            </w:pPr>
            <w:r w:rsidRPr="003A7F84">
              <w:rPr>
                <w:iCs/>
              </w:rPr>
              <w:t xml:space="preserve">The sum of scripts for each year </w:t>
            </w:r>
            <w:r w:rsidR="00CE11BD" w:rsidRPr="003A7F84">
              <w:rPr>
                <w:iCs/>
              </w:rPr>
              <w:t xml:space="preserve">(replacement scripts and expiry scripts) </w:t>
            </w:r>
            <w:r w:rsidRPr="003A7F84">
              <w:rPr>
                <w:iCs/>
              </w:rPr>
              <w:t>was ≤1 for all years other than Year 1.</w:t>
            </w:r>
            <w:r w:rsidRPr="003A7F84">
              <w:rPr>
                <w:iCs/>
                <w:vertAlign w:val="superscript"/>
              </w:rPr>
              <w:t>a</w:t>
            </w:r>
            <w:r w:rsidRPr="003A7F84">
              <w:rPr>
                <w:iCs/>
              </w:rPr>
              <w:t xml:space="preserve"> This estimate is not plausible, given most patients would require at least one replacement script every 12 months, and additional scripts for recurrent GCSE events. </w:t>
            </w:r>
          </w:p>
        </w:tc>
      </w:tr>
      <w:tr w:rsidR="005C1807" w:rsidRPr="003A7F84" w14:paraId="5E39E3BA" w14:textId="77777777" w:rsidTr="007A50D6">
        <w:trPr>
          <w:cantSplit/>
          <w:trHeight w:val="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8A769" w14:textId="77777777" w:rsidR="005C1807" w:rsidRPr="003A7F84" w:rsidRDefault="005C1807" w:rsidP="00AB32A3">
            <w:pPr>
              <w:pStyle w:val="TableText"/>
              <w:keepNext w:val="0"/>
              <w:rPr>
                <w:rFonts w:cs="Calibri"/>
                <w:color w:val="000000"/>
                <w:szCs w:val="20"/>
              </w:rPr>
            </w:pPr>
            <w:r w:rsidRPr="003A7F84">
              <w:rPr>
                <w:rFonts w:cs="Calibri"/>
                <w:color w:val="000000"/>
                <w:szCs w:val="20"/>
              </w:rPr>
              <w:t>Average patient copayment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B3659" w14:textId="77777777" w:rsidR="005C1807" w:rsidRPr="003A7F84" w:rsidRDefault="005C1807" w:rsidP="00AB32A3">
            <w:pPr>
              <w:pStyle w:val="TableText"/>
              <w:keepNext w:val="0"/>
              <w:tabs>
                <w:tab w:val="center" w:pos="1548"/>
              </w:tabs>
              <w:jc w:val="center"/>
            </w:pPr>
            <w:r w:rsidRPr="003A7F84">
              <w:t>PBS: $4.75</w:t>
            </w:r>
          </w:p>
          <w:p w14:paraId="0560A796" w14:textId="77777777" w:rsidR="005C1807" w:rsidRPr="003A7F84" w:rsidRDefault="005C1807" w:rsidP="00AB32A3">
            <w:pPr>
              <w:pStyle w:val="TableText"/>
              <w:keepNext w:val="0"/>
              <w:tabs>
                <w:tab w:val="center" w:pos="1548"/>
              </w:tabs>
              <w:jc w:val="center"/>
            </w:pPr>
            <w:r w:rsidRPr="003A7F84">
              <w:t>RPBS: $4.98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9E242" w14:textId="351E5887" w:rsidR="005C1807" w:rsidRPr="003A7F84" w:rsidRDefault="005C1807" w:rsidP="00AB32A3">
            <w:pPr>
              <w:pStyle w:val="TableText"/>
              <w:keepNext w:val="0"/>
            </w:pPr>
            <w:r w:rsidRPr="003A7F84">
              <w:t xml:space="preserve">Based on the average patient copayment for clonazepam 1 mg/mL ampoules for injection (PBS item 1807D), restricted benefit for slow intravenous infusion; 2020. </w:t>
            </w:r>
            <w:r w:rsidR="008324C8" w:rsidRPr="003A7F84">
              <w:rPr>
                <w:iCs/>
              </w:rPr>
              <w:t xml:space="preserve">The average patient copayment was low and may underestimate the patient copayment associated with </w:t>
            </w:r>
            <w:r w:rsidR="00D21040" w:rsidRPr="003A7F84">
              <w:rPr>
                <w:iCs/>
              </w:rPr>
              <w:t>midazolam</w:t>
            </w:r>
            <w:r w:rsidR="008324C8" w:rsidRPr="003A7F84">
              <w:rPr>
                <w:iCs/>
              </w:rPr>
              <w:t xml:space="preserve"> oromucosal solution</w:t>
            </w:r>
            <w:r w:rsidRPr="003A7F84">
              <w:t>.</w:t>
            </w:r>
          </w:p>
        </w:tc>
      </w:tr>
    </w:tbl>
    <w:p w14:paraId="4BF7CB9E" w14:textId="77777777" w:rsidR="005C1807" w:rsidRPr="003A7F84" w:rsidRDefault="005C1807" w:rsidP="005C1807">
      <w:pPr>
        <w:pStyle w:val="TableFigureFooter"/>
      </w:pPr>
      <w:r w:rsidRPr="003A7F84">
        <w:t>Source: Table 4-1, p183 and Table 4-2, p184 of the submission.</w:t>
      </w:r>
    </w:p>
    <w:p w14:paraId="7C4B4449" w14:textId="77777777" w:rsidR="005C1807" w:rsidRPr="003A7F84" w:rsidRDefault="005C1807" w:rsidP="005C1807">
      <w:pPr>
        <w:pStyle w:val="TableFigureFooter"/>
      </w:pPr>
      <w:r w:rsidRPr="003A7F84">
        <w:t>Abbreviations: ABS, Australia Bureau of Statistics; GCSE, generalised convulsive status epilepticus.</w:t>
      </w:r>
    </w:p>
    <w:p w14:paraId="7AFDC995" w14:textId="0AFC7673" w:rsidR="00644341" w:rsidRPr="003A7F84" w:rsidRDefault="005C1807" w:rsidP="005C1807">
      <w:pPr>
        <w:pStyle w:val="TableFigureFooter"/>
      </w:pPr>
      <w:r w:rsidRPr="003A7F84">
        <w:rPr>
          <w:vertAlign w:val="superscript"/>
        </w:rPr>
        <w:t>a</w:t>
      </w:r>
      <w:r w:rsidRPr="003A7F84">
        <w:t xml:space="preserve"> Total scripts (adjusted for used and expired scripts) for Year 1 </w:t>
      </w:r>
      <w:r w:rsidR="00BD0B82" w:rsidRPr="003A7F84">
        <w:t xml:space="preserve">= </w:t>
      </w:r>
      <w:r w:rsidRPr="003A7F84">
        <w:t xml:space="preserve">1.54; Year 2 </w:t>
      </w:r>
      <w:r w:rsidR="00BD0B82" w:rsidRPr="003A7F84">
        <w:t xml:space="preserve">= </w:t>
      </w:r>
      <w:r w:rsidRPr="003A7F84">
        <w:t xml:space="preserve">0.6540; Year 3 </w:t>
      </w:r>
      <w:r w:rsidR="00BD0B82" w:rsidRPr="003A7F84">
        <w:t xml:space="preserve">= </w:t>
      </w:r>
      <w:r w:rsidRPr="003A7F84">
        <w:t xml:space="preserve">0.8847; Years 4 &amp; 5 </w:t>
      </w:r>
      <w:r w:rsidR="00BD0B82" w:rsidRPr="003A7F84">
        <w:t xml:space="preserve">= </w:t>
      </w:r>
      <w:r w:rsidRPr="003A7F84">
        <w:t xml:space="preserve">1.0; Year 6 </w:t>
      </w:r>
      <w:r w:rsidR="00BD0B82" w:rsidRPr="003A7F84">
        <w:t xml:space="preserve">= </w:t>
      </w:r>
      <w:r w:rsidRPr="003A7F84">
        <w:t>0.9527.</w:t>
      </w:r>
    </w:p>
    <w:p w14:paraId="26FB6670" w14:textId="36DF7BFE" w:rsidR="00B505C8" w:rsidRPr="003A7F84" w:rsidRDefault="00C1167C" w:rsidP="00B505C8">
      <w:pPr>
        <w:pStyle w:val="ExecSumBodyText"/>
      </w:pPr>
      <w:r w:rsidRPr="003A7F84">
        <w:fldChar w:fldCharType="begin"/>
      </w:r>
      <w:r w:rsidRPr="003A7F84">
        <w:instrText xml:space="preserve"> REF _Ref104393261 \h </w:instrText>
      </w:r>
      <w:r w:rsidRPr="003A7F84">
        <w:fldChar w:fldCharType="separate"/>
      </w:r>
      <w:r w:rsidR="009466A1" w:rsidRPr="003A7F84">
        <w:t xml:space="preserve">Table </w:t>
      </w:r>
      <w:r w:rsidR="009466A1">
        <w:rPr>
          <w:noProof/>
        </w:rPr>
        <w:t>8</w:t>
      </w:r>
      <w:r w:rsidRPr="003A7F84">
        <w:fldChar w:fldCharType="end"/>
      </w:r>
      <w:r w:rsidRPr="003A7F84">
        <w:t xml:space="preserve"> </w:t>
      </w:r>
      <w:r w:rsidR="00ED347F" w:rsidRPr="003A7F84">
        <w:t xml:space="preserve">summarises the </w:t>
      </w:r>
      <w:r w:rsidR="00E11271" w:rsidRPr="003A7F84">
        <w:t>financial impact of listing midazolam oromucosal solution on the PBS.</w:t>
      </w:r>
    </w:p>
    <w:p w14:paraId="79BBED9B" w14:textId="3E77C8A8" w:rsidR="0012750C" w:rsidRPr="003A7F84" w:rsidRDefault="0012750C" w:rsidP="00BE067C">
      <w:pPr>
        <w:pStyle w:val="Caption"/>
        <w:rPr>
          <w:b w:val="0"/>
        </w:rPr>
      </w:pPr>
      <w:bookmarkStart w:id="53" w:name="_Ref104393261"/>
      <w:r w:rsidRPr="003A7F84">
        <w:lastRenderedPageBreak/>
        <w:t xml:space="preserve">Table </w:t>
      </w:r>
      <w:fldSimple w:instr=" SEQ Table \* ARABIC ">
        <w:r w:rsidR="009466A1">
          <w:rPr>
            <w:noProof/>
          </w:rPr>
          <w:t>8</w:t>
        </w:r>
      </w:fldSimple>
      <w:bookmarkEnd w:id="53"/>
      <w:r w:rsidRPr="003A7F84">
        <w:t>: Estimated use and financial implications</w:t>
      </w:r>
    </w:p>
    <w:tbl>
      <w:tblPr>
        <w:tblStyle w:val="TableGrid"/>
        <w:tblW w:w="5421" w:type="pct"/>
        <w:jc w:val="center"/>
        <w:tblLayout w:type="fixed"/>
        <w:tblLook w:val="04A0" w:firstRow="1" w:lastRow="0" w:firstColumn="1" w:lastColumn="0" w:noHBand="0" w:noVBand="1"/>
      </w:tblPr>
      <w:tblGrid>
        <w:gridCol w:w="2982"/>
        <w:gridCol w:w="1126"/>
        <w:gridCol w:w="1138"/>
        <w:gridCol w:w="1132"/>
        <w:gridCol w:w="1132"/>
        <w:gridCol w:w="1132"/>
        <w:gridCol w:w="1134"/>
      </w:tblGrid>
      <w:tr w:rsidR="00045417" w:rsidRPr="003A7F84" w14:paraId="2B0D54F4" w14:textId="77777777" w:rsidTr="00045417">
        <w:trPr>
          <w:tblHeader/>
          <w:jc w:val="center"/>
        </w:trPr>
        <w:tc>
          <w:tcPr>
            <w:tcW w:w="1525" w:type="pct"/>
            <w:vAlign w:val="center"/>
          </w:tcPr>
          <w:p w14:paraId="4FD0219E" w14:textId="77777777" w:rsidR="00665280" w:rsidRPr="003A7F84" w:rsidRDefault="00665280" w:rsidP="00BE067C">
            <w:pPr>
              <w:keepNext/>
              <w:keepLines/>
              <w:ind w:right="-87"/>
              <w:jc w:val="left"/>
              <w:rPr>
                <w:rFonts w:ascii="Arial Narrow" w:hAnsi="Arial Narrow"/>
                <w:color w:val="3366FF"/>
                <w:sz w:val="20"/>
                <w:szCs w:val="20"/>
              </w:rPr>
            </w:pPr>
          </w:p>
        </w:tc>
        <w:tc>
          <w:tcPr>
            <w:tcW w:w="576" w:type="pct"/>
            <w:vAlign w:val="center"/>
          </w:tcPr>
          <w:p w14:paraId="569BD947" w14:textId="77777777" w:rsidR="00665280" w:rsidRPr="003A7F84" w:rsidRDefault="00665280" w:rsidP="00BE067C">
            <w:pPr>
              <w:pStyle w:val="TableFigureCaption"/>
              <w:keepLines/>
              <w:ind w:left="-70" w:right="-66"/>
              <w:jc w:val="center"/>
              <w:rPr>
                <w:szCs w:val="20"/>
              </w:rPr>
            </w:pPr>
            <w:r w:rsidRPr="003A7F84">
              <w:rPr>
                <w:szCs w:val="20"/>
              </w:rPr>
              <w:t>Year 1</w:t>
            </w:r>
          </w:p>
        </w:tc>
        <w:tc>
          <w:tcPr>
            <w:tcW w:w="582" w:type="pct"/>
            <w:shd w:val="clear" w:color="auto" w:fill="auto"/>
            <w:vAlign w:val="center"/>
          </w:tcPr>
          <w:p w14:paraId="6732527C" w14:textId="77777777" w:rsidR="00665280" w:rsidRPr="003A7F84" w:rsidRDefault="00665280" w:rsidP="00BE067C">
            <w:pPr>
              <w:pStyle w:val="TableFigureCaption"/>
              <w:keepLines/>
              <w:ind w:left="-70" w:right="-66"/>
              <w:jc w:val="center"/>
              <w:rPr>
                <w:szCs w:val="20"/>
              </w:rPr>
            </w:pPr>
            <w:r w:rsidRPr="003A7F84">
              <w:rPr>
                <w:szCs w:val="20"/>
              </w:rPr>
              <w:t>Year 2</w:t>
            </w:r>
          </w:p>
        </w:tc>
        <w:tc>
          <w:tcPr>
            <w:tcW w:w="579" w:type="pct"/>
            <w:shd w:val="clear" w:color="auto" w:fill="auto"/>
            <w:vAlign w:val="center"/>
          </w:tcPr>
          <w:p w14:paraId="7ED141E7" w14:textId="77777777" w:rsidR="00665280" w:rsidRPr="003A7F84" w:rsidRDefault="00665280" w:rsidP="00BE067C">
            <w:pPr>
              <w:pStyle w:val="TableFigureCaption"/>
              <w:keepLines/>
              <w:ind w:left="-70" w:right="-66"/>
              <w:jc w:val="center"/>
              <w:rPr>
                <w:szCs w:val="20"/>
              </w:rPr>
            </w:pPr>
            <w:r w:rsidRPr="003A7F84">
              <w:rPr>
                <w:szCs w:val="20"/>
              </w:rPr>
              <w:t>Year 3</w:t>
            </w:r>
          </w:p>
        </w:tc>
        <w:tc>
          <w:tcPr>
            <w:tcW w:w="579" w:type="pct"/>
            <w:shd w:val="clear" w:color="auto" w:fill="auto"/>
            <w:vAlign w:val="center"/>
          </w:tcPr>
          <w:p w14:paraId="1C8AD575" w14:textId="77777777" w:rsidR="00665280" w:rsidRPr="003A7F84" w:rsidRDefault="00665280" w:rsidP="00BE067C">
            <w:pPr>
              <w:pStyle w:val="TableFigureCaption"/>
              <w:keepLines/>
              <w:ind w:left="-70" w:right="-66"/>
              <w:jc w:val="center"/>
              <w:rPr>
                <w:szCs w:val="20"/>
              </w:rPr>
            </w:pPr>
            <w:r w:rsidRPr="003A7F84">
              <w:rPr>
                <w:szCs w:val="20"/>
              </w:rPr>
              <w:t>Year 4</w:t>
            </w:r>
          </w:p>
        </w:tc>
        <w:tc>
          <w:tcPr>
            <w:tcW w:w="579" w:type="pct"/>
            <w:shd w:val="clear" w:color="auto" w:fill="auto"/>
            <w:vAlign w:val="center"/>
          </w:tcPr>
          <w:p w14:paraId="479C1F0D" w14:textId="77777777" w:rsidR="00665280" w:rsidRPr="003A7F84" w:rsidRDefault="00665280" w:rsidP="00BE067C">
            <w:pPr>
              <w:pStyle w:val="TableFigureCaption"/>
              <w:keepLines/>
              <w:ind w:right="-66"/>
              <w:jc w:val="center"/>
              <w:rPr>
                <w:szCs w:val="20"/>
              </w:rPr>
            </w:pPr>
            <w:r w:rsidRPr="003A7F84">
              <w:rPr>
                <w:szCs w:val="20"/>
              </w:rPr>
              <w:t>Year 5</w:t>
            </w:r>
          </w:p>
        </w:tc>
        <w:tc>
          <w:tcPr>
            <w:tcW w:w="580" w:type="pct"/>
            <w:shd w:val="clear" w:color="auto" w:fill="auto"/>
            <w:vAlign w:val="center"/>
          </w:tcPr>
          <w:p w14:paraId="3EA3C019" w14:textId="77777777" w:rsidR="00665280" w:rsidRPr="003A7F84" w:rsidRDefault="00665280" w:rsidP="00BE067C">
            <w:pPr>
              <w:pStyle w:val="TableFigureCaption"/>
              <w:keepLines/>
              <w:ind w:left="-70" w:right="-66"/>
              <w:jc w:val="center"/>
              <w:rPr>
                <w:szCs w:val="20"/>
              </w:rPr>
            </w:pPr>
            <w:r w:rsidRPr="003A7F84">
              <w:rPr>
                <w:szCs w:val="20"/>
              </w:rPr>
              <w:t>Year 6</w:t>
            </w:r>
          </w:p>
        </w:tc>
      </w:tr>
      <w:tr w:rsidR="00045417" w:rsidRPr="003A7F84" w14:paraId="258DA774" w14:textId="77777777" w:rsidTr="00045417">
        <w:trPr>
          <w:jc w:val="center"/>
        </w:trPr>
        <w:tc>
          <w:tcPr>
            <w:tcW w:w="1525" w:type="pct"/>
            <w:vAlign w:val="center"/>
          </w:tcPr>
          <w:p w14:paraId="3980CE43" w14:textId="77777777" w:rsidR="00665280" w:rsidRPr="003A7F84" w:rsidRDefault="00665280" w:rsidP="00BE067C">
            <w:pPr>
              <w:pStyle w:val="TableText"/>
              <w:keepLines/>
              <w:ind w:right="-87"/>
              <w:rPr>
                <w:szCs w:val="20"/>
              </w:rPr>
            </w:pPr>
            <w:r w:rsidRPr="003A7F84">
              <w:rPr>
                <w:szCs w:val="20"/>
              </w:rPr>
              <w:t>Total Australian population (ABS)</w:t>
            </w:r>
          </w:p>
        </w:tc>
        <w:tc>
          <w:tcPr>
            <w:tcW w:w="576" w:type="pct"/>
            <w:vAlign w:val="center"/>
          </w:tcPr>
          <w:p w14:paraId="1D75ADF8" w14:textId="77777777" w:rsidR="00665280" w:rsidRPr="00302193" w:rsidRDefault="00665280" w:rsidP="00BE067C">
            <w:pPr>
              <w:pStyle w:val="TableText"/>
              <w:keepLines/>
              <w:ind w:left="-70" w:right="-66"/>
              <w:jc w:val="center"/>
              <w:rPr>
                <w:bCs w:val="0"/>
                <w:szCs w:val="20"/>
              </w:rPr>
            </w:pPr>
            <w:r w:rsidRPr="00302193">
              <w:rPr>
                <w:bCs w:val="0"/>
                <w:szCs w:val="20"/>
              </w:rPr>
              <w:t>26,727,025</w:t>
            </w:r>
          </w:p>
        </w:tc>
        <w:tc>
          <w:tcPr>
            <w:tcW w:w="582" w:type="pct"/>
            <w:vAlign w:val="center"/>
          </w:tcPr>
          <w:p w14:paraId="469FBD76" w14:textId="77777777" w:rsidR="00665280" w:rsidRPr="00302193" w:rsidRDefault="00665280" w:rsidP="00BE067C">
            <w:pPr>
              <w:pStyle w:val="TableText"/>
              <w:keepLines/>
              <w:ind w:left="-70" w:right="-66"/>
              <w:jc w:val="center"/>
              <w:rPr>
                <w:bCs w:val="0"/>
                <w:szCs w:val="20"/>
              </w:rPr>
            </w:pPr>
            <w:r w:rsidRPr="00302193">
              <w:rPr>
                <w:bCs w:val="0"/>
                <w:szCs w:val="20"/>
              </w:rPr>
              <w:t>27,147,199</w:t>
            </w:r>
          </w:p>
        </w:tc>
        <w:tc>
          <w:tcPr>
            <w:tcW w:w="579" w:type="pct"/>
            <w:vAlign w:val="center"/>
          </w:tcPr>
          <w:p w14:paraId="793444CF" w14:textId="77777777" w:rsidR="00665280" w:rsidRPr="00302193" w:rsidRDefault="00665280" w:rsidP="00BE067C">
            <w:pPr>
              <w:pStyle w:val="TableText"/>
              <w:keepLines/>
              <w:ind w:left="-70" w:right="-66"/>
              <w:jc w:val="center"/>
              <w:rPr>
                <w:bCs w:val="0"/>
                <w:szCs w:val="20"/>
              </w:rPr>
            </w:pPr>
            <w:r w:rsidRPr="00302193">
              <w:rPr>
                <w:bCs w:val="0"/>
                <w:szCs w:val="20"/>
              </w:rPr>
              <w:t>27,562,195</w:t>
            </w:r>
          </w:p>
        </w:tc>
        <w:tc>
          <w:tcPr>
            <w:tcW w:w="579" w:type="pct"/>
            <w:vAlign w:val="center"/>
          </w:tcPr>
          <w:p w14:paraId="6540BD72" w14:textId="77777777" w:rsidR="00665280" w:rsidRPr="00302193" w:rsidRDefault="00665280" w:rsidP="00BE067C">
            <w:pPr>
              <w:pStyle w:val="TableText"/>
              <w:keepLines/>
              <w:ind w:left="-70" w:right="-66"/>
              <w:jc w:val="center"/>
              <w:rPr>
                <w:bCs w:val="0"/>
                <w:szCs w:val="20"/>
              </w:rPr>
            </w:pPr>
            <w:r w:rsidRPr="00302193">
              <w:rPr>
                <w:bCs w:val="0"/>
                <w:szCs w:val="20"/>
              </w:rPr>
              <w:t>27,970,435</w:t>
            </w:r>
          </w:p>
        </w:tc>
        <w:tc>
          <w:tcPr>
            <w:tcW w:w="579" w:type="pct"/>
            <w:vAlign w:val="center"/>
          </w:tcPr>
          <w:p w14:paraId="7FB0AF2D" w14:textId="77777777" w:rsidR="00665280" w:rsidRPr="00302193" w:rsidRDefault="00665280" w:rsidP="00BE067C">
            <w:pPr>
              <w:pStyle w:val="TableText"/>
              <w:keepLines/>
              <w:ind w:left="-70" w:right="-66"/>
              <w:jc w:val="center"/>
              <w:rPr>
                <w:bCs w:val="0"/>
                <w:szCs w:val="20"/>
              </w:rPr>
            </w:pPr>
            <w:r w:rsidRPr="00302193">
              <w:rPr>
                <w:bCs w:val="0"/>
                <w:szCs w:val="20"/>
              </w:rPr>
              <w:t>28,372,315</w:t>
            </w:r>
          </w:p>
        </w:tc>
        <w:tc>
          <w:tcPr>
            <w:tcW w:w="580" w:type="pct"/>
            <w:vAlign w:val="center"/>
          </w:tcPr>
          <w:p w14:paraId="383D5FB6" w14:textId="77777777" w:rsidR="00665280" w:rsidRPr="00302193" w:rsidRDefault="00665280" w:rsidP="00BE067C">
            <w:pPr>
              <w:pStyle w:val="TableText"/>
              <w:keepLines/>
              <w:ind w:left="-70" w:right="-66"/>
              <w:jc w:val="center"/>
              <w:rPr>
                <w:bCs w:val="0"/>
                <w:szCs w:val="20"/>
              </w:rPr>
            </w:pPr>
            <w:r w:rsidRPr="00302193">
              <w:rPr>
                <w:bCs w:val="0"/>
                <w:szCs w:val="20"/>
              </w:rPr>
              <w:t>28,765,734</w:t>
            </w:r>
          </w:p>
        </w:tc>
      </w:tr>
      <w:tr w:rsidR="00665280" w:rsidRPr="003A7F84" w14:paraId="19A431AE" w14:textId="77777777" w:rsidTr="00045417">
        <w:trPr>
          <w:jc w:val="center"/>
        </w:trPr>
        <w:tc>
          <w:tcPr>
            <w:tcW w:w="5000" w:type="pct"/>
            <w:gridSpan w:val="7"/>
            <w:vAlign w:val="center"/>
          </w:tcPr>
          <w:p w14:paraId="465DDAEB" w14:textId="77777777" w:rsidR="00665280" w:rsidRPr="00302193" w:rsidRDefault="00665280" w:rsidP="00BE067C">
            <w:pPr>
              <w:pStyle w:val="TableText"/>
              <w:keepLines/>
              <w:ind w:right="-66"/>
              <w:rPr>
                <w:b/>
                <w:bCs w:val="0"/>
                <w:szCs w:val="20"/>
              </w:rPr>
            </w:pPr>
            <w:r w:rsidRPr="00302193">
              <w:rPr>
                <w:b/>
                <w:bCs w:val="0"/>
                <w:szCs w:val="20"/>
              </w:rPr>
              <w:t>Children aged 0-17 years diagnosed in Years 1-6</w:t>
            </w:r>
          </w:p>
        </w:tc>
      </w:tr>
      <w:tr w:rsidR="00045417" w:rsidRPr="003A7F84" w14:paraId="49ED6C90" w14:textId="77777777" w:rsidTr="00045417">
        <w:trPr>
          <w:jc w:val="center"/>
        </w:trPr>
        <w:tc>
          <w:tcPr>
            <w:tcW w:w="1525" w:type="pct"/>
            <w:vAlign w:val="center"/>
          </w:tcPr>
          <w:p w14:paraId="4B129E8D" w14:textId="77777777" w:rsidR="00665280" w:rsidRPr="003A7F84" w:rsidRDefault="00665280" w:rsidP="00BE067C">
            <w:pPr>
              <w:pStyle w:val="TableText"/>
              <w:keepLines/>
              <w:ind w:right="-87"/>
              <w:rPr>
                <w:szCs w:val="20"/>
              </w:rPr>
            </w:pPr>
            <w:r w:rsidRPr="003A7F84">
              <w:rPr>
                <w:szCs w:val="20"/>
              </w:rPr>
              <w:t>Australian population (ABS)</w:t>
            </w:r>
          </w:p>
        </w:tc>
        <w:tc>
          <w:tcPr>
            <w:tcW w:w="576" w:type="pct"/>
            <w:vAlign w:val="center"/>
          </w:tcPr>
          <w:p w14:paraId="245965DC" w14:textId="77777777" w:rsidR="00665280" w:rsidRPr="00302193" w:rsidRDefault="00665280" w:rsidP="00BE067C">
            <w:pPr>
              <w:pStyle w:val="TableText"/>
              <w:keepLines/>
              <w:ind w:left="-70" w:right="-66"/>
              <w:jc w:val="center"/>
              <w:rPr>
                <w:bCs w:val="0"/>
                <w:szCs w:val="20"/>
              </w:rPr>
            </w:pPr>
            <w:r w:rsidRPr="00302193">
              <w:rPr>
                <w:bCs w:val="0"/>
                <w:szCs w:val="20"/>
              </w:rPr>
              <w:t>5,969,108</w:t>
            </w:r>
          </w:p>
        </w:tc>
        <w:tc>
          <w:tcPr>
            <w:tcW w:w="582" w:type="pct"/>
            <w:vAlign w:val="center"/>
          </w:tcPr>
          <w:p w14:paraId="14A56C36" w14:textId="77777777" w:rsidR="00665280" w:rsidRPr="00302193" w:rsidRDefault="00665280" w:rsidP="00BE067C">
            <w:pPr>
              <w:pStyle w:val="TableText"/>
              <w:keepLines/>
              <w:ind w:left="-70" w:right="-66"/>
              <w:jc w:val="center"/>
              <w:rPr>
                <w:bCs w:val="0"/>
                <w:szCs w:val="20"/>
              </w:rPr>
            </w:pPr>
            <w:r w:rsidRPr="00302193">
              <w:rPr>
                <w:bCs w:val="0"/>
                <w:szCs w:val="20"/>
              </w:rPr>
              <w:t>6,064,728</w:t>
            </w:r>
          </w:p>
        </w:tc>
        <w:tc>
          <w:tcPr>
            <w:tcW w:w="579" w:type="pct"/>
            <w:vAlign w:val="center"/>
          </w:tcPr>
          <w:p w14:paraId="29350B71" w14:textId="77777777" w:rsidR="00665280" w:rsidRPr="00302193" w:rsidRDefault="00665280" w:rsidP="00BE067C">
            <w:pPr>
              <w:pStyle w:val="TableText"/>
              <w:keepLines/>
              <w:ind w:left="-70" w:right="-66"/>
              <w:jc w:val="center"/>
              <w:rPr>
                <w:bCs w:val="0"/>
                <w:szCs w:val="20"/>
              </w:rPr>
            </w:pPr>
            <w:r w:rsidRPr="00302193">
              <w:rPr>
                <w:bCs w:val="0"/>
                <w:szCs w:val="20"/>
              </w:rPr>
              <w:t>6,150,343</w:t>
            </w:r>
          </w:p>
        </w:tc>
        <w:tc>
          <w:tcPr>
            <w:tcW w:w="579" w:type="pct"/>
            <w:vAlign w:val="center"/>
          </w:tcPr>
          <w:p w14:paraId="7304ADE3" w14:textId="77777777" w:rsidR="00665280" w:rsidRPr="00302193" w:rsidRDefault="00665280" w:rsidP="00BE067C">
            <w:pPr>
              <w:pStyle w:val="TableText"/>
              <w:keepLines/>
              <w:ind w:left="-70" w:right="-66"/>
              <w:jc w:val="center"/>
              <w:rPr>
                <w:bCs w:val="0"/>
                <w:szCs w:val="20"/>
              </w:rPr>
            </w:pPr>
            <w:r w:rsidRPr="00302193">
              <w:rPr>
                <w:bCs w:val="0"/>
                <w:szCs w:val="20"/>
              </w:rPr>
              <w:t>6,225,933</w:t>
            </w:r>
          </w:p>
        </w:tc>
        <w:tc>
          <w:tcPr>
            <w:tcW w:w="579" w:type="pct"/>
            <w:vAlign w:val="center"/>
          </w:tcPr>
          <w:p w14:paraId="158FD461" w14:textId="77777777" w:rsidR="00665280" w:rsidRPr="00302193" w:rsidRDefault="00665280" w:rsidP="00BE067C">
            <w:pPr>
              <w:pStyle w:val="TableText"/>
              <w:keepLines/>
              <w:ind w:left="-70" w:right="-66"/>
              <w:jc w:val="center"/>
              <w:rPr>
                <w:bCs w:val="0"/>
                <w:szCs w:val="20"/>
              </w:rPr>
            </w:pPr>
            <w:r w:rsidRPr="00302193">
              <w:rPr>
                <w:bCs w:val="0"/>
                <w:szCs w:val="20"/>
              </w:rPr>
              <w:t>6,299,095</w:t>
            </w:r>
          </w:p>
        </w:tc>
        <w:tc>
          <w:tcPr>
            <w:tcW w:w="580" w:type="pct"/>
            <w:vAlign w:val="center"/>
          </w:tcPr>
          <w:p w14:paraId="49D34AE7" w14:textId="77777777" w:rsidR="00665280" w:rsidRPr="00302193" w:rsidRDefault="00665280" w:rsidP="00BE067C">
            <w:pPr>
              <w:pStyle w:val="TableText"/>
              <w:keepLines/>
              <w:ind w:left="-70" w:right="-66"/>
              <w:jc w:val="center"/>
              <w:rPr>
                <w:bCs w:val="0"/>
                <w:szCs w:val="20"/>
              </w:rPr>
            </w:pPr>
            <w:r w:rsidRPr="00302193">
              <w:rPr>
                <w:bCs w:val="0"/>
                <w:szCs w:val="20"/>
              </w:rPr>
              <w:t>6,372,633</w:t>
            </w:r>
          </w:p>
        </w:tc>
      </w:tr>
      <w:tr w:rsidR="00045417" w:rsidRPr="003A7F84" w14:paraId="4C340E0E" w14:textId="77777777" w:rsidTr="00045417">
        <w:trPr>
          <w:jc w:val="center"/>
        </w:trPr>
        <w:tc>
          <w:tcPr>
            <w:tcW w:w="1525" w:type="pct"/>
            <w:vAlign w:val="center"/>
          </w:tcPr>
          <w:p w14:paraId="346AB8B0" w14:textId="77777777" w:rsidR="00665280" w:rsidRPr="003A7F84" w:rsidRDefault="00665280" w:rsidP="00BE067C">
            <w:pPr>
              <w:pStyle w:val="TableText"/>
              <w:keepLines/>
              <w:ind w:right="-87"/>
              <w:rPr>
                <w:szCs w:val="20"/>
              </w:rPr>
            </w:pPr>
            <w:r w:rsidRPr="003A7F84">
              <w:rPr>
                <w:szCs w:val="20"/>
              </w:rPr>
              <w:t>Incident epilepsy patients (0.051%)</w:t>
            </w:r>
          </w:p>
        </w:tc>
        <w:tc>
          <w:tcPr>
            <w:tcW w:w="576" w:type="pct"/>
          </w:tcPr>
          <w:p w14:paraId="7D3C12BF" w14:textId="57E09C83" w:rsidR="00665280" w:rsidRPr="00302193" w:rsidRDefault="001F03AF" w:rsidP="00BE067C">
            <w:pPr>
              <w:pStyle w:val="TableText"/>
              <w:keepLines/>
              <w:ind w:left="-70" w:right="-66"/>
              <w:jc w:val="center"/>
              <w:rPr>
                <w:bCs w:val="0"/>
                <w:szCs w:val="20"/>
                <w:highlight w:val="darkGray"/>
              </w:rPr>
            </w:pPr>
            <w:r w:rsidRPr="001F03AF">
              <w:rPr>
                <w:rFonts w:hint="eastAsia"/>
                <w:color w:val="000000"/>
                <w:w w:val="28"/>
                <w:szCs w:val="20"/>
                <w:shd w:val="solid" w:color="000000" w:fill="000000"/>
                <w:fitText w:val="125" w:id="-1435807483"/>
                <w14:textFill>
                  <w14:solidFill>
                    <w14:srgbClr w14:val="000000">
                      <w14:alpha w14:val="100000"/>
                    </w14:srgbClr>
                  </w14:solidFill>
                </w14:textFill>
              </w:rPr>
              <w:t xml:space="preserve">　</w:t>
            </w:r>
            <w:r w:rsidRPr="001F03AF">
              <w:rPr>
                <w:color w:val="000000"/>
                <w:w w:val="28"/>
                <w:szCs w:val="20"/>
                <w:shd w:val="solid" w:color="000000" w:fill="000000"/>
                <w:fitText w:val="125" w:id="-1435807483"/>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83"/>
                <w14:textFill>
                  <w14:solidFill>
                    <w14:srgbClr w14:val="000000">
                      <w14:alpha w14:val="100000"/>
                    </w14:srgbClr>
                  </w14:solidFill>
                </w14:textFill>
              </w:rPr>
              <w:t xml:space="preserve">　</w:t>
            </w:r>
            <w:r w:rsidR="00FC69A3" w:rsidRPr="00302193">
              <w:rPr>
                <w:szCs w:val="20"/>
                <w:vertAlign w:val="superscript"/>
              </w:rPr>
              <w:t>1</w:t>
            </w:r>
          </w:p>
        </w:tc>
        <w:tc>
          <w:tcPr>
            <w:tcW w:w="582" w:type="pct"/>
          </w:tcPr>
          <w:p w14:paraId="04A82F4A" w14:textId="73D998C6" w:rsidR="00665280" w:rsidRPr="00302193" w:rsidRDefault="001F03AF" w:rsidP="00BE067C">
            <w:pPr>
              <w:pStyle w:val="TableText"/>
              <w:keepLines/>
              <w:ind w:left="-70" w:right="-66"/>
              <w:jc w:val="center"/>
              <w:rPr>
                <w:bCs w:val="0"/>
                <w:szCs w:val="20"/>
                <w:highlight w:val="darkGray"/>
              </w:rPr>
            </w:pPr>
            <w:r w:rsidRPr="001F03AF">
              <w:rPr>
                <w:rFonts w:hint="eastAsia"/>
                <w:color w:val="000000"/>
                <w:w w:val="25"/>
                <w:szCs w:val="20"/>
                <w:shd w:val="solid" w:color="000000" w:fill="000000"/>
                <w:fitText w:val="112" w:id="-1435807482"/>
                <w14:textFill>
                  <w14:solidFill>
                    <w14:srgbClr w14:val="000000">
                      <w14:alpha w14:val="100000"/>
                    </w14:srgbClr>
                  </w14:solidFill>
                </w14:textFill>
              </w:rPr>
              <w:t xml:space="preserve">　</w:t>
            </w:r>
            <w:r w:rsidRPr="001F03AF">
              <w:rPr>
                <w:color w:val="000000"/>
                <w:w w:val="25"/>
                <w:szCs w:val="20"/>
                <w:shd w:val="solid" w:color="000000" w:fill="000000"/>
                <w:fitText w:val="112" w:id="-1435807482"/>
                <w14:textFill>
                  <w14:solidFill>
                    <w14:srgbClr w14:val="000000">
                      <w14:alpha w14:val="100000"/>
                    </w14:srgbClr>
                  </w14:solidFill>
                </w14:textFill>
              </w:rPr>
              <w:t>|</w:t>
            </w:r>
            <w:r w:rsidRPr="001F03AF">
              <w:rPr>
                <w:rFonts w:hint="eastAsia"/>
                <w:color w:val="000000"/>
                <w:spacing w:val="1"/>
                <w:w w:val="25"/>
                <w:szCs w:val="20"/>
                <w:shd w:val="solid" w:color="000000" w:fill="000000"/>
                <w:fitText w:val="112" w:id="-1435807482"/>
                <w14:textFill>
                  <w14:solidFill>
                    <w14:srgbClr w14:val="000000">
                      <w14:alpha w14:val="100000"/>
                    </w14:srgbClr>
                  </w14:solidFill>
                </w14:textFill>
              </w:rPr>
              <w:t xml:space="preserve">　</w:t>
            </w:r>
            <w:r w:rsidR="00FC69A3" w:rsidRPr="00302193">
              <w:rPr>
                <w:szCs w:val="20"/>
                <w:vertAlign w:val="superscript"/>
              </w:rPr>
              <w:t>1</w:t>
            </w:r>
            <w:r w:rsidRPr="001F03AF">
              <w:rPr>
                <w:szCs w:val="20"/>
              </w:rPr>
              <w:t xml:space="preserve"> </w:t>
            </w:r>
          </w:p>
        </w:tc>
        <w:tc>
          <w:tcPr>
            <w:tcW w:w="579" w:type="pct"/>
          </w:tcPr>
          <w:p w14:paraId="432ACDC6" w14:textId="1A5FC7F5" w:rsidR="00665280" w:rsidRPr="00302193" w:rsidRDefault="001F03AF" w:rsidP="00BE067C">
            <w:pPr>
              <w:pStyle w:val="TableText"/>
              <w:keepLines/>
              <w:ind w:left="-70" w:right="-66"/>
              <w:jc w:val="center"/>
              <w:rPr>
                <w:bCs w:val="0"/>
                <w:szCs w:val="20"/>
                <w:highlight w:val="darkGray"/>
              </w:rPr>
            </w:pPr>
            <w:r w:rsidRPr="001F03AF">
              <w:rPr>
                <w:rFonts w:hint="eastAsia"/>
                <w:color w:val="000000"/>
                <w:w w:val="28"/>
                <w:szCs w:val="20"/>
                <w:shd w:val="solid" w:color="000000" w:fill="000000"/>
                <w:fitText w:val="125" w:id="-1435807481"/>
                <w14:textFill>
                  <w14:solidFill>
                    <w14:srgbClr w14:val="000000">
                      <w14:alpha w14:val="100000"/>
                    </w14:srgbClr>
                  </w14:solidFill>
                </w14:textFill>
              </w:rPr>
              <w:t xml:space="preserve">　</w:t>
            </w:r>
            <w:r w:rsidRPr="001F03AF">
              <w:rPr>
                <w:color w:val="000000"/>
                <w:w w:val="28"/>
                <w:szCs w:val="20"/>
                <w:shd w:val="solid" w:color="000000" w:fill="000000"/>
                <w:fitText w:val="125" w:id="-1435807481"/>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81"/>
                <w14:textFill>
                  <w14:solidFill>
                    <w14:srgbClr w14:val="000000">
                      <w14:alpha w14:val="100000"/>
                    </w14:srgbClr>
                  </w14:solidFill>
                </w14:textFill>
              </w:rPr>
              <w:t xml:space="preserve">　</w:t>
            </w:r>
            <w:r w:rsidR="00FC69A3" w:rsidRPr="00302193">
              <w:rPr>
                <w:szCs w:val="20"/>
                <w:vertAlign w:val="superscript"/>
              </w:rPr>
              <w:t>1</w:t>
            </w:r>
            <w:r w:rsidRPr="001F03AF">
              <w:rPr>
                <w:szCs w:val="20"/>
              </w:rPr>
              <w:t xml:space="preserve"> </w:t>
            </w:r>
          </w:p>
        </w:tc>
        <w:tc>
          <w:tcPr>
            <w:tcW w:w="579" w:type="pct"/>
          </w:tcPr>
          <w:p w14:paraId="5C24FEFE" w14:textId="7BA882D9" w:rsidR="00665280" w:rsidRPr="00302193" w:rsidRDefault="001F03AF" w:rsidP="00BE067C">
            <w:pPr>
              <w:pStyle w:val="TableText"/>
              <w:keepLines/>
              <w:ind w:left="-70" w:right="-66"/>
              <w:jc w:val="center"/>
              <w:rPr>
                <w:bCs w:val="0"/>
                <w:szCs w:val="20"/>
                <w:highlight w:val="darkGray"/>
              </w:rPr>
            </w:pPr>
            <w:r w:rsidRPr="001F03AF">
              <w:rPr>
                <w:rFonts w:hint="eastAsia"/>
                <w:color w:val="000000"/>
                <w:w w:val="28"/>
                <w:szCs w:val="20"/>
                <w:shd w:val="solid" w:color="000000" w:fill="000000"/>
                <w:fitText w:val="125" w:id="-1435807480"/>
                <w14:textFill>
                  <w14:solidFill>
                    <w14:srgbClr w14:val="000000">
                      <w14:alpha w14:val="100000"/>
                    </w14:srgbClr>
                  </w14:solidFill>
                </w14:textFill>
              </w:rPr>
              <w:t xml:space="preserve">　</w:t>
            </w:r>
            <w:r w:rsidRPr="001F03AF">
              <w:rPr>
                <w:color w:val="000000"/>
                <w:w w:val="28"/>
                <w:szCs w:val="20"/>
                <w:shd w:val="solid" w:color="000000" w:fill="000000"/>
                <w:fitText w:val="125" w:id="-1435807480"/>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80"/>
                <w14:textFill>
                  <w14:solidFill>
                    <w14:srgbClr w14:val="000000">
                      <w14:alpha w14:val="100000"/>
                    </w14:srgbClr>
                  </w14:solidFill>
                </w14:textFill>
              </w:rPr>
              <w:t xml:space="preserve">　</w:t>
            </w:r>
            <w:r w:rsidR="00FC69A3" w:rsidRPr="00302193">
              <w:rPr>
                <w:szCs w:val="20"/>
                <w:vertAlign w:val="superscript"/>
              </w:rPr>
              <w:t>1</w:t>
            </w:r>
          </w:p>
        </w:tc>
        <w:tc>
          <w:tcPr>
            <w:tcW w:w="579" w:type="pct"/>
          </w:tcPr>
          <w:p w14:paraId="12573CDA" w14:textId="428AF189" w:rsidR="00665280" w:rsidRPr="00302193" w:rsidRDefault="001F03AF" w:rsidP="00BE067C">
            <w:pPr>
              <w:pStyle w:val="TableText"/>
              <w:keepLines/>
              <w:ind w:left="-70" w:right="-66"/>
              <w:jc w:val="center"/>
              <w:rPr>
                <w:bCs w:val="0"/>
                <w:szCs w:val="20"/>
                <w:highlight w:val="darkGray"/>
              </w:rPr>
            </w:pPr>
            <w:r w:rsidRPr="001F03AF">
              <w:rPr>
                <w:rFonts w:hint="eastAsia"/>
                <w:color w:val="000000"/>
                <w:w w:val="28"/>
                <w:szCs w:val="20"/>
                <w:shd w:val="solid" w:color="000000" w:fill="000000"/>
                <w:fitText w:val="125" w:id="-1435807479"/>
                <w14:textFill>
                  <w14:solidFill>
                    <w14:srgbClr w14:val="000000">
                      <w14:alpha w14:val="100000"/>
                    </w14:srgbClr>
                  </w14:solidFill>
                </w14:textFill>
              </w:rPr>
              <w:t xml:space="preserve">　</w:t>
            </w:r>
            <w:r w:rsidRPr="001F03AF">
              <w:rPr>
                <w:color w:val="000000"/>
                <w:w w:val="28"/>
                <w:szCs w:val="20"/>
                <w:shd w:val="solid" w:color="000000" w:fill="000000"/>
                <w:fitText w:val="125" w:id="-1435807479"/>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9"/>
                <w14:textFill>
                  <w14:solidFill>
                    <w14:srgbClr w14:val="000000">
                      <w14:alpha w14:val="100000"/>
                    </w14:srgbClr>
                  </w14:solidFill>
                </w14:textFill>
              </w:rPr>
              <w:t xml:space="preserve">　</w:t>
            </w:r>
            <w:r w:rsidR="00FC69A3" w:rsidRPr="00302193">
              <w:rPr>
                <w:szCs w:val="20"/>
                <w:vertAlign w:val="superscript"/>
              </w:rPr>
              <w:t>1</w:t>
            </w:r>
          </w:p>
        </w:tc>
        <w:tc>
          <w:tcPr>
            <w:tcW w:w="580" w:type="pct"/>
          </w:tcPr>
          <w:p w14:paraId="37C64439" w14:textId="2C0328C0" w:rsidR="00665280" w:rsidRPr="00302193" w:rsidRDefault="001F03AF" w:rsidP="00BE067C">
            <w:pPr>
              <w:pStyle w:val="TableText"/>
              <w:keepLines/>
              <w:ind w:left="-70" w:right="-66"/>
              <w:jc w:val="center"/>
              <w:rPr>
                <w:bCs w:val="0"/>
                <w:szCs w:val="20"/>
                <w:highlight w:val="darkGray"/>
              </w:rPr>
            </w:pPr>
            <w:r w:rsidRPr="001F03AF">
              <w:rPr>
                <w:rFonts w:hint="eastAsia"/>
                <w:color w:val="000000"/>
                <w:w w:val="28"/>
                <w:szCs w:val="20"/>
                <w:shd w:val="solid" w:color="000000" w:fill="000000"/>
                <w:fitText w:val="125" w:id="-1435807478"/>
                <w14:textFill>
                  <w14:solidFill>
                    <w14:srgbClr w14:val="000000">
                      <w14:alpha w14:val="100000"/>
                    </w14:srgbClr>
                  </w14:solidFill>
                </w14:textFill>
              </w:rPr>
              <w:t xml:space="preserve">　</w:t>
            </w:r>
            <w:r w:rsidRPr="001F03AF">
              <w:rPr>
                <w:color w:val="000000"/>
                <w:w w:val="28"/>
                <w:szCs w:val="20"/>
                <w:shd w:val="solid" w:color="000000" w:fill="000000"/>
                <w:fitText w:val="125" w:id="-1435807478"/>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8"/>
                <w14:textFill>
                  <w14:solidFill>
                    <w14:srgbClr w14:val="000000">
                      <w14:alpha w14:val="100000"/>
                    </w14:srgbClr>
                  </w14:solidFill>
                </w14:textFill>
              </w:rPr>
              <w:t xml:space="preserve">　</w:t>
            </w:r>
            <w:r w:rsidR="00FC69A3" w:rsidRPr="00302193">
              <w:rPr>
                <w:szCs w:val="20"/>
                <w:vertAlign w:val="superscript"/>
              </w:rPr>
              <w:t>1</w:t>
            </w:r>
          </w:p>
        </w:tc>
      </w:tr>
      <w:tr w:rsidR="00045417" w:rsidRPr="003A7F84" w14:paraId="7962A8C6" w14:textId="77777777" w:rsidTr="00045417">
        <w:trPr>
          <w:jc w:val="center"/>
        </w:trPr>
        <w:tc>
          <w:tcPr>
            <w:tcW w:w="1525" w:type="pct"/>
            <w:vAlign w:val="center"/>
          </w:tcPr>
          <w:p w14:paraId="040C16A4" w14:textId="77777777" w:rsidR="00665280" w:rsidRPr="003A7F84" w:rsidRDefault="00665280" w:rsidP="00BE067C">
            <w:pPr>
              <w:pStyle w:val="TableText"/>
              <w:keepLines/>
              <w:ind w:right="-87"/>
              <w:rPr>
                <w:szCs w:val="20"/>
              </w:rPr>
            </w:pPr>
            <w:r w:rsidRPr="003A7F84">
              <w:rPr>
                <w:szCs w:val="20"/>
              </w:rPr>
              <w:t>Experiencing GCSE (27%)</w:t>
            </w:r>
          </w:p>
        </w:tc>
        <w:tc>
          <w:tcPr>
            <w:tcW w:w="576" w:type="pct"/>
            <w:shd w:val="clear" w:color="auto" w:fill="auto"/>
          </w:tcPr>
          <w:p w14:paraId="5ECD461A" w14:textId="35734BF2" w:rsidR="00665280"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7"/>
                <w14:textFill>
                  <w14:solidFill>
                    <w14:srgbClr w14:val="000000">
                      <w14:alpha w14:val="100000"/>
                    </w14:srgbClr>
                  </w14:solidFill>
                </w14:textFill>
              </w:rPr>
              <w:t xml:space="preserve">　</w:t>
            </w:r>
            <w:r w:rsidRPr="001F03AF">
              <w:rPr>
                <w:color w:val="000000"/>
                <w:w w:val="28"/>
                <w:szCs w:val="20"/>
                <w:shd w:val="solid" w:color="000000" w:fill="000000"/>
                <w:fitText w:val="125" w:id="-1435807477"/>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7"/>
                <w14:textFill>
                  <w14:solidFill>
                    <w14:srgbClr w14:val="000000">
                      <w14:alpha w14:val="100000"/>
                    </w14:srgbClr>
                  </w14:solidFill>
                </w14:textFill>
              </w:rPr>
              <w:t xml:space="preserve">　</w:t>
            </w:r>
            <w:r w:rsidR="00302193" w:rsidRPr="00302193">
              <w:rPr>
                <w:szCs w:val="20"/>
                <w:vertAlign w:val="superscript"/>
              </w:rPr>
              <w:t>1</w:t>
            </w:r>
          </w:p>
        </w:tc>
        <w:tc>
          <w:tcPr>
            <w:tcW w:w="582" w:type="pct"/>
            <w:shd w:val="clear" w:color="auto" w:fill="auto"/>
          </w:tcPr>
          <w:p w14:paraId="040739F4" w14:textId="728FCB50" w:rsidR="00665280" w:rsidRPr="00302193" w:rsidRDefault="001F03AF" w:rsidP="00BE067C">
            <w:pPr>
              <w:pStyle w:val="TableText"/>
              <w:keepLines/>
              <w:ind w:left="-70" w:right="-66"/>
              <w:jc w:val="center"/>
              <w:rPr>
                <w:szCs w:val="20"/>
                <w:highlight w:val="darkGray"/>
              </w:rPr>
            </w:pPr>
            <w:r w:rsidRPr="001F03AF">
              <w:rPr>
                <w:rFonts w:hint="eastAsia"/>
                <w:color w:val="000000"/>
                <w:w w:val="25"/>
                <w:szCs w:val="20"/>
                <w:shd w:val="solid" w:color="000000" w:fill="000000"/>
                <w:fitText w:val="112" w:id="-1435807476"/>
                <w14:textFill>
                  <w14:solidFill>
                    <w14:srgbClr w14:val="000000">
                      <w14:alpha w14:val="100000"/>
                    </w14:srgbClr>
                  </w14:solidFill>
                </w14:textFill>
              </w:rPr>
              <w:t xml:space="preserve">　</w:t>
            </w:r>
            <w:r w:rsidRPr="001F03AF">
              <w:rPr>
                <w:color w:val="000000"/>
                <w:w w:val="25"/>
                <w:szCs w:val="20"/>
                <w:shd w:val="solid" w:color="000000" w:fill="000000"/>
                <w:fitText w:val="112" w:id="-1435807476"/>
                <w14:textFill>
                  <w14:solidFill>
                    <w14:srgbClr w14:val="000000">
                      <w14:alpha w14:val="100000"/>
                    </w14:srgbClr>
                  </w14:solidFill>
                </w14:textFill>
              </w:rPr>
              <w:t>|</w:t>
            </w:r>
            <w:r w:rsidRPr="001F03AF">
              <w:rPr>
                <w:rFonts w:hint="eastAsia"/>
                <w:color w:val="000000"/>
                <w:spacing w:val="1"/>
                <w:w w:val="25"/>
                <w:szCs w:val="20"/>
                <w:shd w:val="solid" w:color="000000" w:fill="000000"/>
                <w:fitText w:val="112" w:id="-1435807476"/>
                <w14:textFill>
                  <w14:solidFill>
                    <w14:srgbClr w14:val="000000">
                      <w14:alpha w14:val="100000"/>
                    </w14:srgbClr>
                  </w14:solidFill>
                </w14:textFill>
              </w:rPr>
              <w:t xml:space="preserve">　</w:t>
            </w:r>
            <w:r w:rsidR="00302193" w:rsidRPr="00302193">
              <w:rPr>
                <w:szCs w:val="20"/>
                <w:vertAlign w:val="superscript"/>
              </w:rPr>
              <w:t>1</w:t>
            </w:r>
            <w:r w:rsidRPr="001F03AF">
              <w:rPr>
                <w:szCs w:val="20"/>
              </w:rPr>
              <w:t xml:space="preserve"> </w:t>
            </w:r>
          </w:p>
        </w:tc>
        <w:tc>
          <w:tcPr>
            <w:tcW w:w="579" w:type="pct"/>
            <w:shd w:val="clear" w:color="auto" w:fill="auto"/>
          </w:tcPr>
          <w:p w14:paraId="2446E556" w14:textId="2EBC09E8" w:rsidR="00665280"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5"/>
                <w14:textFill>
                  <w14:solidFill>
                    <w14:srgbClr w14:val="000000">
                      <w14:alpha w14:val="100000"/>
                    </w14:srgbClr>
                  </w14:solidFill>
                </w14:textFill>
              </w:rPr>
              <w:t xml:space="preserve">　</w:t>
            </w:r>
            <w:r w:rsidRPr="001F03AF">
              <w:rPr>
                <w:color w:val="000000"/>
                <w:w w:val="28"/>
                <w:szCs w:val="20"/>
                <w:shd w:val="solid" w:color="000000" w:fill="000000"/>
                <w:fitText w:val="125" w:id="-1435807475"/>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5"/>
                <w14:textFill>
                  <w14:solidFill>
                    <w14:srgbClr w14:val="000000">
                      <w14:alpha w14:val="100000"/>
                    </w14:srgbClr>
                  </w14:solidFill>
                </w14:textFill>
              </w:rPr>
              <w:t xml:space="preserve">　</w:t>
            </w:r>
            <w:r w:rsidR="00302193" w:rsidRPr="00302193">
              <w:rPr>
                <w:szCs w:val="20"/>
                <w:vertAlign w:val="superscript"/>
              </w:rPr>
              <w:t>1</w:t>
            </w:r>
            <w:r w:rsidRPr="001F03AF">
              <w:rPr>
                <w:szCs w:val="20"/>
              </w:rPr>
              <w:t xml:space="preserve"> </w:t>
            </w:r>
          </w:p>
        </w:tc>
        <w:tc>
          <w:tcPr>
            <w:tcW w:w="579" w:type="pct"/>
            <w:shd w:val="clear" w:color="auto" w:fill="auto"/>
          </w:tcPr>
          <w:p w14:paraId="4ED8E7B6" w14:textId="78E1238B" w:rsidR="00665280"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4"/>
                <w14:textFill>
                  <w14:solidFill>
                    <w14:srgbClr w14:val="000000">
                      <w14:alpha w14:val="100000"/>
                    </w14:srgbClr>
                  </w14:solidFill>
                </w14:textFill>
              </w:rPr>
              <w:t xml:space="preserve">　</w:t>
            </w:r>
            <w:r w:rsidRPr="001F03AF">
              <w:rPr>
                <w:color w:val="000000"/>
                <w:w w:val="28"/>
                <w:szCs w:val="20"/>
                <w:shd w:val="solid" w:color="000000" w:fill="000000"/>
                <w:fitText w:val="125" w:id="-1435807474"/>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4"/>
                <w14:textFill>
                  <w14:solidFill>
                    <w14:srgbClr w14:val="000000">
                      <w14:alpha w14:val="100000"/>
                    </w14:srgbClr>
                  </w14:solidFill>
                </w14:textFill>
              </w:rPr>
              <w:t xml:space="preserve">　</w:t>
            </w:r>
            <w:r w:rsidR="00302193" w:rsidRPr="00302193">
              <w:rPr>
                <w:szCs w:val="20"/>
                <w:vertAlign w:val="superscript"/>
              </w:rPr>
              <w:t>1</w:t>
            </w:r>
            <w:r w:rsidRPr="001F03AF">
              <w:rPr>
                <w:szCs w:val="20"/>
              </w:rPr>
              <w:t xml:space="preserve"> </w:t>
            </w:r>
          </w:p>
        </w:tc>
        <w:tc>
          <w:tcPr>
            <w:tcW w:w="579" w:type="pct"/>
            <w:shd w:val="clear" w:color="auto" w:fill="auto"/>
          </w:tcPr>
          <w:p w14:paraId="723E184A" w14:textId="2BF12C8A" w:rsidR="00665280"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3"/>
                <w14:textFill>
                  <w14:solidFill>
                    <w14:srgbClr w14:val="000000">
                      <w14:alpha w14:val="100000"/>
                    </w14:srgbClr>
                  </w14:solidFill>
                </w14:textFill>
              </w:rPr>
              <w:t xml:space="preserve">　</w:t>
            </w:r>
            <w:r w:rsidRPr="001F03AF">
              <w:rPr>
                <w:color w:val="000000"/>
                <w:w w:val="28"/>
                <w:szCs w:val="20"/>
                <w:shd w:val="solid" w:color="000000" w:fill="000000"/>
                <w:fitText w:val="125" w:id="-1435807473"/>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3"/>
                <w14:textFill>
                  <w14:solidFill>
                    <w14:srgbClr w14:val="000000">
                      <w14:alpha w14:val="100000"/>
                    </w14:srgbClr>
                  </w14:solidFill>
                </w14:textFill>
              </w:rPr>
              <w:t xml:space="preserve">　</w:t>
            </w:r>
            <w:r w:rsidR="00302193" w:rsidRPr="00302193">
              <w:rPr>
                <w:szCs w:val="20"/>
                <w:vertAlign w:val="superscript"/>
              </w:rPr>
              <w:t>1</w:t>
            </w:r>
            <w:r w:rsidRPr="001F03AF">
              <w:rPr>
                <w:szCs w:val="20"/>
              </w:rPr>
              <w:t xml:space="preserve"> </w:t>
            </w:r>
          </w:p>
        </w:tc>
        <w:tc>
          <w:tcPr>
            <w:tcW w:w="580" w:type="pct"/>
            <w:shd w:val="clear" w:color="auto" w:fill="auto"/>
          </w:tcPr>
          <w:p w14:paraId="5336D3A8" w14:textId="4AB3E8CB" w:rsidR="00665280"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2"/>
                <w14:textFill>
                  <w14:solidFill>
                    <w14:srgbClr w14:val="000000">
                      <w14:alpha w14:val="100000"/>
                    </w14:srgbClr>
                  </w14:solidFill>
                </w14:textFill>
              </w:rPr>
              <w:t xml:space="preserve">　</w:t>
            </w:r>
            <w:r w:rsidRPr="001F03AF">
              <w:rPr>
                <w:color w:val="000000"/>
                <w:w w:val="28"/>
                <w:szCs w:val="20"/>
                <w:shd w:val="solid" w:color="000000" w:fill="000000"/>
                <w:fitText w:val="125" w:id="-1435807472"/>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2"/>
                <w14:textFill>
                  <w14:solidFill>
                    <w14:srgbClr w14:val="000000">
                      <w14:alpha w14:val="100000"/>
                    </w14:srgbClr>
                  </w14:solidFill>
                </w14:textFill>
              </w:rPr>
              <w:t xml:space="preserve">　</w:t>
            </w:r>
            <w:r w:rsidR="00302193" w:rsidRPr="00302193">
              <w:rPr>
                <w:szCs w:val="20"/>
                <w:vertAlign w:val="superscript"/>
              </w:rPr>
              <w:t>1</w:t>
            </w:r>
            <w:r w:rsidRPr="001F03AF">
              <w:rPr>
                <w:szCs w:val="20"/>
              </w:rPr>
              <w:t xml:space="preserve"> </w:t>
            </w:r>
          </w:p>
        </w:tc>
      </w:tr>
      <w:tr w:rsidR="00045417" w:rsidRPr="003A7F84" w14:paraId="78D1BBB9" w14:textId="77777777" w:rsidTr="00045417">
        <w:trPr>
          <w:jc w:val="center"/>
        </w:trPr>
        <w:tc>
          <w:tcPr>
            <w:tcW w:w="1525" w:type="pct"/>
            <w:vAlign w:val="center"/>
          </w:tcPr>
          <w:p w14:paraId="58F19E7A" w14:textId="77777777" w:rsidR="00665280" w:rsidRPr="003A7F84" w:rsidRDefault="00665280" w:rsidP="00BE067C">
            <w:pPr>
              <w:pStyle w:val="TableText"/>
              <w:keepLines/>
              <w:ind w:right="-87"/>
              <w:rPr>
                <w:szCs w:val="20"/>
              </w:rPr>
            </w:pPr>
            <w:r w:rsidRPr="003A7F84">
              <w:rPr>
                <w:szCs w:val="20"/>
              </w:rPr>
              <w:t xml:space="preserve">Treatment uptake </w:t>
            </w:r>
          </w:p>
        </w:tc>
        <w:tc>
          <w:tcPr>
            <w:tcW w:w="576" w:type="pct"/>
            <w:shd w:val="clear" w:color="auto" w:fill="auto"/>
          </w:tcPr>
          <w:p w14:paraId="4859938C" w14:textId="48C35230" w:rsidR="00665280" w:rsidRPr="00302193" w:rsidRDefault="001F03AF" w:rsidP="00BE067C">
            <w:pPr>
              <w:pStyle w:val="TableText"/>
              <w:keepLines/>
              <w:ind w:left="-70" w:right="-66"/>
              <w:jc w:val="center"/>
              <w:rPr>
                <w:szCs w:val="20"/>
              </w:rPr>
            </w:pPr>
            <w:r w:rsidRPr="001F03AF">
              <w:rPr>
                <w:color w:val="000000"/>
                <w:spacing w:val="76"/>
                <w:szCs w:val="20"/>
                <w:shd w:val="solid" w:color="000000" w:fill="000000"/>
                <w:fitText w:val="162" w:id="-1435807488"/>
                <w14:textFill>
                  <w14:solidFill>
                    <w14:srgbClr w14:val="000000">
                      <w14:alpha w14:val="100000"/>
                    </w14:srgbClr>
                  </w14:solidFill>
                </w14:textFill>
              </w:rPr>
              <w:t>|</w:t>
            </w:r>
            <w:r w:rsidRPr="001F03AF">
              <w:rPr>
                <w:color w:val="000000"/>
                <w:spacing w:val="1"/>
                <w:szCs w:val="20"/>
                <w:shd w:val="solid" w:color="000000" w:fill="000000"/>
                <w:fitText w:val="162" w:id="-1435807488"/>
                <w14:textFill>
                  <w14:solidFill>
                    <w14:srgbClr w14:val="000000">
                      <w14:alpha w14:val="100000"/>
                    </w14:srgbClr>
                  </w14:solidFill>
                </w14:textFill>
              </w:rPr>
              <w:t>|</w:t>
            </w:r>
            <w:r w:rsidR="00665280" w:rsidRPr="00302193">
              <w:rPr>
                <w:szCs w:val="20"/>
              </w:rPr>
              <w:t>%</w:t>
            </w:r>
          </w:p>
        </w:tc>
        <w:tc>
          <w:tcPr>
            <w:tcW w:w="582" w:type="pct"/>
            <w:shd w:val="clear" w:color="auto" w:fill="auto"/>
          </w:tcPr>
          <w:p w14:paraId="2F7E4AE9" w14:textId="46C9DD05" w:rsidR="00665280" w:rsidRPr="00302193" w:rsidRDefault="001F03AF" w:rsidP="00BE067C">
            <w:pPr>
              <w:pStyle w:val="TableText"/>
              <w:keepLines/>
              <w:ind w:left="-70" w:right="-66"/>
              <w:jc w:val="center"/>
              <w:rPr>
                <w:szCs w:val="20"/>
              </w:rPr>
            </w:pPr>
            <w:r w:rsidRPr="001F03AF">
              <w:rPr>
                <w:color w:val="000000"/>
                <w:spacing w:val="76"/>
                <w:szCs w:val="20"/>
                <w:shd w:val="solid" w:color="000000" w:fill="000000"/>
                <w:fitText w:val="162" w:id="-1435807487"/>
                <w14:textFill>
                  <w14:solidFill>
                    <w14:srgbClr w14:val="000000">
                      <w14:alpha w14:val="100000"/>
                    </w14:srgbClr>
                  </w14:solidFill>
                </w14:textFill>
              </w:rPr>
              <w:t>|</w:t>
            </w:r>
            <w:r w:rsidRPr="001F03AF">
              <w:rPr>
                <w:color w:val="000000"/>
                <w:spacing w:val="1"/>
                <w:szCs w:val="20"/>
                <w:shd w:val="solid" w:color="000000" w:fill="000000"/>
                <w:fitText w:val="162" w:id="-1435807487"/>
                <w14:textFill>
                  <w14:solidFill>
                    <w14:srgbClr w14:val="000000">
                      <w14:alpha w14:val="100000"/>
                    </w14:srgbClr>
                  </w14:solidFill>
                </w14:textFill>
              </w:rPr>
              <w:t>|</w:t>
            </w:r>
            <w:r w:rsidR="00665280" w:rsidRPr="00302193">
              <w:rPr>
                <w:szCs w:val="20"/>
              </w:rPr>
              <w:t>%</w:t>
            </w:r>
          </w:p>
        </w:tc>
        <w:tc>
          <w:tcPr>
            <w:tcW w:w="579" w:type="pct"/>
            <w:shd w:val="clear" w:color="auto" w:fill="auto"/>
          </w:tcPr>
          <w:p w14:paraId="1B0C9973" w14:textId="361B1ED0" w:rsidR="00665280" w:rsidRPr="00302193" w:rsidRDefault="001F03AF" w:rsidP="00BE067C">
            <w:pPr>
              <w:pStyle w:val="TableText"/>
              <w:keepLines/>
              <w:ind w:left="-70" w:right="-66"/>
              <w:jc w:val="center"/>
              <w:rPr>
                <w:szCs w:val="20"/>
              </w:rPr>
            </w:pPr>
            <w:r w:rsidRPr="001F03AF">
              <w:rPr>
                <w:color w:val="000000"/>
                <w:spacing w:val="77"/>
                <w:szCs w:val="20"/>
                <w:shd w:val="solid" w:color="000000" w:fill="000000"/>
                <w:fitText w:val="163" w:id="-1435807486"/>
                <w14:textFill>
                  <w14:solidFill>
                    <w14:srgbClr w14:val="000000">
                      <w14:alpha w14:val="100000"/>
                    </w14:srgbClr>
                  </w14:solidFill>
                </w14:textFill>
              </w:rPr>
              <w:t>|</w:t>
            </w:r>
            <w:r w:rsidRPr="001F03AF">
              <w:rPr>
                <w:color w:val="000000"/>
                <w:spacing w:val="1"/>
                <w:szCs w:val="20"/>
                <w:shd w:val="solid" w:color="000000" w:fill="000000"/>
                <w:fitText w:val="163" w:id="-1435807486"/>
                <w14:textFill>
                  <w14:solidFill>
                    <w14:srgbClr w14:val="000000">
                      <w14:alpha w14:val="100000"/>
                    </w14:srgbClr>
                  </w14:solidFill>
                </w14:textFill>
              </w:rPr>
              <w:t>|</w:t>
            </w:r>
            <w:r w:rsidR="00665280" w:rsidRPr="00302193">
              <w:rPr>
                <w:szCs w:val="20"/>
              </w:rPr>
              <w:t>%</w:t>
            </w:r>
          </w:p>
        </w:tc>
        <w:tc>
          <w:tcPr>
            <w:tcW w:w="579" w:type="pct"/>
            <w:shd w:val="clear" w:color="auto" w:fill="auto"/>
          </w:tcPr>
          <w:p w14:paraId="4D678B39" w14:textId="09E432E7" w:rsidR="00665280" w:rsidRPr="00302193" w:rsidRDefault="001F03AF" w:rsidP="00BE067C">
            <w:pPr>
              <w:pStyle w:val="TableText"/>
              <w:keepLines/>
              <w:ind w:left="-70" w:right="-66"/>
              <w:jc w:val="center"/>
              <w:rPr>
                <w:szCs w:val="20"/>
              </w:rPr>
            </w:pPr>
            <w:r w:rsidRPr="001F03AF">
              <w:rPr>
                <w:color w:val="000000"/>
                <w:spacing w:val="77"/>
                <w:szCs w:val="20"/>
                <w:shd w:val="solid" w:color="000000" w:fill="000000"/>
                <w:fitText w:val="163" w:id="-1435807485"/>
                <w14:textFill>
                  <w14:solidFill>
                    <w14:srgbClr w14:val="000000">
                      <w14:alpha w14:val="100000"/>
                    </w14:srgbClr>
                  </w14:solidFill>
                </w14:textFill>
              </w:rPr>
              <w:t>|</w:t>
            </w:r>
            <w:r w:rsidRPr="001F03AF">
              <w:rPr>
                <w:color w:val="000000"/>
                <w:spacing w:val="1"/>
                <w:szCs w:val="20"/>
                <w:shd w:val="solid" w:color="000000" w:fill="000000"/>
                <w:fitText w:val="163" w:id="-1435807485"/>
                <w14:textFill>
                  <w14:solidFill>
                    <w14:srgbClr w14:val="000000">
                      <w14:alpha w14:val="100000"/>
                    </w14:srgbClr>
                  </w14:solidFill>
                </w14:textFill>
              </w:rPr>
              <w:t>|</w:t>
            </w:r>
            <w:r w:rsidR="00665280" w:rsidRPr="00302193">
              <w:rPr>
                <w:szCs w:val="20"/>
              </w:rPr>
              <w:t>%</w:t>
            </w:r>
          </w:p>
        </w:tc>
        <w:tc>
          <w:tcPr>
            <w:tcW w:w="579" w:type="pct"/>
            <w:shd w:val="clear" w:color="auto" w:fill="auto"/>
          </w:tcPr>
          <w:p w14:paraId="1854D743" w14:textId="2F800EFA" w:rsidR="00665280" w:rsidRPr="00302193" w:rsidRDefault="001F03AF" w:rsidP="00BE067C">
            <w:pPr>
              <w:pStyle w:val="TableText"/>
              <w:keepLines/>
              <w:ind w:left="-70" w:right="-66"/>
              <w:jc w:val="center"/>
              <w:rPr>
                <w:szCs w:val="20"/>
              </w:rPr>
            </w:pPr>
            <w:r w:rsidRPr="001F03AF">
              <w:rPr>
                <w:color w:val="000000"/>
                <w:spacing w:val="76"/>
                <w:szCs w:val="20"/>
                <w:shd w:val="solid" w:color="000000" w:fill="000000"/>
                <w:fitText w:val="162" w:id="-1435807484"/>
                <w14:textFill>
                  <w14:solidFill>
                    <w14:srgbClr w14:val="000000">
                      <w14:alpha w14:val="100000"/>
                    </w14:srgbClr>
                  </w14:solidFill>
                </w14:textFill>
              </w:rPr>
              <w:t>|</w:t>
            </w:r>
            <w:r w:rsidRPr="001F03AF">
              <w:rPr>
                <w:color w:val="000000"/>
                <w:spacing w:val="1"/>
                <w:szCs w:val="20"/>
                <w:shd w:val="solid" w:color="000000" w:fill="000000"/>
                <w:fitText w:val="162" w:id="-1435807484"/>
                <w14:textFill>
                  <w14:solidFill>
                    <w14:srgbClr w14:val="000000">
                      <w14:alpha w14:val="100000"/>
                    </w14:srgbClr>
                  </w14:solidFill>
                </w14:textFill>
              </w:rPr>
              <w:t>|</w:t>
            </w:r>
            <w:r w:rsidR="00665280" w:rsidRPr="00302193">
              <w:rPr>
                <w:szCs w:val="20"/>
              </w:rPr>
              <w:t>%</w:t>
            </w:r>
          </w:p>
        </w:tc>
        <w:tc>
          <w:tcPr>
            <w:tcW w:w="580" w:type="pct"/>
            <w:shd w:val="clear" w:color="auto" w:fill="auto"/>
          </w:tcPr>
          <w:p w14:paraId="09D2D8BF" w14:textId="6A8CE13B" w:rsidR="00665280" w:rsidRPr="00302193" w:rsidRDefault="001F03AF" w:rsidP="00BE067C">
            <w:pPr>
              <w:pStyle w:val="TableText"/>
              <w:keepLines/>
              <w:ind w:left="-70" w:right="-66"/>
              <w:jc w:val="center"/>
              <w:rPr>
                <w:szCs w:val="20"/>
              </w:rPr>
            </w:pPr>
            <w:r w:rsidRPr="001F03AF">
              <w:rPr>
                <w:color w:val="000000"/>
                <w:spacing w:val="76"/>
                <w:szCs w:val="20"/>
                <w:shd w:val="solid" w:color="000000" w:fill="000000"/>
                <w:fitText w:val="162" w:id="-1435807483"/>
                <w14:textFill>
                  <w14:solidFill>
                    <w14:srgbClr w14:val="000000">
                      <w14:alpha w14:val="100000"/>
                    </w14:srgbClr>
                  </w14:solidFill>
                </w14:textFill>
              </w:rPr>
              <w:t>|</w:t>
            </w:r>
            <w:r w:rsidRPr="001F03AF">
              <w:rPr>
                <w:color w:val="000000"/>
                <w:spacing w:val="1"/>
                <w:szCs w:val="20"/>
                <w:shd w:val="solid" w:color="000000" w:fill="000000"/>
                <w:fitText w:val="162" w:id="-1435807483"/>
                <w14:textFill>
                  <w14:solidFill>
                    <w14:srgbClr w14:val="000000">
                      <w14:alpha w14:val="100000"/>
                    </w14:srgbClr>
                  </w14:solidFill>
                </w14:textFill>
              </w:rPr>
              <w:t>|</w:t>
            </w:r>
            <w:r w:rsidR="00665280" w:rsidRPr="00302193">
              <w:rPr>
                <w:szCs w:val="20"/>
              </w:rPr>
              <w:t>%</w:t>
            </w:r>
          </w:p>
        </w:tc>
      </w:tr>
      <w:tr w:rsidR="00045417" w:rsidRPr="003A7F84" w14:paraId="031AEDE5" w14:textId="77777777" w:rsidTr="00045417">
        <w:trPr>
          <w:jc w:val="center"/>
        </w:trPr>
        <w:tc>
          <w:tcPr>
            <w:tcW w:w="1525" w:type="pct"/>
            <w:vAlign w:val="center"/>
          </w:tcPr>
          <w:p w14:paraId="7CA0BAE6" w14:textId="3E573D19" w:rsidR="001506CB" w:rsidRPr="003A7F84" w:rsidRDefault="001506CB" w:rsidP="00BE067C">
            <w:pPr>
              <w:pStyle w:val="TableText"/>
              <w:keepLines/>
              <w:ind w:right="-87"/>
              <w:rPr>
                <w:szCs w:val="20"/>
              </w:rPr>
            </w:pPr>
            <w:r w:rsidRPr="003A7F84">
              <w:rPr>
                <w:szCs w:val="20"/>
              </w:rPr>
              <w:t>Incident patients</w:t>
            </w:r>
          </w:p>
        </w:tc>
        <w:tc>
          <w:tcPr>
            <w:tcW w:w="576" w:type="pct"/>
            <w:shd w:val="clear" w:color="auto" w:fill="auto"/>
          </w:tcPr>
          <w:p w14:paraId="3D2F1080" w14:textId="28805D01" w:rsidR="001506CB"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82"/>
                <w14:textFill>
                  <w14:solidFill>
                    <w14:srgbClr w14:val="000000">
                      <w14:alpha w14:val="100000"/>
                    </w14:srgbClr>
                  </w14:solidFill>
                </w14:textFill>
              </w:rPr>
              <w:t xml:space="preserve">　</w:t>
            </w:r>
            <w:r w:rsidRPr="001F03AF">
              <w:rPr>
                <w:color w:val="000000"/>
                <w:w w:val="28"/>
                <w:szCs w:val="20"/>
                <w:shd w:val="solid" w:color="000000" w:fill="000000"/>
                <w:fitText w:val="125" w:id="-1435807482"/>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82"/>
                <w14:textFill>
                  <w14:solidFill>
                    <w14:srgbClr w14:val="000000">
                      <w14:alpha w14:val="100000"/>
                    </w14:srgbClr>
                  </w14:solidFill>
                </w14:textFill>
              </w:rPr>
              <w:t xml:space="preserve">　</w:t>
            </w:r>
            <w:r w:rsidR="00302193" w:rsidRPr="00302193">
              <w:rPr>
                <w:szCs w:val="20"/>
                <w:vertAlign w:val="superscript"/>
              </w:rPr>
              <w:t>2</w:t>
            </w:r>
          </w:p>
        </w:tc>
        <w:tc>
          <w:tcPr>
            <w:tcW w:w="582" w:type="pct"/>
            <w:shd w:val="clear" w:color="auto" w:fill="auto"/>
          </w:tcPr>
          <w:p w14:paraId="5198DD95" w14:textId="206F688E" w:rsidR="001506CB" w:rsidRPr="00302193" w:rsidRDefault="001F03AF" w:rsidP="00BE067C">
            <w:pPr>
              <w:pStyle w:val="TableText"/>
              <w:keepLines/>
              <w:ind w:left="-70" w:right="-66"/>
              <w:jc w:val="center"/>
              <w:rPr>
                <w:szCs w:val="20"/>
                <w:highlight w:val="darkGray"/>
              </w:rPr>
            </w:pPr>
            <w:r w:rsidRPr="001F03AF">
              <w:rPr>
                <w:rFonts w:hint="eastAsia"/>
                <w:color w:val="000000"/>
                <w:w w:val="25"/>
                <w:szCs w:val="20"/>
                <w:shd w:val="solid" w:color="000000" w:fill="000000"/>
                <w:fitText w:val="112" w:id="-1435807481"/>
                <w14:textFill>
                  <w14:solidFill>
                    <w14:srgbClr w14:val="000000">
                      <w14:alpha w14:val="100000"/>
                    </w14:srgbClr>
                  </w14:solidFill>
                </w14:textFill>
              </w:rPr>
              <w:t xml:space="preserve">　</w:t>
            </w:r>
            <w:r w:rsidRPr="001F03AF">
              <w:rPr>
                <w:color w:val="000000"/>
                <w:w w:val="25"/>
                <w:szCs w:val="20"/>
                <w:shd w:val="solid" w:color="000000" w:fill="000000"/>
                <w:fitText w:val="112" w:id="-1435807481"/>
                <w14:textFill>
                  <w14:solidFill>
                    <w14:srgbClr w14:val="000000">
                      <w14:alpha w14:val="100000"/>
                    </w14:srgbClr>
                  </w14:solidFill>
                </w14:textFill>
              </w:rPr>
              <w:t>|</w:t>
            </w:r>
            <w:r w:rsidRPr="001F03AF">
              <w:rPr>
                <w:rFonts w:hint="eastAsia"/>
                <w:color w:val="000000"/>
                <w:spacing w:val="1"/>
                <w:w w:val="25"/>
                <w:szCs w:val="20"/>
                <w:shd w:val="solid" w:color="000000" w:fill="000000"/>
                <w:fitText w:val="112" w:id="-1435807481"/>
                <w14:textFill>
                  <w14:solidFill>
                    <w14:srgbClr w14:val="000000">
                      <w14:alpha w14:val="100000"/>
                    </w14:srgbClr>
                  </w14:solidFill>
                </w14:textFill>
              </w:rPr>
              <w:t xml:space="preserve">　</w:t>
            </w:r>
            <w:r w:rsidR="00302193" w:rsidRPr="00302193">
              <w:rPr>
                <w:szCs w:val="20"/>
                <w:vertAlign w:val="superscript"/>
              </w:rPr>
              <w:t>1</w:t>
            </w:r>
          </w:p>
        </w:tc>
        <w:tc>
          <w:tcPr>
            <w:tcW w:w="579" w:type="pct"/>
            <w:shd w:val="clear" w:color="auto" w:fill="auto"/>
          </w:tcPr>
          <w:p w14:paraId="70798A39" w14:textId="024B527B" w:rsidR="001506CB"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80"/>
                <w14:textFill>
                  <w14:solidFill>
                    <w14:srgbClr w14:val="000000">
                      <w14:alpha w14:val="100000"/>
                    </w14:srgbClr>
                  </w14:solidFill>
                </w14:textFill>
              </w:rPr>
              <w:t xml:space="preserve">　</w:t>
            </w:r>
            <w:r w:rsidRPr="001F03AF">
              <w:rPr>
                <w:color w:val="000000"/>
                <w:w w:val="28"/>
                <w:szCs w:val="20"/>
                <w:shd w:val="solid" w:color="000000" w:fill="000000"/>
                <w:fitText w:val="125" w:id="-1435807480"/>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80"/>
                <w14:textFill>
                  <w14:solidFill>
                    <w14:srgbClr w14:val="000000">
                      <w14:alpha w14:val="100000"/>
                    </w14:srgbClr>
                  </w14:solidFill>
                </w14:textFill>
              </w:rPr>
              <w:t xml:space="preserve">　</w:t>
            </w:r>
            <w:r w:rsidR="00302193" w:rsidRPr="00302193">
              <w:rPr>
                <w:szCs w:val="20"/>
                <w:vertAlign w:val="superscript"/>
              </w:rPr>
              <w:t>1</w:t>
            </w:r>
          </w:p>
        </w:tc>
        <w:tc>
          <w:tcPr>
            <w:tcW w:w="579" w:type="pct"/>
            <w:shd w:val="clear" w:color="auto" w:fill="auto"/>
          </w:tcPr>
          <w:p w14:paraId="01B89888" w14:textId="5F26AC59" w:rsidR="001506CB"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9"/>
                <w14:textFill>
                  <w14:solidFill>
                    <w14:srgbClr w14:val="000000">
                      <w14:alpha w14:val="100000"/>
                    </w14:srgbClr>
                  </w14:solidFill>
                </w14:textFill>
              </w:rPr>
              <w:t xml:space="preserve">　</w:t>
            </w:r>
            <w:r w:rsidRPr="001F03AF">
              <w:rPr>
                <w:color w:val="000000"/>
                <w:w w:val="28"/>
                <w:szCs w:val="20"/>
                <w:shd w:val="solid" w:color="000000" w:fill="000000"/>
                <w:fitText w:val="125" w:id="-1435807479"/>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9"/>
                <w14:textFill>
                  <w14:solidFill>
                    <w14:srgbClr w14:val="000000">
                      <w14:alpha w14:val="100000"/>
                    </w14:srgbClr>
                  </w14:solidFill>
                </w14:textFill>
              </w:rPr>
              <w:t xml:space="preserve">　</w:t>
            </w:r>
            <w:r w:rsidR="00302193" w:rsidRPr="00302193">
              <w:rPr>
                <w:szCs w:val="20"/>
                <w:vertAlign w:val="superscript"/>
              </w:rPr>
              <w:t>1</w:t>
            </w:r>
          </w:p>
        </w:tc>
        <w:tc>
          <w:tcPr>
            <w:tcW w:w="579" w:type="pct"/>
            <w:shd w:val="clear" w:color="auto" w:fill="auto"/>
          </w:tcPr>
          <w:p w14:paraId="21C05B92" w14:textId="08627491" w:rsidR="001506CB"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8"/>
                <w14:textFill>
                  <w14:solidFill>
                    <w14:srgbClr w14:val="000000">
                      <w14:alpha w14:val="100000"/>
                    </w14:srgbClr>
                  </w14:solidFill>
                </w14:textFill>
              </w:rPr>
              <w:t xml:space="preserve">　</w:t>
            </w:r>
            <w:r w:rsidRPr="001F03AF">
              <w:rPr>
                <w:color w:val="000000"/>
                <w:w w:val="28"/>
                <w:szCs w:val="20"/>
                <w:shd w:val="solid" w:color="000000" w:fill="000000"/>
                <w:fitText w:val="125" w:id="-1435807478"/>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8"/>
                <w14:textFill>
                  <w14:solidFill>
                    <w14:srgbClr w14:val="000000">
                      <w14:alpha w14:val="100000"/>
                    </w14:srgbClr>
                  </w14:solidFill>
                </w14:textFill>
              </w:rPr>
              <w:t xml:space="preserve">　</w:t>
            </w:r>
            <w:r w:rsidR="00302193" w:rsidRPr="00302193">
              <w:rPr>
                <w:szCs w:val="20"/>
                <w:vertAlign w:val="superscript"/>
              </w:rPr>
              <w:t>1</w:t>
            </w:r>
          </w:p>
        </w:tc>
        <w:tc>
          <w:tcPr>
            <w:tcW w:w="580" w:type="pct"/>
            <w:shd w:val="clear" w:color="auto" w:fill="auto"/>
          </w:tcPr>
          <w:p w14:paraId="6B85B26D" w14:textId="41775B09" w:rsidR="001506CB" w:rsidRPr="00302193"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7"/>
                <w14:textFill>
                  <w14:solidFill>
                    <w14:srgbClr w14:val="000000">
                      <w14:alpha w14:val="100000"/>
                    </w14:srgbClr>
                  </w14:solidFill>
                </w14:textFill>
              </w:rPr>
              <w:t xml:space="preserve">　</w:t>
            </w:r>
            <w:r w:rsidRPr="001F03AF">
              <w:rPr>
                <w:color w:val="000000"/>
                <w:w w:val="28"/>
                <w:szCs w:val="20"/>
                <w:shd w:val="solid" w:color="000000" w:fill="000000"/>
                <w:fitText w:val="125" w:id="-1435807477"/>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7"/>
                <w14:textFill>
                  <w14:solidFill>
                    <w14:srgbClr w14:val="000000">
                      <w14:alpha w14:val="100000"/>
                    </w14:srgbClr>
                  </w14:solidFill>
                </w14:textFill>
              </w:rPr>
              <w:t xml:space="preserve">　</w:t>
            </w:r>
            <w:r w:rsidR="00302193" w:rsidRPr="00302193">
              <w:rPr>
                <w:szCs w:val="20"/>
                <w:vertAlign w:val="superscript"/>
              </w:rPr>
              <w:t>1</w:t>
            </w:r>
          </w:p>
        </w:tc>
      </w:tr>
      <w:tr w:rsidR="00045417" w:rsidRPr="003A7F84" w14:paraId="58B776D3" w14:textId="77777777" w:rsidTr="00045417">
        <w:tblPrEx>
          <w:jc w:val="left"/>
        </w:tblPrEx>
        <w:tc>
          <w:tcPr>
            <w:tcW w:w="1525" w:type="pct"/>
          </w:tcPr>
          <w:p w14:paraId="0C5C5253" w14:textId="77777777" w:rsidR="00665280" w:rsidRPr="003A7F84" w:rsidRDefault="00665280" w:rsidP="00BE067C">
            <w:pPr>
              <w:keepNext/>
              <w:keepLines/>
              <w:jc w:val="left"/>
              <w:rPr>
                <w:rFonts w:ascii="Arial Narrow" w:hAnsi="Arial Narrow"/>
                <w:sz w:val="20"/>
                <w:szCs w:val="20"/>
              </w:rPr>
            </w:pPr>
            <w:r w:rsidRPr="003A7F84">
              <w:rPr>
                <w:rFonts w:ascii="Arial Narrow" w:hAnsi="Arial Narrow"/>
                <w:sz w:val="20"/>
                <w:szCs w:val="20"/>
              </w:rPr>
              <w:t>Total incident/persistent treated</w:t>
            </w:r>
          </w:p>
        </w:tc>
        <w:tc>
          <w:tcPr>
            <w:tcW w:w="576" w:type="pct"/>
            <w:shd w:val="clear" w:color="auto" w:fill="auto"/>
          </w:tcPr>
          <w:p w14:paraId="4CCF01EF" w14:textId="43D5AD0F" w:rsidR="00665280" w:rsidRPr="00302193" w:rsidRDefault="001F03AF" w:rsidP="00BE067C">
            <w:pPr>
              <w:keepNext/>
              <w:keepLines/>
              <w:ind w:left="-70" w:right="-66"/>
              <w:jc w:val="center"/>
              <w:rPr>
                <w:rFonts w:ascii="Arial Narrow" w:hAnsi="Arial Narrow"/>
                <w:sz w:val="20"/>
                <w:szCs w:val="20"/>
                <w:highlight w:val="darkGray"/>
              </w:rPr>
            </w:pPr>
            <w:r w:rsidRPr="001F03AF">
              <w:rPr>
                <w:rFonts w:ascii="Arial Narrow" w:hAnsi="Arial Narrow" w:cs="Calibri"/>
                <w:color w:val="000000"/>
                <w:w w:val="28"/>
                <w:sz w:val="20"/>
                <w:szCs w:val="20"/>
                <w:shd w:val="solid" w:color="000000" w:fill="000000"/>
                <w:fitText w:val="125" w:id="-1435807476"/>
                <w14:textFill>
                  <w14:solidFill>
                    <w14:srgbClr w14:val="000000">
                      <w14:alpha w14:val="100000"/>
                    </w14:srgbClr>
                  </w14:solidFill>
                </w14:textFill>
              </w:rPr>
              <w:t xml:space="preserve">　|</w:t>
            </w:r>
            <w:r w:rsidRPr="001F03AF">
              <w:rPr>
                <w:rFonts w:ascii="Arial Narrow" w:hAnsi="Arial Narrow" w:cs="Calibri"/>
                <w:color w:val="000000"/>
                <w:spacing w:val="3"/>
                <w:w w:val="28"/>
                <w:sz w:val="20"/>
                <w:szCs w:val="20"/>
                <w:shd w:val="solid" w:color="000000" w:fill="000000"/>
                <w:fitText w:val="125" w:id="-1435807476"/>
                <w14:textFill>
                  <w14:solidFill>
                    <w14:srgbClr w14:val="000000">
                      <w14:alpha w14:val="100000"/>
                    </w14:srgbClr>
                  </w14:solidFill>
                </w14:textFill>
              </w:rPr>
              <w:t xml:space="preserve">　</w:t>
            </w:r>
            <w:r w:rsidR="00302193" w:rsidRPr="00302193">
              <w:rPr>
                <w:rFonts w:ascii="Arial Narrow" w:hAnsi="Arial Narrow"/>
                <w:sz w:val="20"/>
                <w:szCs w:val="20"/>
                <w:vertAlign w:val="superscript"/>
              </w:rPr>
              <w:t>2</w:t>
            </w:r>
          </w:p>
        </w:tc>
        <w:tc>
          <w:tcPr>
            <w:tcW w:w="582" w:type="pct"/>
            <w:shd w:val="clear" w:color="auto" w:fill="auto"/>
          </w:tcPr>
          <w:p w14:paraId="3C8A081D" w14:textId="29A17BEE" w:rsidR="00665280" w:rsidRPr="00302193" w:rsidRDefault="001F03AF" w:rsidP="00BE067C">
            <w:pPr>
              <w:keepNext/>
              <w:keepLines/>
              <w:ind w:left="-70" w:right="-66"/>
              <w:jc w:val="center"/>
              <w:rPr>
                <w:rFonts w:ascii="Arial Narrow" w:hAnsi="Arial Narrow"/>
                <w:sz w:val="20"/>
                <w:szCs w:val="20"/>
                <w:highlight w:val="darkGray"/>
              </w:rPr>
            </w:pPr>
            <w:r w:rsidRPr="001F03AF">
              <w:rPr>
                <w:rFonts w:ascii="Arial Narrow" w:hAnsi="Arial Narrow" w:cs="Calibri"/>
                <w:color w:val="000000"/>
                <w:w w:val="25"/>
                <w:sz w:val="20"/>
                <w:szCs w:val="20"/>
                <w:shd w:val="solid" w:color="000000" w:fill="000000"/>
                <w:fitText w:val="112" w:id="-1435807475"/>
                <w14:textFill>
                  <w14:solidFill>
                    <w14:srgbClr w14:val="000000">
                      <w14:alpha w14:val="100000"/>
                    </w14:srgbClr>
                  </w14:solidFill>
                </w14:textFill>
              </w:rPr>
              <w:t xml:space="preserve">　|</w:t>
            </w:r>
            <w:r w:rsidRPr="001F03AF">
              <w:rPr>
                <w:rFonts w:ascii="Arial Narrow" w:hAnsi="Arial Narrow" w:cs="Calibri"/>
                <w:color w:val="000000"/>
                <w:spacing w:val="1"/>
                <w:w w:val="25"/>
                <w:sz w:val="20"/>
                <w:szCs w:val="20"/>
                <w:shd w:val="solid" w:color="000000" w:fill="000000"/>
                <w:fitText w:val="112" w:id="-1435807475"/>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shd w:val="clear" w:color="auto" w:fill="auto"/>
          </w:tcPr>
          <w:p w14:paraId="166615A8" w14:textId="314BD43A" w:rsidR="00665280" w:rsidRPr="00302193" w:rsidRDefault="001F03AF" w:rsidP="00BE067C">
            <w:pPr>
              <w:keepNext/>
              <w:keepLines/>
              <w:ind w:left="-70" w:right="-66"/>
              <w:jc w:val="center"/>
              <w:rPr>
                <w:rFonts w:ascii="Arial Narrow" w:hAnsi="Arial Narrow"/>
                <w:sz w:val="20"/>
                <w:szCs w:val="20"/>
                <w:highlight w:val="darkGray"/>
              </w:rPr>
            </w:pPr>
            <w:r w:rsidRPr="001F03AF">
              <w:rPr>
                <w:rFonts w:ascii="Arial Narrow" w:hAnsi="Arial Narrow" w:cs="Calibri"/>
                <w:color w:val="000000"/>
                <w:w w:val="28"/>
                <w:sz w:val="20"/>
                <w:szCs w:val="20"/>
                <w:shd w:val="solid" w:color="000000" w:fill="000000"/>
                <w:fitText w:val="125" w:id="-1435807474"/>
                <w14:textFill>
                  <w14:solidFill>
                    <w14:srgbClr w14:val="000000">
                      <w14:alpha w14:val="100000"/>
                    </w14:srgbClr>
                  </w14:solidFill>
                </w14:textFill>
              </w:rPr>
              <w:t xml:space="preserve">　|</w:t>
            </w:r>
            <w:r w:rsidRPr="001F03AF">
              <w:rPr>
                <w:rFonts w:ascii="Arial Narrow" w:hAnsi="Arial Narrow" w:cs="Calibri"/>
                <w:color w:val="000000"/>
                <w:spacing w:val="3"/>
                <w:w w:val="28"/>
                <w:sz w:val="20"/>
                <w:szCs w:val="20"/>
                <w:shd w:val="solid" w:color="000000" w:fill="000000"/>
                <w:fitText w:val="125" w:id="-1435807474"/>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shd w:val="clear" w:color="auto" w:fill="auto"/>
          </w:tcPr>
          <w:p w14:paraId="65598EB1" w14:textId="06A3C872" w:rsidR="00665280" w:rsidRPr="00302193" w:rsidRDefault="001F03AF" w:rsidP="00BE067C">
            <w:pPr>
              <w:keepNext/>
              <w:keepLines/>
              <w:ind w:left="-70" w:right="-66"/>
              <w:jc w:val="center"/>
              <w:rPr>
                <w:rFonts w:ascii="Arial Narrow" w:hAnsi="Arial Narrow"/>
                <w:sz w:val="20"/>
                <w:szCs w:val="20"/>
                <w:highlight w:val="darkGray"/>
              </w:rPr>
            </w:pPr>
            <w:r w:rsidRPr="001F03AF">
              <w:rPr>
                <w:rFonts w:ascii="Arial Narrow" w:hAnsi="Arial Narrow" w:cs="Calibri"/>
                <w:color w:val="000000"/>
                <w:w w:val="28"/>
                <w:sz w:val="20"/>
                <w:szCs w:val="20"/>
                <w:shd w:val="solid" w:color="000000" w:fill="000000"/>
                <w:fitText w:val="125" w:id="-1435807473"/>
                <w14:textFill>
                  <w14:solidFill>
                    <w14:srgbClr w14:val="000000">
                      <w14:alpha w14:val="100000"/>
                    </w14:srgbClr>
                  </w14:solidFill>
                </w14:textFill>
              </w:rPr>
              <w:t xml:space="preserve">　|</w:t>
            </w:r>
            <w:r w:rsidRPr="001F03AF">
              <w:rPr>
                <w:rFonts w:ascii="Arial Narrow" w:hAnsi="Arial Narrow" w:cs="Calibri"/>
                <w:color w:val="000000"/>
                <w:spacing w:val="3"/>
                <w:w w:val="28"/>
                <w:sz w:val="20"/>
                <w:szCs w:val="20"/>
                <w:shd w:val="solid" w:color="000000" w:fill="000000"/>
                <w:fitText w:val="125" w:id="-1435807473"/>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shd w:val="clear" w:color="auto" w:fill="auto"/>
          </w:tcPr>
          <w:p w14:paraId="37C41323" w14:textId="2FF6DD57" w:rsidR="00665280" w:rsidRPr="00302193" w:rsidRDefault="001F03AF" w:rsidP="00BE067C">
            <w:pPr>
              <w:keepNext/>
              <w:keepLines/>
              <w:ind w:left="-70" w:right="-66"/>
              <w:jc w:val="center"/>
              <w:rPr>
                <w:rFonts w:ascii="Arial Narrow" w:hAnsi="Arial Narrow"/>
                <w:sz w:val="20"/>
                <w:szCs w:val="20"/>
                <w:highlight w:val="darkGray"/>
              </w:rPr>
            </w:pPr>
            <w:r w:rsidRPr="001F03AF">
              <w:rPr>
                <w:rFonts w:ascii="Arial Narrow" w:hAnsi="Arial Narrow" w:cs="Calibri"/>
                <w:color w:val="000000"/>
                <w:w w:val="28"/>
                <w:sz w:val="20"/>
                <w:szCs w:val="20"/>
                <w:shd w:val="solid" w:color="000000" w:fill="000000"/>
                <w:fitText w:val="125" w:id="-1435807472"/>
                <w14:textFill>
                  <w14:solidFill>
                    <w14:srgbClr w14:val="000000">
                      <w14:alpha w14:val="100000"/>
                    </w14:srgbClr>
                  </w14:solidFill>
                </w14:textFill>
              </w:rPr>
              <w:t xml:space="preserve">　|</w:t>
            </w:r>
            <w:r w:rsidRPr="001F03AF">
              <w:rPr>
                <w:rFonts w:ascii="Arial Narrow" w:hAnsi="Arial Narrow" w:cs="Calibri"/>
                <w:color w:val="000000"/>
                <w:spacing w:val="3"/>
                <w:w w:val="28"/>
                <w:sz w:val="20"/>
                <w:szCs w:val="20"/>
                <w:shd w:val="solid" w:color="000000" w:fill="000000"/>
                <w:fitText w:val="125" w:id="-1435807472"/>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80" w:type="pct"/>
            <w:shd w:val="clear" w:color="auto" w:fill="auto"/>
          </w:tcPr>
          <w:p w14:paraId="781F02B3" w14:textId="718AC822" w:rsidR="00665280" w:rsidRPr="00302193" w:rsidRDefault="001F03AF" w:rsidP="00BE067C">
            <w:pPr>
              <w:keepNext/>
              <w:keepLines/>
              <w:ind w:left="-70" w:right="-66"/>
              <w:jc w:val="center"/>
              <w:rPr>
                <w:rFonts w:ascii="Arial Narrow" w:hAnsi="Arial Narrow" w:cs="Calibri"/>
                <w:color w:val="000000"/>
                <w:sz w:val="20"/>
                <w:szCs w:val="20"/>
                <w:highlight w:val="darkGray"/>
              </w:rPr>
            </w:pPr>
            <w:r w:rsidRPr="001F03AF">
              <w:rPr>
                <w:rFonts w:ascii="Arial Narrow" w:hAnsi="Arial Narrow" w:cs="Calibri"/>
                <w:color w:val="000000"/>
                <w:w w:val="28"/>
                <w:sz w:val="20"/>
                <w:szCs w:val="20"/>
                <w:shd w:val="solid" w:color="000000" w:fill="000000"/>
                <w:fitText w:val="125" w:id="-1435807488"/>
                <w14:textFill>
                  <w14:solidFill>
                    <w14:srgbClr w14:val="000000">
                      <w14:alpha w14:val="100000"/>
                    </w14:srgbClr>
                  </w14:solidFill>
                </w14:textFill>
              </w:rPr>
              <w:t xml:space="preserve">　|</w:t>
            </w:r>
            <w:r w:rsidRPr="001F03AF">
              <w:rPr>
                <w:rFonts w:ascii="Arial Narrow" w:hAnsi="Arial Narrow" w:cs="Calibri"/>
                <w:color w:val="000000"/>
                <w:spacing w:val="3"/>
                <w:w w:val="28"/>
                <w:sz w:val="20"/>
                <w:szCs w:val="20"/>
                <w:shd w:val="solid" w:color="000000" w:fill="000000"/>
                <w:fitText w:val="125" w:id="-1435807488"/>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r>
      <w:tr w:rsidR="00665280" w:rsidRPr="003A7F84" w14:paraId="3AFE51E4" w14:textId="77777777" w:rsidTr="00045417">
        <w:trPr>
          <w:jc w:val="center"/>
        </w:trPr>
        <w:tc>
          <w:tcPr>
            <w:tcW w:w="5000" w:type="pct"/>
            <w:gridSpan w:val="7"/>
            <w:vAlign w:val="center"/>
          </w:tcPr>
          <w:p w14:paraId="115668C7" w14:textId="77777777" w:rsidR="00665280" w:rsidRPr="003A7F84" w:rsidRDefault="00665280" w:rsidP="00BE067C">
            <w:pPr>
              <w:pStyle w:val="TableText"/>
              <w:keepLines/>
              <w:ind w:right="-66"/>
              <w:rPr>
                <w:b/>
                <w:bCs w:val="0"/>
                <w:iCs/>
                <w:szCs w:val="20"/>
                <w:vertAlign w:val="superscript"/>
              </w:rPr>
            </w:pPr>
            <w:r w:rsidRPr="003A7F84">
              <w:rPr>
                <w:b/>
                <w:bCs w:val="0"/>
                <w:iCs/>
                <w:szCs w:val="20"/>
              </w:rPr>
              <w:t>Children aged 0-17 years with historic diagnosis up to 6 years prior to Year 1</w:t>
            </w:r>
            <w:r w:rsidRPr="003A7F84">
              <w:rPr>
                <w:b/>
                <w:bCs w:val="0"/>
                <w:iCs/>
                <w:szCs w:val="20"/>
                <w:vertAlign w:val="superscript"/>
              </w:rPr>
              <w:t>a</w:t>
            </w:r>
          </w:p>
        </w:tc>
      </w:tr>
      <w:tr w:rsidR="00045417" w:rsidRPr="003A7F84" w14:paraId="00043317" w14:textId="77777777" w:rsidTr="00045417">
        <w:tblPrEx>
          <w:jc w:val="left"/>
        </w:tblPrEx>
        <w:tc>
          <w:tcPr>
            <w:tcW w:w="1525" w:type="pct"/>
            <w:tcBorders>
              <w:bottom w:val="single" w:sz="4" w:space="0" w:color="auto"/>
            </w:tcBorders>
            <w:vAlign w:val="bottom"/>
          </w:tcPr>
          <w:p w14:paraId="0D0E41DA" w14:textId="77777777" w:rsidR="00665280" w:rsidRPr="003A7F84" w:rsidRDefault="00665280" w:rsidP="00BE067C">
            <w:pPr>
              <w:keepNext/>
              <w:keepLines/>
              <w:jc w:val="left"/>
              <w:rPr>
                <w:rFonts w:ascii="Arial Narrow" w:hAnsi="Arial Narrow"/>
                <w:sz w:val="20"/>
                <w:szCs w:val="20"/>
              </w:rPr>
            </w:pPr>
            <w:r w:rsidRPr="003A7F84">
              <w:rPr>
                <w:rFonts w:ascii="Arial Narrow" w:hAnsi="Arial Narrow" w:cs="Calibri"/>
                <w:color w:val="000000"/>
                <w:sz w:val="20"/>
                <w:szCs w:val="20"/>
              </w:rPr>
              <w:t>Historic persistent children treated</w:t>
            </w:r>
          </w:p>
        </w:tc>
        <w:tc>
          <w:tcPr>
            <w:tcW w:w="576" w:type="pct"/>
            <w:tcBorders>
              <w:bottom w:val="single" w:sz="4" w:space="0" w:color="auto"/>
            </w:tcBorders>
            <w:vAlign w:val="center"/>
          </w:tcPr>
          <w:p w14:paraId="7700F3A7" w14:textId="3C701F45" w:rsidR="00665280" w:rsidRPr="00302193" w:rsidRDefault="001F03AF" w:rsidP="00BE067C">
            <w:pPr>
              <w:keepNext/>
              <w:keepLines/>
              <w:ind w:left="-70" w:right="-66"/>
              <w:jc w:val="center"/>
              <w:rPr>
                <w:rFonts w:ascii="Arial Narrow" w:hAnsi="Arial Narrow" w:cs="Calibri"/>
                <w:iCs/>
                <w:color w:val="000000"/>
                <w:sz w:val="20"/>
                <w:szCs w:val="20"/>
                <w:highlight w:val="darkGray"/>
              </w:rPr>
            </w:pPr>
            <w:r w:rsidRPr="001F03AF">
              <w:rPr>
                <w:rFonts w:ascii="Arial Narrow" w:hAnsi="Arial Narrow" w:cs="Calibri"/>
                <w:iCs/>
                <w:color w:val="000000"/>
                <w:w w:val="28"/>
                <w:sz w:val="20"/>
                <w:szCs w:val="20"/>
                <w:shd w:val="solid" w:color="000000" w:fill="000000"/>
                <w:fitText w:val="125" w:id="-1435807487"/>
                <w14:textFill>
                  <w14:solidFill>
                    <w14:srgbClr w14:val="000000">
                      <w14:alpha w14:val="100000"/>
                    </w14:srgbClr>
                  </w14:solidFill>
                </w14:textFill>
              </w:rPr>
              <w:t xml:space="preserve">　|</w:t>
            </w:r>
            <w:r w:rsidRPr="001F03AF">
              <w:rPr>
                <w:rFonts w:ascii="Arial Narrow" w:hAnsi="Arial Narrow" w:cs="Calibri"/>
                <w:iCs/>
                <w:color w:val="000000"/>
                <w:spacing w:val="3"/>
                <w:w w:val="28"/>
                <w:sz w:val="20"/>
                <w:szCs w:val="20"/>
                <w:shd w:val="solid" w:color="000000" w:fill="000000"/>
                <w:fitText w:val="125" w:id="-1435807487"/>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82" w:type="pct"/>
            <w:tcBorders>
              <w:bottom w:val="single" w:sz="4" w:space="0" w:color="auto"/>
            </w:tcBorders>
            <w:vAlign w:val="center"/>
          </w:tcPr>
          <w:p w14:paraId="7A9034FE" w14:textId="01B4700F" w:rsidR="00665280" w:rsidRPr="00302193" w:rsidRDefault="001F03AF" w:rsidP="00BE067C">
            <w:pPr>
              <w:keepNext/>
              <w:keepLines/>
              <w:ind w:left="-70" w:right="-66"/>
              <w:jc w:val="center"/>
              <w:rPr>
                <w:rFonts w:ascii="Arial Narrow" w:hAnsi="Arial Narrow" w:cs="Calibri"/>
                <w:iCs/>
                <w:color w:val="000000"/>
                <w:sz w:val="20"/>
                <w:szCs w:val="20"/>
                <w:highlight w:val="darkGray"/>
              </w:rPr>
            </w:pPr>
            <w:r w:rsidRPr="001F03AF">
              <w:rPr>
                <w:rFonts w:ascii="Arial Narrow" w:hAnsi="Arial Narrow" w:cs="Calibri"/>
                <w:iCs/>
                <w:color w:val="000000"/>
                <w:w w:val="25"/>
                <w:sz w:val="20"/>
                <w:szCs w:val="20"/>
                <w:shd w:val="solid" w:color="000000" w:fill="000000"/>
                <w:fitText w:val="112" w:id="-1435807486"/>
                <w14:textFill>
                  <w14:solidFill>
                    <w14:srgbClr w14:val="000000">
                      <w14:alpha w14:val="100000"/>
                    </w14:srgbClr>
                  </w14:solidFill>
                </w14:textFill>
              </w:rPr>
              <w:t xml:space="preserve">　|</w:t>
            </w:r>
            <w:r w:rsidRPr="001F03AF">
              <w:rPr>
                <w:rFonts w:ascii="Arial Narrow" w:hAnsi="Arial Narrow" w:cs="Calibri"/>
                <w:iCs/>
                <w:color w:val="000000"/>
                <w:spacing w:val="1"/>
                <w:w w:val="25"/>
                <w:sz w:val="20"/>
                <w:szCs w:val="20"/>
                <w:shd w:val="solid" w:color="000000" w:fill="000000"/>
                <w:fitText w:val="112" w:id="-1435807486"/>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tcBorders>
              <w:bottom w:val="single" w:sz="4" w:space="0" w:color="auto"/>
            </w:tcBorders>
            <w:vAlign w:val="center"/>
          </w:tcPr>
          <w:p w14:paraId="094DE0B3" w14:textId="34F0D508" w:rsidR="00665280" w:rsidRPr="00302193" w:rsidRDefault="001F03AF" w:rsidP="00BE067C">
            <w:pPr>
              <w:keepNext/>
              <w:keepLines/>
              <w:ind w:left="-70" w:right="-66"/>
              <w:jc w:val="center"/>
              <w:rPr>
                <w:rFonts w:ascii="Arial Narrow" w:hAnsi="Arial Narrow" w:cs="Calibri"/>
                <w:iCs/>
                <w:color w:val="000000"/>
                <w:sz w:val="20"/>
                <w:szCs w:val="20"/>
                <w:highlight w:val="darkGray"/>
              </w:rPr>
            </w:pPr>
            <w:r w:rsidRPr="001F03AF">
              <w:rPr>
                <w:rFonts w:ascii="Arial Narrow" w:hAnsi="Arial Narrow" w:cs="Calibri"/>
                <w:iCs/>
                <w:color w:val="000000"/>
                <w:w w:val="28"/>
                <w:sz w:val="20"/>
                <w:szCs w:val="20"/>
                <w:shd w:val="solid" w:color="000000" w:fill="000000"/>
                <w:fitText w:val="125" w:id="-1435807485"/>
                <w14:textFill>
                  <w14:solidFill>
                    <w14:srgbClr w14:val="000000">
                      <w14:alpha w14:val="100000"/>
                    </w14:srgbClr>
                  </w14:solidFill>
                </w14:textFill>
              </w:rPr>
              <w:t xml:space="preserve">　|</w:t>
            </w:r>
            <w:r w:rsidRPr="001F03AF">
              <w:rPr>
                <w:rFonts w:ascii="Arial Narrow" w:hAnsi="Arial Narrow" w:cs="Calibri"/>
                <w:iCs/>
                <w:color w:val="000000"/>
                <w:spacing w:val="3"/>
                <w:w w:val="28"/>
                <w:sz w:val="20"/>
                <w:szCs w:val="20"/>
                <w:shd w:val="solid" w:color="000000" w:fill="000000"/>
                <w:fitText w:val="125" w:id="-1435807485"/>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tcBorders>
              <w:bottom w:val="single" w:sz="4" w:space="0" w:color="auto"/>
            </w:tcBorders>
            <w:vAlign w:val="center"/>
          </w:tcPr>
          <w:p w14:paraId="0BB1E036" w14:textId="09B11D18" w:rsidR="00665280" w:rsidRPr="00302193" w:rsidRDefault="001F03AF" w:rsidP="00BE067C">
            <w:pPr>
              <w:keepNext/>
              <w:keepLines/>
              <w:ind w:left="-70" w:right="-66"/>
              <w:jc w:val="center"/>
              <w:rPr>
                <w:rFonts w:ascii="Arial Narrow" w:hAnsi="Arial Narrow" w:cs="Calibri"/>
                <w:iCs/>
                <w:color w:val="000000"/>
                <w:sz w:val="20"/>
                <w:szCs w:val="20"/>
                <w:highlight w:val="darkGray"/>
              </w:rPr>
            </w:pPr>
            <w:r w:rsidRPr="001F03AF">
              <w:rPr>
                <w:rFonts w:ascii="Arial Narrow" w:hAnsi="Arial Narrow" w:cs="Calibri"/>
                <w:iCs/>
                <w:color w:val="000000"/>
                <w:w w:val="28"/>
                <w:sz w:val="20"/>
                <w:szCs w:val="20"/>
                <w:shd w:val="solid" w:color="000000" w:fill="000000"/>
                <w:fitText w:val="125" w:id="-1435807484"/>
                <w14:textFill>
                  <w14:solidFill>
                    <w14:srgbClr w14:val="000000">
                      <w14:alpha w14:val="100000"/>
                    </w14:srgbClr>
                  </w14:solidFill>
                </w14:textFill>
              </w:rPr>
              <w:t xml:space="preserve">　|</w:t>
            </w:r>
            <w:r w:rsidRPr="001F03AF">
              <w:rPr>
                <w:rFonts w:ascii="Arial Narrow" w:hAnsi="Arial Narrow" w:cs="Calibri"/>
                <w:iCs/>
                <w:color w:val="000000"/>
                <w:spacing w:val="3"/>
                <w:w w:val="28"/>
                <w:sz w:val="20"/>
                <w:szCs w:val="20"/>
                <w:shd w:val="solid" w:color="000000" w:fill="000000"/>
                <w:fitText w:val="125" w:id="-1435807484"/>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tcBorders>
              <w:bottom w:val="single" w:sz="4" w:space="0" w:color="auto"/>
            </w:tcBorders>
            <w:vAlign w:val="center"/>
          </w:tcPr>
          <w:p w14:paraId="41F33F66" w14:textId="756B960B" w:rsidR="00665280" w:rsidRPr="00302193" w:rsidRDefault="001F03AF" w:rsidP="00BE067C">
            <w:pPr>
              <w:keepNext/>
              <w:keepLines/>
              <w:ind w:left="-70" w:right="-66"/>
              <w:jc w:val="center"/>
              <w:rPr>
                <w:rFonts w:ascii="Arial Narrow" w:hAnsi="Arial Narrow" w:cs="Calibri"/>
                <w:iCs/>
                <w:color w:val="000000"/>
                <w:sz w:val="20"/>
                <w:szCs w:val="20"/>
                <w:highlight w:val="darkGray"/>
              </w:rPr>
            </w:pPr>
            <w:r w:rsidRPr="001F03AF">
              <w:rPr>
                <w:rFonts w:ascii="Arial Narrow" w:hAnsi="Arial Narrow" w:cs="Calibri"/>
                <w:iCs/>
                <w:color w:val="000000"/>
                <w:w w:val="28"/>
                <w:sz w:val="20"/>
                <w:szCs w:val="20"/>
                <w:shd w:val="solid" w:color="000000" w:fill="000000"/>
                <w:fitText w:val="125" w:id="-1435807483"/>
                <w14:textFill>
                  <w14:solidFill>
                    <w14:srgbClr w14:val="000000">
                      <w14:alpha w14:val="100000"/>
                    </w14:srgbClr>
                  </w14:solidFill>
                </w14:textFill>
              </w:rPr>
              <w:t xml:space="preserve">　|</w:t>
            </w:r>
            <w:r w:rsidRPr="001F03AF">
              <w:rPr>
                <w:rFonts w:ascii="Arial Narrow" w:hAnsi="Arial Narrow" w:cs="Calibri"/>
                <w:iCs/>
                <w:color w:val="000000"/>
                <w:spacing w:val="3"/>
                <w:w w:val="28"/>
                <w:sz w:val="20"/>
                <w:szCs w:val="20"/>
                <w:shd w:val="solid" w:color="000000" w:fill="000000"/>
                <w:fitText w:val="125" w:id="-1435807483"/>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80" w:type="pct"/>
            <w:tcBorders>
              <w:bottom w:val="single" w:sz="4" w:space="0" w:color="auto"/>
            </w:tcBorders>
            <w:vAlign w:val="center"/>
          </w:tcPr>
          <w:p w14:paraId="2BD40658" w14:textId="4F0A26A2" w:rsidR="00665280" w:rsidRPr="00302193" w:rsidRDefault="001F03AF" w:rsidP="00BE067C">
            <w:pPr>
              <w:keepNext/>
              <w:keepLines/>
              <w:ind w:left="-70" w:right="-66"/>
              <w:jc w:val="center"/>
              <w:rPr>
                <w:rFonts w:ascii="Arial Narrow" w:hAnsi="Arial Narrow" w:cs="Calibri"/>
                <w:iCs/>
                <w:color w:val="000000"/>
                <w:sz w:val="20"/>
                <w:szCs w:val="20"/>
                <w:highlight w:val="darkGray"/>
              </w:rPr>
            </w:pPr>
            <w:r w:rsidRPr="001F03AF">
              <w:rPr>
                <w:rFonts w:ascii="Arial Narrow" w:hAnsi="Arial Narrow" w:cs="Calibri"/>
                <w:iCs/>
                <w:color w:val="000000"/>
                <w:w w:val="28"/>
                <w:sz w:val="20"/>
                <w:szCs w:val="20"/>
                <w:shd w:val="solid" w:color="000000" w:fill="000000"/>
                <w:fitText w:val="125" w:id="-1435807482"/>
                <w14:textFill>
                  <w14:solidFill>
                    <w14:srgbClr w14:val="000000">
                      <w14:alpha w14:val="100000"/>
                    </w14:srgbClr>
                  </w14:solidFill>
                </w14:textFill>
              </w:rPr>
              <w:t xml:space="preserve">　|</w:t>
            </w:r>
            <w:r w:rsidRPr="001F03AF">
              <w:rPr>
                <w:rFonts w:ascii="Arial Narrow" w:hAnsi="Arial Narrow" w:cs="Calibri"/>
                <w:iCs/>
                <w:color w:val="000000"/>
                <w:spacing w:val="3"/>
                <w:w w:val="28"/>
                <w:sz w:val="20"/>
                <w:szCs w:val="20"/>
                <w:shd w:val="solid" w:color="000000" w:fill="000000"/>
                <w:fitText w:val="125" w:id="-1435807482"/>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r>
      <w:tr w:rsidR="00045417" w:rsidRPr="003A7F84" w14:paraId="1EE1FA9B" w14:textId="77777777" w:rsidTr="00045417">
        <w:tblPrEx>
          <w:jc w:val="left"/>
        </w:tblPrEx>
        <w:tc>
          <w:tcPr>
            <w:tcW w:w="1525" w:type="pct"/>
            <w:tcBorders>
              <w:bottom w:val="double" w:sz="4" w:space="0" w:color="auto"/>
            </w:tcBorders>
          </w:tcPr>
          <w:p w14:paraId="3C28BA05" w14:textId="77777777" w:rsidR="00665280" w:rsidRPr="003A7F84" w:rsidRDefault="00665280" w:rsidP="00BE067C">
            <w:pPr>
              <w:keepNext/>
              <w:keepLines/>
              <w:jc w:val="left"/>
              <w:rPr>
                <w:rFonts w:ascii="Arial Narrow" w:hAnsi="Arial Narrow"/>
                <w:b/>
                <w:bCs/>
                <w:sz w:val="20"/>
                <w:szCs w:val="20"/>
              </w:rPr>
            </w:pPr>
            <w:r w:rsidRPr="003A7F84">
              <w:rPr>
                <w:rFonts w:ascii="Arial Narrow" w:hAnsi="Arial Narrow"/>
                <w:b/>
                <w:bCs/>
                <w:sz w:val="20"/>
                <w:szCs w:val="20"/>
              </w:rPr>
              <w:t>Total children treated</w:t>
            </w:r>
          </w:p>
        </w:tc>
        <w:tc>
          <w:tcPr>
            <w:tcW w:w="576" w:type="pct"/>
            <w:tcBorders>
              <w:bottom w:val="double" w:sz="4" w:space="0" w:color="auto"/>
            </w:tcBorders>
            <w:vAlign w:val="center"/>
          </w:tcPr>
          <w:p w14:paraId="0175224C" w14:textId="580E87B3" w:rsidR="00665280" w:rsidRPr="00302193" w:rsidRDefault="001F03AF" w:rsidP="00BE067C">
            <w:pPr>
              <w:keepNext/>
              <w:keepLines/>
              <w:ind w:left="-70" w:right="-66"/>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83"/>
                <w:sz w:val="20"/>
                <w:szCs w:val="20"/>
                <w:shd w:val="solid" w:color="000000" w:fill="000000"/>
                <w:fitText w:val="175" w:id="-1435807481"/>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75" w:id="-1435807481"/>
                <w14:textFill>
                  <w14:solidFill>
                    <w14:srgbClr w14:val="000000">
                      <w14:alpha w14:val="100000"/>
                    </w14:srgbClr>
                  </w14:solidFill>
                </w14:textFill>
              </w:rPr>
              <w:t>|</w:t>
            </w:r>
            <w:r w:rsidR="00FC69A3" w:rsidRPr="00302193">
              <w:rPr>
                <w:rFonts w:ascii="Arial Narrow" w:hAnsi="Arial Narrow"/>
                <w:sz w:val="20"/>
                <w:szCs w:val="20"/>
                <w:vertAlign w:val="superscript"/>
              </w:rPr>
              <w:t>1</w:t>
            </w:r>
          </w:p>
        </w:tc>
        <w:tc>
          <w:tcPr>
            <w:tcW w:w="582" w:type="pct"/>
            <w:tcBorders>
              <w:bottom w:val="double" w:sz="4" w:space="0" w:color="auto"/>
            </w:tcBorders>
            <w:vAlign w:val="center"/>
          </w:tcPr>
          <w:p w14:paraId="05B15BBC" w14:textId="72EB70EA" w:rsidR="00665280" w:rsidRPr="00302193" w:rsidRDefault="001F03AF" w:rsidP="00BE067C">
            <w:pPr>
              <w:keepNext/>
              <w:keepLines/>
              <w:ind w:left="-70" w:right="-66"/>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80"/>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80"/>
                <w14:textFill>
                  <w14:solidFill>
                    <w14:srgbClr w14:val="000000">
                      <w14:alpha w14:val="100000"/>
                    </w14:srgbClr>
                  </w14:solidFill>
                </w14:textFill>
              </w:rPr>
              <w:t>|</w:t>
            </w:r>
            <w:r w:rsidR="00FC69A3" w:rsidRPr="00302193">
              <w:rPr>
                <w:rFonts w:ascii="Arial Narrow" w:hAnsi="Arial Narrow"/>
                <w:sz w:val="20"/>
                <w:szCs w:val="20"/>
                <w:vertAlign w:val="superscript"/>
              </w:rPr>
              <w:t>1</w:t>
            </w:r>
          </w:p>
        </w:tc>
        <w:tc>
          <w:tcPr>
            <w:tcW w:w="579" w:type="pct"/>
            <w:tcBorders>
              <w:bottom w:val="double" w:sz="4" w:space="0" w:color="auto"/>
            </w:tcBorders>
            <w:vAlign w:val="center"/>
          </w:tcPr>
          <w:p w14:paraId="0018EF87" w14:textId="5F367FE5" w:rsidR="00665280" w:rsidRPr="00302193" w:rsidRDefault="001F03AF" w:rsidP="00BE067C">
            <w:pPr>
              <w:keepNext/>
              <w:keepLines/>
              <w:ind w:left="-70" w:right="-66"/>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0"/>
                <w:sz w:val="20"/>
                <w:szCs w:val="20"/>
                <w:shd w:val="solid" w:color="000000" w:fill="000000"/>
                <w:fitText w:val="162" w:id="-1435807479"/>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2" w:id="-1435807479"/>
                <w14:textFill>
                  <w14:solidFill>
                    <w14:srgbClr w14:val="000000">
                      <w14:alpha w14:val="100000"/>
                    </w14:srgbClr>
                  </w14:solidFill>
                </w14:textFill>
              </w:rPr>
              <w:t>|</w:t>
            </w:r>
            <w:r w:rsidR="00FC69A3" w:rsidRPr="00302193">
              <w:rPr>
                <w:rFonts w:ascii="Arial Narrow" w:hAnsi="Arial Narrow"/>
                <w:sz w:val="20"/>
                <w:szCs w:val="20"/>
                <w:vertAlign w:val="superscript"/>
              </w:rPr>
              <w:t>1</w:t>
            </w:r>
          </w:p>
        </w:tc>
        <w:tc>
          <w:tcPr>
            <w:tcW w:w="579" w:type="pct"/>
            <w:tcBorders>
              <w:bottom w:val="double" w:sz="4" w:space="0" w:color="auto"/>
            </w:tcBorders>
            <w:vAlign w:val="center"/>
          </w:tcPr>
          <w:p w14:paraId="57A9BDCE" w14:textId="2DDC37AC" w:rsidR="00665280" w:rsidRPr="00302193" w:rsidRDefault="001F03AF" w:rsidP="00BE067C">
            <w:pPr>
              <w:keepNext/>
              <w:keepLines/>
              <w:ind w:left="-70" w:right="-66"/>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0"/>
                <w:sz w:val="20"/>
                <w:szCs w:val="20"/>
                <w:shd w:val="solid" w:color="000000" w:fill="000000"/>
                <w:fitText w:val="162" w:id="-1435807478"/>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2" w:id="-1435807478"/>
                <w14:textFill>
                  <w14:solidFill>
                    <w14:srgbClr w14:val="000000">
                      <w14:alpha w14:val="100000"/>
                    </w14:srgbClr>
                  </w14:solidFill>
                </w14:textFill>
              </w:rPr>
              <w:t>|</w:t>
            </w:r>
            <w:r w:rsidR="00302193">
              <w:rPr>
                <w:rFonts w:ascii="Arial Narrow" w:hAnsi="Arial Narrow"/>
                <w:sz w:val="20"/>
                <w:szCs w:val="20"/>
                <w:vertAlign w:val="superscript"/>
              </w:rPr>
              <w:t>3</w:t>
            </w:r>
          </w:p>
        </w:tc>
        <w:tc>
          <w:tcPr>
            <w:tcW w:w="579" w:type="pct"/>
            <w:tcBorders>
              <w:bottom w:val="double" w:sz="4" w:space="0" w:color="auto"/>
            </w:tcBorders>
            <w:vAlign w:val="center"/>
          </w:tcPr>
          <w:p w14:paraId="25E36567" w14:textId="05B448A8" w:rsidR="00665280" w:rsidRPr="00302193" w:rsidRDefault="001F03AF" w:rsidP="00BE067C">
            <w:pPr>
              <w:keepNext/>
              <w:keepLines/>
              <w:ind w:left="-70" w:right="-66"/>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77"/>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77"/>
                <w14:textFill>
                  <w14:solidFill>
                    <w14:srgbClr w14:val="000000">
                      <w14:alpha w14:val="100000"/>
                    </w14:srgbClr>
                  </w14:solidFill>
                </w14:textFill>
              </w:rPr>
              <w:t>|</w:t>
            </w:r>
            <w:r w:rsidR="00302193">
              <w:rPr>
                <w:rFonts w:ascii="Arial Narrow" w:hAnsi="Arial Narrow"/>
                <w:sz w:val="20"/>
                <w:szCs w:val="20"/>
                <w:vertAlign w:val="superscript"/>
              </w:rPr>
              <w:t>3</w:t>
            </w:r>
          </w:p>
        </w:tc>
        <w:tc>
          <w:tcPr>
            <w:tcW w:w="580" w:type="pct"/>
            <w:tcBorders>
              <w:bottom w:val="double" w:sz="4" w:space="0" w:color="auto"/>
            </w:tcBorders>
            <w:vAlign w:val="center"/>
          </w:tcPr>
          <w:p w14:paraId="1FB5DCBD" w14:textId="157D61DD" w:rsidR="00665280" w:rsidRPr="00302193" w:rsidRDefault="001F03AF" w:rsidP="00BE067C">
            <w:pPr>
              <w:keepNext/>
              <w:keepLines/>
              <w:ind w:left="-70" w:right="-66"/>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76"/>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76"/>
                <w14:textFill>
                  <w14:solidFill>
                    <w14:srgbClr w14:val="000000">
                      <w14:alpha w14:val="100000"/>
                    </w14:srgbClr>
                  </w14:solidFill>
                </w14:textFill>
              </w:rPr>
              <w:t>|</w:t>
            </w:r>
            <w:r w:rsidR="00302193">
              <w:rPr>
                <w:rFonts w:ascii="Arial Narrow" w:hAnsi="Arial Narrow"/>
                <w:sz w:val="20"/>
                <w:szCs w:val="20"/>
                <w:vertAlign w:val="superscript"/>
              </w:rPr>
              <w:t>3</w:t>
            </w:r>
          </w:p>
        </w:tc>
      </w:tr>
      <w:tr w:rsidR="00665280" w:rsidRPr="003A7F84" w14:paraId="69313EFF" w14:textId="77777777" w:rsidTr="00045417">
        <w:tblPrEx>
          <w:jc w:val="left"/>
          <w:tblCellMar>
            <w:left w:w="28" w:type="dxa"/>
            <w:right w:w="28" w:type="dxa"/>
          </w:tblCellMar>
        </w:tblPrEx>
        <w:tc>
          <w:tcPr>
            <w:tcW w:w="5000" w:type="pct"/>
            <w:gridSpan w:val="7"/>
            <w:tcBorders>
              <w:top w:val="double" w:sz="4" w:space="0" w:color="auto"/>
            </w:tcBorders>
            <w:vAlign w:val="center"/>
          </w:tcPr>
          <w:p w14:paraId="5E57CBC5" w14:textId="77777777" w:rsidR="00665280" w:rsidRPr="003A7F84" w:rsidRDefault="00665280" w:rsidP="00BE067C">
            <w:pPr>
              <w:pStyle w:val="TableText"/>
              <w:keepLines/>
              <w:ind w:left="106" w:right="-66"/>
              <w:rPr>
                <w:b/>
                <w:bCs w:val="0"/>
                <w:szCs w:val="20"/>
              </w:rPr>
            </w:pPr>
            <w:r w:rsidRPr="003A7F84">
              <w:rPr>
                <w:b/>
                <w:bCs w:val="0"/>
                <w:szCs w:val="20"/>
              </w:rPr>
              <w:t>Adults aged 18-100 years diagnosed in Years 1-6</w:t>
            </w:r>
          </w:p>
        </w:tc>
      </w:tr>
      <w:tr w:rsidR="00045417" w:rsidRPr="003A7F84" w14:paraId="17991DE4" w14:textId="77777777" w:rsidTr="00045417">
        <w:tblPrEx>
          <w:jc w:val="left"/>
          <w:tblCellMar>
            <w:left w:w="28" w:type="dxa"/>
            <w:right w:w="28" w:type="dxa"/>
          </w:tblCellMar>
        </w:tblPrEx>
        <w:tc>
          <w:tcPr>
            <w:tcW w:w="1525" w:type="pct"/>
            <w:vAlign w:val="center"/>
          </w:tcPr>
          <w:p w14:paraId="214AB533" w14:textId="77777777" w:rsidR="00665280" w:rsidRPr="003A7F84" w:rsidRDefault="00665280" w:rsidP="00BE067C">
            <w:pPr>
              <w:keepNext/>
              <w:keepLines/>
              <w:ind w:left="106"/>
              <w:jc w:val="left"/>
              <w:rPr>
                <w:rFonts w:ascii="Arial Narrow" w:hAnsi="Arial Narrow"/>
                <w:b/>
                <w:bCs/>
                <w:sz w:val="20"/>
                <w:szCs w:val="20"/>
              </w:rPr>
            </w:pPr>
            <w:r w:rsidRPr="003A7F84">
              <w:rPr>
                <w:rFonts w:ascii="Arial Narrow" w:hAnsi="Arial Narrow"/>
                <w:sz w:val="20"/>
                <w:szCs w:val="20"/>
              </w:rPr>
              <w:t>Australian population (ABS)</w:t>
            </w:r>
          </w:p>
        </w:tc>
        <w:tc>
          <w:tcPr>
            <w:tcW w:w="576" w:type="pct"/>
            <w:vAlign w:val="center"/>
          </w:tcPr>
          <w:p w14:paraId="4A1622F8" w14:textId="77777777" w:rsidR="00665280" w:rsidRPr="00302193" w:rsidRDefault="00665280" w:rsidP="00BE067C">
            <w:pPr>
              <w:keepNext/>
              <w:keepLines/>
              <w:ind w:left="12"/>
              <w:jc w:val="center"/>
              <w:rPr>
                <w:rFonts w:ascii="Arial Narrow" w:hAnsi="Arial Narrow" w:cs="Calibri"/>
                <w:color w:val="000000"/>
                <w:sz w:val="20"/>
                <w:szCs w:val="20"/>
              </w:rPr>
            </w:pPr>
            <w:r w:rsidRPr="00302193">
              <w:rPr>
                <w:rFonts w:ascii="Arial Narrow" w:hAnsi="Arial Narrow" w:cs="Calibri"/>
                <w:color w:val="000000"/>
                <w:sz w:val="20"/>
                <w:szCs w:val="20"/>
              </w:rPr>
              <w:t>20,757,917</w:t>
            </w:r>
          </w:p>
        </w:tc>
        <w:tc>
          <w:tcPr>
            <w:tcW w:w="582" w:type="pct"/>
            <w:vAlign w:val="center"/>
          </w:tcPr>
          <w:p w14:paraId="4E485BD6" w14:textId="77777777" w:rsidR="00665280" w:rsidRPr="00302193" w:rsidRDefault="00665280" w:rsidP="00BE067C">
            <w:pPr>
              <w:keepNext/>
              <w:keepLines/>
              <w:ind w:left="12"/>
              <w:jc w:val="center"/>
              <w:rPr>
                <w:rFonts w:ascii="Arial Narrow" w:hAnsi="Arial Narrow" w:cs="Calibri"/>
                <w:color w:val="000000"/>
                <w:sz w:val="20"/>
                <w:szCs w:val="20"/>
              </w:rPr>
            </w:pPr>
            <w:r w:rsidRPr="00302193">
              <w:rPr>
                <w:rFonts w:ascii="Arial Narrow" w:hAnsi="Arial Narrow" w:cs="Calibri"/>
                <w:color w:val="000000"/>
                <w:sz w:val="20"/>
                <w:szCs w:val="20"/>
              </w:rPr>
              <w:t>21,082,471</w:t>
            </w:r>
          </w:p>
        </w:tc>
        <w:tc>
          <w:tcPr>
            <w:tcW w:w="579" w:type="pct"/>
            <w:vAlign w:val="center"/>
          </w:tcPr>
          <w:p w14:paraId="48F7EF1E" w14:textId="77777777" w:rsidR="00665280" w:rsidRPr="00302193" w:rsidRDefault="00665280" w:rsidP="00BE067C">
            <w:pPr>
              <w:keepNext/>
              <w:keepLines/>
              <w:ind w:left="12"/>
              <w:jc w:val="center"/>
              <w:rPr>
                <w:rFonts w:ascii="Arial Narrow" w:hAnsi="Arial Narrow" w:cs="Calibri"/>
                <w:color w:val="000000"/>
                <w:sz w:val="20"/>
                <w:szCs w:val="20"/>
              </w:rPr>
            </w:pPr>
            <w:r w:rsidRPr="00302193">
              <w:rPr>
                <w:rFonts w:ascii="Arial Narrow" w:hAnsi="Arial Narrow" w:cs="Calibri"/>
                <w:color w:val="000000"/>
                <w:sz w:val="20"/>
                <w:szCs w:val="20"/>
              </w:rPr>
              <w:t>21,411,852</w:t>
            </w:r>
          </w:p>
        </w:tc>
        <w:tc>
          <w:tcPr>
            <w:tcW w:w="579" w:type="pct"/>
            <w:vAlign w:val="center"/>
          </w:tcPr>
          <w:p w14:paraId="6A9D2B96" w14:textId="77777777" w:rsidR="00665280" w:rsidRPr="00302193" w:rsidRDefault="00665280" w:rsidP="00BE067C">
            <w:pPr>
              <w:keepNext/>
              <w:keepLines/>
              <w:ind w:left="12"/>
              <w:jc w:val="center"/>
              <w:rPr>
                <w:rFonts w:ascii="Arial Narrow" w:hAnsi="Arial Narrow" w:cs="Calibri"/>
                <w:color w:val="000000"/>
                <w:sz w:val="20"/>
                <w:szCs w:val="20"/>
              </w:rPr>
            </w:pPr>
            <w:r w:rsidRPr="00302193">
              <w:rPr>
                <w:rFonts w:ascii="Arial Narrow" w:hAnsi="Arial Narrow" w:cs="Calibri"/>
                <w:color w:val="000000"/>
                <w:sz w:val="20"/>
                <w:szCs w:val="20"/>
              </w:rPr>
              <w:t>21,744,502</w:t>
            </w:r>
          </w:p>
        </w:tc>
        <w:tc>
          <w:tcPr>
            <w:tcW w:w="579" w:type="pct"/>
            <w:vAlign w:val="center"/>
          </w:tcPr>
          <w:p w14:paraId="2A9E0398" w14:textId="77777777" w:rsidR="00665280" w:rsidRPr="00302193" w:rsidRDefault="00665280" w:rsidP="00BE067C">
            <w:pPr>
              <w:keepNext/>
              <w:keepLines/>
              <w:ind w:left="12"/>
              <w:jc w:val="center"/>
              <w:rPr>
                <w:rFonts w:ascii="Arial Narrow" w:hAnsi="Arial Narrow" w:cs="Calibri"/>
                <w:color w:val="000000"/>
                <w:sz w:val="20"/>
                <w:szCs w:val="20"/>
              </w:rPr>
            </w:pPr>
            <w:r w:rsidRPr="00302193">
              <w:rPr>
                <w:rFonts w:ascii="Arial Narrow" w:hAnsi="Arial Narrow" w:cs="Calibri"/>
                <w:color w:val="000000"/>
                <w:sz w:val="20"/>
                <w:szCs w:val="20"/>
              </w:rPr>
              <w:t>22,073,220</w:t>
            </w:r>
          </w:p>
        </w:tc>
        <w:tc>
          <w:tcPr>
            <w:tcW w:w="580" w:type="pct"/>
            <w:vAlign w:val="center"/>
          </w:tcPr>
          <w:p w14:paraId="0AFC997E" w14:textId="77777777" w:rsidR="00665280" w:rsidRPr="00302193" w:rsidRDefault="00665280" w:rsidP="00BE067C">
            <w:pPr>
              <w:keepNext/>
              <w:keepLines/>
              <w:ind w:left="12"/>
              <w:jc w:val="center"/>
              <w:rPr>
                <w:rFonts w:ascii="Arial Narrow" w:hAnsi="Arial Narrow" w:cs="Calibri"/>
                <w:color w:val="000000"/>
                <w:sz w:val="20"/>
                <w:szCs w:val="20"/>
              </w:rPr>
            </w:pPr>
            <w:r w:rsidRPr="00302193">
              <w:rPr>
                <w:rFonts w:ascii="Arial Narrow" w:hAnsi="Arial Narrow" w:cs="Calibri"/>
                <w:color w:val="000000"/>
                <w:sz w:val="20"/>
                <w:szCs w:val="20"/>
              </w:rPr>
              <w:t>22,393,101</w:t>
            </w:r>
          </w:p>
        </w:tc>
      </w:tr>
      <w:tr w:rsidR="00045417" w:rsidRPr="003A7F84" w14:paraId="3D643A08" w14:textId="77777777" w:rsidTr="00045417">
        <w:tblPrEx>
          <w:jc w:val="left"/>
          <w:tblCellMar>
            <w:left w:w="28" w:type="dxa"/>
            <w:right w:w="28" w:type="dxa"/>
          </w:tblCellMar>
        </w:tblPrEx>
        <w:tc>
          <w:tcPr>
            <w:tcW w:w="1525" w:type="pct"/>
            <w:vAlign w:val="center"/>
          </w:tcPr>
          <w:p w14:paraId="681C6042" w14:textId="77777777" w:rsidR="00665280" w:rsidRPr="003A7F84" w:rsidRDefault="00665280" w:rsidP="00BE067C">
            <w:pPr>
              <w:keepNext/>
              <w:keepLines/>
              <w:ind w:left="106"/>
              <w:jc w:val="left"/>
              <w:rPr>
                <w:rFonts w:ascii="Arial Narrow" w:hAnsi="Arial Narrow"/>
                <w:b/>
                <w:bCs/>
                <w:sz w:val="20"/>
                <w:szCs w:val="20"/>
              </w:rPr>
            </w:pPr>
            <w:r w:rsidRPr="003A7F84">
              <w:rPr>
                <w:rFonts w:ascii="Arial Narrow" w:hAnsi="Arial Narrow"/>
                <w:sz w:val="20"/>
                <w:szCs w:val="20"/>
              </w:rPr>
              <w:t>Incident epilepsy patients (0.072%)</w:t>
            </w:r>
          </w:p>
        </w:tc>
        <w:tc>
          <w:tcPr>
            <w:tcW w:w="576" w:type="pct"/>
          </w:tcPr>
          <w:p w14:paraId="23A5B92B" w14:textId="2827D869"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75"/>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75"/>
                <w14:textFill>
                  <w14:solidFill>
                    <w14:srgbClr w14:val="000000">
                      <w14:alpha w14:val="100000"/>
                    </w14:srgbClr>
                  </w14:solidFill>
                </w14:textFill>
              </w:rPr>
              <w:t xml:space="preserve">　</w:t>
            </w:r>
            <w:r w:rsidR="00302193">
              <w:rPr>
                <w:rFonts w:ascii="Arial Narrow" w:hAnsi="Arial Narrow"/>
                <w:sz w:val="20"/>
                <w:szCs w:val="20"/>
                <w:vertAlign w:val="superscript"/>
              </w:rPr>
              <w:t>4</w:t>
            </w:r>
            <w:r w:rsidRPr="001F03AF">
              <w:rPr>
                <w:rFonts w:ascii="Arial Narrow" w:hAnsi="Arial Narrow" w:cs="Calibri"/>
                <w:color w:val="000000"/>
                <w:sz w:val="20"/>
                <w:szCs w:val="20"/>
              </w:rPr>
              <w:t xml:space="preserve"> </w:t>
            </w:r>
          </w:p>
        </w:tc>
        <w:tc>
          <w:tcPr>
            <w:tcW w:w="582" w:type="pct"/>
          </w:tcPr>
          <w:p w14:paraId="27BD5D65" w14:textId="5A96504D" w:rsidR="00665280" w:rsidRPr="00302193" w:rsidRDefault="001F03AF" w:rsidP="00BE067C">
            <w:pPr>
              <w:keepNext/>
              <w:keepLines/>
              <w:ind w:left="12"/>
              <w:jc w:val="center"/>
              <w:rPr>
                <w:rFonts w:ascii="Arial Narrow" w:hAnsi="Arial Narrow" w:cs="Calibri"/>
                <w:color w:val="000000"/>
                <w:sz w:val="20"/>
                <w:szCs w:val="20"/>
                <w:highlight w:val="darkGray"/>
              </w:rPr>
            </w:pPr>
            <w:r w:rsidRPr="005A6BE3">
              <w:rPr>
                <w:rFonts w:ascii="Arial Narrow" w:hAnsi="Arial Narrow" w:cs="Calibri"/>
                <w:color w:val="000000"/>
                <w:w w:val="15"/>
                <w:sz w:val="20"/>
                <w:szCs w:val="20"/>
                <w:shd w:val="solid" w:color="000000" w:fill="000000"/>
                <w:fitText w:val="25" w:id="-1435807474"/>
                <w14:textFill>
                  <w14:solidFill>
                    <w14:srgbClr w14:val="000000">
                      <w14:alpha w14:val="100000"/>
                    </w14:srgbClr>
                  </w14:solidFill>
                </w14:textFill>
              </w:rPr>
              <w:t xml:space="preserve">　|</w:t>
            </w:r>
            <w:r w:rsidRPr="005A6BE3">
              <w:rPr>
                <w:rFonts w:ascii="Arial Narrow" w:hAnsi="Arial Narrow" w:cs="Calibri"/>
                <w:color w:val="000000"/>
                <w:spacing w:val="-41"/>
                <w:w w:val="15"/>
                <w:sz w:val="20"/>
                <w:szCs w:val="20"/>
                <w:shd w:val="solid" w:color="000000" w:fill="000000"/>
                <w:fitText w:val="25" w:id="-1435807474"/>
                <w14:textFill>
                  <w14:solidFill>
                    <w14:srgbClr w14:val="000000">
                      <w14:alpha w14:val="100000"/>
                    </w14:srgbClr>
                  </w14:solidFill>
                </w14:textFill>
              </w:rPr>
              <w:t xml:space="preserve">　</w:t>
            </w:r>
            <w:r w:rsidR="00302193">
              <w:rPr>
                <w:rFonts w:ascii="Arial Narrow" w:hAnsi="Arial Narrow"/>
                <w:sz w:val="20"/>
                <w:szCs w:val="20"/>
                <w:vertAlign w:val="superscript"/>
              </w:rPr>
              <w:t>4</w:t>
            </w:r>
            <w:r w:rsidRPr="001F03AF">
              <w:rPr>
                <w:rFonts w:ascii="Arial Narrow" w:hAnsi="Arial Narrow" w:cs="Calibri"/>
                <w:color w:val="000000"/>
                <w:sz w:val="20"/>
                <w:szCs w:val="20"/>
              </w:rPr>
              <w:t xml:space="preserve">  </w:t>
            </w:r>
          </w:p>
        </w:tc>
        <w:tc>
          <w:tcPr>
            <w:tcW w:w="579" w:type="pct"/>
          </w:tcPr>
          <w:p w14:paraId="26B4BD11" w14:textId="695ED9EB"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73"/>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73"/>
                <w14:textFill>
                  <w14:solidFill>
                    <w14:srgbClr w14:val="000000">
                      <w14:alpha w14:val="100000"/>
                    </w14:srgbClr>
                  </w14:solidFill>
                </w14:textFill>
              </w:rPr>
              <w:t xml:space="preserve">　</w:t>
            </w:r>
            <w:r w:rsidR="00302193">
              <w:rPr>
                <w:rFonts w:ascii="Arial Narrow" w:hAnsi="Arial Narrow"/>
                <w:sz w:val="20"/>
                <w:szCs w:val="20"/>
                <w:vertAlign w:val="superscript"/>
              </w:rPr>
              <w:t>4</w:t>
            </w:r>
            <w:r w:rsidRPr="001F03AF">
              <w:rPr>
                <w:rFonts w:ascii="Arial Narrow" w:hAnsi="Arial Narrow" w:cs="Calibri"/>
                <w:color w:val="000000"/>
                <w:sz w:val="20"/>
                <w:szCs w:val="20"/>
              </w:rPr>
              <w:t xml:space="preserve">  </w:t>
            </w:r>
          </w:p>
        </w:tc>
        <w:tc>
          <w:tcPr>
            <w:tcW w:w="579" w:type="pct"/>
          </w:tcPr>
          <w:p w14:paraId="7EC5F2B0" w14:textId="33061FA9"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72"/>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72"/>
                <w14:textFill>
                  <w14:solidFill>
                    <w14:srgbClr w14:val="000000">
                      <w14:alpha w14:val="100000"/>
                    </w14:srgbClr>
                  </w14:solidFill>
                </w14:textFill>
              </w:rPr>
              <w:t xml:space="preserve">　</w:t>
            </w:r>
            <w:r w:rsidR="00302193">
              <w:rPr>
                <w:rFonts w:ascii="Arial Narrow" w:hAnsi="Arial Narrow"/>
                <w:sz w:val="20"/>
                <w:szCs w:val="20"/>
                <w:vertAlign w:val="superscript"/>
              </w:rPr>
              <w:t>4</w:t>
            </w:r>
            <w:r w:rsidRPr="001F03AF">
              <w:rPr>
                <w:rFonts w:ascii="Arial Narrow" w:hAnsi="Arial Narrow" w:cs="Calibri"/>
                <w:color w:val="000000"/>
                <w:sz w:val="20"/>
                <w:szCs w:val="20"/>
              </w:rPr>
              <w:t xml:space="preserve">  </w:t>
            </w:r>
          </w:p>
        </w:tc>
        <w:tc>
          <w:tcPr>
            <w:tcW w:w="579" w:type="pct"/>
          </w:tcPr>
          <w:p w14:paraId="0AFC4F04" w14:textId="6EC46A03"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88"/>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88"/>
                <w14:textFill>
                  <w14:solidFill>
                    <w14:srgbClr w14:val="000000">
                      <w14:alpha w14:val="100000"/>
                    </w14:srgbClr>
                  </w14:solidFill>
                </w14:textFill>
              </w:rPr>
              <w:t xml:space="preserve">　</w:t>
            </w:r>
            <w:r w:rsidR="00302193">
              <w:rPr>
                <w:rFonts w:ascii="Arial Narrow" w:hAnsi="Arial Narrow"/>
                <w:sz w:val="20"/>
                <w:szCs w:val="20"/>
                <w:vertAlign w:val="superscript"/>
              </w:rPr>
              <w:t>4</w:t>
            </w:r>
            <w:r w:rsidRPr="001F03AF">
              <w:rPr>
                <w:rFonts w:ascii="Arial Narrow" w:hAnsi="Arial Narrow" w:cs="Calibri"/>
                <w:color w:val="000000"/>
                <w:sz w:val="20"/>
                <w:szCs w:val="20"/>
              </w:rPr>
              <w:t xml:space="preserve">  </w:t>
            </w:r>
          </w:p>
        </w:tc>
        <w:tc>
          <w:tcPr>
            <w:tcW w:w="580" w:type="pct"/>
          </w:tcPr>
          <w:p w14:paraId="0C6FF059" w14:textId="332E2D79"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87"/>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87"/>
                <w14:textFill>
                  <w14:solidFill>
                    <w14:srgbClr w14:val="000000">
                      <w14:alpha w14:val="100000"/>
                    </w14:srgbClr>
                  </w14:solidFill>
                </w14:textFill>
              </w:rPr>
              <w:t xml:space="preserve">　</w:t>
            </w:r>
            <w:r w:rsidR="00302193">
              <w:rPr>
                <w:rFonts w:ascii="Arial Narrow" w:hAnsi="Arial Narrow"/>
                <w:sz w:val="20"/>
                <w:szCs w:val="20"/>
                <w:vertAlign w:val="superscript"/>
              </w:rPr>
              <w:t>4</w:t>
            </w:r>
            <w:r w:rsidRPr="001F03AF">
              <w:rPr>
                <w:rFonts w:ascii="Arial Narrow" w:hAnsi="Arial Narrow" w:cs="Calibri"/>
                <w:color w:val="000000"/>
                <w:sz w:val="20"/>
                <w:szCs w:val="20"/>
              </w:rPr>
              <w:t xml:space="preserve">  </w:t>
            </w:r>
          </w:p>
        </w:tc>
      </w:tr>
      <w:tr w:rsidR="00045417" w:rsidRPr="003A7F84" w14:paraId="14885BEA" w14:textId="77777777" w:rsidTr="00045417">
        <w:tblPrEx>
          <w:jc w:val="left"/>
          <w:tblCellMar>
            <w:left w:w="28" w:type="dxa"/>
            <w:right w:w="28" w:type="dxa"/>
          </w:tblCellMar>
        </w:tblPrEx>
        <w:tc>
          <w:tcPr>
            <w:tcW w:w="1525" w:type="pct"/>
            <w:vAlign w:val="center"/>
          </w:tcPr>
          <w:p w14:paraId="49132B7C" w14:textId="77777777" w:rsidR="00665280" w:rsidRPr="003A7F84" w:rsidRDefault="00665280" w:rsidP="00BE067C">
            <w:pPr>
              <w:keepNext/>
              <w:keepLines/>
              <w:ind w:left="106"/>
              <w:jc w:val="left"/>
              <w:rPr>
                <w:rFonts w:ascii="Arial Narrow" w:hAnsi="Arial Narrow"/>
                <w:b/>
                <w:bCs/>
                <w:sz w:val="20"/>
                <w:szCs w:val="20"/>
              </w:rPr>
            </w:pPr>
            <w:r w:rsidRPr="003A7F84">
              <w:rPr>
                <w:rFonts w:ascii="Arial Narrow" w:hAnsi="Arial Narrow"/>
                <w:sz w:val="20"/>
                <w:szCs w:val="20"/>
              </w:rPr>
              <w:t>Experiencing GCSE (15%)</w:t>
            </w:r>
          </w:p>
        </w:tc>
        <w:tc>
          <w:tcPr>
            <w:tcW w:w="576" w:type="pct"/>
          </w:tcPr>
          <w:p w14:paraId="7F780112" w14:textId="527F1CFF"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86"/>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86"/>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r w:rsidRPr="001F03AF">
              <w:rPr>
                <w:rFonts w:ascii="Arial Narrow" w:hAnsi="Arial Narrow" w:cs="Calibri"/>
                <w:color w:val="000000"/>
                <w:sz w:val="20"/>
                <w:szCs w:val="20"/>
              </w:rPr>
              <w:t xml:space="preserve"> </w:t>
            </w:r>
          </w:p>
        </w:tc>
        <w:tc>
          <w:tcPr>
            <w:tcW w:w="582" w:type="pct"/>
          </w:tcPr>
          <w:p w14:paraId="39CE0541" w14:textId="6AD47BC8"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50" w:id="-1435807485"/>
                <w14:textFill>
                  <w14:solidFill>
                    <w14:srgbClr w14:val="000000">
                      <w14:alpha w14:val="100000"/>
                    </w14:srgbClr>
                  </w14:solidFill>
                </w14:textFill>
              </w:rPr>
              <w:t xml:space="preserve">　</w:t>
            </w:r>
            <w:proofErr w:type="gramStart"/>
            <w:r w:rsidRPr="001F03AF">
              <w:rPr>
                <w:rFonts w:ascii="Arial Narrow" w:hAnsi="Arial Narrow" w:cs="Calibri"/>
                <w:color w:val="000000"/>
                <w:w w:val="15"/>
                <w:sz w:val="20"/>
                <w:szCs w:val="20"/>
                <w:shd w:val="solid" w:color="000000" w:fill="000000"/>
                <w:fitText w:val="50" w:id="-1435807485"/>
                <w14:textFill>
                  <w14:solidFill>
                    <w14:srgbClr w14:val="000000">
                      <w14:alpha w14:val="100000"/>
                    </w14:srgbClr>
                  </w14:solidFill>
                </w14:textFill>
              </w:rPr>
              <w:t>|</w:t>
            </w:r>
            <w:r w:rsidRPr="001F03AF">
              <w:rPr>
                <w:rFonts w:ascii="Arial Narrow" w:hAnsi="Arial Narrow" w:cs="Calibri"/>
                <w:color w:val="000000"/>
                <w:spacing w:val="-15"/>
                <w:w w:val="15"/>
                <w:sz w:val="20"/>
                <w:szCs w:val="20"/>
                <w:shd w:val="solid" w:color="000000" w:fill="000000"/>
                <w:fitText w:val="50" w:id="-1435807485"/>
                <w14:textFill>
                  <w14:solidFill>
                    <w14:srgbClr w14:val="000000">
                      <w14:alpha w14:val="100000"/>
                    </w14:srgbClr>
                  </w14:solidFill>
                </w14:textFill>
              </w:rPr>
              <w:t xml:space="preserve">　</w:t>
            </w:r>
            <w:r w:rsidRPr="001F03AF">
              <w:rPr>
                <w:rFonts w:ascii="Arial Narrow" w:hAnsi="Arial Narrow" w:cs="Calibri"/>
                <w:color w:val="000000"/>
                <w:sz w:val="20"/>
                <w:szCs w:val="20"/>
              </w:rPr>
              <w:t xml:space="preserve"> </w:t>
            </w:r>
            <w:r w:rsidR="00FC69A3" w:rsidRPr="00302193">
              <w:rPr>
                <w:rFonts w:ascii="Arial Narrow" w:hAnsi="Arial Narrow"/>
                <w:sz w:val="20"/>
                <w:szCs w:val="20"/>
                <w:vertAlign w:val="superscript"/>
              </w:rPr>
              <w:t>1</w:t>
            </w:r>
            <w:proofErr w:type="gramEnd"/>
          </w:p>
        </w:tc>
        <w:tc>
          <w:tcPr>
            <w:tcW w:w="579" w:type="pct"/>
          </w:tcPr>
          <w:p w14:paraId="2FAC4FE1" w14:textId="114AAF34"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50" w:id="-1435807484"/>
                <w14:textFill>
                  <w14:solidFill>
                    <w14:srgbClr w14:val="000000">
                      <w14:alpha w14:val="100000"/>
                    </w14:srgbClr>
                  </w14:solidFill>
                </w14:textFill>
              </w:rPr>
              <w:t xml:space="preserve">　</w:t>
            </w:r>
            <w:proofErr w:type="gramStart"/>
            <w:r w:rsidRPr="001F03AF">
              <w:rPr>
                <w:rFonts w:ascii="Arial Narrow" w:hAnsi="Arial Narrow" w:cs="Calibri"/>
                <w:color w:val="000000"/>
                <w:w w:val="15"/>
                <w:sz w:val="20"/>
                <w:szCs w:val="20"/>
                <w:shd w:val="solid" w:color="000000" w:fill="000000"/>
                <w:fitText w:val="50" w:id="-1435807484"/>
                <w14:textFill>
                  <w14:solidFill>
                    <w14:srgbClr w14:val="000000">
                      <w14:alpha w14:val="100000"/>
                    </w14:srgbClr>
                  </w14:solidFill>
                </w14:textFill>
              </w:rPr>
              <w:t>|</w:t>
            </w:r>
            <w:r w:rsidRPr="001F03AF">
              <w:rPr>
                <w:rFonts w:ascii="Arial Narrow" w:hAnsi="Arial Narrow" w:cs="Calibri"/>
                <w:color w:val="000000"/>
                <w:spacing w:val="-15"/>
                <w:w w:val="15"/>
                <w:sz w:val="20"/>
                <w:szCs w:val="20"/>
                <w:shd w:val="solid" w:color="000000" w:fill="000000"/>
                <w:fitText w:val="50" w:id="-1435807484"/>
                <w14:textFill>
                  <w14:solidFill>
                    <w14:srgbClr w14:val="000000">
                      <w14:alpha w14:val="100000"/>
                    </w14:srgbClr>
                  </w14:solidFill>
                </w14:textFill>
              </w:rPr>
              <w:t xml:space="preserve">　</w:t>
            </w:r>
            <w:r w:rsidRPr="001F03AF">
              <w:rPr>
                <w:rFonts w:ascii="Arial Narrow" w:hAnsi="Arial Narrow" w:cs="Calibri"/>
                <w:color w:val="000000"/>
                <w:sz w:val="20"/>
                <w:szCs w:val="20"/>
              </w:rPr>
              <w:t xml:space="preserve"> </w:t>
            </w:r>
            <w:r w:rsidR="00FC69A3" w:rsidRPr="00302193">
              <w:rPr>
                <w:rFonts w:ascii="Arial Narrow" w:hAnsi="Arial Narrow"/>
                <w:sz w:val="20"/>
                <w:szCs w:val="20"/>
                <w:vertAlign w:val="superscript"/>
              </w:rPr>
              <w:t>1</w:t>
            </w:r>
            <w:proofErr w:type="gramEnd"/>
          </w:p>
        </w:tc>
        <w:tc>
          <w:tcPr>
            <w:tcW w:w="579" w:type="pct"/>
          </w:tcPr>
          <w:p w14:paraId="0081263C" w14:textId="5BB06E93"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50" w:id="-1435807483"/>
                <w14:textFill>
                  <w14:solidFill>
                    <w14:srgbClr w14:val="000000">
                      <w14:alpha w14:val="100000"/>
                    </w14:srgbClr>
                  </w14:solidFill>
                </w14:textFill>
              </w:rPr>
              <w:t xml:space="preserve">　</w:t>
            </w:r>
            <w:proofErr w:type="gramStart"/>
            <w:r w:rsidRPr="001F03AF">
              <w:rPr>
                <w:rFonts w:ascii="Arial Narrow" w:hAnsi="Arial Narrow" w:cs="Calibri"/>
                <w:color w:val="000000"/>
                <w:w w:val="15"/>
                <w:sz w:val="20"/>
                <w:szCs w:val="20"/>
                <w:shd w:val="solid" w:color="000000" w:fill="000000"/>
                <w:fitText w:val="50" w:id="-1435807483"/>
                <w14:textFill>
                  <w14:solidFill>
                    <w14:srgbClr w14:val="000000">
                      <w14:alpha w14:val="100000"/>
                    </w14:srgbClr>
                  </w14:solidFill>
                </w14:textFill>
              </w:rPr>
              <w:t>|</w:t>
            </w:r>
            <w:r w:rsidRPr="001F03AF">
              <w:rPr>
                <w:rFonts w:ascii="Arial Narrow" w:hAnsi="Arial Narrow" w:cs="Calibri"/>
                <w:color w:val="000000"/>
                <w:spacing w:val="-15"/>
                <w:w w:val="15"/>
                <w:sz w:val="20"/>
                <w:szCs w:val="20"/>
                <w:shd w:val="solid" w:color="000000" w:fill="000000"/>
                <w:fitText w:val="50" w:id="-1435807483"/>
                <w14:textFill>
                  <w14:solidFill>
                    <w14:srgbClr w14:val="000000">
                      <w14:alpha w14:val="100000"/>
                    </w14:srgbClr>
                  </w14:solidFill>
                </w14:textFill>
              </w:rPr>
              <w:t xml:space="preserve">　</w:t>
            </w:r>
            <w:r w:rsidRPr="001F03AF">
              <w:rPr>
                <w:rFonts w:ascii="Arial Narrow" w:hAnsi="Arial Narrow" w:cs="Calibri"/>
                <w:color w:val="000000"/>
                <w:sz w:val="20"/>
                <w:szCs w:val="20"/>
              </w:rPr>
              <w:t xml:space="preserve"> </w:t>
            </w:r>
            <w:r w:rsidR="00FC69A3" w:rsidRPr="00302193">
              <w:rPr>
                <w:rFonts w:ascii="Arial Narrow" w:hAnsi="Arial Narrow"/>
                <w:sz w:val="20"/>
                <w:szCs w:val="20"/>
                <w:vertAlign w:val="superscript"/>
              </w:rPr>
              <w:t>1</w:t>
            </w:r>
            <w:proofErr w:type="gramEnd"/>
          </w:p>
        </w:tc>
        <w:tc>
          <w:tcPr>
            <w:tcW w:w="579" w:type="pct"/>
          </w:tcPr>
          <w:p w14:paraId="75A487D0" w14:textId="1E286B2E"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50" w:id="-1435807482"/>
                <w14:textFill>
                  <w14:solidFill>
                    <w14:srgbClr w14:val="000000">
                      <w14:alpha w14:val="100000"/>
                    </w14:srgbClr>
                  </w14:solidFill>
                </w14:textFill>
              </w:rPr>
              <w:t xml:space="preserve">　</w:t>
            </w:r>
            <w:proofErr w:type="gramStart"/>
            <w:r w:rsidRPr="001F03AF">
              <w:rPr>
                <w:rFonts w:ascii="Arial Narrow" w:hAnsi="Arial Narrow" w:cs="Calibri"/>
                <w:color w:val="000000"/>
                <w:w w:val="15"/>
                <w:sz w:val="20"/>
                <w:szCs w:val="20"/>
                <w:shd w:val="solid" w:color="000000" w:fill="000000"/>
                <w:fitText w:val="50" w:id="-1435807482"/>
                <w14:textFill>
                  <w14:solidFill>
                    <w14:srgbClr w14:val="000000">
                      <w14:alpha w14:val="100000"/>
                    </w14:srgbClr>
                  </w14:solidFill>
                </w14:textFill>
              </w:rPr>
              <w:t>|</w:t>
            </w:r>
            <w:r w:rsidRPr="001F03AF">
              <w:rPr>
                <w:rFonts w:ascii="Arial Narrow" w:hAnsi="Arial Narrow" w:cs="Calibri"/>
                <w:color w:val="000000"/>
                <w:spacing w:val="-15"/>
                <w:w w:val="15"/>
                <w:sz w:val="20"/>
                <w:szCs w:val="20"/>
                <w:shd w:val="solid" w:color="000000" w:fill="000000"/>
                <w:fitText w:val="50" w:id="-1435807482"/>
                <w14:textFill>
                  <w14:solidFill>
                    <w14:srgbClr w14:val="000000">
                      <w14:alpha w14:val="100000"/>
                    </w14:srgbClr>
                  </w14:solidFill>
                </w14:textFill>
              </w:rPr>
              <w:t xml:space="preserve">　</w:t>
            </w:r>
            <w:r w:rsidRPr="001F03AF">
              <w:rPr>
                <w:rFonts w:ascii="Arial Narrow" w:hAnsi="Arial Narrow" w:cs="Calibri"/>
                <w:color w:val="000000"/>
                <w:sz w:val="20"/>
                <w:szCs w:val="20"/>
              </w:rPr>
              <w:t xml:space="preserve"> </w:t>
            </w:r>
            <w:r w:rsidR="00FC69A3" w:rsidRPr="00302193">
              <w:rPr>
                <w:rFonts w:ascii="Arial Narrow" w:hAnsi="Arial Narrow"/>
                <w:sz w:val="20"/>
                <w:szCs w:val="20"/>
                <w:vertAlign w:val="superscript"/>
              </w:rPr>
              <w:t>1</w:t>
            </w:r>
            <w:proofErr w:type="gramEnd"/>
          </w:p>
        </w:tc>
        <w:tc>
          <w:tcPr>
            <w:tcW w:w="580" w:type="pct"/>
          </w:tcPr>
          <w:p w14:paraId="43FB235C" w14:textId="58267C59"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50" w:id="-1435807481"/>
                <w14:textFill>
                  <w14:solidFill>
                    <w14:srgbClr w14:val="000000">
                      <w14:alpha w14:val="100000"/>
                    </w14:srgbClr>
                  </w14:solidFill>
                </w14:textFill>
              </w:rPr>
              <w:t xml:space="preserve">　</w:t>
            </w:r>
            <w:proofErr w:type="gramStart"/>
            <w:r w:rsidRPr="001F03AF">
              <w:rPr>
                <w:rFonts w:ascii="Arial Narrow" w:hAnsi="Arial Narrow" w:cs="Calibri"/>
                <w:color w:val="000000"/>
                <w:w w:val="15"/>
                <w:sz w:val="20"/>
                <w:szCs w:val="20"/>
                <w:shd w:val="solid" w:color="000000" w:fill="000000"/>
                <w:fitText w:val="50" w:id="-1435807481"/>
                <w14:textFill>
                  <w14:solidFill>
                    <w14:srgbClr w14:val="000000">
                      <w14:alpha w14:val="100000"/>
                    </w14:srgbClr>
                  </w14:solidFill>
                </w14:textFill>
              </w:rPr>
              <w:t>|</w:t>
            </w:r>
            <w:r w:rsidRPr="001F03AF">
              <w:rPr>
                <w:rFonts w:ascii="Arial Narrow" w:hAnsi="Arial Narrow" w:cs="Calibri"/>
                <w:color w:val="000000"/>
                <w:spacing w:val="-15"/>
                <w:w w:val="15"/>
                <w:sz w:val="20"/>
                <w:szCs w:val="20"/>
                <w:shd w:val="solid" w:color="000000" w:fill="000000"/>
                <w:fitText w:val="50" w:id="-1435807481"/>
                <w14:textFill>
                  <w14:solidFill>
                    <w14:srgbClr w14:val="000000">
                      <w14:alpha w14:val="100000"/>
                    </w14:srgbClr>
                  </w14:solidFill>
                </w14:textFill>
              </w:rPr>
              <w:t xml:space="preserve">　</w:t>
            </w:r>
            <w:r w:rsidRPr="001F03AF">
              <w:rPr>
                <w:rFonts w:ascii="Arial Narrow" w:hAnsi="Arial Narrow" w:cs="Calibri"/>
                <w:color w:val="000000"/>
                <w:sz w:val="20"/>
                <w:szCs w:val="20"/>
              </w:rPr>
              <w:t xml:space="preserve"> </w:t>
            </w:r>
            <w:r w:rsidR="00FC69A3" w:rsidRPr="00302193">
              <w:rPr>
                <w:rFonts w:ascii="Arial Narrow" w:hAnsi="Arial Narrow"/>
                <w:sz w:val="20"/>
                <w:szCs w:val="20"/>
                <w:vertAlign w:val="superscript"/>
              </w:rPr>
              <w:t>1</w:t>
            </w:r>
            <w:proofErr w:type="gramEnd"/>
          </w:p>
        </w:tc>
      </w:tr>
      <w:tr w:rsidR="00045417" w:rsidRPr="003A7F84" w14:paraId="7A3AD01C" w14:textId="77777777" w:rsidTr="00045417">
        <w:tblPrEx>
          <w:jc w:val="left"/>
          <w:tblCellMar>
            <w:left w:w="28" w:type="dxa"/>
            <w:right w:w="28" w:type="dxa"/>
          </w:tblCellMar>
        </w:tblPrEx>
        <w:tc>
          <w:tcPr>
            <w:tcW w:w="1525" w:type="pct"/>
            <w:vAlign w:val="center"/>
          </w:tcPr>
          <w:p w14:paraId="4E3ACB2A" w14:textId="77777777" w:rsidR="00665280" w:rsidRPr="003A7F84" w:rsidRDefault="00665280" w:rsidP="00BE067C">
            <w:pPr>
              <w:keepNext/>
              <w:keepLines/>
              <w:ind w:left="106"/>
              <w:jc w:val="left"/>
              <w:rPr>
                <w:rFonts w:ascii="Arial Narrow" w:hAnsi="Arial Narrow"/>
                <w:b/>
                <w:bCs/>
                <w:sz w:val="20"/>
                <w:szCs w:val="20"/>
              </w:rPr>
            </w:pPr>
            <w:r w:rsidRPr="003A7F84">
              <w:rPr>
                <w:rFonts w:ascii="Arial Narrow" w:hAnsi="Arial Narrow"/>
                <w:sz w:val="20"/>
                <w:szCs w:val="20"/>
              </w:rPr>
              <w:t>Treatment uptake</w:t>
            </w:r>
          </w:p>
        </w:tc>
        <w:tc>
          <w:tcPr>
            <w:tcW w:w="576" w:type="pct"/>
            <w:shd w:val="clear" w:color="auto" w:fill="auto"/>
            <w:vAlign w:val="center"/>
          </w:tcPr>
          <w:p w14:paraId="4090FC13" w14:textId="0AE4AB71" w:rsidR="00665280" w:rsidRPr="00302193" w:rsidRDefault="001F03AF" w:rsidP="00BE067C">
            <w:pPr>
              <w:keepNext/>
              <w:keepLines/>
              <w:ind w:left="12"/>
              <w:jc w:val="center"/>
              <w:rPr>
                <w:rFonts w:ascii="Arial Narrow" w:hAnsi="Arial Narrow" w:cs="Calibri"/>
                <w:color w:val="000000"/>
                <w:sz w:val="20"/>
                <w:szCs w:val="20"/>
              </w:rPr>
            </w:pPr>
            <w:r w:rsidRPr="001F03AF">
              <w:rPr>
                <w:rFonts w:ascii="Arial Narrow" w:hAnsi="Arial Narrow" w:cs="Calibri"/>
                <w:color w:val="000000"/>
                <w:w w:val="16"/>
                <w:sz w:val="20"/>
                <w:szCs w:val="20"/>
                <w:shd w:val="solid" w:color="000000" w:fill="000000"/>
                <w:fitText w:val="75" w:id="-1435807480"/>
                <w14:textFill>
                  <w14:solidFill>
                    <w14:srgbClr w14:val="000000">
                      <w14:alpha w14:val="100000"/>
                    </w14:srgbClr>
                  </w14:solidFill>
                </w14:textFill>
              </w:rPr>
              <w:t xml:space="preserve">　|</w:t>
            </w:r>
            <w:r w:rsidRPr="001F03AF">
              <w:rPr>
                <w:rFonts w:ascii="Arial Narrow" w:hAnsi="Arial Narrow" w:cs="Calibri"/>
                <w:color w:val="000000"/>
                <w:spacing w:val="5"/>
                <w:w w:val="16"/>
                <w:sz w:val="20"/>
                <w:szCs w:val="20"/>
                <w:shd w:val="solid" w:color="000000" w:fill="000000"/>
                <w:fitText w:val="75" w:id="-1435807480"/>
                <w14:textFill>
                  <w14:solidFill>
                    <w14:srgbClr w14:val="000000">
                      <w14:alpha w14:val="100000"/>
                    </w14:srgbClr>
                  </w14:solidFill>
                </w14:textFill>
              </w:rPr>
              <w:t xml:space="preserve">　</w:t>
            </w:r>
            <w:r w:rsidR="00665280" w:rsidRPr="00302193">
              <w:rPr>
                <w:rFonts w:ascii="Arial Narrow" w:hAnsi="Arial Narrow" w:cs="Calibri"/>
                <w:color w:val="000000"/>
                <w:sz w:val="20"/>
                <w:szCs w:val="20"/>
              </w:rPr>
              <w:t>%</w:t>
            </w:r>
          </w:p>
        </w:tc>
        <w:tc>
          <w:tcPr>
            <w:tcW w:w="582" w:type="pct"/>
            <w:shd w:val="clear" w:color="auto" w:fill="auto"/>
            <w:vAlign w:val="center"/>
          </w:tcPr>
          <w:p w14:paraId="15233B5F" w14:textId="3E53CA40" w:rsidR="00665280" w:rsidRPr="00302193" w:rsidRDefault="001F03AF" w:rsidP="00BE067C">
            <w:pPr>
              <w:keepNext/>
              <w:keepLines/>
              <w:ind w:left="12"/>
              <w:jc w:val="center"/>
              <w:rPr>
                <w:rFonts w:ascii="Arial Narrow" w:hAnsi="Arial Narrow" w:cs="Calibri"/>
                <w:color w:val="000000"/>
                <w:sz w:val="20"/>
                <w:szCs w:val="20"/>
              </w:rPr>
            </w:pPr>
            <w:r w:rsidRPr="001F03AF">
              <w:rPr>
                <w:rFonts w:ascii="Arial Narrow" w:hAnsi="Arial Narrow" w:cs="Calibri"/>
                <w:color w:val="000000"/>
                <w:w w:val="16"/>
                <w:sz w:val="20"/>
                <w:szCs w:val="20"/>
                <w:shd w:val="solid" w:color="000000" w:fill="000000"/>
                <w:fitText w:val="75" w:id="-1435807479"/>
                <w14:textFill>
                  <w14:solidFill>
                    <w14:srgbClr w14:val="000000">
                      <w14:alpha w14:val="100000"/>
                    </w14:srgbClr>
                  </w14:solidFill>
                </w14:textFill>
              </w:rPr>
              <w:t xml:space="preserve">　|</w:t>
            </w:r>
            <w:r w:rsidRPr="001F03AF">
              <w:rPr>
                <w:rFonts w:ascii="Arial Narrow" w:hAnsi="Arial Narrow" w:cs="Calibri"/>
                <w:color w:val="000000"/>
                <w:spacing w:val="5"/>
                <w:w w:val="16"/>
                <w:sz w:val="20"/>
                <w:szCs w:val="20"/>
                <w:shd w:val="solid" w:color="000000" w:fill="000000"/>
                <w:fitText w:val="75" w:id="-1435807479"/>
                <w14:textFill>
                  <w14:solidFill>
                    <w14:srgbClr w14:val="000000">
                      <w14:alpha w14:val="100000"/>
                    </w14:srgbClr>
                  </w14:solidFill>
                </w14:textFill>
              </w:rPr>
              <w:t xml:space="preserve">　</w:t>
            </w:r>
            <w:r w:rsidR="00665280" w:rsidRPr="00302193">
              <w:rPr>
                <w:rFonts w:ascii="Arial Narrow" w:hAnsi="Arial Narrow" w:cs="Calibri"/>
                <w:color w:val="000000"/>
                <w:sz w:val="20"/>
                <w:szCs w:val="20"/>
              </w:rPr>
              <w:t>%</w:t>
            </w:r>
          </w:p>
        </w:tc>
        <w:tc>
          <w:tcPr>
            <w:tcW w:w="579" w:type="pct"/>
            <w:shd w:val="clear" w:color="auto" w:fill="auto"/>
            <w:vAlign w:val="center"/>
          </w:tcPr>
          <w:p w14:paraId="03A97685" w14:textId="368919C1" w:rsidR="00665280" w:rsidRPr="00302193" w:rsidRDefault="001F03AF" w:rsidP="00BE067C">
            <w:pPr>
              <w:keepNext/>
              <w:keepLines/>
              <w:ind w:left="12"/>
              <w:jc w:val="center"/>
              <w:rPr>
                <w:rFonts w:ascii="Arial Narrow" w:hAnsi="Arial Narrow" w:cs="Calibri"/>
                <w:color w:val="000000"/>
                <w:sz w:val="20"/>
                <w:szCs w:val="20"/>
              </w:rPr>
            </w:pPr>
            <w:r w:rsidRPr="001F03AF">
              <w:rPr>
                <w:rFonts w:ascii="Arial Narrow" w:hAnsi="Arial Narrow" w:cs="Calibri"/>
                <w:color w:val="000000"/>
                <w:w w:val="16"/>
                <w:sz w:val="20"/>
                <w:szCs w:val="20"/>
                <w:shd w:val="solid" w:color="000000" w:fill="000000"/>
                <w:fitText w:val="75" w:id="-1435807478"/>
                <w14:textFill>
                  <w14:solidFill>
                    <w14:srgbClr w14:val="000000">
                      <w14:alpha w14:val="100000"/>
                    </w14:srgbClr>
                  </w14:solidFill>
                </w14:textFill>
              </w:rPr>
              <w:t xml:space="preserve">　|</w:t>
            </w:r>
            <w:r w:rsidRPr="001F03AF">
              <w:rPr>
                <w:rFonts w:ascii="Arial Narrow" w:hAnsi="Arial Narrow" w:cs="Calibri"/>
                <w:color w:val="000000"/>
                <w:spacing w:val="5"/>
                <w:w w:val="16"/>
                <w:sz w:val="20"/>
                <w:szCs w:val="20"/>
                <w:shd w:val="solid" w:color="000000" w:fill="000000"/>
                <w:fitText w:val="75" w:id="-1435807478"/>
                <w14:textFill>
                  <w14:solidFill>
                    <w14:srgbClr w14:val="000000">
                      <w14:alpha w14:val="100000"/>
                    </w14:srgbClr>
                  </w14:solidFill>
                </w14:textFill>
              </w:rPr>
              <w:t xml:space="preserve">　</w:t>
            </w:r>
            <w:r w:rsidR="00665280" w:rsidRPr="00302193">
              <w:rPr>
                <w:rFonts w:ascii="Arial Narrow" w:hAnsi="Arial Narrow" w:cs="Calibri"/>
                <w:color w:val="000000"/>
                <w:sz w:val="20"/>
                <w:szCs w:val="20"/>
              </w:rPr>
              <w:t>%</w:t>
            </w:r>
          </w:p>
        </w:tc>
        <w:tc>
          <w:tcPr>
            <w:tcW w:w="579" w:type="pct"/>
            <w:shd w:val="clear" w:color="auto" w:fill="auto"/>
            <w:vAlign w:val="center"/>
          </w:tcPr>
          <w:p w14:paraId="173478FA" w14:textId="2A669459" w:rsidR="00665280" w:rsidRPr="00302193" w:rsidRDefault="001F03AF" w:rsidP="00BE067C">
            <w:pPr>
              <w:keepNext/>
              <w:keepLines/>
              <w:ind w:left="12"/>
              <w:jc w:val="center"/>
              <w:rPr>
                <w:rFonts w:ascii="Arial Narrow" w:hAnsi="Arial Narrow" w:cs="Calibri"/>
                <w:color w:val="000000"/>
                <w:sz w:val="20"/>
                <w:szCs w:val="20"/>
              </w:rPr>
            </w:pPr>
            <w:r w:rsidRPr="001F03AF">
              <w:rPr>
                <w:rFonts w:ascii="Arial Narrow" w:hAnsi="Arial Narrow" w:cs="Calibri"/>
                <w:color w:val="000000"/>
                <w:w w:val="16"/>
                <w:sz w:val="20"/>
                <w:szCs w:val="20"/>
                <w:shd w:val="solid" w:color="000000" w:fill="000000"/>
                <w:fitText w:val="75" w:id="-1435807477"/>
                <w14:textFill>
                  <w14:solidFill>
                    <w14:srgbClr w14:val="000000">
                      <w14:alpha w14:val="100000"/>
                    </w14:srgbClr>
                  </w14:solidFill>
                </w14:textFill>
              </w:rPr>
              <w:t xml:space="preserve">　|</w:t>
            </w:r>
            <w:r w:rsidRPr="001F03AF">
              <w:rPr>
                <w:rFonts w:ascii="Arial Narrow" w:hAnsi="Arial Narrow" w:cs="Calibri"/>
                <w:color w:val="000000"/>
                <w:spacing w:val="5"/>
                <w:w w:val="16"/>
                <w:sz w:val="20"/>
                <w:szCs w:val="20"/>
                <w:shd w:val="solid" w:color="000000" w:fill="000000"/>
                <w:fitText w:val="75" w:id="-1435807477"/>
                <w14:textFill>
                  <w14:solidFill>
                    <w14:srgbClr w14:val="000000">
                      <w14:alpha w14:val="100000"/>
                    </w14:srgbClr>
                  </w14:solidFill>
                </w14:textFill>
              </w:rPr>
              <w:t xml:space="preserve">　</w:t>
            </w:r>
            <w:r w:rsidR="00665280" w:rsidRPr="00302193">
              <w:rPr>
                <w:rFonts w:ascii="Arial Narrow" w:hAnsi="Arial Narrow" w:cs="Calibri"/>
                <w:color w:val="000000"/>
                <w:sz w:val="20"/>
                <w:szCs w:val="20"/>
              </w:rPr>
              <w:t>%</w:t>
            </w:r>
          </w:p>
        </w:tc>
        <w:tc>
          <w:tcPr>
            <w:tcW w:w="579" w:type="pct"/>
            <w:shd w:val="clear" w:color="auto" w:fill="auto"/>
            <w:vAlign w:val="center"/>
          </w:tcPr>
          <w:p w14:paraId="5311CC30" w14:textId="7BB4A429" w:rsidR="00665280" w:rsidRPr="00302193" w:rsidRDefault="001F03AF" w:rsidP="00BE067C">
            <w:pPr>
              <w:keepNext/>
              <w:keepLines/>
              <w:ind w:left="12"/>
              <w:jc w:val="center"/>
              <w:rPr>
                <w:rFonts w:ascii="Arial Narrow" w:hAnsi="Arial Narrow" w:cs="Calibri"/>
                <w:color w:val="000000"/>
                <w:sz w:val="20"/>
                <w:szCs w:val="20"/>
              </w:rPr>
            </w:pPr>
            <w:r w:rsidRPr="001F03AF">
              <w:rPr>
                <w:rFonts w:ascii="Arial Narrow" w:hAnsi="Arial Narrow" w:cs="Calibri"/>
                <w:color w:val="000000"/>
                <w:w w:val="16"/>
                <w:sz w:val="20"/>
                <w:szCs w:val="20"/>
                <w:shd w:val="solid" w:color="000000" w:fill="000000"/>
                <w:fitText w:val="75" w:id="-1435807476"/>
                <w14:textFill>
                  <w14:solidFill>
                    <w14:srgbClr w14:val="000000">
                      <w14:alpha w14:val="100000"/>
                    </w14:srgbClr>
                  </w14:solidFill>
                </w14:textFill>
              </w:rPr>
              <w:t xml:space="preserve">　|</w:t>
            </w:r>
            <w:r w:rsidRPr="001F03AF">
              <w:rPr>
                <w:rFonts w:ascii="Arial Narrow" w:hAnsi="Arial Narrow" w:cs="Calibri"/>
                <w:color w:val="000000"/>
                <w:spacing w:val="5"/>
                <w:w w:val="16"/>
                <w:sz w:val="20"/>
                <w:szCs w:val="20"/>
                <w:shd w:val="solid" w:color="000000" w:fill="000000"/>
                <w:fitText w:val="75" w:id="-1435807476"/>
                <w14:textFill>
                  <w14:solidFill>
                    <w14:srgbClr w14:val="000000">
                      <w14:alpha w14:val="100000"/>
                    </w14:srgbClr>
                  </w14:solidFill>
                </w14:textFill>
              </w:rPr>
              <w:t xml:space="preserve">　</w:t>
            </w:r>
            <w:r w:rsidR="00665280" w:rsidRPr="00302193">
              <w:rPr>
                <w:rFonts w:ascii="Arial Narrow" w:hAnsi="Arial Narrow" w:cs="Calibri"/>
                <w:color w:val="000000"/>
                <w:sz w:val="20"/>
                <w:szCs w:val="20"/>
              </w:rPr>
              <w:t>%</w:t>
            </w:r>
          </w:p>
        </w:tc>
        <w:tc>
          <w:tcPr>
            <w:tcW w:w="580" w:type="pct"/>
            <w:shd w:val="clear" w:color="auto" w:fill="auto"/>
            <w:vAlign w:val="center"/>
          </w:tcPr>
          <w:p w14:paraId="6CD31E35" w14:textId="2AE86E4F" w:rsidR="00665280" w:rsidRPr="00302193" w:rsidRDefault="001F03AF" w:rsidP="00BE067C">
            <w:pPr>
              <w:keepNext/>
              <w:keepLines/>
              <w:ind w:left="12"/>
              <w:jc w:val="center"/>
              <w:rPr>
                <w:rFonts w:ascii="Arial Narrow" w:hAnsi="Arial Narrow" w:cs="Calibri"/>
                <w:color w:val="000000"/>
                <w:sz w:val="20"/>
                <w:szCs w:val="20"/>
              </w:rPr>
            </w:pPr>
            <w:r w:rsidRPr="001F03AF">
              <w:rPr>
                <w:rFonts w:ascii="Arial Narrow" w:hAnsi="Arial Narrow" w:cs="Calibri"/>
                <w:color w:val="000000"/>
                <w:w w:val="16"/>
                <w:sz w:val="20"/>
                <w:szCs w:val="20"/>
                <w:shd w:val="solid" w:color="000000" w:fill="000000"/>
                <w:fitText w:val="75" w:id="-1435807475"/>
                <w14:textFill>
                  <w14:solidFill>
                    <w14:srgbClr w14:val="000000">
                      <w14:alpha w14:val="100000"/>
                    </w14:srgbClr>
                  </w14:solidFill>
                </w14:textFill>
              </w:rPr>
              <w:t xml:space="preserve">　|</w:t>
            </w:r>
            <w:r w:rsidRPr="001F03AF">
              <w:rPr>
                <w:rFonts w:ascii="Arial Narrow" w:hAnsi="Arial Narrow" w:cs="Calibri"/>
                <w:color w:val="000000"/>
                <w:spacing w:val="5"/>
                <w:w w:val="16"/>
                <w:sz w:val="20"/>
                <w:szCs w:val="20"/>
                <w:shd w:val="solid" w:color="000000" w:fill="000000"/>
                <w:fitText w:val="75" w:id="-1435807475"/>
                <w14:textFill>
                  <w14:solidFill>
                    <w14:srgbClr w14:val="000000">
                      <w14:alpha w14:val="100000"/>
                    </w14:srgbClr>
                  </w14:solidFill>
                </w14:textFill>
              </w:rPr>
              <w:t xml:space="preserve">　</w:t>
            </w:r>
            <w:r w:rsidR="00665280" w:rsidRPr="00302193">
              <w:rPr>
                <w:rFonts w:ascii="Arial Narrow" w:hAnsi="Arial Narrow" w:cs="Calibri"/>
                <w:color w:val="000000"/>
                <w:sz w:val="20"/>
                <w:szCs w:val="20"/>
              </w:rPr>
              <w:t>%</w:t>
            </w:r>
          </w:p>
        </w:tc>
      </w:tr>
      <w:tr w:rsidR="00045417" w:rsidRPr="003A7F84" w14:paraId="3F682941" w14:textId="77777777" w:rsidTr="00045417">
        <w:tblPrEx>
          <w:jc w:val="left"/>
          <w:tblCellMar>
            <w:left w:w="28" w:type="dxa"/>
            <w:right w:w="28" w:type="dxa"/>
          </w:tblCellMar>
        </w:tblPrEx>
        <w:tc>
          <w:tcPr>
            <w:tcW w:w="1525" w:type="pct"/>
            <w:vAlign w:val="center"/>
          </w:tcPr>
          <w:p w14:paraId="4728C6F2" w14:textId="0CF81023" w:rsidR="005B15E6" w:rsidRPr="003A7F84" w:rsidRDefault="005B15E6" w:rsidP="00BE067C">
            <w:pPr>
              <w:keepNext/>
              <w:keepLines/>
              <w:ind w:left="106"/>
              <w:jc w:val="left"/>
              <w:rPr>
                <w:rFonts w:ascii="Arial Narrow" w:hAnsi="Arial Narrow"/>
                <w:sz w:val="20"/>
                <w:szCs w:val="20"/>
              </w:rPr>
            </w:pPr>
            <w:r w:rsidRPr="003A7F84">
              <w:rPr>
                <w:rFonts w:ascii="Arial Narrow" w:hAnsi="Arial Narrow"/>
                <w:sz w:val="20"/>
                <w:szCs w:val="20"/>
              </w:rPr>
              <w:t>Incident patients</w:t>
            </w:r>
          </w:p>
        </w:tc>
        <w:tc>
          <w:tcPr>
            <w:tcW w:w="576" w:type="pct"/>
            <w:shd w:val="clear" w:color="auto" w:fill="auto"/>
            <w:vAlign w:val="center"/>
          </w:tcPr>
          <w:p w14:paraId="02650A42" w14:textId="64ABA065" w:rsidR="005B15E6"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74"/>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74"/>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82" w:type="pct"/>
            <w:shd w:val="clear" w:color="auto" w:fill="auto"/>
            <w:vAlign w:val="center"/>
          </w:tcPr>
          <w:p w14:paraId="79473F5E" w14:textId="6539B97F" w:rsidR="005B15E6" w:rsidRPr="00302193" w:rsidRDefault="001F03AF" w:rsidP="00BE067C">
            <w:pPr>
              <w:keepNext/>
              <w:keepLines/>
              <w:ind w:left="12"/>
              <w:jc w:val="center"/>
              <w:rPr>
                <w:rFonts w:ascii="Arial Narrow" w:hAnsi="Arial Narrow" w:cs="Calibri"/>
                <w:color w:val="000000"/>
                <w:sz w:val="20"/>
                <w:szCs w:val="20"/>
                <w:highlight w:val="darkGray"/>
              </w:rPr>
            </w:pPr>
            <w:r w:rsidRPr="005A6BE3">
              <w:rPr>
                <w:rFonts w:ascii="Arial Narrow" w:hAnsi="Arial Narrow" w:cs="Calibri"/>
                <w:color w:val="000000"/>
                <w:w w:val="15"/>
                <w:sz w:val="20"/>
                <w:szCs w:val="20"/>
                <w:shd w:val="solid" w:color="000000" w:fill="000000"/>
                <w:fitText w:val="25" w:id="-1435807473"/>
                <w14:textFill>
                  <w14:solidFill>
                    <w14:srgbClr w14:val="000000">
                      <w14:alpha w14:val="100000"/>
                    </w14:srgbClr>
                  </w14:solidFill>
                </w14:textFill>
              </w:rPr>
              <w:t xml:space="preserve">　|</w:t>
            </w:r>
            <w:r w:rsidRPr="005A6BE3">
              <w:rPr>
                <w:rFonts w:ascii="Arial Narrow" w:hAnsi="Arial Narrow" w:cs="Calibri"/>
                <w:color w:val="000000"/>
                <w:spacing w:val="-41"/>
                <w:w w:val="15"/>
                <w:sz w:val="20"/>
                <w:szCs w:val="20"/>
                <w:shd w:val="solid" w:color="000000" w:fill="000000"/>
                <w:fitText w:val="25" w:id="-1435807473"/>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shd w:val="clear" w:color="auto" w:fill="auto"/>
            <w:vAlign w:val="center"/>
          </w:tcPr>
          <w:p w14:paraId="3D56FE99" w14:textId="6F255834" w:rsidR="005B15E6"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72"/>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72"/>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shd w:val="clear" w:color="auto" w:fill="auto"/>
            <w:vAlign w:val="center"/>
          </w:tcPr>
          <w:p w14:paraId="4D721151" w14:textId="6B56A7E9" w:rsidR="005B15E6"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88"/>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88"/>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shd w:val="clear" w:color="auto" w:fill="auto"/>
            <w:vAlign w:val="center"/>
          </w:tcPr>
          <w:p w14:paraId="2C0F332F" w14:textId="0841BF5B" w:rsidR="005B15E6"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87"/>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87"/>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80" w:type="pct"/>
            <w:shd w:val="clear" w:color="auto" w:fill="auto"/>
            <w:vAlign w:val="center"/>
          </w:tcPr>
          <w:p w14:paraId="5E2B54FC" w14:textId="1FE8EE7F" w:rsidR="005B15E6"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86"/>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86"/>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r>
      <w:tr w:rsidR="00045417" w:rsidRPr="003A7F84" w14:paraId="24E5828A" w14:textId="77777777" w:rsidTr="00045417">
        <w:tblPrEx>
          <w:jc w:val="left"/>
          <w:tblCellMar>
            <w:left w:w="28" w:type="dxa"/>
            <w:right w:w="28" w:type="dxa"/>
          </w:tblCellMar>
        </w:tblPrEx>
        <w:tc>
          <w:tcPr>
            <w:tcW w:w="1525" w:type="pct"/>
            <w:vAlign w:val="center"/>
          </w:tcPr>
          <w:p w14:paraId="7B6F9929" w14:textId="77777777" w:rsidR="00665280" w:rsidRPr="003A7F84" w:rsidRDefault="00665280" w:rsidP="00BE067C">
            <w:pPr>
              <w:keepNext/>
              <w:keepLines/>
              <w:ind w:left="106"/>
              <w:jc w:val="left"/>
              <w:rPr>
                <w:rFonts w:ascii="Arial Narrow" w:hAnsi="Arial Narrow"/>
                <w:sz w:val="20"/>
                <w:szCs w:val="20"/>
              </w:rPr>
            </w:pPr>
            <w:r w:rsidRPr="003A7F84">
              <w:rPr>
                <w:rFonts w:ascii="Arial Narrow" w:hAnsi="Arial Narrow"/>
                <w:sz w:val="20"/>
                <w:szCs w:val="20"/>
              </w:rPr>
              <w:t>Total incident/persistent treated</w:t>
            </w:r>
          </w:p>
        </w:tc>
        <w:tc>
          <w:tcPr>
            <w:tcW w:w="576" w:type="pct"/>
            <w:vAlign w:val="center"/>
          </w:tcPr>
          <w:p w14:paraId="0353C1AB" w14:textId="01F482E7"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85"/>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85"/>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82" w:type="pct"/>
            <w:vAlign w:val="center"/>
          </w:tcPr>
          <w:p w14:paraId="3F3975B1" w14:textId="35884FAA" w:rsidR="00665280" w:rsidRPr="00302193" w:rsidRDefault="001F03AF" w:rsidP="00BE067C">
            <w:pPr>
              <w:keepNext/>
              <w:keepLines/>
              <w:ind w:left="12"/>
              <w:jc w:val="center"/>
              <w:rPr>
                <w:rFonts w:ascii="Arial Narrow" w:hAnsi="Arial Narrow" w:cs="Calibri"/>
                <w:color w:val="000000"/>
                <w:sz w:val="20"/>
                <w:szCs w:val="20"/>
                <w:highlight w:val="darkGray"/>
              </w:rPr>
            </w:pPr>
            <w:r w:rsidRPr="005A6BE3">
              <w:rPr>
                <w:rFonts w:ascii="Arial Narrow" w:hAnsi="Arial Narrow" w:cs="Calibri"/>
                <w:color w:val="000000"/>
                <w:w w:val="15"/>
                <w:sz w:val="20"/>
                <w:szCs w:val="20"/>
                <w:shd w:val="solid" w:color="000000" w:fill="000000"/>
                <w:fitText w:val="25" w:id="-1435807484"/>
                <w14:textFill>
                  <w14:solidFill>
                    <w14:srgbClr w14:val="000000">
                      <w14:alpha w14:val="100000"/>
                    </w14:srgbClr>
                  </w14:solidFill>
                </w14:textFill>
              </w:rPr>
              <w:t xml:space="preserve">　|</w:t>
            </w:r>
            <w:r w:rsidRPr="005A6BE3">
              <w:rPr>
                <w:rFonts w:ascii="Arial Narrow" w:hAnsi="Arial Narrow" w:cs="Calibri"/>
                <w:color w:val="000000"/>
                <w:spacing w:val="-41"/>
                <w:w w:val="15"/>
                <w:sz w:val="20"/>
                <w:szCs w:val="20"/>
                <w:shd w:val="solid" w:color="000000" w:fill="000000"/>
                <w:fitText w:val="25" w:id="-1435807484"/>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vAlign w:val="center"/>
          </w:tcPr>
          <w:p w14:paraId="1A64E677" w14:textId="30CAA4F4"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83"/>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83"/>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vAlign w:val="center"/>
          </w:tcPr>
          <w:p w14:paraId="2BEA2193" w14:textId="106ECE31"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82"/>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82"/>
                <w14:textFill>
                  <w14:solidFill>
                    <w14:srgbClr w14:val="000000">
                      <w14:alpha w14:val="100000"/>
                    </w14:srgbClr>
                  </w14:solidFill>
                </w14:textFill>
              </w:rPr>
              <w:t xml:space="preserve">　</w:t>
            </w:r>
            <w:r w:rsidR="00FC69A3" w:rsidRPr="00302193">
              <w:rPr>
                <w:rFonts w:ascii="Arial Narrow" w:hAnsi="Arial Narrow"/>
                <w:sz w:val="20"/>
                <w:szCs w:val="20"/>
                <w:vertAlign w:val="superscript"/>
              </w:rPr>
              <w:t>1</w:t>
            </w:r>
          </w:p>
        </w:tc>
        <w:tc>
          <w:tcPr>
            <w:tcW w:w="579" w:type="pct"/>
            <w:vAlign w:val="center"/>
          </w:tcPr>
          <w:p w14:paraId="5016BCAC" w14:textId="627CBF78"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8" w:id="-1435807481"/>
                <w14:textFill>
                  <w14:solidFill>
                    <w14:srgbClr w14:val="000000">
                      <w14:alpha w14:val="100000"/>
                    </w14:srgbClr>
                  </w14:solidFill>
                </w14:textFill>
              </w:rPr>
              <w:t xml:space="preserve">　|</w:t>
            </w:r>
            <w:r w:rsidRPr="001F03AF">
              <w:rPr>
                <w:rFonts w:ascii="Arial Narrow" w:hAnsi="Arial Narrow" w:cs="Calibri"/>
                <w:color w:val="000000"/>
                <w:spacing w:val="-27"/>
                <w:w w:val="15"/>
                <w:sz w:val="20"/>
                <w:szCs w:val="20"/>
                <w:shd w:val="solid" w:color="000000" w:fill="000000"/>
                <w:fitText w:val="38" w:id="-1435807481"/>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80" w:type="pct"/>
            <w:vAlign w:val="center"/>
          </w:tcPr>
          <w:p w14:paraId="1350FC23" w14:textId="5D74FE81" w:rsidR="00665280" w:rsidRPr="00302193" w:rsidRDefault="001F03AF" w:rsidP="00BE067C">
            <w:pPr>
              <w:keepNext/>
              <w:keepLines/>
              <w:ind w:left="12"/>
              <w:jc w:val="center"/>
              <w:rPr>
                <w:rFonts w:ascii="Arial Narrow" w:hAnsi="Arial Narrow" w:cs="Calibri"/>
                <w:color w:val="000000"/>
                <w:sz w:val="20"/>
                <w:szCs w:val="20"/>
                <w:highlight w:val="darkGray"/>
              </w:rPr>
            </w:pPr>
            <w:r w:rsidRPr="001F03AF">
              <w:rPr>
                <w:rFonts w:ascii="Arial Narrow" w:hAnsi="Arial Narrow" w:cs="Calibri"/>
                <w:color w:val="000000"/>
                <w:w w:val="15"/>
                <w:sz w:val="20"/>
                <w:szCs w:val="20"/>
                <w:shd w:val="solid" w:color="000000" w:fill="000000"/>
                <w:fitText w:val="37" w:id="-1435807480"/>
                <w14:textFill>
                  <w14:solidFill>
                    <w14:srgbClr w14:val="000000">
                      <w14:alpha w14:val="100000"/>
                    </w14:srgbClr>
                  </w14:solidFill>
                </w14:textFill>
              </w:rPr>
              <w:t xml:space="preserve">　|</w:t>
            </w:r>
            <w:r w:rsidRPr="001F03AF">
              <w:rPr>
                <w:rFonts w:ascii="Arial Narrow" w:hAnsi="Arial Narrow" w:cs="Calibri"/>
                <w:color w:val="000000"/>
                <w:spacing w:val="-28"/>
                <w:w w:val="15"/>
                <w:sz w:val="20"/>
                <w:szCs w:val="20"/>
                <w:shd w:val="solid" w:color="000000" w:fill="000000"/>
                <w:fitText w:val="37" w:id="-1435807480"/>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r>
      <w:tr w:rsidR="00665280" w:rsidRPr="003A7F84" w14:paraId="53B1CC01" w14:textId="77777777" w:rsidTr="00045417">
        <w:tblPrEx>
          <w:jc w:val="left"/>
          <w:tblCellMar>
            <w:left w:w="28" w:type="dxa"/>
            <w:right w:w="28" w:type="dxa"/>
          </w:tblCellMar>
        </w:tblPrEx>
        <w:tc>
          <w:tcPr>
            <w:tcW w:w="5000" w:type="pct"/>
            <w:gridSpan w:val="7"/>
            <w:vAlign w:val="center"/>
          </w:tcPr>
          <w:p w14:paraId="13CDA7FA" w14:textId="77777777" w:rsidR="00665280" w:rsidRPr="003A7F84" w:rsidRDefault="00665280" w:rsidP="00BE067C">
            <w:pPr>
              <w:pStyle w:val="TableText"/>
              <w:keepLines/>
              <w:ind w:left="106" w:right="-66"/>
              <w:rPr>
                <w:b/>
                <w:bCs w:val="0"/>
                <w:iCs/>
                <w:szCs w:val="20"/>
                <w:vertAlign w:val="superscript"/>
              </w:rPr>
            </w:pPr>
            <w:r w:rsidRPr="003A7F84">
              <w:rPr>
                <w:b/>
                <w:bCs w:val="0"/>
                <w:iCs/>
                <w:szCs w:val="20"/>
              </w:rPr>
              <w:t>Adults aged 18-100 years with historic diagnosis up to 6 years prior to Year 1</w:t>
            </w:r>
            <w:r w:rsidRPr="003A7F84">
              <w:rPr>
                <w:b/>
                <w:bCs w:val="0"/>
                <w:iCs/>
                <w:szCs w:val="20"/>
                <w:vertAlign w:val="superscript"/>
              </w:rPr>
              <w:t>a</w:t>
            </w:r>
          </w:p>
        </w:tc>
      </w:tr>
      <w:tr w:rsidR="00045417" w:rsidRPr="003A7F84" w14:paraId="4B71D28C" w14:textId="77777777" w:rsidTr="00045417">
        <w:tblPrEx>
          <w:jc w:val="left"/>
          <w:tblCellMar>
            <w:left w:w="28" w:type="dxa"/>
            <w:right w:w="28" w:type="dxa"/>
          </w:tblCellMar>
        </w:tblPrEx>
        <w:tc>
          <w:tcPr>
            <w:tcW w:w="1525" w:type="pct"/>
            <w:tcBorders>
              <w:bottom w:val="single" w:sz="4" w:space="0" w:color="auto"/>
            </w:tcBorders>
          </w:tcPr>
          <w:p w14:paraId="06C98F2B" w14:textId="77777777" w:rsidR="00665280" w:rsidRPr="003A7F84" w:rsidRDefault="00665280" w:rsidP="00BE067C">
            <w:pPr>
              <w:keepNext/>
              <w:keepLines/>
              <w:ind w:left="106"/>
              <w:jc w:val="left"/>
              <w:rPr>
                <w:rFonts w:ascii="Arial Narrow" w:hAnsi="Arial Narrow" w:cs="Calibri"/>
                <w:iCs/>
                <w:color w:val="000000"/>
                <w:sz w:val="20"/>
                <w:szCs w:val="20"/>
              </w:rPr>
            </w:pPr>
            <w:r w:rsidRPr="003A7F84">
              <w:rPr>
                <w:rFonts w:ascii="Arial Narrow" w:hAnsi="Arial Narrow"/>
                <w:iCs/>
                <w:sz w:val="20"/>
                <w:szCs w:val="20"/>
              </w:rPr>
              <w:t>Historic persistent adults treated</w:t>
            </w:r>
          </w:p>
        </w:tc>
        <w:tc>
          <w:tcPr>
            <w:tcW w:w="576" w:type="pct"/>
            <w:tcBorders>
              <w:bottom w:val="single" w:sz="4" w:space="0" w:color="auto"/>
            </w:tcBorders>
            <w:vAlign w:val="center"/>
          </w:tcPr>
          <w:p w14:paraId="7D862BCD" w14:textId="1DDC584B"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iCs/>
                <w:color w:val="000000"/>
                <w:w w:val="15"/>
                <w:sz w:val="20"/>
                <w:szCs w:val="20"/>
                <w:shd w:val="solid" w:color="000000" w:fill="000000"/>
                <w:fitText w:val="37" w:id="-1435807479"/>
                <w14:textFill>
                  <w14:solidFill>
                    <w14:srgbClr w14:val="000000">
                      <w14:alpha w14:val="100000"/>
                    </w14:srgbClr>
                  </w14:solidFill>
                </w14:textFill>
              </w:rPr>
              <w:t xml:space="preserve">　|</w:t>
            </w:r>
            <w:r w:rsidRPr="001F03AF">
              <w:rPr>
                <w:rFonts w:ascii="Arial Narrow" w:hAnsi="Arial Narrow" w:cs="Calibri"/>
                <w:iCs/>
                <w:color w:val="000000"/>
                <w:spacing w:val="-28"/>
                <w:w w:val="15"/>
                <w:sz w:val="20"/>
                <w:szCs w:val="20"/>
                <w:shd w:val="solid" w:color="000000" w:fill="000000"/>
                <w:fitText w:val="37" w:id="-1435807479"/>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82" w:type="pct"/>
            <w:tcBorders>
              <w:bottom w:val="single" w:sz="4" w:space="0" w:color="auto"/>
            </w:tcBorders>
            <w:vAlign w:val="center"/>
          </w:tcPr>
          <w:p w14:paraId="1F4B46BE" w14:textId="4A015A5C"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iCs/>
                <w:color w:val="000000"/>
                <w:w w:val="15"/>
                <w:sz w:val="20"/>
                <w:szCs w:val="20"/>
                <w:shd w:val="solid" w:color="000000" w:fill="000000"/>
                <w:fitText w:val="37" w:id="-1435807478"/>
                <w14:textFill>
                  <w14:solidFill>
                    <w14:srgbClr w14:val="000000">
                      <w14:alpha w14:val="100000"/>
                    </w14:srgbClr>
                  </w14:solidFill>
                </w14:textFill>
              </w:rPr>
              <w:t xml:space="preserve">　|</w:t>
            </w:r>
            <w:r w:rsidRPr="001F03AF">
              <w:rPr>
                <w:rFonts w:ascii="Arial Narrow" w:hAnsi="Arial Narrow" w:cs="Calibri"/>
                <w:iCs/>
                <w:color w:val="000000"/>
                <w:spacing w:val="-28"/>
                <w:w w:val="15"/>
                <w:sz w:val="20"/>
                <w:szCs w:val="20"/>
                <w:shd w:val="solid" w:color="000000" w:fill="000000"/>
                <w:fitText w:val="37" w:id="-1435807478"/>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79" w:type="pct"/>
            <w:tcBorders>
              <w:bottom w:val="single" w:sz="4" w:space="0" w:color="auto"/>
            </w:tcBorders>
            <w:vAlign w:val="center"/>
          </w:tcPr>
          <w:p w14:paraId="25E5B6D3" w14:textId="6E42DC97"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iCs/>
                <w:color w:val="000000"/>
                <w:w w:val="15"/>
                <w:sz w:val="20"/>
                <w:szCs w:val="20"/>
                <w:shd w:val="solid" w:color="000000" w:fill="000000"/>
                <w:fitText w:val="38" w:id="-1435807477"/>
                <w14:textFill>
                  <w14:solidFill>
                    <w14:srgbClr w14:val="000000">
                      <w14:alpha w14:val="100000"/>
                    </w14:srgbClr>
                  </w14:solidFill>
                </w14:textFill>
              </w:rPr>
              <w:t xml:space="preserve">　|</w:t>
            </w:r>
            <w:r w:rsidRPr="001F03AF">
              <w:rPr>
                <w:rFonts w:ascii="Arial Narrow" w:hAnsi="Arial Narrow" w:cs="Calibri"/>
                <w:iCs/>
                <w:color w:val="000000"/>
                <w:spacing w:val="-27"/>
                <w:w w:val="15"/>
                <w:sz w:val="20"/>
                <w:szCs w:val="20"/>
                <w:shd w:val="solid" w:color="000000" w:fill="000000"/>
                <w:fitText w:val="38" w:id="-1435807477"/>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79" w:type="pct"/>
            <w:tcBorders>
              <w:bottom w:val="single" w:sz="4" w:space="0" w:color="auto"/>
            </w:tcBorders>
            <w:vAlign w:val="center"/>
          </w:tcPr>
          <w:p w14:paraId="78A38149" w14:textId="59A7E1FF"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iCs/>
                <w:color w:val="000000"/>
                <w:w w:val="15"/>
                <w:sz w:val="20"/>
                <w:szCs w:val="20"/>
                <w:shd w:val="solid" w:color="000000" w:fill="000000"/>
                <w:fitText w:val="38" w:id="-1435807476"/>
                <w14:textFill>
                  <w14:solidFill>
                    <w14:srgbClr w14:val="000000">
                      <w14:alpha w14:val="100000"/>
                    </w14:srgbClr>
                  </w14:solidFill>
                </w14:textFill>
              </w:rPr>
              <w:t xml:space="preserve">　|</w:t>
            </w:r>
            <w:r w:rsidRPr="001F03AF">
              <w:rPr>
                <w:rFonts w:ascii="Arial Narrow" w:hAnsi="Arial Narrow" w:cs="Calibri"/>
                <w:iCs/>
                <w:color w:val="000000"/>
                <w:spacing w:val="-27"/>
                <w:w w:val="15"/>
                <w:sz w:val="20"/>
                <w:szCs w:val="20"/>
                <w:shd w:val="solid" w:color="000000" w:fill="000000"/>
                <w:fitText w:val="38" w:id="-1435807476"/>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79" w:type="pct"/>
            <w:tcBorders>
              <w:bottom w:val="single" w:sz="4" w:space="0" w:color="auto"/>
            </w:tcBorders>
            <w:vAlign w:val="center"/>
          </w:tcPr>
          <w:p w14:paraId="33A3B60C" w14:textId="7815CCB7"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iCs/>
                <w:color w:val="000000"/>
                <w:w w:val="15"/>
                <w:sz w:val="20"/>
                <w:szCs w:val="20"/>
                <w:shd w:val="solid" w:color="000000" w:fill="000000"/>
                <w:fitText w:val="38" w:id="-1435807475"/>
                <w14:textFill>
                  <w14:solidFill>
                    <w14:srgbClr w14:val="000000">
                      <w14:alpha w14:val="100000"/>
                    </w14:srgbClr>
                  </w14:solidFill>
                </w14:textFill>
              </w:rPr>
              <w:t xml:space="preserve">　|</w:t>
            </w:r>
            <w:r w:rsidRPr="001F03AF">
              <w:rPr>
                <w:rFonts w:ascii="Arial Narrow" w:hAnsi="Arial Narrow" w:cs="Calibri"/>
                <w:iCs/>
                <w:color w:val="000000"/>
                <w:spacing w:val="-27"/>
                <w:w w:val="15"/>
                <w:sz w:val="20"/>
                <w:szCs w:val="20"/>
                <w:shd w:val="solid" w:color="000000" w:fill="000000"/>
                <w:fitText w:val="38" w:id="-1435807475"/>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80" w:type="pct"/>
            <w:tcBorders>
              <w:bottom w:val="single" w:sz="4" w:space="0" w:color="auto"/>
            </w:tcBorders>
            <w:vAlign w:val="center"/>
          </w:tcPr>
          <w:p w14:paraId="2A8BACD3" w14:textId="4FA939F4"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iCs/>
                <w:color w:val="000000"/>
                <w:w w:val="15"/>
                <w:sz w:val="20"/>
                <w:szCs w:val="20"/>
                <w:shd w:val="solid" w:color="000000" w:fill="000000"/>
                <w:fitText w:val="37" w:id="-1435807474"/>
                <w14:textFill>
                  <w14:solidFill>
                    <w14:srgbClr w14:val="000000">
                      <w14:alpha w14:val="100000"/>
                    </w14:srgbClr>
                  </w14:solidFill>
                </w14:textFill>
              </w:rPr>
              <w:t xml:space="preserve">　|</w:t>
            </w:r>
            <w:r w:rsidRPr="001F03AF">
              <w:rPr>
                <w:rFonts w:ascii="Arial Narrow" w:hAnsi="Arial Narrow" w:cs="Calibri"/>
                <w:iCs/>
                <w:color w:val="000000"/>
                <w:spacing w:val="-28"/>
                <w:w w:val="15"/>
                <w:sz w:val="20"/>
                <w:szCs w:val="20"/>
                <w:shd w:val="solid" w:color="000000" w:fill="000000"/>
                <w:fitText w:val="37" w:id="-1435807474"/>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r>
      <w:tr w:rsidR="00045417" w:rsidRPr="003A7F84" w14:paraId="24A1A696" w14:textId="77777777" w:rsidTr="00045417">
        <w:tblPrEx>
          <w:jc w:val="left"/>
        </w:tblPrEx>
        <w:tc>
          <w:tcPr>
            <w:tcW w:w="1525" w:type="pct"/>
            <w:tcBorders>
              <w:bottom w:val="double" w:sz="4" w:space="0" w:color="auto"/>
            </w:tcBorders>
          </w:tcPr>
          <w:p w14:paraId="68A73207" w14:textId="77777777" w:rsidR="00665280" w:rsidRPr="003A7F84" w:rsidRDefault="00665280" w:rsidP="00BE067C">
            <w:pPr>
              <w:keepNext/>
              <w:keepLines/>
              <w:jc w:val="left"/>
              <w:rPr>
                <w:rFonts w:ascii="Arial Narrow" w:hAnsi="Arial Narrow"/>
                <w:b/>
                <w:bCs/>
                <w:sz w:val="20"/>
                <w:szCs w:val="20"/>
              </w:rPr>
            </w:pPr>
            <w:r w:rsidRPr="003A7F84">
              <w:rPr>
                <w:rFonts w:ascii="Arial Narrow" w:hAnsi="Arial Narrow"/>
                <w:b/>
                <w:bCs/>
                <w:sz w:val="20"/>
                <w:szCs w:val="20"/>
              </w:rPr>
              <w:t>Total adults treated</w:t>
            </w:r>
          </w:p>
        </w:tc>
        <w:tc>
          <w:tcPr>
            <w:tcW w:w="576" w:type="pct"/>
            <w:tcBorders>
              <w:bottom w:val="double" w:sz="4" w:space="0" w:color="auto"/>
            </w:tcBorders>
            <w:vAlign w:val="center"/>
          </w:tcPr>
          <w:p w14:paraId="71372955" w14:textId="7BD6CB3F" w:rsidR="00665280" w:rsidRPr="0069252F" w:rsidRDefault="001F03AF" w:rsidP="00BE067C">
            <w:pPr>
              <w:keepNext/>
              <w:keepLines/>
              <w:ind w:left="-81" w:right="-81"/>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73"/>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73"/>
                <w14:textFill>
                  <w14:solidFill>
                    <w14:srgbClr w14:val="000000">
                      <w14:alpha w14:val="100000"/>
                    </w14:srgbClr>
                  </w14:solidFill>
                </w14:textFill>
              </w:rPr>
              <w:t>|</w:t>
            </w:r>
            <w:r w:rsidR="00302193">
              <w:rPr>
                <w:rFonts w:ascii="Arial Narrow" w:hAnsi="Arial Narrow"/>
                <w:sz w:val="20"/>
                <w:szCs w:val="20"/>
                <w:vertAlign w:val="superscript"/>
              </w:rPr>
              <w:t>3</w:t>
            </w:r>
          </w:p>
        </w:tc>
        <w:tc>
          <w:tcPr>
            <w:tcW w:w="582" w:type="pct"/>
            <w:tcBorders>
              <w:bottom w:val="double" w:sz="4" w:space="0" w:color="auto"/>
            </w:tcBorders>
            <w:vAlign w:val="center"/>
          </w:tcPr>
          <w:p w14:paraId="6C398635" w14:textId="5130A336" w:rsidR="00665280" w:rsidRPr="0069252F" w:rsidRDefault="001F03AF" w:rsidP="00BE067C">
            <w:pPr>
              <w:keepNext/>
              <w:keepLines/>
              <w:ind w:left="-81" w:right="-81"/>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w w:val="33"/>
                <w:sz w:val="20"/>
                <w:szCs w:val="20"/>
                <w:shd w:val="solid" w:color="000000" w:fill="000000"/>
                <w:fitText w:val="150" w:id="-1435807472"/>
                <w14:textFill>
                  <w14:solidFill>
                    <w14:srgbClr w14:val="000000">
                      <w14:alpha w14:val="100000"/>
                    </w14:srgbClr>
                  </w14:solidFill>
                </w14:textFill>
              </w:rPr>
              <w:t xml:space="preserve">　|</w:t>
            </w:r>
            <w:r w:rsidRPr="001F03AF">
              <w:rPr>
                <w:rFonts w:ascii="Arial Narrow" w:hAnsi="Arial Narrow" w:cs="Calibri"/>
                <w:b/>
                <w:bCs/>
                <w:iCs/>
                <w:color w:val="000000"/>
                <w:spacing w:val="3"/>
                <w:w w:val="33"/>
                <w:sz w:val="20"/>
                <w:szCs w:val="20"/>
                <w:shd w:val="solid" w:color="000000" w:fill="000000"/>
                <w:fitText w:val="150" w:id="-1435807472"/>
                <w14:textFill>
                  <w14:solidFill>
                    <w14:srgbClr w14:val="000000">
                      <w14:alpha w14:val="100000"/>
                    </w14:srgbClr>
                  </w14:solidFill>
                </w14:textFill>
              </w:rPr>
              <w:t xml:space="preserve">　</w:t>
            </w:r>
            <w:r w:rsidR="00302193">
              <w:rPr>
                <w:rFonts w:ascii="Arial Narrow" w:hAnsi="Arial Narrow"/>
                <w:sz w:val="20"/>
                <w:szCs w:val="20"/>
                <w:vertAlign w:val="superscript"/>
              </w:rPr>
              <w:t>3</w:t>
            </w:r>
          </w:p>
        </w:tc>
        <w:tc>
          <w:tcPr>
            <w:tcW w:w="579" w:type="pct"/>
            <w:tcBorders>
              <w:bottom w:val="double" w:sz="4" w:space="0" w:color="auto"/>
            </w:tcBorders>
            <w:vAlign w:val="center"/>
          </w:tcPr>
          <w:p w14:paraId="75DE817B" w14:textId="7D1CF500" w:rsidR="00665280" w:rsidRPr="0069252F" w:rsidRDefault="001F03AF" w:rsidP="00BE067C">
            <w:pPr>
              <w:keepNext/>
              <w:keepLines/>
              <w:ind w:left="-81" w:right="-81"/>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0"/>
                <w:sz w:val="20"/>
                <w:szCs w:val="20"/>
                <w:shd w:val="solid" w:color="000000" w:fill="000000"/>
                <w:fitText w:val="162" w:id="-1435807488"/>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2" w:id="-1435807488"/>
                <w14:textFill>
                  <w14:solidFill>
                    <w14:srgbClr w14:val="000000">
                      <w14:alpha w14:val="100000"/>
                    </w14:srgbClr>
                  </w14:solidFill>
                </w14:textFill>
              </w:rPr>
              <w:t>|</w:t>
            </w:r>
            <w:r w:rsidR="00B23ADD">
              <w:rPr>
                <w:rFonts w:ascii="Arial Narrow" w:hAnsi="Arial Narrow"/>
                <w:sz w:val="20"/>
                <w:szCs w:val="20"/>
                <w:vertAlign w:val="superscript"/>
              </w:rPr>
              <w:t>4</w:t>
            </w:r>
          </w:p>
        </w:tc>
        <w:tc>
          <w:tcPr>
            <w:tcW w:w="579" w:type="pct"/>
            <w:tcBorders>
              <w:bottom w:val="double" w:sz="4" w:space="0" w:color="auto"/>
            </w:tcBorders>
            <w:vAlign w:val="center"/>
          </w:tcPr>
          <w:p w14:paraId="741A50FA" w14:textId="2B4ACE73" w:rsidR="00665280" w:rsidRPr="0069252F" w:rsidRDefault="001F03AF" w:rsidP="00BE067C">
            <w:pPr>
              <w:keepNext/>
              <w:keepLines/>
              <w:ind w:left="-81" w:right="-81"/>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0"/>
                <w:sz w:val="20"/>
                <w:szCs w:val="20"/>
                <w:shd w:val="solid" w:color="000000" w:fill="000000"/>
                <w:fitText w:val="162" w:id="-1435807487"/>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2" w:id="-1435807487"/>
                <w14:textFill>
                  <w14:solidFill>
                    <w14:srgbClr w14:val="000000">
                      <w14:alpha w14:val="100000"/>
                    </w14:srgbClr>
                  </w14:solidFill>
                </w14:textFill>
              </w:rPr>
              <w:t>|</w:t>
            </w:r>
            <w:r w:rsidR="00B23ADD">
              <w:rPr>
                <w:rFonts w:ascii="Arial Narrow" w:hAnsi="Arial Narrow"/>
                <w:sz w:val="20"/>
                <w:szCs w:val="20"/>
                <w:vertAlign w:val="superscript"/>
              </w:rPr>
              <w:t>4</w:t>
            </w:r>
          </w:p>
        </w:tc>
        <w:tc>
          <w:tcPr>
            <w:tcW w:w="579" w:type="pct"/>
            <w:tcBorders>
              <w:bottom w:val="double" w:sz="4" w:space="0" w:color="auto"/>
            </w:tcBorders>
            <w:vAlign w:val="center"/>
          </w:tcPr>
          <w:p w14:paraId="30A18C6B" w14:textId="1DF2A85E" w:rsidR="00665280" w:rsidRPr="0069252F" w:rsidRDefault="001F03AF" w:rsidP="00BE067C">
            <w:pPr>
              <w:keepNext/>
              <w:keepLines/>
              <w:ind w:left="-81" w:right="-81"/>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86"/>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86"/>
                <w14:textFill>
                  <w14:solidFill>
                    <w14:srgbClr w14:val="000000">
                      <w14:alpha w14:val="100000"/>
                    </w14:srgbClr>
                  </w14:solidFill>
                </w14:textFill>
              </w:rPr>
              <w:t>|</w:t>
            </w:r>
            <w:r w:rsidR="00B23ADD">
              <w:rPr>
                <w:rFonts w:ascii="Arial Narrow" w:hAnsi="Arial Narrow"/>
                <w:sz w:val="20"/>
                <w:szCs w:val="20"/>
                <w:vertAlign w:val="superscript"/>
              </w:rPr>
              <w:t>4</w:t>
            </w:r>
          </w:p>
        </w:tc>
        <w:tc>
          <w:tcPr>
            <w:tcW w:w="580" w:type="pct"/>
            <w:tcBorders>
              <w:bottom w:val="double" w:sz="4" w:space="0" w:color="auto"/>
            </w:tcBorders>
            <w:vAlign w:val="center"/>
          </w:tcPr>
          <w:p w14:paraId="4094B99E" w14:textId="041716FA" w:rsidR="00665280" w:rsidRPr="0069252F" w:rsidRDefault="001F03AF" w:rsidP="00BE067C">
            <w:pPr>
              <w:keepNext/>
              <w:keepLines/>
              <w:ind w:left="-81" w:right="-81"/>
              <w:jc w:val="center"/>
              <w:rPr>
                <w:rFonts w:ascii="Arial Narrow" w:hAnsi="Arial Narrow" w:cs="Calibri"/>
                <w:b/>
                <w:bCs/>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85"/>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85"/>
                <w14:textFill>
                  <w14:solidFill>
                    <w14:srgbClr w14:val="000000">
                      <w14:alpha w14:val="100000"/>
                    </w14:srgbClr>
                  </w14:solidFill>
                </w14:textFill>
              </w:rPr>
              <w:t>|</w:t>
            </w:r>
            <w:r w:rsidR="00B23ADD">
              <w:rPr>
                <w:rFonts w:ascii="Arial Narrow" w:hAnsi="Arial Narrow"/>
                <w:sz w:val="20"/>
                <w:szCs w:val="20"/>
                <w:vertAlign w:val="superscript"/>
              </w:rPr>
              <w:t>4</w:t>
            </w:r>
          </w:p>
        </w:tc>
      </w:tr>
      <w:tr w:rsidR="00045417" w:rsidRPr="003A7F84" w14:paraId="30319D1B" w14:textId="77777777" w:rsidTr="00045417">
        <w:tblPrEx>
          <w:jc w:val="left"/>
        </w:tblPrEx>
        <w:tc>
          <w:tcPr>
            <w:tcW w:w="1525" w:type="pct"/>
            <w:tcBorders>
              <w:top w:val="double" w:sz="4" w:space="0" w:color="auto"/>
              <w:bottom w:val="single" w:sz="4" w:space="0" w:color="auto"/>
            </w:tcBorders>
          </w:tcPr>
          <w:p w14:paraId="68808734" w14:textId="77777777" w:rsidR="00665280" w:rsidRPr="003A7F84" w:rsidRDefault="00665280" w:rsidP="00BE067C">
            <w:pPr>
              <w:keepNext/>
              <w:keepLines/>
              <w:jc w:val="left"/>
              <w:rPr>
                <w:rFonts w:ascii="Arial Narrow" w:hAnsi="Arial Narrow"/>
                <w:sz w:val="20"/>
                <w:szCs w:val="20"/>
              </w:rPr>
            </w:pPr>
            <w:r w:rsidRPr="003A7F84">
              <w:rPr>
                <w:rFonts w:ascii="Arial Narrow" w:hAnsi="Arial Narrow"/>
                <w:b/>
                <w:bCs/>
                <w:sz w:val="20"/>
                <w:szCs w:val="20"/>
              </w:rPr>
              <w:t>Total patients treated</w:t>
            </w:r>
          </w:p>
        </w:tc>
        <w:tc>
          <w:tcPr>
            <w:tcW w:w="576" w:type="pct"/>
            <w:tcBorders>
              <w:top w:val="double" w:sz="4" w:space="0" w:color="auto"/>
              <w:bottom w:val="single" w:sz="4" w:space="0" w:color="auto"/>
            </w:tcBorders>
            <w:vAlign w:val="center"/>
          </w:tcPr>
          <w:p w14:paraId="25CFD75E" w14:textId="5D94BEAB"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84"/>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84"/>
                <w14:textFill>
                  <w14:solidFill>
                    <w14:srgbClr w14:val="000000">
                      <w14:alpha w14:val="100000"/>
                    </w14:srgbClr>
                  </w14:solidFill>
                </w14:textFill>
              </w:rPr>
              <w:t>|</w:t>
            </w:r>
            <w:r w:rsidR="00302193">
              <w:rPr>
                <w:rFonts w:ascii="Arial Narrow" w:hAnsi="Arial Narrow"/>
                <w:sz w:val="20"/>
                <w:szCs w:val="20"/>
                <w:vertAlign w:val="superscript"/>
              </w:rPr>
              <w:t>3</w:t>
            </w:r>
          </w:p>
        </w:tc>
        <w:tc>
          <w:tcPr>
            <w:tcW w:w="582" w:type="pct"/>
            <w:tcBorders>
              <w:top w:val="double" w:sz="4" w:space="0" w:color="auto"/>
              <w:bottom w:val="single" w:sz="4" w:space="0" w:color="auto"/>
            </w:tcBorders>
            <w:vAlign w:val="center"/>
          </w:tcPr>
          <w:p w14:paraId="31860631" w14:textId="66FDB9E9"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b/>
                <w:bCs/>
                <w:iCs/>
                <w:color w:val="000000"/>
                <w:w w:val="33"/>
                <w:sz w:val="20"/>
                <w:szCs w:val="20"/>
                <w:shd w:val="solid" w:color="000000" w:fill="000000"/>
                <w:fitText w:val="150" w:id="-1435807483"/>
                <w14:textFill>
                  <w14:solidFill>
                    <w14:srgbClr w14:val="000000">
                      <w14:alpha w14:val="100000"/>
                    </w14:srgbClr>
                  </w14:solidFill>
                </w14:textFill>
              </w:rPr>
              <w:t xml:space="preserve">　|</w:t>
            </w:r>
            <w:r w:rsidRPr="001F03AF">
              <w:rPr>
                <w:rFonts w:ascii="Arial Narrow" w:hAnsi="Arial Narrow" w:cs="Calibri"/>
                <w:b/>
                <w:bCs/>
                <w:iCs/>
                <w:color w:val="000000"/>
                <w:spacing w:val="3"/>
                <w:w w:val="33"/>
                <w:sz w:val="20"/>
                <w:szCs w:val="20"/>
                <w:shd w:val="solid" w:color="000000" w:fill="000000"/>
                <w:fitText w:val="150" w:id="-1435807483"/>
                <w14:textFill>
                  <w14:solidFill>
                    <w14:srgbClr w14:val="000000">
                      <w14:alpha w14:val="100000"/>
                    </w14:srgbClr>
                  </w14:solidFill>
                </w14:textFill>
              </w:rPr>
              <w:t xml:space="preserve">　</w:t>
            </w:r>
            <w:r w:rsidR="00B23ADD">
              <w:rPr>
                <w:rFonts w:ascii="Arial Narrow" w:hAnsi="Arial Narrow"/>
                <w:sz w:val="20"/>
                <w:szCs w:val="20"/>
                <w:vertAlign w:val="superscript"/>
              </w:rPr>
              <w:t>4</w:t>
            </w:r>
          </w:p>
        </w:tc>
        <w:tc>
          <w:tcPr>
            <w:tcW w:w="579" w:type="pct"/>
            <w:tcBorders>
              <w:top w:val="double" w:sz="4" w:space="0" w:color="auto"/>
              <w:bottom w:val="single" w:sz="4" w:space="0" w:color="auto"/>
            </w:tcBorders>
            <w:vAlign w:val="center"/>
          </w:tcPr>
          <w:p w14:paraId="7DA865DB" w14:textId="6607B0FC"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b/>
                <w:bCs/>
                <w:iCs/>
                <w:color w:val="000000"/>
                <w:spacing w:val="70"/>
                <w:sz w:val="20"/>
                <w:szCs w:val="20"/>
                <w:shd w:val="solid" w:color="000000" w:fill="000000"/>
                <w:fitText w:val="162" w:id="-1435807482"/>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2" w:id="-1435807482"/>
                <w14:textFill>
                  <w14:solidFill>
                    <w14:srgbClr w14:val="000000">
                      <w14:alpha w14:val="100000"/>
                    </w14:srgbClr>
                  </w14:solidFill>
                </w14:textFill>
              </w:rPr>
              <w:t>|</w:t>
            </w:r>
            <w:r w:rsidR="00B23ADD">
              <w:rPr>
                <w:rFonts w:ascii="Arial Narrow" w:hAnsi="Arial Narrow"/>
                <w:sz w:val="20"/>
                <w:szCs w:val="20"/>
                <w:vertAlign w:val="superscript"/>
              </w:rPr>
              <w:t>4</w:t>
            </w:r>
          </w:p>
        </w:tc>
        <w:tc>
          <w:tcPr>
            <w:tcW w:w="579" w:type="pct"/>
            <w:tcBorders>
              <w:top w:val="double" w:sz="4" w:space="0" w:color="auto"/>
              <w:bottom w:val="single" w:sz="4" w:space="0" w:color="auto"/>
            </w:tcBorders>
            <w:vAlign w:val="center"/>
          </w:tcPr>
          <w:p w14:paraId="40587D84" w14:textId="6B2BAFDD"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b/>
                <w:bCs/>
                <w:iCs/>
                <w:color w:val="000000"/>
                <w:spacing w:val="70"/>
                <w:sz w:val="20"/>
                <w:szCs w:val="20"/>
                <w:shd w:val="solid" w:color="000000" w:fill="000000"/>
                <w:fitText w:val="162" w:id="-1435807481"/>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2" w:id="-1435807481"/>
                <w14:textFill>
                  <w14:solidFill>
                    <w14:srgbClr w14:val="000000">
                      <w14:alpha w14:val="100000"/>
                    </w14:srgbClr>
                  </w14:solidFill>
                </w14:textFill>
              </w:rPr>
              <w:t>|</w:t>
            </w:r>
            <w:r w:rsidR="00B23ADD">
              <w:rPr>
                <w:rFonts w:ascii="Arial Narrow" w:hAnsi="Arial Narrow"/>
                <w:sz w:val="20"/>
                <w:szCs w:val="20"/>
                <w:vertAlign w:val="superscript"/>
              </w:rPr>
              <w:t>4</w:t>
            </w:r>
          </w:p>
        </w:tc>
        <w:tc>
          <w:tcPr>
            <w:tcW w:w="579" w:type="pct"/>
            <w:tcBorders>
              <w:top w:val="double" w:sz="4" w:space="0" w:color="auto"/>
              <w:bottom w:val="single" w:sz="4" w:space="0" w:color="auto"/>
            </w:tcBorders>
            <w:vAlign w:val="center"/>
          </w:tcPr>
          <w:p w14:paraId="1DD40DA4" w14:textId="01AAD78C"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80"/>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80"/>
                <w14:textFill>
                  <w14:solidFill>
                    <w14:srgbClr w14:val="000000">
                      <w14:alpha w14:val="100000"/>
                    </w14:srgbClr>
                  </w14:solidFill>
                </w14:textFill>
              </w:rPr>
              <w:t>|</w:t>
            </w:r>
            <w:r w:rsidR="00B23ADD">
              <w:rPr>
                <w:rFonts w:ascii="Arial Narrow" w:hAnsi="Arial Narrow"/>
                <w:sz w:val="20"/>
                <w:szCs w:val="20"/>
                <w:vertAlign w:val="superscript"/>
              </w:rPr>
              <w:t>4</w:t>
            </w:r>
          </w:p>
        </w:tc>
        <w:tc>
          <w:tcPr>
            <w:tcW w:w="580" w:type="pct"/>
            <w:tcBorders>
              <w:top w:val="double" w:sz="4" w:space="0" w:color="auto"/>
              <w:bottom w:val="single" w:sz="4" w:space="0" w:color="auto"/>
            </w:tcBorders>
            <w:vAlign w:val="center"/>
          </w:tcPr>
          <w:p w14:paraId="6B1C1A80" w14:textId="0E0C0ABB" w:rsidR="00665280" w:rsidRPr="0069252F" w:rsidRDefault="001F03AF" w:rsidP="00BE067C">
            <w:pPr>
              <w:keepNext/>
              <w:keepLines/>
              <w:ind w:left="-81" w:right="-81"/>
              <w:jc w:val="center"/>
              <w:rPr>
                <w:rFonts w:ascii="Arial Narrow" w:hAnsi="Arial Narrow" w:cs="Calibri"/>
                <w:iCs/>
                <w:color w:val="000000"/>
                <w:sz w:val="20"/>
                <w:szCs w:val="20"/>
                <w:highlight w:val="darkGray"/>
              </w:rPr>
            </w:pPr>
            <w:r w:rsidRPr="001F03AF">
              <w:rPr>
                <w:rFonts w:ascii="Arial Narrow" w:hAnsi="Arial Narrow" w:cs="Calibri"/>
                <w:b/>
                <w:bCs/>
                <w:iCs/>
                <w:color w:val="000000"/>
                <w:spacing w:val="71"/>
                <w:sz w:val="20"/>
                <w:szCs w:val="20"/>
                <w:shd w:val="solid" w:color="000000" w:fill="000000"/>
                <w:fitText w:val="163" w:id="-1435807479"/>
                <w14:textFill>
                  <w14:solidFill>
                    <w14:srgbClr w14:val="000000">
                      <w14:alpha w14:val="100000"/>
                    </w14:srgbClr>
                  </w14:solidFill>
                </w14:textFill>
              </w:rPr>
              <w:t>|</w:t>
            </w:r>
            <w:r w:rsidRPr="001F03AF">
              <w:rPr>
                <w:rFonts w:ascii="Arial Narrow" w:hAnsi="Arial Narrow" w:cs="Calibri"/>
                <w:b/>
                <w:bCs/>
                <w:iCs/>
                <w:color w:val="000000"/>
                <w:spacing w:val="1"/>
                <w:sz w:val="20"/>
                <w:szCs w:val="20"/>
                <w:shd w:val="solid" w:color="000000" w:fill="000000"/>
                <w:fitText w:val="163" w:id="-1435807479"/>
                <w14:textFill>
                  <w14:solidFill>
                    <w14:srgbClr w14:val="000000">
                      <w14:alpha w14:val="100000"/>
                    </w14:srgbClr>
                  </w14:solidFill>
                </w14:textFill>
              </w:rPr>
              <w:t>|</w:t>
            </w:r>
            <w:r w:rsidR="00B23ADD">
              <w:rPr>
                <w:rFonts w:ascii="Arial Narrow" w:hAnsi="Arial Narrow"/>
                <w:sz w:val="20"/>
                <w:szCs w:val="20"/>
                <w:vertAlign w:val="superscript"/>
              </w:rPr>
              <w:t>4</w:t>
            </w:r>
          </w:p>
        </w:tc>
      </w:tr>
      <w:tr w:rsidR="00045417" w:rsidRPr="003A7F84" w14:paraId="11DDD212" w14:textId="77777777" w:rsidTr="00045417">
        <w:tblPrEx>
          <w:jc w:val="left"/>
        </w:tblPrEx>
        <w:tc>
          <w:tcPr>
            <w:tcW w:w="1525" w:type="pct"/>
            <w:tcBorders>
              <w:top w:val="single" w:sz="4" w:space="0" w:color="auto"/>
              <w:bottom w:val="double" w:sz="4" w:space="0" w:color="auto"/>
            </w:tcBorders>
          </w:tcPr>
          <w:p w14:paraId="7A64F157" w14:textId="77777777" w:rsidR="00665280" w:rsidRPr="003A7F84" w:rsidRDefault="00665280" w:rsidP="00BE067C">
            <w:pPr>
              <w:keepNext/>
              <w:keepLines/>
              <w:jc w:val="left"/>
              <w:rPr>
                <w:rFonts w:ascii="Arial Narrow" w:hAnsi="Arial Narrow"/>
                <w:sz w:val="20"/>
                <w:szCs w:val="20"/>
              </w:rPr>
            </w:pPr>
            <w:r w:rsidRPr="003A7F84">
              <w:rPr>
                <w:rFonts w:ascii="Arial Narrow" w:hAnsi="Arial Narrow"/>
                <w:sz w:val="20"/>
                <w:szCs w:val="20"/>
              </w:rPr>
              <w:t>Total patients treated (submission)</w:t>
            </w:r>
          </w:p>
        </w:tc>
        <w:tc>
          <w:tcPr>
            <w:tcW w:w="576" w:type="pct"/>
            <w:tcBorders>
              <w:top w:val="single" w:sz="4" w:space="0" w:color="auto"/>
              <w:bottom w:val="double" w:sz="4" w:space="0" w:color="auto"/>
            </w:tcBorders>
            <w:vAlign w:val="center"/>
          </w:tcPr>
          <w:p w14:paraId="0D8BA353" w14:textId="717C9E9D" w:rsidR="00665280" w:rsidRPr="0069252F"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478"/>
                <w14:textFill>
                  <w14:solidFill>
                    <w14:srgbClr w14:val="000000">
                      <w14:alpha w14:val="100000"/>
                    </w14:srgbClr>
                  </w14:solidFill>
                </w14:textFill>
              </w:rPr>
              <w:t xml:space="preserve">　</w:t>
            </w:r>
            <w:r w:rsidRPr="001F03AF">
              <w:rPr>
                <w:color w:val="000000"/>
                <w:w w:val="28"/>
                <w:szCs w:val="20"/>
                <w:shd w:val="solid" w:color="000000" w:fill="000000"/>
                <w:fitText w:val="125" w:id="-1435807478"/>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478"/>
                <w14:textFill>
                  <w14:solidFill>
                    <w14:srgbClr w14:val="000000">
                      <w14:alpha w14:val="100000"/>
                    </w14:srgbClr>
                  </w14:solidFill>
                </w14:textFill>
              </w:rPr>
              <w:t xml:space="preserve">　</w:t>
            </w:r>
            <w:r w:rsidR="00302193">
              <w:rPr>
                <w:szCs w:val="20"/>
                <w:vertAlign w:val="superscript"/>
              </w:rPr>
              <w:t>3</w:t>
            </w:r>
            <w:r w:rsidRPr="001F03AF">
              <w:rPr>
                <w:szCs w:val="20"/>
              </w:rPr>
              <w:t xml:space="preserve"> </w:t>
            </w:r>
          </w:p>
        </w:tc>
        <w:tc>
          <w:tcPr>
            <w:tcW w:w="582" w:type="pct"/>
            <w:tcBorders>
              <w:top w:val="single" w:sz="4" w:space="0" w:color="auto"/>
              <w:bottom w:val="double" w:sz="4" w:space="0" w:color="auto"/>
            </w:tcBorders>
            <w:vAlign w:val="center"/>
          </w:tcPr>
          <w:p w14:paraId="41055F6C" w14:textId="415ABAEA" w:rsidR="00665280" w:rsidRPr="0069252F" w:rsidRDefault="001F03AF" w:rsidP="00BE067C">
            <w:pPr>
              <w:pStyle w:val="TableText"/>
              <w:keepLines/>
              <w:ind w:left="-70" w:right="-66"/>
              <w:jc w:val="center"/>
              <w:rPr>
                <w:szCs w:val="20"/>
                <w:highlight w:val="darkGray"/>
              </w:rPr>
            </w:pPr>
            <w:r w:rsidRPr="001F03AF">
              <w:rPr>
                <w:rFonts w:hint="eastAsia"/>
                <w:color w:val="000000"/>
                <w:w w:val="25"/>
                <w:szCs w:val="20"/>
                <w:shd w:val="solid" w:color="000000" w:fill="000000"/>
                <w:fitText w:val="112" w:id="-1435807232"/>
                <w14:textFill>
                  <w14:solidFill>
                    <w14:srgbClr w14:val="000000">
                      <w14:alpha w14:val="100000"/>
                    </w14:srgbClr>
                  </w14:solidFill>
                </w14:textFill>
              </w:rPr>
              <w:t xml:space="preserve">　</w:t>
            </w:r>
            <w:r w:rsidRPr="001F03AF">
              <w:rPr>
                <w:color w:val="000000"/>
                <w:w w:val="25"/>
                <w:szCs w:val="20"/>
                <w:shd w:val="solid" w:color="000000" w:fill="000000"/>
                <w:fitText w:val="112" w:id="-1435807232"/>
                <w14:textFill>
                  <w14:solidFill>
                    <w14:srgbClr w14:val="000000">
                      <w14:alpha w14:val="100000"/>
                    </w14:srgbClr>
                  </w14:solidFill>
                </w14:textFill>
              </w:rPr>
              <w:t>|</w:t>
            </w:r>
            <w:r w:rsidRPr="001F03AF">
              <w:rPr>
                <w:rFonts w:hint="eastAsia"/>
                <w:color w:val="000000"/>
                <w:spacing w:val="1"/>
                <w:w w:val="25"/>
                <w:szCs w:val="20"/>
                <w:shd w:val="solid" w:color="000000" w:fill="000000"/>
                <w:fitText w:val="112" w:id="-1435807232"/>
                <w14:textFill>
                  <w14:solidFill>
                    <w14:srgbClr w14:val="000000">
                      <w14:alpha w14:val="100000"/>
                    </w14:srgbClr>
                  </w14:solidFill>
                </w14:textFill>
              </w:rPr>
              <w:t xml:space="preserve">　</w:t>
            </w:r>
            <w:r w:rsidR="00B23ADD">
              <w:rPr>
                <w:szCs w:val="20"/>
                <w:vertAlign w:val="superscript"/>
              </w:rPr>
              <w:t>5</w:t>
            </w:r>
            <w:r w:rsidRPr="001F03AF">
              <w:rPr>
                <w:szCs w:val="20"/>
              </w:rPr>
              <w:t xml:space="preserve"> </w:t>
            </w:r>
          </w:p>
        </w:tc>
        <w:tc>
          <w:tcPr>
            <w:tcW w:w="579" w:type="pct"/>
            <w:tcBorders>
              <w:top w:val="single" w:sz="4" w:space="0" w:color="auto"/>
              <w:bottom w:val="double" w:sz="4" w:space="0" w:color="auto"/>
            </w:tcBorders>
            <w:vAlign w:val="center"/>
          </w:tcPr>
          <w:p w14:paraId="062A9BE3" w14:textId="201278D8" w:rsidR="00665280" w:rsidRPr="0069252F"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231"/>
                <w14:textFill>
                  <w14:solidFill>
                    <w14:srgbClr w14:val="000000">
                      <w14:alpha w14:val="100000"/>
                    </w14:srgbClr>
                  </w14:solidFill>
                </w14:textFill>
              </w:rPr>
              <w:t xml:space="preserve">　</w:t>
            </w:r>
            <w:r w:rsidRPr="001F03AF">
              <w:rPr>
                <w:color w:val="000000"/>
                <w:w w:val="28"/>
                <w:szCs w:val="20"/>
                <w:shd w:val="solid" w:color="000000" w:fill="000000"/>
                <w:fitText w:val="125" w:id="-1435807231"/>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231"/>
                <w14:textFill>
                  <w14:solidFill>
                    <w14:srgbClr w14:val="000000">
                      <w14:alpha w14:val="100000"/>
                    </w14:srgbClr>
                  </w14:solidFill>
                </w14:textFill>
              </w:rPr>
              <w:t xml:space="preserve">　</w:t>
            </w:r>
            <w:r w:rsidR="00B23ADD">
              <w:rPr>
                <w:szCs w:val="20"/>
                <w:vertAlign w:val="superscript"/>
              </w:rPr>
              <w:t>6</w:t>
            </w:r>
            <w:r w:rsidRPr="001F03AF">
              <w:rPr>
                <w:szCs w:val="20"/>
              </w:rPr>
              <w:t xml:space="preserve"> </w:t>
            </w:r>
          </w:p>
        </w:tc>
        <w:tc>
          <w:tcPr>
            <w:tcW w:w="579" w:type="pct"/>
            <w:tcBorders>
              <w:top w:val="single" w:sz="4" w:space="0" w:color="auto"/>
              <w:bottom w:val="double" w:sz="4" w:space="0" w:color="auto"/>
            </w:tcBorders>
            <w:vAlign w:val="center"/>
          </w:tcPr>
          <w:p w14:paraId="2BAB0B4A" w14:textId="06CF3E70" w:rsidR="00665280" w:rsidRPr="0069252F"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230"/>
                <w14:textFill>
                  <w14:solidFill>
                    <w14:srgbClr w14:val="000000">
                      <w14:alpha w14:val="100000"/>
                    </w14:srgbClr>
                  </w14:solidFill>
                </w14:textFill>
              </w:rPr>
              <w:t xml:space="preserve">　</w:t>
            </w:r>
            <w:r w:rsidRPr="001F03AF">
              <w:rPr>
                <w:color w:val="000000"/>
                <w:w w:val="28"/>
                <w:szCs w:val="20"/>
                <w:shd w:val="solid" w:color="000000" w:fill="000000"/>
                <w:fitText w:val="125" w:id="-1435807230"/>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230"/>
                <w14:textFill>
                  <w14:solidFill>
                    <w14:srgbClr w14:val="000000">
                      <w14:alpha w14:val="100000"/>
                    </w14:srgbClr>
                  </w14:solidFill>
                </w14:textFill>
              </w:rPr>
              <w:t xml:space="preserve">　</w:t>
            </w:r>
            <w:r w:rsidR="00B23ADD">
              <w:rPr>
                <w:szCs w:val="20"/>
                <w:vertAlign w:val="superscript"/>
              </w:rPr>
              <w:t>7</w:t>
            </w:r>
            <w:r w:rsidRPr="001F03AF">
              <w:rPr>
                <w:szCs w:val="20"/>
              </w:rPr>
              <w:t xml:space="preserve"> </w:t>
            </w:r>
          </w:p>
        </w:tc>
        <w:tc>
          <w:tcPr>
            <w:tcW w:w="579" w:type="pct"/>
            <w:tcBorders>
              <w:top w:val="single" w:sz="4" w:space="0" w:color="auto"/>
              <w:bottom w:val="double" w:sz="4" w:space="0" w:color="auto"/>
            </w:tcBorders>
            <w:vAlign w:val="center"/>
          </w:tcPr>
          <w:p w14:paraId="5BDCD5B8" w14:textId="25BE1422" w:rsidR="00665280" w:rsidRPr="0069252F"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229"/>
                <w14:textFill>
                  <w14:solidFill>
                    <w14:srgbClr w14:val="000000">
                      <w14:alpha w14:val="100000"/>
                    </w14:srgbClr>
                  </w14:solidFill>
                </w14:textFill>
              </w:rPr>
              <w:t xml:space="preserve">　</w:t>
            </w:r>
            <w:r w:rsidRPr="001F03AF">
              <w:rPr>
                <w:color w:val="000000"/>
                <w:w w:val="28"/>
                <w:szCs w:val="20"/>
                <w:shd w:val="solid" w:color="000000" w:fill="000000"/>
                <w:fitText w:val="125" w:id="-1435807229"/>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229"/>
                <w14:textFill>
                  <w14:solidFill>
                    <w14:srgbClr w14:val="000000">
                      <w14:alpha w14:val="100000"/>
                    </w14:srgbClr>
                  </w14:solidFill>
                </w14:textFill>
              </w:rPr>
              <w:t xml:space="preserve">　</w:t>
            </w:r>
            <w:r w:rsidR="00B23ADD">
              <w:rPr>
                <w:szCs w:val="20"/>
                <w:vertAlign w:val="superscript"/>
              </w:rPr>
              <w:t>8</w:t>
            </w:r>
            <w:r w:rsidRPr="001F03AF">
              <w:rPr>
                <w:szCs w:val="20"/>
              </w:rPr>
              <w:t xml:space="preserve"> </w:t>
            </w:r>
          </w:p>
        </w:tc>
        <w:tc>
          <w:tcPr>
            <w:tcW w:w="580" w:type="pct"/>
            <w:tcBorders>
              <w:top w:val="single" w:sz="4" w:space="0" w:color="auto"/>
              <w:bottom w:val="double" w:sz="4" w:space="0" w:color="auto"/>
            </w:tcBorders>
            <w:vAlign w:val="center"/>
          </w:tcPr>
          <w:p w14:paraId="41FFEAC1" w14:textId="07FF508E" w:rsidR="00665280" w:rsidRPr="0069252F" w:rsidRDefault="001F03AF" w:rsidP="00BE067C">
            <w:pPr>
              <w:pStyle w:val="TableText"/>
              <w:keepLines/>
              <w:ind w:left="-70" w:right="-66"/>
              <w:jc w:val="center"/>
              <w:rPr>
                <w:szCs w:val="20"/>
                <w:highlight w:val="darkGray"/>
              </w:rPr>
            </w:pPr>
            <w:r w:rsidRPr="001F03AF">
              <w:rPr>
                <w:rFonts w:hint="eastAsia"/>
                <w:color w:val="000000"/>
                <w:w w:val="28"/>
                <w:szCs w:val="20"/>
                <w:shd w:val="solid" w:color="000000" w:fill="000000"/>
                <w:fitText w:val="125" w:id="-1435807228"/>
                <w14:textFill>
                  <w14:solidFill>
                    <w14:srgbClr w14:val="000000">
                      <w14:alpha w14:val="100000"/>
                    </w14:srgbClr>
                  </w14:solidFill>
                </w14:textFill>
              </w:rPr>
              <w:t xml:space="preserve">　</w:t>
            </w:r>
            <w:r w:rsidRPr="001F03AF">
              <w:rPr>
                <w:color w:val="000000"/>
                <w:w w:val="28"/>
                <w:szCs w:val="20"/>
                <w:shd w:val="solid" w:color="000000" w:fill="000000"/>
                <w:fitText w:val="125" w:id="-1435807228"/>
                <w14:textFill>
                  <w14:solidFill>
                    <w14:srgbClr w14:val="000000">
                      <w14:alpha w14:val="100000"/>
                    </w14:srgbClr>
                  </w14:solidFill>
                </w14:textFill>
              </w:rPr>
              <w:t>|</w:t>
            </w:r>
            <w:r w:rsidRPr="001F03AF">
              <w:rPr>
                <w:rFonts w:hint="eastAsia"/>
                <w:color w:val="000000"/>
                <w:spacing w:val="3"/>
                <w:w w:val="28"/>
                <w:szCs w:val="20"/>
                <w:shd w:val="solid" w:color="000000" w:fill="000000"/>
                <w:fitText w:val="125" w:id="-1435807228"/>
                <w14:textFill>
                  <w14:solidFill>
                    <w14:srgbClr w14:val="000000">
                      <w14:alpha w14:val="100000"/>
                    </w14:srgbClr>
                  </w14:solidFill>
                </w14:textFill>
              </w:rPr>
              <w:t xml:space="preserve">　</w:t>
            </w:r>
            <w:r w:rsidR="00B23ADD">
              <w:rPr>
                <w:szCs w:val="20"/>
                <w:vertAlign w:val="superscript"/>
              </w:rPr>
              <w:t>9</w:t>
            </w:r>
            <w:r w:rsidRPr="001F03AF">
              <w:rPr>
                <w:szCs w:val="20"/>
              </w:rPr>
              <w:t xml:space="preserve"> </w:t>
            </w:r>
          </w:p>
        </w:tc>
      </w:tr>
      <w:tr w:rsidR="00665280" w:rsidRPr="003A7F84" w14:paraId="33C386B1" w14:textId="77777777" w:rsidTr="00045417">
        <w:trPr>
          <w:jc w:val="center"/>
        </w:trPr>
        <w:tc>
          <w:tcPr>
            <w:tcW w:w="5000" w:type="pct"/>
            <w:gridSpan w:val="7"/>
            <w:tcBorders>
              <w:top w:val="double" w:sz="4" w:space="0" w:color="auto"/>
            </w:tcBorders>
            <w:vAlign w:val="center"/>
          </w:tcPr>
          <w:p w14:paraId="05D0BBDB" w14:textId="77777777" w:rsidR="00665280" w:rsidRPr="003A7F84" w:rsidRDefault="00665280" w:rsidP="00BE067C">
            <w:pPr>
              <w:pStyle w:val="TableText"/>
              <w:keepLines/>
              <w:ind w:right="-66"/>
              <w:rPr>
                <w:b/>
                <w:bCs w:val="0"/>
                <w:szCs w:val="20"/>
              </w:rPr>
            </w:pPr>
            <w:r w:rsidRPr="003A7F84">
              <w:rPr>
                <w:b/>
                <w:bCs w:val="0"/>
                <w:szCs w:val="20"/>
              </w:rPr>
              <w:t>Estimated cost of midazolam oromucosal solution to the PBS/RPBS</w:t>
            </w:r>
          </w:p>
        </w:tc>
      </w:tr>
      <w:tr w:rsidR="00045417" w:rsidRPr="003A7F84" w14:paraId="17275F8F" w14:textId="77777777" w:rsidTr="00045417">
        <w:trPr>
          <w:jc w:val="center"/>
        </w:trPr>
        <w:tc>
          <w:tcPr>
            <w:tcW w:w="1525" w:type="pct"/>
            <w:vAlign w:val="bottom"/>
          </w:tcPr>
          <w:p w14:paraId="6F130EBD" w14:textId="77777777" w:rsidR="00665280" w:rsidRPr="003A7F84" w:rsidRDefault="00665280" w:rsidP="00BE067C">
            <w:pPr>
              <w:pStyle w:val="TableText"/>
              <w:keepLines/>
              <w:ind w:right="-87"/>
              <w:rPr>
                <w:bCs w:val="0"/>
                <w:iCs/>
                <w:szCs w:val="20"/>
              </w:rPr>
            </w:pPr>
            <w:r w:rsidRPr="003A7F84">
              <w:rPr>
                <w:rFonts w:cs="Calibri"/>
                <w:iCs/>
                <w:color w:val="000000"/>
                <w:szCs w:val="20"/>
              </w:rPr>
              <w:t>Number of scripts (1.00173/pt/year)</w:t>
            </w:r>
          </w:p>
        </w:tc>
        <w:tc>
          <w:tcPr>
            <w:tcW w:w="576" w:type="pct"/>
            <w:vAlign w:val="bottom"/>
          </w:tcPr>
          <w:p w14:paraId="49294BB7" w14:textId="14AC5AA1" w:rsidR="00665280" w:rsidRPr="0069252F" w:rsidRDefault="001F03AF" w:rsidP="00BE067C">
            <w:pPr>
              <w:pStyle w:val="TableText"/>
              <w:keepLines/>
              <w:ind w:left="-70" w:right="-66"/>
              <w:jc w:val="center"/>
              <w:rPr>
                <w:bCs w:val="0"/>
                <w:iCs/>
                <w:szCs w:val="20"/>
                <w:highlight w:val="darkGray"/>
              </w:rPr>
            </w:pPr>
            <w:r w:rsidRPr="001F03AF">
              <w:rPr>
                <w:rFonts w:cs="Calibri" w:hint="eastAsia"/>
                <w:iCs/>
                <w:color w:val="000000"/>
                <w:w w:val="28"/>
                <w:szCs w:val="20"/>
                <w:shd w:val="solid" w:color="000000" w:fill="000000"/>
                <w:fitText w:val="125" w:id="-1435807227"/>
                <w14:textFill>
                  <w14:solidFill>
                    <w14:srgbClr w14:val="000000">
                      <w14:alpha w14:val="100000"/>
                    </w14:srgbClr>
                  </w14:solidFill>
                </w14:textFill>
              </w:rPr>
              <w:t xml:space="preserve">　</w:t>
            </w:r>
            <w:r w:rsidRPr="001F03AF">
              <w:rPr>
                <w:rFonts w:cs="Calibri"/>
                <w:iCs/>
                <w:color w:val="000000"/>
                <w:w w:val="28"/>
                <w:szCs w:val="20"/>
                <w:shd w:val="solid" w:color="000000" w:fill="000000"/>
                <w:fitText w:val="125" w:id="-1435807227"/>
                <w14:textFill>
                  <w14:solidFill>
                    <w14:srgbClr w14:val="000000">
                      <w14:alpha w14:val="100000"/>
                    </w14:srgbClr>
                  </w14:solidFill>
                </w14:textFill>
              </w:rPr>
              <w:t>|</w:t>
            </w:r>
            <w:r w:rsidRPr="001F03AF">
              <w:rPr>
                <w:rFonts w:cs="Calibri" w:hint="eastAsia"/>
                <w:iCs/>
                <w:color w:val="000000"/>
                <w:spacing w:val="3"/>
                <w:w w:val="28"/>
                <w:szCs w:val="20"/>
                <w:shd w:val="solid" w:color="000000" w:fill="000000"/>
                <w:fitText w:val="125" w:id="-1435807227"/>
                <w14:textFill>
                  <w14:solidFill>
                    <w14:srgbClr w14:val="000000">
                      <w14:alpha w14:val="100000"/>
                    </w14:srgbClr>
                  </w14:solidFill>
                </w14:textFill>
              </w:rPr>
              <w:t xml:space="preserve">　</w:t>
            </w:r>
            <w:r w:rsidR="00A711D0">
              <w:rPr>
                <w:szCs w:val="20"/>
                <w:vertAlign w:val="superscript"/>
              </w:rPr>
              <w:t>3</w:t>
            </w:r>
          </w:p>
        </w:tc>
        <w:tc>
          <w:tcPr>
            <w:tcW w:w="582" w:type="pct"/>
            <w:vAlign w:val="bottom"/>
          </w:tcPr>
          <w:p w14:paraId="504A8A6A" w14:textId="2A4868B1" w:rsidR="00665280" w:rsidRPr="0069252F" w:rsidRDefault="001F03AF" w:rsidP="00BE067C">
            <w:pPr>
              <w:pStyle w:val="TableText"/>
              <w:keepLines/>
              <w:ind w:left="-70" w:right="-66"/>
              <w:jc w:val="center"/>
              <w:rPr>
                <w:bCs w:val="0"/>
                <w:iCs/>
                <w:szCs w:val="20"/>
                <w:highlight w:val="darkGray"/>
              </w:rPr>
            </w:pPr>
            <w:r w:rsidRPr="001F03AF">
              <w:rPr>
                <w:rFonts w:cs="Calibri" w:hint="eastAsia"/>
                <w:iCs/>
                <w:color w:val="000000"/>
                <w:w w:val="25"/>
                <w:szCs w:val="20"/>
                <w:shd w:val="solid" w:color="000000" w:fill="000000"/>
                <w:fitText w:val="112" w:id="-1435807226"/>
                <w14:textFill>
                  <w14:solidFill>
                    <w14:srgbClr w14:val="000000">
                      <w14:alpha w14:val="100000"/>
                    </w14:srgbClr>
                  </w14:solidFill>
                </w14:textFill>
              </w:rPr>
              <w:t xml:space="preserve">　</w:t>
            </w:r>
            <w:r w:rsidRPr="001F03AF">
              <w:rPr>
                <w:rFonts w:cs="Calibri"/>
                <w:iCs/>
                <w:color w:val="000000"/>
                <w:w w:val="25"/>
                <w:szCs w:val="20"/>
                <w:shd w:val="solid" w:color="000000" w:fill="000000"/>
                <w:fitText w:val="112" w:id="-1435807226"/>
                <w14:textFill>
                  <w14:solidFill>
                    <w14:srgbClr w14:val="000000">
                      <w14:alpha w14:val="100000"/>
                    </w14:srgbClr>
                  </w14:solidFill>
                </w14:textFill>
              </w:rPr>
              <w:t>|</w:t>
            </w:r>
            <w:r w:rsidRPr="001F03AF">
              <w:rPr>
                <w:rFonts w:cs="Calibri" w:hint="eastAsia"/>
                <w:iCs/>
                <w:color w:val="000000"/>
                <w:spacing w:val="1"/>
                <w:w w:val="25"/>
                <w:szCs w:val="20"/>
                <w:shd w:val="solid" w:color="000000" w:fill="000000"/>
                <w:fitText w:val="112" w:id="-1435807226"/>
                <w14:textFill>
                  <w14:solidFill>
                    <w14:srgbClr w14:val="000000">
                      <w14:alpha w14:val="100000"/>
                    </w14:srgbClr>
                  </w14:solidFill>
                </w14:textFill>
              </w:rPr>
              <w:t xml:space="preserve">　</w:t>
            </w:r>
            <w:r w:rsidR="00B23ADD">
              <w:rPr>
                <w:szCs w:val="20"/>
                <w:vertAlign w:val="superscript"/>
              </w:rPr>
              <w:t>4</w:t>
            </w:r>
          </w:p>
        </w:tc>
        <w:tc>
          <w:tcPr>
            <w:tcW w:w="579" w:type="pct"/>
            <w:vAlign w:val="bottom"/>
          </w:tcPr>
          <w:p w14:paraId="56ACE3AA" w14:textId="334C46F1" w:rsidR="00665280" w:rsidRPr="0069252F" w:rsidRDefault="001F03AF" w:rsidP="00BE067C">
            <w:pPr>
              <w:pStyle w:val="TableText"/>
              <w:keepLines/>
              <w:ind w:left="-70" w:right="-66"/>
              <w:jc w:val="center"/>
              <w:rPr>
                <w:bCs w:val="0"/>
                <w:iCs/>
                <w:szCs w:val="20"/>
                <w:highlight w:val="darkGray"/>
              </w:rPr>
            </w:pPr>
            <w:r w:rsidRPr="001F03AF">
              <w:rPr>
                <w:rFonts w:cs="Calibri" w:hint="eastAsia"/>
                <w:iCs/>
                <w:color w:val="000000"/>
                <w:w w:val="28"/>
                <w:szCs w:val="20"/>
                <w:shd w:val="solid" w:color="000000" w:fill="000000"/>
                <w:fitText w:val="125" w:id="-1435807225"/>
                <w14:textFill>
                  <w14:solidFill>
                    <w14:srgbClr w14:val="000000">
                      <w14:alpha w14:val="100000"/>
                    </w14:srgbClr>
                  </w14:solidFill>
                </w14:textFill>
              </w:rPr>
              <w:t xml:space="preserve">　</w:t>
            </w:r>
            <w:r w:rsidRPr="001F03AF">
              <w:rPr>
                <w:rFonts w:cs="Calibri"/>
                <w:iCs/>
                <w:color w:val="000000"/>
                <w:w w:val="28"/>
                <w:szCs w:val="20"/>
                <w:shd w:val="solid" w:color="000000" w:fill="000000"/>
                <w:fitText w:val="125" w:id="-1435807225"/>
                <w14:textFill>
                  <w14:solidFill>
                    <w14:srgbClr w14:val="000000">
                      <w14:alpha w14:val="100000"/>
                    </w14:srgbClr>
                  </w14:solidFill>
                </w14:textFill>
              </w:rPr>
              <w:t>|</w:t>
            </w:r>
            <w:r w:rsidRPr="001F03AF">
              <w:rPr>
                <w:rFonts w:cs="Calibri" w:hint="eastAsia"/>
                <w:iCs/>
                <w:color w:val="000000"/>
                <w:spacing w:val="3"/>
                <w:w w:val="28"/>
                <w:szCs w:val="20"/>
                <w:shd w:val="solid" w:color="000000" w:fill="000000"/>
                <w:fitText w:val="125" w:id="-1435807225"/>
                <w14:textFill>
                  <w14:solidFill>
                    <w14:srgbClr w14:val="000000">
                      <w14:alpha w14:val="100000"/>
                    </w14:srgbClr>
                  </w14:solidFill>
                </w14:textFill>
              </w:rPr>
              <w:t xml:space="preserve">　</w:t>
            </w:r>
            <w:r w:rsidR="00B23ADD">
              <w:rPr>
                <w:szCs w:val="20"/>
                <w:vertAlign w:val="superscript"/>
              </w:rPr>
              <w:t>4</w:t>
            </w:r>
          </w:p>
        </w:tc>
        <w:tc>
          <w:tcPr>
            <w:tcW w:w="579" w:type="pct"/>
            <w:vAlign w:val="bottom"/>
          </w:tcPr>
          <w:p w14:paraId="41A6E4D2" w14:textId="41425C54" w:rsidR="00665280" w:rsidRPr="0069252F" w:rsidRDefault="001F03AF" w:rsidP="00BE067C">
            <w:pPr>
              <w:pStyle w:val="TableText"/>
              <w:keepLines/>
              <w:ind w:left="-70" w:right="-66"/>
              <w:jc w:val="center"/>
              <w:rPr>
                <w:bCs w:val="0"/>
                <w:iCs/>
                <w:szCs w:val="20"/>
                <w:highlight w:val="darkGray"/>
              </w:rPr>
            </w:pPr>
            <w:r w:rsidRPr="001F03AF">
              <w:rPr>
                <w:rFonts w:cs="Calibri" w:hint="eastAsia"/>
                <w:iCs/>
                <w:color w:val="000000"/>
                <w:w w:val="28"/>
                <w:szCs w:val="20"/>
                <w:shd w:val="solid" w:color="000000" w:fill="000000"/>
                <w:fitText w:val="125" w:id="-1435807224"/>
                <w14:textFill>
                  <w14:solidFill>
                    <w14:srgbClr w14:val="000000">
                      <w14:alpha w14:val="100000"/>
                    </w14:srgbClr>
                  </w14:solidFill>
                </w14:textFill>
              </w:rPr>
              <w:t xml:space="preserve">　</w:t>
            </w:r>
            <w:r w:rsidRPr="001F03AF">
              <w:rPr>
                <w:rFonts w:cs="Calibri"/>
                <w:iCs/>
                <w:color w:val="000000"/>
                <w:w w:val="28"/>
                <w:szCs w:val="20"/>
                <w:shd w:val="solid" w:color="000000" w:fill="000000"/>
                <w:fitText w:val="125" w:id="-1435807224"/>
                <w14:textFill>
                  <w14:solidFill>
                    <w14:srgbClr w14:val="000000">
                      <w14:alpha w14:val="100000"/>
                    </w14:srgbClr>
                  </w14:solidFill>
                </w14:textFill>
              </w:rPr>
              <w:t>|</w:t>
            </w:r>
            <w:r w:rsidRPr="001F03AF">
              <w:rPr>
                <w:rFonts w:cs="Calibri" w:hint="eastAsia"/>
                <w:iCs/>
                <w:color w:val="000000"/>
                <w:spacing w:val="3"/>
                <w:w w:val="28"/>
                <w:szCs w:val="20"/>
                <w:shd w:val="solid" w:color="000000" w:fill="000000"/>
                <w:fitText w:val="125" w:id="-1435807224"/>
                <w14:textFill>
                  <w14:solidFill>
                    <w14:srgbClr w14:val="000000">
                      <w14:alpha w14:val="100000"/>
                    </w14:srgbClr>
                  </w14:solidFill>
                </w14:textFill>
              </w:rPr>
              <w:t xml:space="preserve">　</w:t>
            </w:r>
            <w:r w:rsidR="00B23ADD">
              <w:rPr>
                <w:szCs w:val="20"/>
                <w:vertAlign w:val="superscript"/>
              </w:rPr>
              <w:t>4</w:t>
            </w:r>
          </w:p>
        </w:tc>
        <w:tc>
          <w:tcPr>
            <w:tcW w:w="579" w:type="pct"/>
            <w:vAlign w:val="bottom"/>
          </w:tcPr>
          <w:p w14:paraId="3AA533FE" w14:textId="21E1698F" w:rsidR="00665280" w:rsidRPr="0069252F" w:rsidRDefault="001F03AF" w:rsidP="00BE067C">
            <w:pPr>
              <w:pStyle w:val="TableText"/>
              <w:keepLines/>
              <w:ind w:left="-70" w:right="-66"/>
              <w:jc w:val="center"/>
              <w:rPr>
                <w:bCs w:val="0"/>
                <w:iCs/>
                <w:szCs w:val="20"/>
                <w:highlight w:val="darkGray"/>
              </w:rPr>
            </w:pPr>
            <w:r w:rsidRPr="001F03AF">
              <w:rPr>
                <w:rFonts w:cs="Calibri" w:hint="eastAsia"/>
                <w:iCs/>
                <w:color w:val="000000"/>
                <w:w w:val="28"/>
                <w:szCs w:val="20"/>
                <w:shd w:val="solid" w:color="000000" w:fill="000000"/>
                <w:fitText w:val="125" w:id="-1435807223"/>
                <w14:textFill>
                  <w14:solidFill>
                    <w14:srgbClr w14:val="000000">
                      <w14:alpha w14:val="100000"/>
                    </w14:srgbClr>
                  </w14:solidFill>
                </w14:textFill>
              </w:rPr>
              <w:t xml:space="preserve">　</w:t>
            </w:r>
            <w:r w:rsidRPr="001F03AF">
              <w:rPr>
                <w:rFonts w:cs="Calibri"/>
                <w:iCs/>
                <w:color w:val="000000"/>
                <w:w w:val="28"/>
                <w:szCs w:val="20"/>
                <w:shd w:val="solid" w:color="000000" w:fill="000000"/>
                <w:fitText w:val="125" w:id="-1435807223"/>
                <w14:textFill>
                  <w14:solidFill>
                    <w14:srgbClr w14:val="000000">
                      <w14:alpha w14:val="100000"/>
                    </w14:srgbClr>
                  </w14:solidFill>
                </w14:textFill>
              </w:rPr>
              <w:t>|</w:t>
            </w:r>
            <w:r w:rsidRPr="001F03AF">
              <w:rPr>
                <w:rFonts w:cs="Calibri" w:hint="eastAsia"/>
                <w:iCs/>
                <w:color w:val="000000"/>
                <w:spacing w:val="3"/>
                <w:w w:val="28"/>
                <w:szCs w:val="20"/>
                <w:shd w:val="solid" w:color="000000" w:fill="000000"/>
                <w:fitText w:val="125" w:id="-1435807223"/>
                <w14:textFill>
                  <w14:solidFill>
                    <w14:srgbClr w14:val="000000">
                      <w14:alpha w14:val="100000"/>
                    </w14:srgbClr>
                  </w14:solidFill>
                </w14:textFill>
              </w:rPr>
              <w:t xml:space="preserve">　</w:t>
            </w:r>
            <w:r w:rsidR="00B23ADD">
              <w:rPr>
                <w:szCs w:val="20"/>
                <w:vertAlign w:val="superscript"/>
              </w:rPr>
              <w:t>4</w:t>
            </w:r>
          </w:p>
        </w:tc>
        <w:tc>
          <w:tcPr>
            <w:tcW w:w="580" w:type="pct"/>
            <w:vAlign w:val="bottom"/>
          </w:tcPr>
          <w:p w14:paraId="6EC859BB" w14:textId="6C27AFF8" w:rsidR="00665280" w:rsidRPr="0069252F" w:rsidRDefault="001F03AF" w:rsidP="00BE067C">
            <w:pPr>
              <w:pStyle w:val="TableText"/>
              <w:keepLines/>
              <w:ind w:left="-70" w:right="-66"/>
              <w:jc w:val="center"/>
              <w:rPr>
                <w:bCs w:val="0"/>
                <w:iCs/>
                <w:szCs w:val="20"/>
                <w:highlight w:val="darkGray"/>
              </w:rPr>
            </w:pPr>
            <w:r w:rsidRPr="001F03AF">
              <w:rPr>
                <w:rFonts w:cs="Calibri" w:hint="eastAsia"/>
                <w:iCs/>
                <w:color w:val="000000"/>
                <w:w w:val="28"/>
                <w:szCs w:val="20"/>
                <w:shd w:val="solid" w:color="000000" w:fill="000000"/>
                <w:fitText w:val="125" w:id="-1435807222"/>
                <w14:textFill>
                  <w14:solidFill>
                    <w14:srgbClr w14:val="000000">
                      <w14:alpha w14:val="100000"/>
                    </w14:srgbClr>
                  </w14:solidFill>
                </w14:textFill>
              </w:rPr>
              <w:t xml:space="preserve">　</w:t>
            </w:r>
            <w:r w:rsidRPr="001F03AF">
              <w:rPr>
                <w:rFonts w:cs="Calibri"/>
                <w:iCs/>
                <w:color w:val="000000"/>
                <w:w w:val="28"/>
                <w:szCs w:val="20"/>
                <w:shd w:val="solid" w:color="000000" w:fill="000000"/>
                <w:fitText w:val="125" w:id="-1435807222"/>
                <w14:textFill>
                  <w14:solidFill>
                    <w14:srgbClr w14:val="000000">
                      <w14:alpha w14:val="100000"/>
                    </w14:srgbClr>
                  </w14:solidFill>
                </w14:textFill>
              </w:rPr>
              <w:t>|</w:t>
            </w:r>
            <w:r w:rsidRPr="001F03AF">
              <w:rPr>
                <w:rFonts w:cs="Calibri" w:hint="eastAsia"/>
                <w:iCs/>
                <w:color w:val="000000"/>
                <w:spacing w:val="3"/>
                <w:w w:val="28"/>
                <w:szCs w:val="20"/>
                <w:shd w:val="solid" w:color="000000" w:fill="000000"/>
                <w:fitText w:val="125" w:id="-1435807222"/>
                <w14:textFill>
                  <w14:solidFill>
                    <w14:srgbClr w14:val="000000">
                      <w14:alpha w14:val="100000"/>
                    </w14:srgbClr>
                  </w14:solidFill>
                </w14:textFill>
              </w:rPr>
              <w:t xml:space="preserve">　</w:t>
            </w:r>
            <w:r w:rsidR="00B23ADD">
              <w:rPr>
                <w:szCs w:val="20"/>
                <w:vertAlign w:val="superscript"/>
              </w:rPr>
              <w:t>4</w:t>
            </w:r>
          </w:p>
        </w:tc>
      </w:tr>
      <w:tr w:rsidR="00045417" w:rsidRPr="003A7F84" w14:paraId="5263ED5A" w14:textId="77777777" w:rsidTr="00057E2A">
        <w:trPr>
          <w:jc w:val="center"/>
        </w:trPr>
        <w:tc>
          <w:tcPr>
            <w:tcW w:w="1525" w:type="pct"/>
            <w:shd w:val="clear" w:color="auto" w:fill="auto"/>
            <w:vAlign w:val="bottom"/>
          </w:tcPr>
          <w:p w14:paraId="5C89B7E8" w14:textId="0D35D9C4" w:rsidR="00665280" w:rsidRPr="00057E2A" w:rsidRDefault="00665280" w:rsidP="00BE067C">
            <w:pPr>
              <w:pStyle w:val="TableText"/>
              <w:keepLines/>
              <w:ind w:right="-87"/>
              <w:rPr>
                <w:iCs/>
                <w:szCs w:val="20"/>
              </w:rPr>
            </w:pPr>
            <w:r w:rsidRPr="00057E2A">
              <w:rPr>
                <w:rFonts w:cs="Calibri"/>
                <w:iCs/>
                <w:szCs w:val="20"/>
              </w:rPr>
              <w:t xml:space="preserve">Cost to the PBS/RPBS </w:t>
            </w:r>
            <w:r w:rsidRPr="00FD14FD">
              <w:rPr>
                <w:rFonts w:cs="Calibri"/>
                <w:iCs/>
                <w:szCs w:val="20"/>
              </w:rPr>
              <w:t>($</w:t>
            </w:r>
            <w:r w:rsidR="001F03AF" w:rsidRPr="001F03AF">
              <w:rPr>
                <w:rFonts w:cs="Calibri"/>
                <w:iCs/>
                <w:color w:val="000000"/>
                <w:spacing w:val="51"/>
                <w:szCs w:val="20"/>
                <w:shd w:val="solid" w:color="000000" w:fill="000000"/>
                <w:fitText w:val="326" w:id="-1435807221"/>
                <w14:textFill>
                  <w14:solidFill>
                    <w14:srgbClr w14:val="000000">
                      <w14:alpha w14:val="100000"/>
                    </w14:srgbClr>
                  </w14:solidFill>
                </w14:textFill>
              </w:rPr>
              <w:t>|||</w:t>
            </w:r>
            <w:r w:rsidR="001F03AF" w:rsidRPr="001F03AF">
              <w:rPr>
                <w:rFonts w:cs="Calibri"/>
                <w:iCs/>
                <w:color w:val="000000"/>
                <w:spacing w:val="3"/>
                <w:szCs w:val="20"/>
                <w:shd w:val="solid" w:color="000000" w:fill="000000"/>
                <w:fitText w:val="326" w:id="-1435807221"/>
                <w14:textFill>
                  <w14:solidFill>
                    <w14:srgbClr w14:val="000000">
                      <w14:alpha w14:val="100000"/>
                    </w14:srgbClr>
                  </w14:solidFill>
                </w14:textFill>
              </w:rPr>
              <w:t>|</w:t>
            </w:r>
            <w:r w:rsidRPr="00057E2A">
              <w:rPr>
                <w:rFonts w:cs="Calibri"/>
                <w:iCs/>
                <w:szCs w:val="20"/>
              </w:rPr>
              <w:t>/script)</w:t>
            </w:r>
          </w:p>
        </w:tc>
        <w:tc>
          <w:tcPr>
            <w:tcW w:w="576" w:type="pct"/>
            <w:vAlign w:val="center"/>
          </w:tcPr>
          <w:p w14:paraId="2A6119A5" w14:textId="1D5DD3ED"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0"/>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0"/>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82" w:type="pct"/>
            <w:vAlign w:val="center"/>
          </w:tcPr>
          <w:p w14:paraId="6A21AB07" w14:textId="5C6F90FE"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15"/>
                <w:szCs w:val="20"/>
                <w:shd w:val="solid" w:color="000000" w:fill="000000"/>
                <w:fitText w:val="201" w:id="-1435807219"/>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201" w:id="-1435807219"/>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79" w:type="pct"/>
            <w:vAlign w:val="center"/>
          </w:tcPr>
          <w:p w14:paraId="28AB0E73" w14:textId="5E296B6B"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18"/>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18"/>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79" w:type="pct"/>
            <w:vAlign w:val="center"/>
          </w:tcPr>
          <w:p w14:paraId="455622A0" w14:textId="1B80F025"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17"/>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17"/>
                <w14:textFill>
                  <w14:solidFill>
                    <w14:srgbClr w14:val="000000">
                      <w14:alpha w14:val="100000"/>
                    </w14:srgbClr>
                  </w14:solidFill>
                </w14:textFill>
              </w:rPr>
              <w:t>|</w:t>
            </w:r>
            <w:r w:rsidR="00B23ADD">
              <w:rPr>
                <w:szCs w:val="20"/>
                <w:vertAlign w:val="superscript"/>
              </w:rPr>
              <w:t>10</w:t>
            </w:r>
          </w:p>
        </w:tc>
        <w:tc>
          <w:tcPr>
            <w:tcW w:w="579" w:type="pct"/>
            <w:vAlign w:val="center"/>
          </w:tcPr>
          <w:p w14:paraId="147B2D98" w14:textId="5CD1900D"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16"/>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16"/>
                <w14:textFill>
                  <w14:solidFill>
                    <w14:srgbClr w14:val="000000">
                      <w14:alpha w14:val="100000"/>
                    </w14:srgbClr>
                  </w14:solidFill>
                </w14:textFill>
              </w:rPr>
              <w:t>|</w:t>
            </w:r>
            <w:r w:rsidR="00B23ADD">
              <w:rPr>
                <w:szCs w:val="20"/>
                <w:vertAlign w:val="superscript"/>
              </w:rPr>
              <w:t>10</w:t>
            </w:r>
          </w:p>
        </w:tc>
        <w:tc>
          <w:tcPr>
            <w:tcW w:w="580" w:type="pct"/>
            <w:vAlign w:val="center"/>
          </w:tcPr>
          <w:p w14:paraId="5490CF0C" w14:textId="526A78FA"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32"/>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32"/>
                <w14:textFill>
                  <w14:solidFill>
                    <w14:srgbClr w14:val="000000">
                      <w14:alpha w14:val="100000"/>
                    </w14:srgbClr>
                  </w14:solidFill>
                </w14:textFill>
              </w:rPr>
              <w:t>|</w:t>
            </w:r>
            <w:r w:rsidR="00B23ADD">
              <w:rPr>
                <w:szCs w:val="20"/>
                <w:vertAlign w:val="superscript"/>
              </w:rPr>
              <w:t>10</w:t>
            </w:r>
          </w:p>
        </w:tc>
      </w:tr>
      <w:tr w:rsidR="00045417" w:rsidRPr="003A7F84" w14:paraId="4771DD1D" w14:textId="77777777" w:rsidTr="00057E2A">
        <w:trPr>
          <w:jc w:val="center"/>
        </w:trPr>
        <w:tc>
          <w:tcPr>
            <w:tcW w:w="1525" w:type="pct"/>
            <w:shd w:val="clear" w:color="auto" w:fill="auto"/>
            <w:vAlign w:val="bottom"/>
          </w:tcPr>
          <w:p w14:paraId="5E958869" w14:textId="77777777" w:rsidR="00665280" w:rsidRPr="00057E2A" w:rsidRDefault="00665280" w:rsidP="00BE067C">
            <w:pPr>
              <w:pStyle w:val="TableText"/>
              <w:keepLines/>
              <w:ind w:right="-87"/>
              <w:rPr>
                <w:iCs/>
                <w:szCs w:val="20"/>
              </w:rPr>
            </w:pPr>
            <w:r w:rsidRPr="00057E2A">
              <w:rPr>
                <w:rFonts w:cs="Calibri"/>
                <w:iCs/>
                <w:szCs w:val="20"/>
              </w:rPr>
              <w:t>Patient copayments ($4.76/script)</w:t>
            </w:r>
          </w:p>
        </w:tc>
        <w:tc>
          <w:tcPr>
            <w:tcW w:w="576" w:type="pct"/>
            <w:vAlign w:val="center"/>
          </w:tcPr>
          <w:p w14:paraId="299F0182" w14:textId="35F126EE"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31"/>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31"/>
                <w14:textFill>
                  <w14:solidFill>
                    <w14:srgbClr w14:val="000000">
                      <w14:alpha w14:val="100000"/>
                    </w14:srgbClr>
                  </w14:solidFill>
                </w14:textFill>
              </w:rPr>
              <w:t>|</w:t>
            </w:r>
            <w:r w:rsidR="00B23ADD">
              <w:rPr>
                <w:szCs w:val="20"/>
                <w:vertAlign w:val="superscript"/>
              </w:rPr>
              <w:t>10</w:t>
            </w:r>
            <w:r w:rsidRPr="003A7F84">
              <w:rPr>
                <w:rFonts w:cs="Calibri"/>
                <w:iCs/>
                <w:color w:val="000000"/>
                <w:szCs w:val="20"/>
              </w:rPr>
              <w:t xml:space="preserve"> </w:t>
            </w:r>
          </w:p>
        </w:tc>
        <w:tc>
          <w:tcPr>
            <w:tcW w:w="582" w:type="pct"/>
            <w:vAlign w:val="center"/>
          </w:tcPr>
          <w:p w14:paraId="54099824" w14:textId="42625249"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15"/>
                <w:szCs w:val="20"/>
                <w:shd w:val="solid" w:color="000000" w:fill="000000"/>
                <w:fitText w:val="201" w:id="-1435807230"/>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201" w:id="-1435807230"/>
                <w14:textFill>
                  <w14:solidFill>
                    <w14:srgbClr w14:val="000000">
                      <w14:alpha w14:val="100000"/>
                    </w14:srgbClr>
                  </w14:solidFill>
                </w14:textFill>
              </w:rPr>
              <w:t>|</w:t>
            </w:r>
            <w:r w:rsidR="00B23ADD">
              <w:rPr>
                <w:szCs w:val="20"/>
                <w:vertAlign w:val="superscript"/>
              </w:rPr>
              <w:t>10</w:t>
            </w:r>
            <w:r w:rsidRPr="003A7F84">
              <w:rPr>
                <w:rFonts w:cs="Calibri"/>
                <w:iCs/>
                <w:color w:val="000000"/>
                <w:szCs w:val="20"/>
              </w:rPr>
              <w:t xml:space="preserve"> </w:t>
            </w:r>
          </w:p>
        </w:tc>
        <w:tc>
          <w:tcPr>
            <w:tcW w:w="579" w:type="pct"/>
            <w:vAlign w:val="center"/>
          </w:tcPr>
          <w:p w14:paraId="0F1E7499" w14:textId="1D76B8EC"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9"/>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9"/>
                <w14:textFill>
                  <w14:solidFill>
                    <w14:srgbClr w14:val="000000">
                      <w14:alpha w14:val="100000"/>
                    </w14:srgbClr>
                  </w14:solidFill>
                </w14:textFill>
              </w:rPr>
              <w:t>|</w:t>
            </w:r>
            <w:r w:rsidR="00B23ADD">
              <w:rPr>
                <w:szCs w:val="20"/>
                <w:vertAlign w:val="superscript"/>
              </w:rPr>
              <w:t>10</w:t>
            </w:r>
            <w:r w:rsidRPr="003A7F84">
              <w:rPr>
                <w:rFonts w:cs="Calibri"/>
                <w:iCs/>
                <w:color w:val="000000"/>
                <w:szCs w:val="20"/>
              </w:rPr>
              <w:t xml:space="preserve"> </w:t>
            </w:r>
          </w:p>
        </w:tc>
        <w:tc>
          <w:tcPr>
            <w:tcW w:w="579" w:type="pct"/>
            <w:vAlign w:val="center"/>
          </w:tcPr>
          <w:p w14:paraId="1E6BCB0E" w14:textId="6F39E2E7"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8"/>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8"/>
                <w14:textFill>
                  <w14:solidFill>
                    <w14:srgbClr w14:val="000000">
                      <w14:alpha w14:val="100000"/>
                    </w14:srgbClr>
                  </w14:solidFill>
                </w14:textFill>
              </w:rPr>
              <w:t>|</w:t>
            </w:r>
            <w:r w:rsidR="00B23ADD">
              <w:rPr>
                <w:szCs w:val="20"/>
                <w:vertAlign w:val="superscript"/>
              </w:rPr>
              <w:t>10</w:t>
            </w:r>
          </w:p>
        </w:tc>
        <w:tc>
          <w:tcPr>
            <w:tcW w:w="579" w:type="pct"/>
            <w:vAlign w:val="center"/>
          </w:tcPr>
          <w:p w14:paraId="285997C7" w14:textId="14B52DA6"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7"/>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7"/>
                <w14:textFill>
                  <w14:solidFill>
                    <w14:srgbClr w14:val="000000">
                      <w14:alpha w14:val="100000"/>
                    </w14:srgbClr>
                  </w14:solidFill>
                </w14:textFill>
              </w:rPr>
              <w:t>|</w:t>
            </w:r>
            <w:r w:rsidR="00B23ADD">
              <w:rPr>
                <w:szCs w:val="20"/>
                <w:vertAlign w:val="superscript"/>
              </w:rPr>
              <w:t>10</w:t>
            </w:r>
          </w:p>
        </w:tc>
        <w:tc>
          <w:tcPr>
            <w:tcW w:w="580" w:type="pct"/>
            <w:vAlign w:val="center"/>
          </w:tcPr>
          <w:p w14:paraId="10206FE8" w14:textId="36BC123D"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6"/>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6"/>
                <w14:textFill>
                  <w14:solidFill>
                    <w14:srgbClr w14:val="000000">
                      <w14:alpha w14:val="100000"/>
                    </w14:srgbClr>
                  </w14:solidFill>
                </w14:textFill>
              </w:rPr>
              <w:t>|</w:t>
            </w:r>
            <w:r w:rsidR="00B23ADD">
              <w:rPr>
                <w:szCs w:val="20"/>
                <w:vertAlign w:val="superscript"/>
              </w:rPr>
              <w:t>10</w:t>
            </w:r>
          </w:p>
        </w:tc>
      </w:tr>
      <w:tr w:rsidR="00045417" w:rsidRPr="003A7F84" w14:paraId="31B47503" w14:textId="77777777" w:rsidTr="00057E2A">
        <w:trPr>
          <w:jc w:val="center"/>
        </w:trPr>
        <w:tc>
          <w:tcPr>
            <w:tcW w:w="1525" w:type="pct"/>
            <w:shd w:val="clear" w:color="auto" w:fill="auto"/>
            <w:vAlign w:val="bottom"/>
          </w:tcPr>
          <w:p w14:paraId="763C8676" w14:textId="77777777" w:rsidR="00665280" w:rsidRPr="00057E2A" w:rsidRDefault="00665280" w:rsidP="00BE067C">
            <w:pPr>
              <w:pStyle w:val="TableText"/>
              <w:keepLines/>
              <w:ind w:right="-87"/>
              <w:rPr>
                <w:b/>
                <w:bCs w:val="0"/>
                <w:iCs/>
                <w:szCs w:val="20"/>
              </w:rPr>
            </w:pPr>
            <w:r w:rsidRPr="00057E2A">
              <w:rPr>
                <w:rFonts w:cs="Calibri"/>
                <w:b/>
                <w:iCs/>
                <w:szCs w:val="20"/>
              </w:rPr>
              <w:t>Net cost to the PBS</w:t>
            </w:r>
          </w:p>
        </w:tc>
        <w:tc>
          <w:tcPr>
            <w:tcW w:w="576" w:type="pct"/>
            <w:vAlign w:val="center"/>
          </w:tcPr>
          <w:p w14:paraId="0AFF5069" w14:textId="723656EE" w:rsidR="00665280" w:rsidRPr="003A7F84" w:rsidRDefault="00665280" w:rsidP="00BE067C">
            <w:pPr>
              <w:pStyle w:val="TableText"/>
              <w:keepLines/>
              <w:ind w:left="-70" w:right="-81"/>
              <w:jc w:val="center"/>
              <w:rPr>
                <w:rFonts w:cs="Calibri"/>
                <w:b/>
                <w:bCs w:val="0"/>
                <w:iCs/>
                <w:color w:val="000000"/>
                <w:szCs w:val="20"/>
              </w:rPr>
            </w:pPr>
            <w:r w:rsidRPr="003A7F84">
              <w:rPr>
                <w:rFonts w:cs="Calibri"/>
                <w:b/>
                <w:bCs w:val="0"/>
                <w:iCs/>
                <w:color w:val="000000"/>
                <w:szCs w:val="20"/>
              </w:rPr>
              <w:t>$</w:t>
            </w:r>
            <w:r w:rsidR="001F03AF" w:rsidRPr="001F03AF">
              <w:rPr>
                <w:rFonts w:cs="Calibri"/>
                <w:b/>
                <w:bCs w:val="0"/>
                <w:iCs/>
                <w:color w:val="000000"/>
                <w:spacing w:val="158"/>
                <w:szCs w:val="20"/>
                <w:shd w:val="solid" w:color="000000" w:fill="000000"/>
                <w:fitText w:val="250" w:id="-1435807225"/>
                <w14:textFill>
                  <w14:solidFill>
                    <w14:srgbClr w14:val="000000">
                      <w14:alpha w14:val="100000"/>
                    </w14:srgbClr>
                  </w14:solidFill>
                </w14:textFill>
              </w:rPr>
              <w:t>|</w:t>
            </w:r>
            <w:r w:rsidR="001F03AF" w:rsidRPr="001F03AF">
              <w:rPr>
                <w:rFonts w:cs="Calibri"/>
                <w:b/>
                <w:bCs w:val="0"/>
                <w:iCs/>
                <w:color w:val="000000"/>
                <w:spacing w:val="1"/>
                <w:szCs w:val="20"/>
                <w:shd w:val="solid" w:color="000000" w:fill="000000"/>
                <w:fitText w:val="250" w:id="-1435807225"/>
                <w14:textFill>
                  <w14:solidFill>
                    <w14:srgbClr w14:val="000000">
                      <w14:alpha w14:val="100000"/>
                    </w14:srgbClr>
                  </w14:solidFill>
                </w14:textFill>
              </w:rPr>
              <w:t>|</w:t>
            </w:r>
            <w:r w:rsidR="00B23ADD">
              <w:rPr>
                <w:szCs w:val="20"/>
                <w:vertAlign w:val="superscript"/>
              </w:rPr>
              <w:t>10</w:t>
            </w:r>
            <w:r w:rsidRPr="003A7F84">
              <w:rPr>
                <w:rFonts w:cs="Calibri"/>
                <w:b/>
                <w:bCs w:val="0"/>
                <w:iCs/>
                <w:color w:val="000000"/>
                <w:szCs w:val="20"/>
              </w:rPr>
              <w:t xml:space="preserve"> </w:t>
            </w:r>
          </w:p>
        </w:tc>
        <w:tc>
          <w:tcPr>
            <w:tcW w:w="582" w:type="pct"/>
            <w:vAlign w:val="center"/>
          </w:tcPr>
          <w:p w14:paraId="7FBC8337" w14:textId="605A29F6" w:rsidR="00665280" w:rsidRPr="003A7F84" w:rsidRDefault="00665280" w:rsidP="00BE067C">
            <w:pPr>
              <w:pStyle w:val="TableText"/>
              <w:keepLines/>
              <w:ind w:left="-70" w:right="-81"/>
              <w:jc w:val="center"/>
              <w:rPr>
                <w:rFonts w:cs="Calibri"/>
                <w:b/>
                <w:bCs w:val="0"/>
                <w:iCs/>
                <w:color w:val="000000"/>
                <w:szCs w:val="20"/>
              </w:rPr>
            </w:pPr>
            <w:r w:rsidRPr="003A7F84">
              <w:rPr>
                <w:rFonts w:cs="Calibri"/>
                <w:b/>
                <w:bCs w:val="0"/>
                <w:iCs/>
                <w:color w:val="000000"/>
                <w:szCs w:val="20"/>
              </w:rPr>
              <w:t>$</w:t>
            </w:r>
            <w:r w:rsidR="001F03AF" w:rsidRPr="001F03AF">
              <w:rPr>
                <w:rFonts w:cs="Calibri"/>
                <w:b/>
                <w:bCs w:val="0"/>
                <w:iCs/>
                <w:color w:val="000000"/>
                <w:spacing w:val="44"/>
                <w:szCs w:val="20"/>
                <w:shd w:val="solid" w:color="000000" w:fill="000000"/>
                <w:fitText w:val="226" w:id="-1435807224"/>
                <w14:textFill>
                  <w14:solidFill>
                    <w14:srgbClr w14:val="000000">
                      <w14:alpha w14:val="100000"/>
                    </w14:srgbClr>
                  </w14:solidFill>
                </w14:textFill>
              </w:rPr>
              <w:t>||</w:t>
            </w:r>
            <w:r w:rsidR="001F03AF" w:rsidRPr="001F03AF">
              <w:rPr>
                <w:rFonts w:cs="Calibri"/>
                <w:b/>
                <w:bCs w:val="0"/>
                <w:iCs/>
                <w:color w:val="000000"/>
                <w:spacing w:val="1"/>
                <w:szCs w:val="20"/>
                <w:shd w:val="solid" w:color="000000" w:fill="000000"/>
                <w:fitText w:val="226" w:id="-1435807224"/>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b/>
                <w:bCs w:val="0"/>
                <w:iCs/>
                <w:color w:val="000000"/>
                <w:szCs w:val="20"/>
              </w:rPr>
              <w:t xml:space="preserve"> </w:t>
            </w:r>
          </w:p>
        </w:tc>
        <w:tc>
          <w:tcPr>
            <w:tcW w:w="579" w:type="pct"/>
            <w:vAlign w:val="center"/>
          </w:tcPr>
          <w:p w14:paraId="7E02C239" w14:textId="10562E35" w:rsidR="00665280" w:rsidRPr="003A7F84" w:rsidRDefault="00665280" w:rsidP="00BE067C">
            <w:pPr>
              <w:pStyle w:val="TableText"/>
              <w:keepLines/>
              <w:ind w:left="-70" w:right="-81"/>
              <w:jc w:val="center"/>
              <w:rPr>
                <w:rFonts w:cs="Calibri"/>
                <w:b/>
                <w:bCs w:val="0"/>
                <w:iCs/>
                <w:color w:val="000000"/>
                <w:szCs w:val="20"/>
              </w:rPr>
            </w:pPr>
            <w:r w:rsidRPr="003A7F84">
              <w:rPr>
                <w:rFonts w:cs="Calibri"/>
                <w:b/>
                <w:bCs w:val="0"/>
                <w:iCs/>
                <w:color w:val="000000"/>
                <w:szCs w:val="20"/>
              </w:rPr>
              <w:t>$</w:t>
            </w:r>
            <w:r w:rsidR="001F03AF" w:rsidRPr="001F03AF">
              <w:rPr>
                <w:rFonts w:cs="Calibri"/>
                <w:b/>
                <w:bCs w:val="0"/>
                <w:iCs/>
                <w:color w:val="000000"/>
                <w:spacing w:val="50"/>
                <w:szCs w:val="20"/>
                <w:shd w:val="solid" w:color="000000" w:fill="000000"/>
                <w:fitText w:val="238" w:id="-1435807223"/>
                <w14:textFill>
                  <w14:solidFill>
                    <w14:srgbClr w14:val="000000">
                      <w14:alpha w14:val="100000"/>
                    </w14:srgbClr>
                  </w14:solidFill>
                </w14:textFill>
              </w:rPr>
              <w:t>||</w:t>
            </w:r>
            <w:r w:rsidR="001F03AF" w:rsidRPr="001F03AF">
              <w:rPr>
                <w:rFonts w:cs="Calibri"/>
                <w:b/>
                <w:bCs w:val="0"/>
                <w:iCs/>
                <w:color w:val="000000"/>
                <w:spacing w:val="1"/>
                <w:szCs w:val="20"/>
                <w:shd w:val="solid" w:color="000000" w:fill="000000"/>
                <w:fitText w:val="238" w:id="-1435807223"/>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b/>
                <w:bCs w:val="0"/>
                <w:iCs/>
                <w:color w:val="000000"/>
                <w:szCs w:val="20"/>
              </w:rPr>
              <w:t xml:space="preserve"> </w:t>
            </w:r>
          </w:p>
        </w:tc>
        <w:tc>
          <w:tcPr>
            <w:tcW w:w="579" w:type="pct"/>
            <w:vAlign w:val="center"/>
          </w:tcPr>
          <w:p w14:paraId="4AE1FE9D" w14:textId="66590DFF" w:rsidR="00665280" w:rsidRPr="003A7F84" w:rsidRDefault="00665280" w:rsidP="00BE067C">
            <w:pPr>
              <w:pStyle w:val="TableText"/>
              <w:keepLines/>
              <w:ind w:left="-70" w:right="-81"/>
              <w:jc w:val="center"/>
              <w:rPr>
                <w:rFonts w:cs="Calibri"/>
                <w:b/>
                <w:bCs w:val="0"/>
                <w:iCs/>
                <w:color w:val="000000"/>
                <w:szCs w:val="20"/>
              </w:rPr>
            </w:pPr>
            <w:r w:rsidRPr="003A7F84">
              <w:rPr>
                <w:rFonts w:cs="Calibri"/>
                <w:b/>
                <w:bCs w:val="0"/>
                <w:iCs/>
                <w:color w:val="000000"/>
                <w:szCs w:val="20"/>
              </w:rPr>
              <w:t>$</w:t>
            </w:r>
            <w:r w:rsidR="001F03AF" w:rsidRPr="001F03AF">
              <w:rPr>
                <w:rFonts w:cs="Calibri"/>
                <w:b/>
                <w:bCs w:val="0"/>
                <w:iCs/>
                <w:color w:val="000000"/>
                <w:spacing w:val="50"/>
                <w:szCs w:val="20"/>
                <w:shd w:val="solid" w:color="000000" w:fill="000000"/>
                <w:fitText w:val="238" w:id="-1435807222"/>
                <w14:textFill>
                  <w14:solidFill>
                    <w14:srgbClr w14:val="000000">
                      <w14:alpha w14:val="100000"/>
                    </w14:srgbClr>
                  </w14:solidFill>
                </w14:textFill>
              </w:rPr>
              <w:t>||</w:t>
            </w:r>
            <w:r w:rsidR="001F03AF" w:rsidRPr="001F03AF">
              <w:rPr>
                <w:rFonts w:cs="Calibri"/>
                <w:b/>
                <w:bCs w:val="0"/>
                <w:iCs/>
                <w:color w:val="000000"/>
                <w:spacing w:val="1"/>
                <w:szCs w:val="20"/>
                <w:shd w:val="solid" w:color="000000" w:fill="000000"/>
                <w:fitText w:val="238" w:id="-1435807222"/>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79" w:type="pct"/>
            <w:vAlign w:val="center"/>
          </w:tcPr>
          <w:p w14:paraId="5AF1BB41" w14:textId="35572762" w:rsidR="00665280" w:rsidRPr="003A7F84" w:rsidRDefault="00665280" w:rsidP="00BE067C">
            <w:pPr>
              <w:pStyle w:val="TableText"/>
              <w:keepLines/>
              <w:ind w:left="-70" w:right="-81"/>
              <w:jc w:val="center"/>
              <w:rPr>
                <w:rFonts w:cs="Calibri"/>
                <w:b/>
                <w:bCs w:val="0"/>
                <w:iCs/>
                <w:color w:val="000000"/>
                <w:szCs w:val="20"/>
              </w:rPr>
            </w:pPr>
            <w:r w:rsidRPr="003A7F84">
              <w:rPr>
                <w:rFonts w:cs="Calibri"/>
                <w:b/>
                <w:bCs w:val="0"/>
                <w:iCs/>
                <w:color w:val="000000"/>
                <w:szCs w:val="20"/>
              </w:rPr>
              <w:t>$</w:t>
            </w:r>
            <w:r w:rsidR="001F03AF" w:rsidRPr="001F03AF">
              <w:rPr>
                <w:rFonts w:cs="Calibri"/>
                <w:b/>
                <w:bCs w:val="0"/>
                <w:iCs/>
                <w:color w:val="000000"/>
                <w:spacing w:val="50"/>
                <w:szCs w:val="20"/>
                <w:shd w:val="solid" w:color="000000" w:fill="000000"/>
                <w:fitText w:val="238" w:id="-1435807221"/>
                <w14:textFill>
                  <w14:solidFill>
                    <w14:srgbClr w14:val="000000">
                      <w14:alpha w14:val="100000"/>
                    </w14:srgbClr>
                  </w14:solidFill>
                </w14:textFill>
              </w:rPr>
              <w:t>||</w:t>
            </w:r>
            <w:r w:rsidR="001F03AF" w:rsidRPr="001F03AF">
              <w:rPr>
                <w:rFonts w:cs="Calibri"/>
                <w:b/>
                <w:bCs w:val="0"/>
                <w:iCs/>
                <w:color w:val="000000"/>
                <w:spacing w:val="1"/>
                <w:szCs w:val="20"/>
                <w:shd w:val="solid" w:color="000000" w:fill="000000"/>
                <w:fitText w:val="238" w:id="-1435807221"/>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80" w:type="pct"/>
            <w:vAlign w:val="center"/>
          </w:tcPr>
          <w:p w14:paraId="06A98DE0" w14:textId="74F16274" w:rsidR="00665280" w:rsidRPr="003A7F84" w:rsidRDefault="00665280" w:rsidP="00BE067C">
            <w:pPr>
              <w:pStyle w:val="TableText"/>
              <w:keepLines/>
              <w:ind w:left="-70" w:right="-81"/>
              <w:jc w:val="center"/>
              <w:rPr>
                <w:rFonts w:cs="Calibri"/>
                <w:b/>
                <w:bCs w:val="0"/>
                <w:iCs/>
                <w:color w:val="000000"/>
                <w:szCs w:val="20"/>
              </w:rPr>
            </w:pPr>
            <w:r w:rsidRPr="003A7F84">
              <w:rPr>
                <w:rFonts w:cs="Calibri"/>
                <w:b/>
                <w:bCs w:val="0"/>
                <w:iCs/>
                <w:color w:val="000000"/>
                <w:szCs w:val="20"/>
              </w:rPr>
              <w:t>$</w:t>
            </w:r>
            <w:r w:rsidR="001F03AF" w:rsidRPr="001F03AF">
              <w:rPr>
                <w:rFonts w:cs="Calibri"/>
                <w:b/>
                <w:bCs w:val="0"/>
                <w:iCs/>
                <w:color w:val="000000"/>
                <w:spacing w:val="44"/>
                <w:szCs w:val="20"/>
                <w:shd w:val="solid" w:color="000000" w:fill="000000"/>
                <w:fitText w:val="226" w:id="-1435807220"/>
                <w14:textFill>
                  <w14:solidFill>
                    <w14:srgbClr w14:val="000000">
                      <w14:alpha w14:val="100000"/>
                    </w14:srgbClr>
                  </w14:solidFill>
                </w14:textFill>
              </w:rPr>
              <w:t>||</w:t>
            </w:r>
            <w:r w:rsidR="001F03AF" w:rsidRPr="001F03AF">
              <w:rPr>
                <w:rFonts w:cs="Calibri"/>
                <w:b/>
                <w:bCs w:val="0"/>
                <w:iCs/>
                <w:color w:val="000000"/>
                <w:spacing w:val="1"/>
                <w:szCs w:val="20"/>
                <w:shd w:val="solid" w:color="000000" w:fill="000000"/>
                <w:fitText w:val="226" w:id="-1435807220"/>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r>
      <w:tr w:rsidR="00045417" w:rsidRPr="003A7F84" w14:paraId="35BD08A9" w14:textId="77777777" w:rsidTr="00057E2A">
        <w:tblPrEx>
          <w:jc w:val="left"/>
        </w:tblPrEx>
        <w:tc>
          <w:tcPr>
            <w:tcW w:w="1525" w:type="pct"/>
            <w:shd w:val="clear" w:color="auto" w:fill="auto"/>
          </w:tcPr>
          <w:p w14:paraId="72F9B520" w14:textId="046DB721" w:rsidR="00665280" w:rsidRPr="00057E2A" w:rsidRDefault="00665280" w:rsidP="00BE067C">
            <w:pPr>
              <w:pStyle w:val="TableText"/>
              <w:keepLines/>
              <w:ind w:right="-87"/>
              <w:rPr>
                <w:iCs/>
                <w:szCs w:val="20"/>
              </w:rPr>
            </w:pPr>
            <w:r w:rsidRPr="00057E2A">
              <w:rPr>
                <w:rFonts w:cs="Calibri"/>
                <w:iCs/>
                <w:szCs w:val="20"/>
              </w:rPr>
              <w:t>Cost to the PBS/RPBS ($</w:t>
            </w:r>
            <w:r w:rsidR="001F03AF" w:rsidRPr="001F03AF">
              <w:rPr>
                <w:rFonts w:cs="Calibri"/>
                <w:iCs/>
                <w:color w:val="000000"/>
                <w:spacing w:val="51"/>
                <w:szCs w:val="20"/>
                <w:shd w:val="solid" w:color="000000" w:fill="000000"/>
                <w:fitText w:val="326" w:id="-1435807219"/>
                <w14:textFill>
                  <w14:solidFill>
                    <w14:srgbClr w14:val="000000">
                      <w14:alpha w14:val="100000"/>
                    </w14:srgbClr>
                  </w14:solidFill>
                </w14:textFill>
              </w:rPr>
              <w:t>|||</w:t>
            </w:r>
            <w:r w:rsidR="001F03AF" w:rsidRPr="001F03AF">
              <w:rPr>
                <w:rFonts w:cs="Calibri"/>
                <w:iCs/>
                <w:color w:val="000000"/>
                <w:spacing w:val="3"/>
                <w:szCs w:val="20"/>
                <w:shd w:val="solid" w:color="000000" w:fill="000000"/>
                <w:fitText w:val="326" w:id="-1435807219"/>
                <w14:textFill>
                  <w14:solidFill>
                    <w14:srgbClr w14:val="000000">
                      <w14:alpha w14:val="100000"/>
                    </w14:srgbClr>
                  </w14:solidFill>
                </w14:textFill>
              </w:rPr>
              <w:t>|</w:t>
            </w:r>
            <w:r w:rsidRPr="00057E2A">
              <w:rPr>
                <w:rFonts w:cs="Calibri"/>
                <w:iCs/>
                <w:szCs w:val="20"/>
              </w:rPr>
              <w:t>/script)</w:t>
            </w:r>
          </w:p>
        </w:tc>
        <w:tc>
          <w:tcPr>
            <w:tcW w:w="576" w:type="pct"/>
            <w:vAlign w:val="center"/>
          </w:tcPr>
          <w:p w14:paraId="70A67FF0" w14:textId="7D424E34"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18"/>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18"/>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82" w:type="pct"/>
            <w:vAlign w:val="center"/>
          </w:tcPr>
          <w:p w14:paraId="3E870902" w14:textId="1B9577D3"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15"/>
                <w:szCs w:val="20"/>
                <w:shd w:val="solid" w:color="000000" w:fill="000000"/>
                <w:fitText w:val="201" w:id="-1435807217"/>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201" w:id="-1435807217"/>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79" w:type="pct"/>
            <w:vAlign w:val="center"/>
          </w:tcPr>
          <w:p w14:paraId="5D715E14" w14:textId="72C0783B"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16"/>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16"/>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79" w:type="pct"/>
            <w:vAlign w:val="center"/>
          </w:tcPr>
          <w:p w14:paraId="613302A0" w14:textId="350DFA40"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32"/>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32"/>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79" w:type="pct"/>
            <w:vAlign w:val="center"/>
          </w:tcPr>
          <w:p w14:paraId="7CF89A66" w14:textId="19782239"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31"/>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31"/>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80" w:type="pct"/>
            <w:vAlign w:val="center"/>
          </w:tcPr>
          <w:p w14:paraId="684838EF" w14:textId="6C1C7333"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30"/>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30"/>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r>
      <w:tr w:rsidR="00045417" w:rsidRPr="003A7F84" w14:paraId="544AB12A" w14:textId="77777777" w:rsidTr="00045417">
        <w:tblPrEx>
          <w:jc w:val="left"/>
        </w:tblPrEx>
        <w:tc>
          <w:tcPr>
            <w:tcW w:w="1525" w:type="pct"/>
          </w:tcPr>
          <w:p w14:paraId="3001FB16" w14:textId="77777777" w:rsidR="00665280" w:rsidRPr="003A7F84" w:rsidRDefault="00665280" w:rsidP="00BE067C">
            <w:pPr>
              <w:pStyle w:val="TableText"/>
              <w:keepLines/>
              <w:ind w:right="-87"/>
              <w:rPr>
                <w:iCs/>
                <w:szCs w:val="20"/>
              </w:rPr>
            </w:pPr>
            <w:r w:rsidRPr="003A7F84">
              <w:rPr>
                <w:rFonts w:cs="Calibri"/>
                <w:iCs/>
                <w:color w:val="000000"/>
                <w:szCs w:val="20"/>
              </w:rPr>
              <w:t>Patient copayments ($4.85/script)</w:t>
            </w:r>
          </w:p>
        </w:tc>
        <w:tc>
          <w:tcPr>
            <w:tcW w:w="576" w:type="pct"/>
            <w:vAlign w:val="center"/>
          </w:tcPr>
          <w:p w14:paraId="570A3D9A" w14:textId="7AEC1752"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9"/>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9"/>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82" w:type="pct"/>
            <w:vAlign w:val="center"/>
          </w:tcPr>
          <w:p w14:paraId="3EEA2924" w14:textId="64061CB5"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15"/>
                <w:szCs w:val="20"/>
                <w:shd w:val="solid" w:color="000000" w:fill="000000"/>
                <w:fitText w:val="201" w:id="-1435807228"/>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201" w:id="-1435807228"/>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79" w:type="pct"/>
            <w:vAlign w:val="center"/>
          </w:tcPr>
          <w:p w14:paraId="38392F02" w14:textId="2F34939C"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7"/>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7"/>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3A7F84">
              <w:rPr>
                <w:rFonts w:cs="Calibri"/>
                <w:iCs/>
                <w:color w:val="000000"/>
                <w:szCs w:val="20"/>
              </w:rPr>
              <w:t xml:space="preserve"> </w:t>
            </w:r>
          </w:p>
        </w:tc>
        <w:tc>
          <w:tcPr>
            <w:tcW w:w="579" w:type="pct"/>
            <w:vAlign w:val="center"/>
          </w:tcPr>
          <w:p w14:paraId="04CD2CE8" w14:textId="3A5E1589"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6"/>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6"/>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79" w:type="pct"/>
            <w:vAlign w:val="center"/>
          </w:tcPr>
          <w:p w14:paraId="4E407734" w14:textId="7EC22A40"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5"/>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5"/>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80" w:type="pct"/>
            <w:vAlign w:val="center"/>
          </w:tcPr>
          <w:p w14:paraId="1A29E534" w14:textId="044733DF" w:rsidR="00665280" w:rsidRPr="003A7F84" w:rsidRDefault="00665280" w:rsidP="00BE067C">
            <w:pPr>
              <w:pStyle w:val="TableText"/>
              <w:keepLines/>
              <w:ind w:left="-70" w:right="-81"/>
              <w:jc w:val="center"/>
              <w:rPr>
                <w:rFonts w:cs="Calibri"/>
                <w:iCs/>
                <w:color w:val="000000"/>
                <w:szCs w:val="20"/>
              </w:rPr>
            </w:pPr>
            <w:r w:rsidRPr="003A7F84">
              <w:rPr>
                <w:rFonts w:cs="Calibri"/>
                <w:iCs/>
                <w:color w:val="000000"/>
                <w:szCs w:val="20"/>
              </w:rPr>
              <w:t>$</w:t>
            </w:r>
            <w:r w:rsidR="001F03AF" w:rsidRPr="001F03AF">
              <w:rPr>
                <w:rFonts w:cs="Calibri"/>
                <w:iCs/>
                <w:color w:val="000000"/>
                <w:spacing w:val="102"/>
                <w:szCs w:val="20"/>
                <w:shd w:val="solid" w:color="000000" w:fill="000000"/>
                <w:fitText w:val="188" w:id="-1435807224"/>
                <w14:textFill>
                  <w14:solidFill>
                    <w14:srgbClr w14:val="000000">
                      <w14:alpha w14:val="100000"/>
                    </w14:srgbClr>
                  </w14:solidFill>
                </w14:textFill>
              </w:rPr>
              <w:t>|</w:t>
            </w:r>
            <w:r w:rsidR="001F03AF" w:rsidRPr="001F03AF">
              <w:rPr>
                <w:rFonts w:cs="Calibri"/>
                <w:iCs/>
                <w:color w:val="000000"/>
                <w:spacing w:val="1"/>
                <w:szCs w:val="20"/>
                <w:shd w:val="solid" w:color="000000" w:fill="000000"/>
                <w:fitText w:val="188" w:id="-1435807224"/>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r>
      <w:tr w:rsidR="00045417" w:rsidRPr="003A7F84" w14:paraId="175DE9B1" w14:textId="77777777" w:rsidTr="00045417">
        <w:tblPrEx>
          <w:jc w:val="left"/>
        </w:tblPrEx>
        <w:tc>
          <w:tcPr>
            <w:tcW w:w="1525" w:type="pct"/>
          </w:tcPr>
          <w:p w14:paraId="507B77B7" w14:textId="77777777" w:rsidR="00665280" w:rsidRPr="003A7F84" w:rsidRDefault="00665280" w:rsidP="00BE067C">
            <w:pPr>
              <w:pStyle w:val="TableText"/>
              <w:keepLines/>
              <w:ind w:right="-87"/>
              <w:rPr>
                <w:b/>
                <w:bCs w:val="0"/>
                <w:iCs/>
                <w:szCs w:val="20"/>
              </w:rPr>
            </w:pPr>
            <w:r w:rsidRPr="003A7F84">
              <w:rPr>
                <w:rFonts w:cs="Calibri"/>
                <w:b/>
                <w:iCs/>
                <w:color w:val="000000"/>
                <w:szCs w:val="20"/>
              </w:rPr>
              <w:t>Net cost to the RPBS</w:t>
            </w:r>
          </w:p>
        </w:tc>
        <w:tc>
          <w:tcPr>
            <w:tcW w:w="576" w:type="pct"/>
            <w:vAlign w:val="center"/>
          </w:tcPr>
          <w:p w14:paraId="2BAC910E" w14:textId="2EB03B17" w:rsidR="00665280" w:rsidRPr="0069252F" w:rsidRDefault="001F03AF" w:rsidP="00BE067C">
            <w:pPr>
              <w:pStyle w:val="TableText"/>
              <w:keepLines/>
              <w:ind w:left="-70" w:right="-81"/>
              <w:jc w:val="center"/>
              <w:rPr>
                <w:rFonts w:cs="Calibri"/>
                <w:b/>
                <w:bCs w:val="0"/>
                <w:iCs/>
                <w:color w:val="000000"/>
                <w:szCs w:val="20"/>
                <w:highlight w:val="darkGray"/>
              </w:rPr>
            </w:pPr>
            <w:r w:rsidRPr="001F03AF">
              <w:rPr>
                <w:rFonts w:cs="Calibri"/>
                <w:b/>
                <w:bCs w:val="0"/>
                <w:iCs/>
                <w:color w:val="000000"/>
                <w:spacing w:val="96"/>
                <w:szCs w:val="20"/>
                <w:shd w:val="solid" w:color="000000" w:fill="000000"/>
                <w:fitText w:val="188" w:id="-1435807223"/>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8" w:id="-1435807223"/>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1F03AF">
              <w:rPr>
                <w:rFonts w:cs="Calibri"/>
                <w:b/>
                <w:bCs w:val="0"/>
                <w:iCs/>
                <w:color w:val="000000"/>
                <w:szCs w:val="20"/>
              </w:rPr>
              <w:t xml:space="preserve"> </w:t>
            </w:r>
          </w:p>
        </w:tc>
        <w:tc>
          <w:tcPr>
            <w:tcW w:w="582" w:type="pct"/>
            <w:vAlign w:val="center"/>
          </w:tcPr>
          <w:p w14:paraId="16459D4E" w14:textId="384C7D07" w:rsidR="00665280" w:rsidRPr="0069252F" w:rsidRDefault="001F03AF" w:rsidP="00BE067C">
            <w:pPr>
              <w:pStyle w:val="TableText"/>
              <w:keepLines/>
              <w:ind w:left="-70" w:right="-81"/>
              <w:jc w:val="center"/>
              <w:rPr>
                <w:rFonts w:cs="Calibri"/>
                <w:b/>
                <w:bCs w:val="0"/>
                <w:iCs/>
                <w:color w:val="000000"/>
                <w:szCs w:val="20"/>
                <w:highlight w:val="darkGray"/>
              </w:rPr>
            </w:pPr>
            <w:r w:rsidRPr="001F03AF">
              <w:rPr>
                <w:rFonts w:cs="Calibri"/>
                <w:b/>
                <w:bCs w:val="0"/>
                <w:iCs/>
                <w:color w:val="000000"/>
                <w:spacing w:val="83"/>
                <w:szCs w:val="20"/>
                <w:shd w:val="solid" w:color="000000" w:fill="000000"/>
                <w:fitText w:val="175" w:id="-1435807222"/>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75" w:id="-1435807222"/>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1F03AF">
              <w:rPr>
                <w:rFonts w:cs="Calibri"/>
                <w:b/>
                <w:bCs w:val="0"/>
                <w:iCs/>
                <w:color w:val="000000"/>
                <w:szCs w:val="20"/>
              </w:rPr>
              <w:t xml:space="preserve"> </w:t>
            </w:r>
          </w:p>
        </w:tc>
        <w:tc>
          <w:tcPr>
            <w:tcW w:w="579" w:type="pct"/>
            <w:vAlign w:val="center"/>
          </w:tcPr>
          <w:p w14:paraId="07B07D4D" w14:textId="19E57C21" w:rsidR="00665280" w:rsidRPr="0069252F" w:rsidRDefault="001F03AF" w:rsidP="00BE067C">
            <w:pPr>
              <w:pStyle w:val="TableText"/>
              <w:keepLines/>
              <w:ind w:left="-70" w:right="-81"/>
              <w:jc w:val="center"/>
              <w:rPr>
                <w:rFonts w:cs="Calibri"/>
                <w:b/>
                <w:bCs w:val="0"/>
                <w:iCs/>
                <w:color w:val="000000"/>
                <w:szCs w:val="20"/>
                <w:highlight w:val="darkGray"/>
              </w:rPr>
            </w:pPr>
            <w:r w:rsidRPr="001F03AF">
              <w:rPr>
                <w:rFonts w:cs="Calibri"/>
                <w:b/>
                <w:bCs w:val="0"/>
                <w:iCs/>
                <w:color w:val="000000"/>
                <w:spacing w:val="95"/>
                <w:szCs w:val="20"/>
                <w:shd w:val="solid" w:color="000000" w:fill="000000"/>
                <w:fitText w:val="187" w:id="-1435807221"/>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7" w:id="-1435807221"/>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1F03AF">
              <w:rPr>
                <w:rFonts w:cs="Calibri"/>
                <w:b/>
                <w:bCs w:val="0"/>
                <w:iCs/>
                <w:color w:val="000000"/>
                <w:szCs w:val="20"/>
              </w:rPr>
              <w:t xml:space="preserve"> </w:t>
            </w:r>
          </w:p>
        </w:tc>
        <w:tc>
          <w:tcPr>
            <w:tcW w:w="579" w:type="pct"/>
            <w:vAlign w:val="center"/>
          </w:tcPr>
          <w:p w14:paraId="18C39CC9" w14:textId="2D7A5B92" w:rsidR="00665280" w:rsidRPr="0069252F" w:rsidRDefault="001F03AF" w:rsidP="00BE067C">
            <w:pPr>
              <w:pStyle w:val="TableText"/>
              <w:keepLines/>
              <w:ind w:left="-70" w:right="-81"/>
              <w:jc w:val="center"/>
              <w:rPr>
                <w:rFonts w:cs="Calibri"/>
                <w:b/>
                <w:bCs w:val="0"/>
                <w:iCs/>
                <w:color w:val="000000"/>
                <w:szCs w:val="20"/>
                <w:highlight w:val="darkGray"/>
              </w:rPr>
            </w:pPr>
            <w:r w:rsidRPr="001F03AF">
              <w:rPr>
                <w:rFonts w:cs="Calibri"/>
                <w:b/>
                <w:bCs w:val="0"/>
                <w:iCs/>
                <w:color w:val="000000"/>
                <w:spacing w:val="95"/>
                <w:szCs w:val="20"/>
                <w:shd w:val="solid" w:color="000000" w:fill="000000"/>
                <w:fitText w:val="187" w:id="-1435807220"/>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7" w:id="-1435807220"/>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79" w:type="pct"/>
            <w:vAlign w:val="center"/>
          </w:tcPr>
          <w:p w14:paraId="23628C22" w14:textId="6F32738B" w:rsidR="00665280" w:rsidRPr="0069252F" w:rsidRDefault="001F03AF" w:rsidP="00BE067C">
            <w:pPr>
              <w:pStyle w:val="TableText"/>
              <w:keepLines/>
              <w:ind w:left="-70" w:right="-81"/>
              <w:jc w:val="center"/>
              <w:rPr>
                <w:rFonts w:cs="Calibri"/>
                <w:b/>
                <w:bCs w:val="0"/>
                <w:iCs/>
                <w:color w:val="000000"/>
                <w:szCs w:val="20"/>
                <w:highlight w:val="darkGray"/>
              </w:rPr>
            </w:pPr>
            <w:r w:rsidRPr="001F03AF">
              <w:rPr>
                <w:rFonts w:cs="Calibri"/>
                <w:b/>
                <w:bCs w:val="0"/>
                <w:iCs/>
                <w:color w:val="000000"/>
                <w:spacing w:val="96"/>
                <w:szCs w:val="20"/>
                <w:shd w:val="solid" w:color="000000" w:fill="000000"/>
                <w:fitText w:val="188" w:id="-1435807219"/>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8" w:id="-1435807219"/>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80" w:type="pct"/>
            <w:vAlign w:val="center"/>
          </w:tcPr>
          <w:p w14:paraId="16A6C846" w14:textId="36F19080" w:rsidR="00665280" w:rsidRPr="0069252F" w:rsidRDefault="001F03AF" w:rsidP="00BE067C">
            <w:pPr>
              <w:pStyle w:val="TableText"/>
              <w:keepLines/>
              <w:ind w:left="-70" w:right="-81"/>
              <w:jc w:val="center"/>
              <w:rPr>
                <w:rFonts w:cs="Calibri"/>
                <w:b/>
                <w:bCs w:val="0"/>
                <w:iCs/>
                <w:color w:val="000000"/>
                <w:szCs w:val="20"/>
                <w:highlight w:val="darkGray"/>
              </w:rPr>
            </w:pPr>
            <w:r w:rsidRPr="001F03AF">
              <w:rPr>
                <w:rFonts w:cs="Calibri"/>
                <w:b/>
                <w:bCs w:val="0"/>
                <w:iCs/>
                <w:color w:val="000000"/>
                <w:spacing w:val="96"/>
                <w:szCs w:val="20"/>
                <w:shd w:val="solid" w:color="000000" w:fill="000000"/>
                <w:fitText w:val="188" w:id="-1435807218"/>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8" w:id="-1435807218"/>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r>
      <w:tr w:rsidR="00045417" w:rsidRPr="003A7F84" w14:paraId="2105010C" w14:textId="77777777" w:rsidTr="00045417">
        <w:tblPrEx>
          <w:jc w:val="left"/>
        </w:tblPrEx>
        <w:tc>
          <w:tcPr>
            <w:tcW w:w="1525" w:type="pct"/>
          </w:tcPr>
          <w:p w14:paraId="08DAF0FD" w14:textId="77777777" w:rsidR="00665280" w:rsidRPr="003A7F84" w:rsidRDefault="00665280" w:rsidP="00AB32A3">
            <w:pPr>
              <w:pStyle w:val="TableText"/>
              <w:keepNext w:val="0"/>
              <w:ind w:right="-87"/>
              <w:rPr>
                <w:b/>
                <w:bCs w:val="0"/>
                <w:iCs/>
                <w:szCs w:val="20"/>
              </w:rPr>
            </w:pPr>
            <w:r w:rsidRPr="003A7F84">
              <w:rPr>
                <w:rFonts w:cs="Calibri"/>
                <w:b/>
                <w:iCs/>
                <w:color w:val="000000"/>
                <w:szCs w:val="20"/>
              </w:rPr>
              <w:t>Net cost to the PBS/RPBS</w:t>
            </w:r>
          </w:p>
        </w:tc>
        <w:tc>
          <w:tcPr>
            <w:tcW w:w="576" w:type="pct"/>
            <w:vAlign w:val="center"/>
          </w:tcPr>
          <w:p w14:paraId="525BCA8A" w14:textId="69D6AA95" w:rsidR="00665280" w:rsidRPr="0069252F" w:rsidRDefault="001F03AF" w:rsidP="00AB32A3">
            <w:pPr>
              <w:pStyle w:val="TableText"/>
              <w:keepNext w:val="0"/>
              <w:ind w:left="-70" w:right="-81"/>
              <w:jc w:val="center"/>
              <w:rPr>
                <w:rFonts w:cs="Calibri"/>
                <w:b/>
                <w:bCs w:val="0"/>
                <w:iCs/>
                <w:color w:val="000000"/>
                <w:szCs w:val="20"/>
                <w:highlight w:val="darkGray"/>
              </w:rPr>
            </w:pPr>
            <w:r w:rsidRPr="001F03AF">
              <w:rPr>
                <w:rFonts w:cs="Calibri"/>
                <w:b/>
                <w:bCs w:val="0"/>
                <w:iCs/>
                <w:color w:val="000000"/>
                <w:spacing w:val="96"/>
                <w:szCs w:val="20"/>
                <w:shd w:val="solid" w:color="000000" w:fill="000000"/>
                <w:fitText w:val="188" w:id="-1435807217"/>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8" w:id="-1435807217"/>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1F03AF">
              <w:rPr>
                <w:rFonts w:cs="Calibri"/>
                <w:b/>
                <w:bCs w:val="0"/>
                <w:iCs/>
                <w:color w:val="000000"/>
                <w:szCs w:val="20"/>
              </w:rPr>
              <w:t xml:space="preserve"> </w:t>
            </w:r>
          </w:p>
        </w:tc>
        <w:tc>
          <w:tcPr>
            <w:tcW w:w="582" w:type="pct"/>
            <w:vAlign w:val="center"/>
          </w:tcPr>
          <w:p w14:paraId="2675E58E" w14:textId="5CEC45B4" w:rsidR="00665280" w:rsidRPr="0069252F" w:rsidRDefault="001F03AF" w:rsidP="00AB32A3">
            <w:pPr>
              <w:pStyle w:val="TableText"/>
              <w:keepNext w:val="0"/>
              <w:ind w:left="-70" w:right="-81"/>
              <w:jc w:val="center"/>
              <w:rPr>
                <w:rFonts w:cs="Calibri"/>
                <w:b/>
                <w:bCs w:val="0"/>
                <w:iCs/>
                <w:color w:val="000000"/>
                <w:szCs w:val="20"/>
                <w:highlight w:val="darkGray"/>
              </w:rPr>
            </w:pPr>
            <w:r w:rsidRPr="001F03AF">
              <w:rPr>
                <w:rFonts w:cs="Calibri"/>
                <w:b/>
                <w:bCs w:val="0"/>
                <w:iCs/>
                <w:color w:val="000000"/>
                <w:spacing w:val="83"/>
                <w:szCs w:val="20"/>
                <w:shd w:val="solid" w:color="000000" w:fill="000000"/>
                <w:fitText w:val="175" w:id="-1435807216"/>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75" w:id="-1435807216"/>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1F03AF">
              <w:rPr>
                <w:rFonts w:cs="Calibri"/>
                <w:b/>
                <w:bCs w:val="0"/>
                <w:iCs/>
                <w:color w:val="000000"/>
                <w:szCs w:val="20"/>
              </w:rPr>
              <w:t xml:space="preserve"> </w:t>
            </w:r>
          </w:p>
        </w:tc>
        <w:tc>
          <w:tcPr>
            <w:tcW w:w="579" w:type="pct"/>
            <w:vAlign w:val="center"/>
          </w:tcPr>
          <w:p w14:paraId="13F42EC3" w14:textId="4CFFE2A7" w:rsidR="00665280" w:rsidRPr="0069252F" w:rsidRDefault="001F03AF" w:rsidP="00AB32A3">
            <w:pPr>
              <w:pStyle w:val="TableText"/>
              <w:keepNext w:val="0"/>
              <w:ind w:left="-70" w:right="-81"/>
              <w:jc w:val="center"/>
              <w:rPr>
                <w:rFonts w:cs="Calibri"/>
                <w:b/>
                <w:bCs w:val="0"/>
                <w:iCs/>
                <w:color w:val="000000"/>
                <w:szCs w:val="20"/>
                <w:highlight w:val="darkGray"/>
              </w:rPr>
            </w:pPr>
            <w:r w:rsidRPr="001F03AF">
              <w:rPr>
                <w:rFonts w:cs="Calibri"/>
                <w:b/>
                <w:bCs w:val="0"/>
                <w:iCs/>
                <w:color w:val="000000"/>
                <w:spacing w:val="95"/>
                <w:szCs w:val="20"/>
                <w:shd w:val="solid" w:color="000000" w:fill="000000"/>
                <w:fitText w:val="187" w:id="-1435807232"/>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7" w:id="-1435807232"/>
                <w14:textFill>
                  <w14:solidFill>
                    <w14:srgbClr w14:val="000000">
                      <w14:alpha w14:val="100000"/>
                    </w14:srgbClr>
                  </w14:solidFill>
                </w14:textFill>
              </w:rPr>
              <w:t>|</w:t>
            </w:r>
            <w:r w:rsidR="00045417">
              <w:rPr>
                <w:szCs w:val="20"/>
                <w:vertAlign w:val="superscript"/>
              </w:rPr>
              <w:t>1</w:t>
            </w:r>
            <w:r w:rsidR="00B23ADD">
              <w:rPr>
                <w:szCs w:val="20"/>
                <w:vertAlign w:val="superscript"/>
              </w:rPr>
              <w:t>0</w:t>
            </w:r>
            <w:r w:rsidRPr="001F03AF">
              <w:rPr>
                <w:rFonts w:cs="Calibri"/>
                <w:b/>
                <w:bCs w:val="0"/>
                <w:iCs/>
                <w:color w:val="000000"/>
                <w:szCs w:val="20"/>
              </w:rPr>
              <w:t xml:space="preserve"> </w:t>
            </w:r>
          </w:p>
        </w:tc>
        <w:tc>
          <w:tcPr>
            <w:tcW w:w="579" w:type="pct"/>
            <w:vAlign w:val="center"/>
          </w:tcPr>
          <w:p w14:paraId="19B2AED5" w14:textId="162C34F3" w:rsidR="00665280" w:rsidRPr="0069252F" w:rsidRDefault="001F03AF" w:rsidP="00AB32A3">
            <w:pPr>
              <w:pStyle w:val="TableText"/>
              <w:keepNext w:val="0"/>
              <w:ind w:left="-70" w:right="-81"/>
              <w:jc w:val="center"/>
              <w:rPr>
                <w:rFonts w:cs="Calibri"/>
                <w:b/>
                <w:bCs w:val="0"/>
                <w:iCs/>
                <w:color w:val="000000"/>
                <w:szCs w:val="20"/>
                <w:highlight w:val="darkGray"/>
              </w:rPr>
            </w:pPr>
            <w:r w:rsidRPr="001F03AF">
              <w:rPr>
                <w:rFonts w:cs="Calibri"/>
                <w:b/>
                <w:bCs w:val="0"/>
                <w:iCs/>
                <w:color w:val="000000"/>
                <w:spacing w:val="95"/>
                <w:szCs w:val="20"/>
                <w:shd w:val="solid" w:color="000000" w:fill="000000"/>
                <w:fitText w:val="187" w:id="-1435807231"/>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7" w:id="-1435807231"/>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79" w:type="pct"/>
            <w:vAlign w:val="center"/>
          </w:tcPr>
          <w:p w14:paraId="76E9D97F" w14:textId="10065C4F" w:rsidR="00665280" w:rsidRPr="0069252F" w:rsidRDefault="001F03AF" w:rsidP="00AB32A3">
            <w:pPr>
              <w:pStyle w:val="TableText"/>
              <w:keepNext w:val="0"/>
              <w:ind w:left="-70" w:right="-81"/>
              <w:jc w:val="center"/>
              <w:rPr>
                <w:rFonts w:cs="Calibri"/>
                <w:b/>
                <w:bCs w:val="0"/>
                <w:iCs/>
                <w:color w:val="000000"/>
                <w:szCs w:val="20"/>
                <w:highlight w:val="darkGray"/>
              </w:rPr>
            </w:pPr>
            <w:r w:rsidRPr="001F03AF">
              <w:rPr>
                <w:rFonts w:cs="Calibri"/>
                <w:b/>
                <w:bCs w:val="0"/>
                <w:iCs/>
                <w:color w:val="000000"/>
                <w:spacing w:val="96"/>
                <w:szCs w:val="20"/>
                <w:shd w:val="solid" w:color="000000" w:fill="000000"/>
                <w:fitText w:val="188" w:id="-1435807230"/>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8" w:id="-1435807230"/>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c>
          <w:tcPr>
            <w:tcW w:w="580" w:type="pct"/>
            <w:vAlign w:val="center"/>
          </w:tcPr>
          <w:p w14:paraId="0449DF37" w14:textId="35009C84" w:rsidR="00665280" w:rsidRPr="0069252F" w:rsidRDefault="001F03AF" w:rsidP="00AB32A3">
            <w:pPr>
              <w:pStyle w:val="TableText"/>
              <w:keepNext w:val="0"/>
              <w:ind w:left="-70" w:right="-81"/>
              <w:jc w:val="center"/>
              <w:rPr>
                <w:rFonts w:cs="Calibri"/>
                <w:b/>
                <w:bCs w:val="0"/>
                <w:iCs/>
                <w:color w:val="000000"/>
                <w:szCs w:val="20"/>
                <w:highlight w:val="darkGray"/>
              </w:rPr>
            </w:pPr>
            <w:r w:rsidRPr="001F03AF">
              <w:rPr>
                <w:rFonts w:cs="Calibri"/>
                <w:b/>
                <w:bCs w:val="0"/>
                <w:iCs/>
                <w:color w:val="000000"/>
                <w:spacing w:val="96"/>
                <w:szCs w:val="20"/>
                <w:shd w:val="solid" w:color="000000" w:fill="000000"/>
                <w:fitText w:val="188" w:id="-1435807229"/>
                <w14:textFill>
                  <w14:solidFill>
                    <w14:srgbClr w14:val="000000">
                      <w14:alpha w14:val="100000"/>
                    </w14:srgbClr>
                  </w14:solidFill>
                </w14:textFill>
              </w:rPr>
              <w:t>|</w:t>
            </w:r>
            <w:r w:rsidRPr="001F03AF">
              <w:rPr>
                <w:rFonts w:cs="Calibri"/>
                <w:b/>
                <w:bCs w:val="0"/>
                <w:iCs/>
                <w:color w:val="000000"/>
                <w:spacing w:val="1"/>
                <w:szCs w:val="20"/>
                <w:shd w:val="solid" w:color="000000" w:fill="000000"/>
                <w:fitText w:val="188" w:id="-1435807229"/>
                <w14:textFill>
                  <w14:solidFill>
                    <w14:srgbClr w14:val="000000">
                      <w14:alpha w14:val="100000"/>
                    </w14:srgbClr>
                  </w14:solidFill>
                </w14:textFill>
              </w:rPr>
              <w:t>|</w:t>
            </w:r>
            <w:r w:rsidR="00045417">
              <w:rPr>
                <w:szCs w:val="20"/>
                <w:vertAlign w:val="superscript"/>
              </w:rPr>
              <w:t>1</w:t>
            </w:r>
            <w:r w:rsidR="00B23ADD">
              <w:rPr>
                <w:szCs w:val="20"/>
                <w:vertAlign w:val="superscript"/>
              </w:rPr>
              <w:t>0</w:t>
            </w:r>
          </w:p>
        </w:tc>
      </w:tr>
    </w:tbl>
    <w:p w14:paraId="5805E873" w14:textId="1279AC9C" w:rsidR="00665280" w:rsidRPr="003A7F84" w:rsidRDefault="00665280" w:rsidP="00665280">
      <w:pPr>
        <w:pStyle w:val="TableFigureFooter"/>
      </w:pPr>
      <w:r w:rsidRPr="003A7F84">
        <w:t xml:space="preserve">Source: </w:t>
      </w:r>
      <w:r w:rsidR="004348B1" w:rsidRPr="003A7F84">
        <w:t xml:space="preserve">Constructed during the evaluation using </w:t>
      </w:r>
      <w:r w:rsidR="0043371C" w:rsidRPr="003A7F84">
        <w:t xml:space="preserve">the Attachment 14 </w:t>
      </w:r>
      <w:r w:rsidR="001E24C6" w:rsidRPr="003A7F84">
        <w:t>of the submission</w:t>
      </w:r>
      <w:r w:rsidR="0043371C" w:rsidRPr="003A7F84">
        <w:t>- Section 4 model</w:t>
      </w:r>
      <w:r w:rsidR="004348B1" w:rsidRPr="003A7F84">
        <w:t>.</w:t>
      </w:r>
    </w:p>
    <w:p w14:paraId="75B35B5E" w14:textId="77777777" w:rsidR="00665280" w:rsidRPr="003A7F84" w:rsidRDefault="00665280" w:rsidP="00665280">
      <w:pPr>
        <w:pStyle w:val="TableFigureFooter"/>
      </w:pPr>
      <w:r w:rsidRPr="003A7F84">
        <w:t>Abbreviations: GCSE, generalised convulsive status epilepticus; PBS, Pharmaceutical Benefits Scheme; RPBS, Repatriation Pharmaceutical Benefits Scheme.</w:t>
      </w:r>
    </w:p>
    <w:p w14:paraId="566B67A5" w14:textId="289C8666" w:rsidR="00644341" w:rsidRDefault="00665280" w:rsidP="00486B63">
      <w:pPr>
        <w:pStyle w:val="TableFigureFooter"/>
      </w:pPr>
      <w:proofErr w:type="gramStart"/>
      <w:r w:rsidRPr="003A7F84">
        <w:rPr>
          <w:vertAlign w:val="superscript"/>
        </w:rPr>
        <w:t>a</w:t>
      </w:r>
      <w:proofErr w:type="gramEnd"/>
      <w:r w:rsidRPr="003A7F84">
        <w:t xml:space="preserve"> Incident and prevalent cohorts calculated using the same methods as applied for patients with index events in Years 1-6.</w:t>
      </w:r>
    </w:p>
    <w:p w14:paraId="0C245FEE" w14:textId="77777777" w:rsidR="00B23ADD" w:rsidRPr="001708CE" w:rsidRDefault="00B23ADD" w:rsidP="00B23ADD">
      <w:pPr>
        <w:pStyle w:val="TableFigureFooter"/>
        <w:keepNext/>
        <w:spacing w:after="0"/>
        <w:contextualSpacing w:val="0"/>
        <w:rPr>
          <w:i/>
        </w:rPr>
      </w:pPr>
      <w:r w:rsidRPr="001708CE">
        <w:rPr>
          <w:i/>
        </w:rPr>
        <w:t>The redacted values correspond to the following ranges:</w:t>
      </w:r>
    </w:p>
    <w:p w14:paraId="6A80DAB7" w14:textId="77777777" w:rsidR="00B23ADD" w:rsidRPr="00281DAB" w:rsidRDefault="00B23ADD" w:rsidP="00B23ADD">
      <w:pPr>
        <w:pStyle w:val="TableFigureFooter"/>
        <w:keepNext/>
        <w:spacing w:after="0"/>
        <w:contextualSpacing w:val="0"/>
      </w:pPr>
      <w:r w:rsidRPr="001708CE">
        <w:rPr>
          <w:i/>
          <w:szCs w:val="18"/>
          <w:vertAlign w:val="superscript"/>
        </w:rPr>
        <w:t>1</w:t>
      </w:r>
      <w:r w:rsidRPr="001708CE">
        <w:rPr>
          <w:i/>
          <w:szCs w:val="18"/>
        </w:rPr>
        <w:t xml:space="preserve"> 500 &lt;5,000</w:t>
      </w:r>
    </w:p>
    <w:p w14:paraId="6C539397" w14:textId="77777777" w:rsidR="00B23ADD" w:rsidRPr="001708CE" w:rsidRDefault="00B23ADD" w:rsidP="00B23ADD">
      <w:pPr>
        <w:rPr>
          <w:rFonts w:ascii="Arial Narrow" w:hAnsi="Arial Narrow"/>
          <w:i/>
          <w:sz w:val="18"/>
          <w:szCs w:val="18"/>
        </w:rPr>
      </w:pPr>
      <w:r w:rsidRPr="001708CE">
        <w:rPr>
          <w:rFonts w:ascii="Arial Narrow" w:hAnsi="Arial Narrow"/>
          <w:i/>
          <w:sz w:val="18"/>
          <w:szCs w:val="18"/>
          <w:vertAlign w:val="superscript"/>
        </w:rPr>
        <w:t>2</w:t>
      </w:r>
      <w:r w:rsidRPr="001708CE">
        <w:rPr>
          <w:rFonts w:ascii="Arial Narrow" w:hAnsi="Arial Narrow"/>
          <w:i/>
          <w:sz w:val="18"/>
          <w:szCs w:val="18"/>
        </w:rPr>
        <w:t xml:space="preserve"> &lt;500</w:t>
      </w:r>
    </w:p>
    <w:p w14:paraId="5D520463" w14:textId="11C417A7" w:rsidR="00B23ADD" w:rsidRPr="001708CE" w:rsidRDefault="00B23ADD" w:rsidP="00B23ADD">
      <w:pPr>
        <w:rPr>
          <w:rFonts w:ascii="Arial Narrow" w:hAnsi="Arial Narrow"/>
          <w:i/>
          <w:sz w:val="18"/>
          <w:szCs w:val="18"/>
        </w:rPr>
      </w:pPr>
      <w:r w:rsidRPr="001708CE">
        <w:rPr>
          <w:rFonts w:ascii="Arial Narrow" w:hAnsi="Arial Narrow"/>
          <w:i/>
          <w:sz w:val="18"/>
          <w:szCs w:val="18"/>
          <w:vertAlign w:val="superscript"/>
        </w:rPr>
        <w:t xml:space="preserve">3 </w:t>
      </w:r>
      <w:r w:rsidRPr="00B23ADD">
        <w:rPr>
          <w:rFonts w:ascii="Arial Narrow" w:hAnsi="Arial Narrow"/>
          <w:i/>
          <w:sz w:val="18"/>
          <w:szCs w:val="18"/>
        </w:rPr>
        <w:t>5,000 to &lt; 10,000</w:t>
      </w:r>
    </w:p>
    <w:p w14:paraId="2E7F1F9C" w14:textId="6BF61F0A" w:rsidR="00B23ADD" w:rsidRPr="001708CE" w:rsidRDefault="00B23ADD" w:rsidP="00B23ADD">
      <w:pPr>
        <w:rPr>
          <w:rFonts w:ascii="Arial Narrow" w:hAnsi="Arial Narrow"/>
          <w:i/>
          <w:sz w:val="18"/>
          <w:szCs w:val="18"/>
        </w:rPr>
      </w:pPr>
      <w:r w:rsidRPr="001708CE">
        <w:rPr>
          <w:rFonts w:ascii="Arial Narrow" w:hAnsi="Arial Narrow"/>
          <w:i/>
          <w:sz w:val="18"/>
          <w:szCs w:val="18"/>
          <w:vertAlign w:val="superscript"/>
        </w:rPr>
        <w:t xml:space="preserve">4 </w:t>
      </w:r>
      <w:r w:rsidRPr="00B23ADD">
        <w:rPr>
          <w:rFonts w:ascii="Arial Narrow" w:hAnsi="Arial Narrow"/>
          <w:i/>
          <w:sz w:val="18"/>
          <w:szCs w:val="18"/>
        </w:rPr>
        <w:t>10,000 to &lt; 20,000</w:t>
      </w:r>
    </w:p>
    <w:p w14:paraId="5DEC6EC0" w14:textId="2E5C376C" w:rsidR="00B23ADD" w:rsidRPr="001708CE" w:rsidRDefault="00B23ADD" w:rsidP="00B23ADD">
      <w:pPr>
        <w:rPr>
          <w:rFonts w:ascii="Arial Narrow" w:hAnsi="Arial Narrow"/>
          <w:i/>
          <w:sz w:val="18"/>
          <w:szCs w:val="18"/>
        </w:rPr>
      </w:pPr>
      <w:r w:rsidRPr="001708CE">
        <w:rPr>
          <w:rFonts w:ascii="Arial Narrow" w:hAnsi="Arial Narrow"/>
          <w:i/>
          <w:sz w:val="18"/>
          <w:szCs w:val="18"/>
          <w:vertAlign w:val="superscript"/>
        </w:rPr>
        <w:t>5</w:t>
      </w:r>
      <w:r w:rsidRPr="001708CE">
        <w:rPr>
          <w:rFonts w:ascii="Arial Narrow" w:hAnsi="Arial Narrow"/>
          <w:i/>
          <w:sz w:val="18"/>
          <w:szCs w:val="18"/>
        </w:rPr>
        <w:t xml:space="preserve"> </w:t>
      </w:r>
      <w:r w:rsidR="000B32C9" w:rsidRPr="000B32C9">
        <w:rPr>
          <w:rFonts w:ascii="Arial Narrow" w:hAnsi="Arial Narrow"/>
          <w:i/>
          <w:sz w:val="18"/>
          <w:szCs w:val="18"/>
        </w:rPr>
        <w:t>20,000 to &lt; 30,000</w:t>
      </w:r>
    </w:p>
    <w:p w14:paraId="526195BD" w14:textId="437C120C" w:rsidR="00B23ADD" w:rsidRPr="001708CE" w:rsidRDefault="00B23ADD" w:rsidP="00B23ADD">
      <w:pPr>
        <w:rPr>
          <w:rFonts w:ascii="Arial Narrow" w:hAnsi="Arial Narrow"/>
          <w:i/>
          <w:sz w:val="18"/>
          <w:szCs w:val="18"/>
        </w:rPr>
      </w:pPr>
      <w:r w:rsidRPr="001708CE">
        <w:rPr>
          <w:rFonts w:ascii="Arial Narrow" w:hAnsi="Arial Narrow"/>
          <w:i/>
          <w:sz w:val="18"/>
          <w:szCs w:val="18"/>
          <w:vertAlign w:val="superscript"/>
        </w:rPr>
        <w:t xml:space="preserve">6 </w:t>
      </w:r>
      <w:r w:rsidR="000B32C9" w:rsidRPr="000B32C9">
        <w:rPr>
          <w:rFonts w:ascii="Arial Narrow" w:hAnsi="Arial Narrow"/>
          <w:i/>
          <w:sz w:val="18"/>
          <w:szCs w:val="18"/>
        </w:rPr>
        <w:t>30,000 to &lt; 40,000</w:t>
      </w:r>
    </w:p>
    <w:p w14:paraId="04BA5346" w14:textId="09CD2650" w:rsidR="00B23ADD" w:rsidRPr="001708CE" w:rsidRDefault="00B23ADD" w:rsidP="00B23ADD">
      <w:pPr>
        <w:rPr>
          <w:rFonts w:ascii="Arial Narrow" w:hAnsi="Arial Narrow"/>
          <w:i/>
          <w:sz w:val="18"/>
          <w:szCs w:val="18"/>
          <w:vertAlign w:val="superscript"/>
        </w:rPr>
      </w:pPr>
      <w:r w:rsidRPr="001708CE">
        <w:rPr>
          <w:rFonts w:ascii="Arial Narrow" w:hAnsi="Arial Narrow"/>
          <w:i/>
          <w:sz w:val="18"/>
          <w:szCs w:val="18"/>
          <w:vertAlign w:val="superscript"/>
        </w:rPr>
        <w:t xml:space="preserve">7 </w:t>
      </w:r>
      <w:r w:rsidR="000B32C9" w:rsidRPr="000B32C9">
        <w:rPr>
          <w:rFonts w:ascii="Arial Narrow" w:hAnsi="Arial Narrow"/>
          <w:i/>
          <w:sz w:val="18"/>
          <w:szCs w:val="18"/>
        </w:rPr>
        <w:t>40,000 to &lt; 50,000</w:t>
      </w:r>
    </w:p>
    <w:p w14:paraId="7B194F36" w14:textId="1E437746" w:rsidR="00B23ADD" w:rsidRPr="001708CE" w:rsidRDefault="00B23ADD" w:rsidP="00B23ADD">
      <w:pPr>
        <w:rPr>
          <w:rFonts w:ascii="Arial Narrow" w:hAnsi="Arial Narrow"/>
          <w:i/>
          <w:sz w:val="18"/>
          <w:szCs w:val="18"/>
          <w:vertAlign w:val="superscript"/>
        </w:rPr>
      </w:pPr>
      <w:r w:rsidRPr="001708CE">
        <w:rPr>
          <w:rFonts w:ascii="Arial Narrow" w:hAnsi="Arial Narrow"/>
          <w:sz w:val="18"/>
          <w:szCs w:val="18"/>
          <w:vertAlign w:val="superscript"/>
        </w:rPr>
        <w:t xml:space="preserve">8 </w:t>
      </w:r>
      <w:r w:rsidR="000B32C9" w:rsidRPr="000B32C9">
        <w:rPr>
          <w:rFonts w:ascii="Arial Narrow" w:hAnsi="Arial Narrow"/>
          <w:i/>
          <w:sz w:val="18"/>
          <w:szCs w:val="18"/>
        </w:rPr>
        <w:t>50,000 to &lt; 60,000</w:t>
      </w:r>
    </w:p>
    <w:p w14:paraId="1500BFF5" w14:textId="1D43725A" w:rsidR="00B23ADD" w:rsidRPr="001708CE" w:rsidRDefault="00B23ADD" w:rsidP="00B23ADD">
      <w:pPr>
        <w:rPr>
          <w:rFonts w:ascii="Arial Narrow" w:hAnsi="Arial Narrow"/>
          <w:i/>
          <w:sz w:val="18"/>
          <w:szCs w:val="18"/>
        </w:rPr>
      </w:pPr>
      <w:r w:rsidRPr="001708CE">
        <w:rPr>
          <w:rFonts w:ascii="Arial Narrow" w:hAnsi="Arial Narrow"/>
          <w:sz w:val="18"/>
          <w:szCs w:val="18"/>
          <w:vertAlign w:val="superscript"/>
        </w:rPr>
        <w:t>9</w:t>
      </w:r>
      <w:r>
        <w:rPr>
          <w:rFonts w:ascii="Arial Narrow" w:hAnsi="Arial Narrow"/>
          <w:sz w:val="18"/>
          <w:szCs w:val="18"/>
          <w:vertAlign w:val="superscript"/>
        </w:rPr>
        <w:t xml:space="preserve"> </w:t>
      </w:r>
      <w:r w:rsidR="000B32C9" w:rsidRPr="000B32C9">
        <w:rPr>
          <w:rFonts w:ascii="Arial Narrow" w:hAnsi="Arial Narrow"/>
          <w:i/>
          <w:sz w:val="18"/>
          <w:szCs w:val="18"/>
        </w:rPr>
        <w:t>60,000 to &lt; 70,000</w:t>
      </w:r>
    </w:p>
    <w:p w14:paraId="2FD279D7" w14:textId="0A0FB4BF" w:rsidR="00B23ADD" w:rsidRDefault="00B23ADD" w:rsidP="00B23ADD">
      <w:pPr>
        <w:rPr>
          <w:rFonts w:ascii="Arial Narrow" w:hAnsi="Arial Narrow"/>
          <w:i/>
          <w:sz w:val="18"/>
          <w:szCs w:val="18"/>
        </w:rPr>
      </w:pPr>
      <w:r w:rsidRPr="001708CE">
        <w:rPr>
          <w:rFonts w:ascii="Arial Narrow" w:hAnsi="Arial Narrow"/>
          <w:i/>
          <w:sz w:val="18"/>
          <w:szCs w:val="18"/>
          <w:vertAlign w:val="superscript"/>
        </w:rPr>
        <w:t>10</w:t>
      </w:r>
      <w:r w:rsidRPr="001708CE">
        <w:rPr>
          <w:rFonts w:ascii="Arial Narrow" w:hAnsi="Arial Narrow"/>
          <w:i/>
          <w:sz w:val="18"/>
          <w:szCs w:val="18"/>
        </w:rPr>
        <w:t xml:space="preserve"> $</w:t>
      </w:r>
      <w:r w:rsidR="000B32C9" w:rsidRPr="000B32C9">
        <w:rPr>
          <w:rFonts w:ascii="Arial Narrow" w:hAnsi="Arial Narrow"/>
          <w:i/>
          <w:sz w:val="18"/>
          <w:szCs w:val="18"/>
        </w:rPr>
        <w:t>0 to &lt; $10 million</w:t>
      </w:r>
    </w:p>
    <w:p w14:paraId="54889C93" w14:textId="77777777" w:rsidR="00B23ADD" w:rsidRPr="001708CE" w:rsidRDefault="00B23ADD" w:rsidP="00B23ADD">
      <w:pPr>
        <w:rPr>
          <w:rFonts w:ascii="Arial Narrow" w:hAnsi="Arial Narrow"/>
          <w:i/>
          <w:sz w:val="18"/>
          <w:szCs w:val="18"/>
        </w:rPr>
      </w:pPr>
    </w:p>
    <w:p w14:paraId="75586731" w14:textId="4EB04853" w:rsidR="000902D9" w:rsidRPr="003A7F84" w:rsidRDefault="00486B63" w:rsidP="00D244B6">
      <w:pPr>
        <w:pStyle w:val="ExecSumBodyText"/>
      </w:pPr>
      <w:bookmarkStart w:id="54" w:name="_Ref106272548"/>
      <w:r w:rsidRPr="003A7F84">
        <w:t xml:space="preserve">The estimated net cost to the PBS/RPBS was </w:t>
      </w:r>
      <w:r w:rsidR="00FE14F2" w:rsidRPr="00DC0506">
        <w:t xml:space="preserve">$0 to &lt; $10 million </w:t>
      </w:r>
      <w:r w:rsidRPr="003A7F84">
        <w:t xml:space="preserve">in Year 1, increasing to </w:t>
      </w:r>
      <w:r w:rsidR="00FE14F2" w:rsidRPr="00DC0506">
        <w:t xml:space="preserve">$0 to &lt; $10 million </w:t>
      </w:r>
      <w:r w:rsidRPr="003A7F84">
        <w:t xml:space="preserve">in Year 6, </w:t>
      </w:r>
      <w:r w:rsidR="007A7163" w:rsidRPr="003A7F84">
        <w:t xml:space="preserve">and </w:t>
      </w:r>
      <w:r w:rsidRPr="003A7F84">
        <w:t xml:space="preserve">a total of </w:t>
      </w:r>
      <w:r w:rsidR="00FE14F2" w:rsidRPr="00DC0506">
        <w:t xml:space="preserve">$10 million to &lt; $20 million </w:t>
      </w:r>
      <w:r w:rsidRPr="003A7F84">
        <w:t xml:space="preserve">over 6 years (corrected during the evaluation). The submission estimated a net cost to the PBS/RPBS of </w:t>
      </w:r>
      <w:r w:rsidR="00FE14F2" w:rsidRPr="00DC0506">
        <w:t xml:space="preserve">$0 to &lt; $10 million </w:t>
      </w:r>
      <w:r w:rsidRPr="003A7F84">
        <w:t xml:space="preserve">in Year 1, increasing to </w:t>
      </w:r>
      <w:r w:rsidR="00FE14F2" w:rsidRPr="00DC0506">
        <w:t xml:space="preserve">$10 million to &lt; $20 million </w:t>
      </w:r>
      <w:r w:rsidRPr="003A7F84">
        <w:t xml:space="preserve">in Year 6, </w:t>
      </w:r>
      <w:r w:rsidR="007A7163" w:rsidRPr="003A7F84">
        <w:t xml:space="preserve">and </w:t>
      </w:r>
      <w:r w:rsidRPr="003A7F84">
        <w:t xml:space="preserve">a total of </w:t>
      </w:r>
      <w:r w:rsidR="00FE14F2" w:rsidRPr="00DC0506">
        <w:t xml:space="preserve">$30 million to &lt; $40 million </w:t>
      </w:r>
      <w:r w:rsidRPr="003A7F84">
        <w:t>over 6 years (uncorrected).</w:t>
      </w:r>
      <w:bookmarkEnd w:id="54"/>
    </w:p>
    <w:p w14:paraId="7AF4D150" w14:textId="2C864620" w:rsidR="00F22CEC" w:rsidRPr="003A7F84" w:rsidRDefault="00486B63" w:rsidP="00F22CEC">
      <w:pPr>
        <w:pStyle w:val="ExecSumBodyText"/>
        <w:contextualSpacing/>
        <w:rPr>
          <w:iCs/>
        </w:rPr>
      </w:pPr>
      <w:bookmarkStart w:id="55" w:name="_Ref106272372"/>
      <w:r w:rsidRPr="003A7F84">
        <w:rPr>
          <w:iCs/>
        </w:rPr>
        <w:t>The estimated cost of midazolam oromuc</w:t>
      </w:r>
      <w:r w:rsidR="00F22CEC" w:rsidRPr="003A7F84">
        <w:rPr>
          <w:iCs/>
        </w:rPr>
        <w:t>o</w:t>
      </w:r>
      <w:r w:rsidRPr="003A7F84">
        <w:rPr>
          <w:iCs/>
        </w:rPr>
        <w:t>sal solution to the PBS/RPBS is highly uncertain, and may not be reliable</w:t>
      </w:r>
      <w:r w:rsidR="00F22CEC" w:rsidRPr="003A7F84">
        <w:rPr>
          <w:iCs/>
        </w:rPr>
        <w:t>:</w:t>
      </w:r>
      <w:bookmarkEnd w:id="55"/>
    </w:p>
    <w:p w14:paraId="74BFA887" w14:textId="5DB689B5" w:rsidR="00486B63" w:rsidRPr="003A7F84" w:rsidRDefault="004129C9" w:rsidP="002912B0">
      <w:pPr>
        <w:pStyle w:val="ExecSumBodyText"/>
        <w:numPr>
          <w:ilvl w:val="1"/>
          <w:numId w:val="14"/>
        </w:numPr>
        <w:ind w:left="1077" w:hanging="357"/>
        <w:contextualSpacing/>
        <w:rPr>
          <w:iCs/>
        </w:rPr>
      </w:pPr>
      <w:r w:rsidRPr="003A7F84">
        <w:rPr>
          <w:iCs/>
        </w:rPr>
        <w:t>M</w:t>
      </w:r>
      <w:r w:rsidR="00486B63" w:rsidRPr="003A7F84">
        <w:rPr>
          <w:iCs/>
        </w:rPr>
        <w:t>any of the assumptions underpinning the estimated eligible population were derived from observational data from 1972-1997</w:t>
      </w:r>
      <w:r w:rsidR="00B93D8E" w:rsidRPr="003A7F84">
        <w:rPr>
          <w:iCs/>
        </w:rPr>
        <w:t xml:space="preserve"> (Sillan</w:t>
      </w:r>
      <w:r w:rsidR="00F74235" w:rsidRPr="003A7F84">
        <w:rPr>
          <w:iCs/>
        </w:rPr>
        <w:t>paa 2002)</w:t>
      </w:r>
      <w:r w:rsidR="00486B63" w:rsidRPr="003A7F84">
        <w:rPr>
          <w:iCs/>
        </w:rPr>
        <w:t xml:space="preserve">, </w:t>
      </w:r>
      <w:r w:rsidR="00AD34C7" w:rsidRPr="003A7F84">
        <w:rPr>
          <w:iCs/>
        </w:rPr>
        <w:t>which</w:t>
      </w:r>
      <w:r w:rsidRPr="003A7F84">
        <w:rPr>
          <w:iCs/>
        </w:rPr>
        <w:t xml:space="preserve"> do not reflect contemporary Australian clinical practice</w:t>
      </w:r>
      <w:r w:rsidR="00486B63" w:rsidRPr="003A7F84">
        <w:rPr>
          <w:iCs/>
        </w:rPr>
        <w:t xml:space="preserve">. </w:t>
      </w:r>
    </w:p>
    <w:p w14:paraId="267F876D" w14:textId="77777777" w:rsidR="00F74235" w:rsidRPr="003A7F84" w:rsidRDefault="00F74235" w:rsidP="002912B0">
      <w:pPr>
        <w:pStyle w:val="ExecSumBodyText"/>
        <w:numPr>
          <w:ilvl w:val="1"/>
          <w:numId w:val="14"/>
        </w:numPr>
        <w:ind w:left="1077" w:hanging="357"/>
        <w:contextualSpacing/>
        <w:rPr>
          <w:iCs/>
        </w:rPr>
      </w:pPr>
      <w:r w:rsidRPr="003A7F84">
        <w:rPr>
          <w:iCs/>
        </w:rPr>
        <w:t>The uptake of midazolam oromucosal solution was assumed, and highly uncertain.</w:t>
      </w:r>
    </w:p>
    <w:p w14:paraId="77B1305C" w14:textId="5FAB98DD" w:rsidR="00486B63" w:rsidRPr="003A7F84" w:rsidRDefault="00486B63" w:rsidP="002912B0">
      <w:pPr>
        <w:pStyle w:val="ExecSumBodyText"/>
        <w:numPr>
          <w:ilvl w:val="1"/>
          <w:numId w:val="14"/>
        </w:numPr>
        <w:ind w:left="1077" w:hanging="357"/>
        <w:contextualSpacing/>
        <w:rPr>
          <w:iCs/>
        </w:rPr>
      </w:pPr>
      <w:r w:rsidRPr="003A7F84">
        <w:rPr>
          <w:iCs/>
        </w:rPr>
        <w:t>The estimated numbers of scripts required to replace used and expired supply was most likely underestimated</w:t>
      </w:r>
      <w:r w:rsidR="00E211CA" w:rsidRPr="003A7F84">
        <w:rPr>
          <w:iCs/>
        </w:rPr>
        <w:t>, and</w:t>
      </w:r>
      <w:r w:rsidRPr="003A7F84">
        <w:rPr>
          <w:iCs/>
        </w:rPr>
        <w:t xml:space="preserve"> the likelihood of a second dose of midazolam being used was not adequately considered in the submission.</w:t>
      </w:r>
    </w:p>
    <w:p w14:paraId="41F02D90" w14:textId="1EE9A093" w:rsidR="001671A0" w:rsidRPr="003A7F84" w:rsidRDefault="00486B63" w:rsidP="002912B0">
      <w:pPr>
        <w:pStyle w:val="ExecSumBodyText"/>
        <w:numPr>
          <w:ilvl w:val="1"/>
          <w:numId w:val="14"/>
        </w:numPr>
        <w:ind w:left="1077" w:hanging="357"/>
        <w:rPr>
          <w:iCs/>
        </w:rPr>
      </w:pPr>
      <w:r w:rsidRPr="003A7F84">
        <w:rPr>
          <w:iCs/>
        </w:rPr>
        <w:t>The prevalent cohort only included patients diagnosed with epilepsy in the 6 years</w:t>
      </w:r>
      <w:r w:rsidR="00AD34C7" w:rsidRPr="003A7F84">
        <w:rPr>
          <w:iCs/>
        </w:rPr>
        <w:t xml:space="preserve"> prior to listing</w:t>
      </w:r>
      <w:r w:rsidRPr="003A7F84">
        <w:rPr>
          <w:iCs/>
        </w:rPr>
        <w:t>. This excluded patients diagnosed with epilepsy more than 6 years ago who may have experienced a recent GCSE event, and would be eligible for treatment under the proposed restriction.</w:t>
      </w:r>
    </w:p>
    <w:p w14:paraId="665257F8" w14:textId="0F7BCA82" w:rsidR="00C11013" w:rsidRPr="003A7F84" w:rsidRDefault="00C11013" w:rsidP="00833F15">
      <w:pPr>
        <w:pStyle w:val="ExecSumBodyText"/>
      </w:pPr>
      <w:bookmarkStart w:id="56" w:name="_Ref106296102"/>
      <w:r w:rsidRPr="003A7F84">
        <w:t xml:space="preserve">The ESC </w:t>
      </w:r>
      <w:r w:rsidR="00833F15" w:rsidRPr="003A7F84">
        <w:t xml:space="preserve">considered that the corrections made by the commentary were appropriate, and </w:t>
      </w:r>
      <w:r w:rsidR="00871DE2" w:rsidRPr="003A7F84">
        <w:t xml:space="preserve">noted </w:t>
      </w:r>
      <w:r w:rsidR="00833F15" w:rsidRPr="003A7F84">
        <w:t xml:space="preserve">the </w:t>
      </w:r>
      <w:r w:rsidR="00871DE2" w:rsidRPr="003A7F84">
        <w:t>uncertainties</w:t>
      </w:r>
      <w:r w:rsidR="00833F15" w:rsidRPr="003A7F84">
        <w:t xml:space="preserve"> </w:t>
      </w:r>
      <w:r w:rsidR="00871DE2" w:rsidRPr="003A7F84">
        <w:t xml:space="preserve">in the financial estimates as described in </w:t>
      </w:r>
      <w:r w:rsidR="00833F15" w:rsidRPr="003A7F84">
        <w:t xml:space="preserve">paragraph </w:t>
      </w:r>
      <w:r w:rsidR="00833F15" w:rsidRPr="003A7F84">
        <w:fldChar w:fldCharType="begin"/>
      </w:r>
      <w:r w:rsidR="00833F15" w:rsidRPr="003A7F84">
        <w:instrText xml:space="preserve"> REF _Ref106272372 \r \h  \* MERGEFORMAT </w:instrText>
      </w:r>
      <w:r w:rsidR="00833F15" w:rsidRPr="003A7F84">
        <w:fldChar w:fldCharType="separate"/>
      </w:r>
      <w:r w:rsidR="009466A1">
        <w:t>6.55</w:t>
      </w:r>
      <w:r w:rsidR="00833F15" w:rsidRPr="003A7F84">
        <w:fldChar w:fldCharType="end"/>
      </w:r>
      <w:r w:rsidR="00833F15" w:rsidRPr="003A7F84">
        <w:t xml:space="preserve">.  The ESC considered that the corrected estimates remained highly uncertain and possibly underestimated. The ESC noted that the corrected estimates (total of $12.5 million over 6 years), were considerably lower than the estimates in the submission (total of $39.8 million over 6 years, see paragraph </w:t>
      </w:r>
      <w:r w:rsidR="00833F15" w:rsidRPr="003A7F84">
        <w:fldChar w:fldCharType="begin"/>
      </w:r>
      <w:r w:rsidR="00833F15" w:rsidRPr="003A7F84">
        <w:instrText xml:space="preserve"> REF _Ref106272548 \r \h  \* MERGEFORMAT </w:instrText>
      </w:r>
      <w:r w:rsidR="00833F15" w:rsidRPr="003A7F84">
        <w:fldChar w:fldCharType="separate"/>
      </w:r>
      <w:r w:rsidR="009466A1">
        <w:t>6.54</w:t>
      </w:r>
      <w:r w:rsidR="00833F15" w:rsidRPr="003A7F84">
        <w:fldChar w:fldCharType="end"/>
      </w:r>
      <w:r w:rsidR="00833F15" w:rsidRPr="003A7F84">
        <w:t>).</w:t>
      </w:r>
      <w:r w:rsidR="008F00FA" w:rsidRPr="003A7F84">
        <w:t xml:space="preserve">  The ESC noted that </w:t>
      </w:r>
      <w:r w:rsidR="00103784" w:rsidRPr="003A7F84">
        <w:t xml:space="preserve">the estimates assumed a maximum quantity of one pen, and that if the maximum quantity was changed there may be additional </w:t>
      </w:r>
      <w:r w:rsidR="00186485" w:rsidRPr="003A7F84">
        <w:t xml:space="preserve">costs </w:t>
      </w:r>
      <w:r w:rsidR="006C001A" w:rsidRPr="003A7F84">
        <w:t>because of</w:t>
      </w:r>
      <w:r w:rsidR="00186485" w:rsidRPr="003A7F84">
        <w:t xml:space="preserve"> </w:t>
      </w:r>
      <w:r w:rsidR="00103784" w:rsidRPr="003A7F84">
        <w:t xml:space="preserve">wastage (see paragraph </w:t>
      </w:r>
      <w:r w:rsidR="00103784" w:rsidRPr="003A7F84">
        <w:fldChar w:fldCharType="begin"/>
      </w:r>
      <w:r w:rsidR="00103784" w:rsidRPr="003A7F84">
        <w:instrText xml:space="preserve"> REF _Ref106291096 \r \h </w:instrText>
      </w:r>
      <w:r w:rsidR="00103784" w:rsidRPr="003A7F84">
        <w:fldChar w:fldCharType="separate"/>
      </w:r>
      <w:r w:rsidR="009466A1">
        <w:t>3.2</w:t>
      </w:r>
      <w:r w:rsidR="00103784" w:rsidRPr="003A7F84">
        <w:fldChar w:fldCharType="end"/>
      </w:r>
      <w:r w:rsidR="00103784" w:rsidRPr="003A7F84">
        <w:t>).</w:t>
      </w:r>
      <w:bookmarkEnd w:id="56"/>
    </w:p>
    <w:p w14:paraId="07981FCB" w14:textId="7DE86C83" w:rsidR="003A3A66" w:rsidRPr="003A7F84" w:rsidRDefault="00677408" w:rsidP="00A05D7E">
      <w:pPr>
        <w:pStyle w:val="ExecSumBodyText"/>
      </w:pPr>
      <w:bookmarkStart w:id="57" w:name="_Ref109576491"/>
      <w:bookmarkStart w:id="58" w:name="_Ref109662310"/>
      <w:r w:rsidRPr="003A7F84">
        <w:t xml:space="preserve">The PBAC noted that the </w:t>
      </w:r>
      <w:bookmarkEnd w:id="57"/>
      <w:r w:rsidR="003A3A66" w:rsidRPr="003A7F84">
        <w:t>u</w:t>
      </w:r>
      <w:r w:rsidR="003A3A66" w:rsidRPr="003A7F84">
        <w:rPr>
          <w:bCs/>
        </w:rPr>
        <w:t>tilisation estimates provided in the submission appeared low in comparison to the utilisation statistics reported by the National Paediatric Medicines Forum which was submitted via consumer comments (see paragraph</w:t>
      </w:r>
      <w:r w:rsidR="00EC2F96" w:rsidRPr="003A7F84">
        <w:rPr>
          <w:bCs/>
        </w:rPr>
        <w:t xml:space="preserve"> </w:t>
      </w:r>
      <w:r w:rsidR="00EC2F96" w:rsidRPr="003A7F84">
        <w:rPr>
          <w:bCs/>
        </w:rPr>
        <w:fldChar w:fldCharType="begin"/>
      </w:r>
      <w:r w:rsidR="00EC2F96" w:rsidRPr="003A7F84">
        <w:rPr>
          <w:bCs/>
        </w:rPr>
        <w:instrText xml:space="preserve"> REF _Ref109576584 \r \h </w:instrText>
      </w:r>
      <w:r w:rsidR="00EC2F96" w:rsidRPr="003A7F84">
        <w:rPr>
          <w:bCs/>
        </w:rPr>
      </w:r>
      <w:r w:rsidR="00EC2F96" w:rsidRPr="003A7F84">
        <w:rPr>
          <w:bCs/>
        </w:rPr>
        <w:fldChar w:fldCharType="separate"/>
      </w:r>
      <w:r w:rsidR="009466A1">
        <w:rPr>
          <w:bCs/>
        </w:rPr>
        <w:t>6.3</w:t>
      </w:r>
      <w:r w:rsidR="00EC2F96" w:rsidRPr="003A7F84">
        <w:rPr>
          <w:bCs/>
        </w:rPr>
        <w:fldChar w:fldCharType="end"/>
      </w:r>
      <w:r w:rsidR="003A3A66" w:rsidRPr="003A7F84">
        <w:rPr>
          <w:bCs/>
        </w:rPr>
        <w:t>).</w:t>
      </w:r>
      <w:r w:rsidR="00EC2F96" w:rsidRPr="003A7F84">
        <w:rPr>
          <w:bCs/>
        </w:rPr>
        <w:t xml:space="preserve">  While the submission had assumed a single syringe would be dispensed per script, the PBAC considered this may not meet the needs of </w:t>
      </w:r>
      <w:r w:rsidR="007B1FEA" w:rsidRPr="003A7F84">
        <w:rPr>
          <w:bCs/>
        </w:rPr>
        <w:t>a</w:t>
      </w:r>
      <w:r w:rsidR="00EC2F96" w:rsidRPr="003A7F84">
        <w:rPr>
          <w:bCs/>
        </w:rPr>
        <w:t xml:space="preserve"> subgroup of </w:t>
      </w:r>
      <w:r w:rsidR="007B1FEA" w:rsidRPr="003A7F84">
        <w:rPr>
          <w:bCs/>
        </w:rPr>
        <w:t xml:space="preserve">the </w:t>
      </w:r>
      <w:r w:rsidR="00EC2F96" w:rsidRPr="003A7F84">
        <w:rPr>
          <w:bCs/>
        </w:rPr>
        <w:t>patients with frequent seizures that may require treatment in the range of 2 to 4 doses per week.</w:t>
      </w:r>
      <w:r w:rsidR="00A05D7E" w:rsidRPr="003A7F84">
        <w:rPr>
          <w:bCs/>
        </w:rPr>
        <w:t xml:space="preserve"> The PBAC noted </w:t>
      </w:r>
      <w:r w:rsidR="00A05D7E" w:rsidRPr="003A7F84">
        <w:t>there may be additional costs due to wastage if higher quantities are dispensed, given that a proportion of patients will not experience any GCSE episodes within the shelf-life of the product and will fill their repeat prescription due to expiry, rather than use of the product.</w:t>
      </w:r>
      <w:bookmarkEnd w:id="58"/>
    </w:p>
    <w:p w14:paraId="2238DEE9" w14:textId="3E6A228B" w:rsidR="00576972" w:rsidRPr="003A7F84" w:rsidRDefault="00576972" w:rsidP="00606FBA">
      <w:pPr>
        <w:pStyle w:val="3-SubsectionHeading"/>
      </w:pPr>
      <w:bookmarkStart w:id="59" w:name="_Toc22897648"/>
      <w:bookmarkStart w:id="60" w:name="_Toc103714927"/>
      <w:r w:rsidRPr="003A7F84">
        <w:t>Quality Use of Medicines</w:t>
      </w:r>
      <w:bookmarkEnd w:id="59"/>
      <w:bookmarkEnd w:id="60"/>
    </w:p>
    <w:p w14:paraId="38BD0AEF" w14:textId="57D178FB" w:rsidR="00576972" w:rsidRPr="003A7F84" w:rsidRDefault="00084889" w:rsidP="00606FBA">
      <w:pPr>
        <w:pStyle w:val="ExecSumBodyText"/>
      </w:pPr>
      <w:r w:rsidRPr="003A7F84">
        <w:rPr>
          <w:iCs/>
        </w:rPr>
        <w:t xml:space="preserve">No quality use of medicines issues </w:t>
      </w:r>
      <w:proofErr w:type="gramStart"/>
      <w:r w:rsidRPr="003A7F84">
        <w:rPr>
          <w:iCs/>
        </w:rPr>
        <w:t>were</w:t>
      </w:r>
      <w:proofErr w:type="gramEnd"/>
      <w:r w:rsidRPr="003A7F84">
        <w:rPr>
          <w:iCs/>
        </w:rPr>
        <w:t xml:space="preserve"> addressed in the submission</w:t>
      </w:r>
      <w:r w:rsidRPr="003A7F84">
        <w:t>.</w:t>
      </w:r>
    </w:p>
    <w:p w14:paraId="07E5A56A" w14:textId="203D5659" w:rsidR="00A35E79" w:rsidRPr="003A7F84" w:rsidRDefault="001B5D67" w:rsidP="00A35E79">
      <w:pPr>
        <w:pStyle w:val="ExecSumBodyText"/>
        <w:rPr>
          <w:iCs/>
        </w:rPr>
      </w:pPr>
      <w:r w:rsidRPr="003A7F84">
        <w:rPr>
          <w:iCs/>
        </w:rPr>
        <w:t xml:space="preserve">However, the submission acknowledged that parents and carers can be anxious about giving midazolam, so training is needed. It was noted that education is available from specialist epilepsy nurses and can be arranged through patient support organisations such as Epilepsy Action (www.epilepsy.org.au) and Epilepsy Australia (www.epilepsyaustralia.net). </w:t>
      </w:r>
      <w:r w:rsidR="00A35E79" w:rsidRPr="003A7F84">
        <w:rPr>
          <w:iCs/>
        </w:rPr>
        <w:t xml:space="preserve">The ACM </w:t>
      </w:r>
      <w:r w:rsidRPr="003A7F84">
        <w:rPr>
          <w:iCs/>
        </w:rPr>
        <w:t xml:space="preserve">also </w:t>
      </w:r>
      <w:r w:rsidR="00A35E79" w:rsidRPr="003A7F84">
        <w:rPr>
          <w:iCs/>
        </w:rPr>
        <w:t>acknowledged that caregivers may not be comfortable administering these treatments in an emergency setting without adequate training</w:t>
      </w:r>
      <w:r w:rsidRPr="003A7F84">
        <w:rPr>
          <w:iCs/>
        </w:rPr>
        <w:t>, and</w:t>
      </w:r>
      <w:r w:rsidR="00A35E79" w:rsidRPr="003A7F84">
        <w:rPr>
          <w:iCs/>
        </w:rPr>
        <w:t xml:space="preserve"> therefore supported a clear and targeted training plan (ACM August 2021, p6). </w:t>
      </w:r>
      <w:r w:rsidRPr="003A7F84">
        <w:rPr>
          <w:iCs/>
        </w:rPr>
        <w:t>It</w:t>
      </w:r>
      <w:r w:rsidR="00700217" w:rsidRPr="003A7F84">
        <w:rPr>
          <w:iCs/>
        </w:rPr>
        <w:t xml:space="preserve"> i</w:t>
      </w:r>
      <w:r w:rsidRPr="003A7F84">
        <w:rPr>
          <w:iCs/>
        </w:rPr>
        <w:t xml:space="preserve">s unclear whether existing training programs and resources include sufficient resources targeting the effective prescribing, dispensing and use of midazolam oromucosal solution. </w:t>
      </w:r>
    </w:p>
    <w:p w14:paraId="6C265DE9" w14:textId="10A69EDF" w:rsidR="005A2B1D" w:rsidRPr="003A7F84" w:rsidRDefault="00962D77" w:rsidP="00A35E79">
      <w:pPr>
        <w:pStyle w:val="ExecSumBodyText"/>
      </w:pPr>
      <w:r w:rsidRPr="003A7F84">
        <w:t xml:space="preserve">The PSCR provided further information related to proposed training for parents/carers, prescribers, </w:t>
      </w:r>
      <w:proofErr w:type="gramStart"/>
      <w:r w:rsidRPr="003A7F84">
        <w:t>pharmacists</w:t>
      </w:r>
      <w:proofErr w:type="gramEnd"/>
      <w:r w:rsidRPr="003A7F84">
        <w:t xml:space="preserve"> and healthcare workers for the safe and effective use of midazolam oromucosal solution, and quality use of medicines initiatives required as part of the Risk Management Program.</w:t>
      </w:r>
    </w:p>
    <w:p w14:paraId="1A1B2C19" w14:textId="18F0035B" w:rsidR="00A35E79" w:rsidRPr="003A7F84" w:rsidRDefault="00A35E79" w:rsidP="00A35E79">
      <w:pPr>
        <w:pStyle w:val="ExecSumBodyText"/>
      </w:pPr>
      <w:r w:rsidRPr="003A7F84">
        <w:t xml:space="preserve"> </w:t>
      </w:r>
      <w:r w:rsidR="00792585" w:rsidRPr="003A7F84">
        <w:t xml:space="preserve">The most recent Periodic Benefit Risk Evaluation Report (PBRER), for the period 10 September 2016 to 09 September 2019, identified the potential risk of abuse and diversion of midazolam oromucosal solution. </w:t>
      </w:r>
      <w:r w:rsidR="00792585" w:rsidRPr="003A7F84">
        <w:rPr>
          <w:iCs/>
        </w:rPr>
        <w:t>It is unclear whether</w:t>
      </w:r>
      <w:r w:rsidR="00792585" w:rsidRPr="003A7F84">
        <w:t xml:space="preserve"> </w:t>
      </w:r>
      <w:r w:rsidR="00792585" w:rsidRPr="003A7F84">
        <w:rPr>
          <w:iCs/>
        </w:rPr>
        <w:t>this risk has been adequately addressed by the sponsor.</w:t>
      </w:r>
    </w:p>
    <w:p w14:paraId="629CB6B7" w14:textId="77777777" w:rsidR="007E6801" w:rsidRPr="003A7F84" w:rsidRDefault="007E6801" w:rsidP="007E6801">
      <w:pPr>
        <w:ind w:firstLine="709"/>
        <w:rPr>
          <w:rFonts w:asciiTheme="minorHAnsi" w:hAnsiTheme="minorHAnsi"/>
          <w:i/>
        </w:rPr>
      </w:pPr>
      <w:r w:rsidRPr="003A7F84">
        <w:rPr>
          <w:rFonts w:asciiTheme="minorHAnsi" w:hAnsiTheme="minorHAnsi"/>
          <w:i/>
        </w:rPr>
        <w:t>For more detail on PBAC’s view, see section 7 PBAC outcome.</w:t>
      </w:r>
    </w:p>
    <w:p w14:paraId="39DB1575" w14:textId="77777777" w:rsidR="00915159" w:rsidRPr="003A7F84" w:rsidRDefault="00915159" w:rsidP="00915159">
      <w:pPr>
        <w:pStyle w:val="2-SectionHeading"/>
        <w:numPr>
          <w:ilvl w:val="0"/>
          <w:numId w:val="1"/>
        </w:numPr>
      </w:pPr>
      <w:bookmarkStart w:id="61" w:name="_Hlk76381249"/>
      <w:bookmarkStart w:id="62" w:name="_Hlk76377955"/>
      <w:r w:rsidRPr="003A7F84">
        <w:t>PBAC Outcome</w:t>
      </w:r>
    </w:p>
    <w:p w14:paraId="7677F37C" w14:textId="611A4CA0" w:rsidR="008D3236" w:rsidRPr="003A7F84" w:rsidRDefault="008D3236" w:rsidP="008D3236">
      <w:pPr>
        <w:widowControl w:val="0"/>
        <w:numPr>
          <w:ilvl w:val="1"/>
          <w:numId w:val="1"/>
        </w:numPr>
        <w:spacing w:after="120"/>
        <w:rPr>
          <w:rFonts w:asciiTheme="minorHAnsi" w:hAnsiTheme="minorHAnsi"/>
          <w:snapToGrid w:val="0"/>
        </w:rPr>
      </w:pPr>
      <w:r w:rsidRPr="003A7F84">
        <w:rPr>
          <w:rFonts w:asciiTheme="minorHAnsi" w:hAnsiTheme="minorHAnsi"/>
          <w:snapToGrid w:val="0"/>
        </w:rPr>
        <w:t xml:space="preserve">The PBAC did not recommended midazolam oromucosal solution for the treatment of generalised convulsive status epilepticus. The PBAC considered that the proposed population was not well defined, and that expert clinical advice would be needed to refine the PBS restriction. </w:t>
      </w:r>
      <w:r w:rsidR="00FB5648" w:rsidRPr="003A7F84">
        <w:t xml:space="preserve">The PBAC noted that a number of benefits were described in the consumer comments, the ESC </w:t>
      </w:r>
      <w:proofErr w:type="gramStart"/>
      <w:r w:rsidR="00FB5648" w:rsidRPr="003A7F84">
        <w:t>advice</w:t>
      </w:r>
      <w:proofErr w:type="gramEnd"/>
      <w:r w:rsidR="00FB5648" w:rsidRPr="003A7F84">
        <w:t xml:space="preserve"> and the submission documents, including reduced time to administration of the dose, reduced risk of incorrect dosing and ease of administration for carers during the acute stressful situation of a seizure. </w:t>
      </w:r>
      <w:proofErr w:type="gramStart"/>
      <w:r w:rsidR="00FB5648" w:rsidRPr="003A7F84">
        <w:t xml:space="preserve">However, </w:t>
      </w:r>
      <w:r w:rsidRPr="003A7F84">
        <w:rPr>
          <w:rFonts w:asciiTheme="minorHAnsi" w:hAnsiTheme="minorHAnsi"/>
          <w:snapToGrid w:val="0"/>
        </w:rPr>
        <w:t xml:space="preserve"> </w:t>
      </w:r>
      <w:r w:rsidR="00FB5648" w:rsidRPr="003A7F84">
        <w:rPr>
          <w:rFonts w:asciiTheme="minorHAnsi" w:hAnsiTheme="minorHAnsi"/>
          <w:snapToGrid w:val="0"/>
        </w:rPr>
        <w:t>t</w:t>
      </w:r>
      <w:r w:rsidRPr="003A7F84">
        <w:rPr>
          <w:rFonts w:asciiTheme="minorHAnsi" w:hAnsiTheme="minorHAnsi"/>
          <w:snapToGrid w:val="0"/>
        </w:rPr>
        <w:t>he</w:t>
      </w:r>
      <w:proofErr w:type="gramEnd"/>
      <w:r w:rsidRPr="003A7F84">
        <w:rPr>
          <w:rFonts w:asciiTheme="minorHAnsi" w:hAnsiTheme="minorHAnsi"/>
          <w:snapToGrid w:val="0"/>
        </w:rPr>
        <w:t xml:space="preserve"> PBAC considered that the </w:t>
      </w:r>
      <w:r w:rsidR="00FB5648" w:rsidRPr="003A7F84">
        <w:rPr>
          <w:rFonts w:asciiTheme="minorHAnsi" w:hAnsiTheme="minorHAnsi"/>
          <w:snapToGrid w:val="0"/>
        </w:rPr>
        <w:t>proposed</w:t>
      </w:r>
      <w:r w:rsidRPr="003A7F84">
        <w:rPr>
          <w:rFonts w:asciiTheme="minorHAnsi" w:hAnsiTheme="minorHAnsi"/>
          <w:snapToGrid w:val="0"/>
        </w:rPr>
        <w:t xml:space="preserve"> price was not justified by the submission and that a price reduction would be required to achieve a cost-effective listing.  The PBAC considered that revised financial estimates would be required to incorporate changes to the restriction and price, and that a risk sharing arrangement would be required due to uncertain financial estimates. </w:t>
      </w:r>
    </w:p>
    <w:p w14:paraId="72C4D32E" w14:textId="77777777" w:rsidR="008D3236" w:rsidRPr="003A7F84" w:rsidRDefault="008D3236" w:rsidP="008D3236">
      <w:pPr>
        <w:pStyle w:val="ExecSumBodyText"/>
      </w:pPr>
      <w:r w:rsidRPr="003A7F84">
        <w:rPr>
          <w:bCs/>
        </w:rPr>
        <w:t>The PBAC noted the input from health care professionals and organisations highlighting quality use of medicines benefits</w:t>
      </w:r>
      <w:r w:rsidRPr="003A7F84">
        <w:rPr>
          <w:iCs/>
        </w:rPr>
        <w:t xml:space="preserve"> associated with </w:t>
      </w:r>
      <w:r w:rsidRPr="003A7F84">
        <w:t xml:space="preserve">midazolam oromucosal solution </w:t>
      </w:r>
      <w:r w:rsidRPr="003A7F84">
        <w:rPr>
          <w:iCs/>
        </w:rPr>
        <w:t>as compared with off</w:t>
      </w:r>
      <w:r w:rsidRPr="003A7F84">
        <w:rPr>
          <w:iCs/>
        </w:rPr>
        <w:noBreakHyphen/>
        <w:t>label use of midazolam ampoules in terms of more effective use of the drug due to correct dosages being given, and less risk of harm from incorrect dosing.  The PBAC also noted that the proposed listing would improve access to effective medication during an episode of GCSE, particularly for those living far from hospital settings, or in the context of carers experiencing difficulties using the ampoules.</w:t>
      </w:r>
    </w:p>
    <w:p w14:paraId="03E684B9" w14:textId="5740EE2E" w:rsidR="008D3236" w:rsidRPr="003A7F84" w:rsidRDefault="008D3236" w:rsidP="008D3236">
      <w:pPr>
        <w:pStyle w:val="ExecSumBodyText"/>
      </w:pPr>
      <w:bookmarkStart w:id="63" w:name="_Ref109661259"/>
      <w:bookmarkStart w:id="64" w:name="_Hlk109756789"/>
      <w:r w:rsidRPr="003A7F84">
        <w:t>The PBAC considered that the restriction</w:t>
      </w:r>
      <w:r w:rsidR="00075965" w:rsidRPr="003A7F84">
        <w:t xml:space="preserve"> criteria</w:t>
      </w:r>
      <w:r w:rsidRPr="003A7F84">
        <w:t xml:space="preserve"> required further consultation.  The proposed restriction was broad, but other options would include restricting the listing to a highly treatment resistant group of patients (who may use up to 2-4 doses per week).  Potential for PBS access for other settings (e.g. Doctors’ and Epilepsy Nurse Practitioners’ bags, for patients without established diagnosis of epilepsy) should also be considered.  Further detail regarding the intended use should be considered, which may include specifying that midazolam should be administered after five minutes from seizure onset (see paragraph </w:t>
      </w:r>
      <w:r w:rsidRPr="003A7F84">
        <w:fldChar w:fldCharType="begin"/>
      </w:r>
      <w:r w:rsidRPr="003A7F84">
        <w:instrText xml:space="preserve"> REF _Ref109413320 \r \h </w:instrText>
      </w:r>
      <w:r w:rsidRPr="003A7F84">
        <w:fldChar w:fldCharType="separate"/>
      </w:r>
      <w:r w:rsidR="009466A1">
        <w:t>3.10</w:t>
      </w:r>
      <w:r w:rsidRPr="003A7F84">
        <w:fldChar w:fldCharType="end"/>
      </w:r>
      <w:r w:rsidRPr="003A7F84">
        <w:t xml:space="preserve">).  The PBAC advised that the proposed listing should be modified based on expert clinical advice.  This should consider revision of the maximum quantity, </w:t>
      </w:r>
      <w:proofErr w:type="gramStart"/>
      <w:r w:rsidRPr="003A7F84">
        <w:t>taking into account</w:t>
      </w:r>
      <w:proofErr w:type="gramEnd"/>
      <w:r w:rsidRPr="003A7F84">
        <w:t xml:space="preserve"> the likely dose requirements, and frequency of attacks as well as issues of safety, and desirability of minimising wastage from </w:t>
      </w:r>
      <w:r w:rsidR="00075965" w:rsidRPr="003A7F84">
        <w:t xml:space="preserve">the expiry of </w:t>
      </w:r>
      <w:r w:rsidRPr="003A7F84">
        <w:t xml:space="preserve">dispensed medicines (see paragraph </w:t>
      </w:r>
      <w:r w:rsidRPr="003A7F84">
        <w:fldChar w:fldCharType="begin"/>
      </w:r>
      <w:r w:rsidRPr="003A7F84">
        <w:instrText xml:space="preserve"> REF _Ref109662310 \r \h </w:instrText>
      </w:r>
      <w:r w:rsidRPr="003A7F84">
        <w:fldChar w:fldCharType="separate"/>
      </w:r>
      <w:r w:rsidR="009466A1">
        <w:t>6.57</w:t>
      </w:r>
      <w:r w:rsidRPr="003A7F84">
        <w:fldChar w:fldCharType="end"/>
      </w:r>
      <w:r w:rsidRPr="003A7F84">
        <w:t>).</w:t>
      </w:r>
      <w:bookmarkEnd w:id="63"/>
    </w:p>
    <w:bookmarkEnd w:id="64"/>
    <w:p w14:paraId="3D7E6E2C" w14:textId="7FD1F19E" w:rsidR="008D3236" w:rsidRPr="003A7F84" w:rsidRDefault="008D3236" w:rsidP="008D3236">
      <w:pPr>
        <w:pStyle w:val="ExecSumBodyText"/>
      </w:pPr>
      <w:r w:rsidRPr="003A7F84">
        <w:t xml:space="preserve">The PBAC considered that training will be essential for medication givers (family members or carers) with respect to seizure recognition and midazolam administration (see paragraph </w:t>
      </w:r>
      <w:r w:rsidRPr="003A7F84">
        <w:fldChar w:fldCharType="begin"/>
      </w:r>
      <w:r w:rsidRPr="003A7F84">
        <w:instrText xml:space="preserve"> REF _Ref109664276 \r \h </w:instrText>
      </w:r>
      <w:r w:rsidRPr="003A7F84">
        <w:fldChar w:fldCharType="separate"/>
      </w:r>
      <w:r w:rsidR="009466A1">
        <w:t>3.12</w:t>
      </w:r>
      <w:r w:rsidRPr="003A7F84">
        <w:fldChar w:fldCharType="end"/>
      </w:r>
      <w:r w:rsidRPr="003A7F84">
        <w:t xml:space="preserve">).  </w:t>
      </w:r>
    </w:p>
    <w:p w14:paraId="365553F8" w14:textId="13BF8E12" w:rsidR="008D3236" w:rsidRPr="003A7F84" w:rsidRDefault="008D3236" w:rsidP="008D3236">
      <w:pPr>
        <w:pStyle w:val="ExecSumBodyText"/>
      </w:pPr>
      <w:r w:rsidRPr="003A7F84">
        <w:t xml:space="preserve">The PBAC noted that the TGA evaluation was based on a literature-based submission and despite extensive use of midazolam in clinical practice, there was limited evidence available to inform the clinical and economic evaluations of the PBAC submission. The PBAC noted the TGA comments that the bioequivalence of midazolam oromucosal solution and midazolam hydrochloride, administered buccally, was demonstrated in healthy adults in a pharmacokinetic study (SPL002), but no bioequivalence studies were conducted in children (see paragraph </w:t>
      </w:r>
      <w:r w:rsidRPr="003A7F84">
        <w:fldChar w:fldCharType="begin"/>
      </w:r>
      <w:r w:rsidRPr="003A7F84">
        <w:instrText xml:space="preserve"> REF _Ref109646656 \r \h </w:instrText>
      </w:r>
      <w:r w:rsidRPr="003A7F84">
        <w:fldChar w:fldCharType="separate"/>
      </w:r>
      <w:r w:rsidR="009466A1">
        <w:t>2.2</w:t>
      </w:r>
      <w:r w:rsidRPr="003A7F84">
        <w:fldChar w:fldCharType="end"/>
      </w:r>
      <w:r w:rsidRPr="003A7F84">
        <w:t xml:space="preserve">).  </w:t>
      </w:r>
    </w:p>
    <w:p w14:paraId="02831D9A" w14:textId="77777777" w:rsidR="008D3236" w:rsidRPr="003A7F84" w:rsidRDefault="008D3236" w:rsidP="008D3236">
      <w:pPr>
        <w:pStyle w:val="ExecSumBodyText"/>
      </w:pPr>
      <w:r w:rsidRPr="003A7F84">
        <w:t xml:space="preserve">The PBAC considered that midazolam hydrochloride was an appropriate comparator as it is widely recognised as appropriate first line therapy for GCSE in the out-of-hospital emergency setting, as documented in clinical guidelines.  </w:t>
      </w:r>
    </w:p>
    <w:p w14:paraId="7B133B83" w14:textId="5843A10E" w:rsidR="008D3236" w:rsidRPr="003A7F84" w:rsidRDefault="008D3236" w:rsidP="008D3236">
      <w:pPr>
        <w:pStyle w:val="ExecSumBodyText"/>
      </w:pPr>
      <w:r w:rsidRPr="003A7F84">
        <w:t xml:space="preserve">The PBAC noted that </w:t>
      </w:r>
      <w:r w:rsidRPr="003A7F84">
        <w:rPr>
          <w:iCs/>
        </w:rPr>
        <w:t>a</w:t>
      </w:r>
      <w:r w:rsidRPr="003A7F84">
        <w:t xml:space="preserve"> comparison of clinical outcomes between midazolam oromucosal solution and the main comparator (midazolam hydrochloride) could not be presented because n</w:t>
      </w:r>
      <w:r w:rsidRPr="003A7F84">
        <w:rPr>
          <w:iCs/>
        </w:rPr>
        <w:t xml:space="preserve">o clinical studies were identified directly comparing midazolam oromucosal solution with midazolam hydrochloride, or that were suitable for an indirect comparison.  </w:t>
      </w:r>
    </w:p>
    <w:p w14:paraId="2BA810DA" w14:textId="1FA6AB95" w:rsidR="00112DD5" w:rsidRPr="003A7F84" w:rsidRDefault="00112DD5" w:rsidP="00112DD5">
      <w:pPr>
        <w:pStyle w:val="ExecSumBodyText"/>
      </w:pPr>
      <w:r w:rsidRPr="003A7F84">
        <w:t xml:space="preserve">The PBAC noted that the submission </w:t>
      </w:r>
      <w:r w:rsidRPr="003A7F84">
        <w:rPr>
          <w:snapToGrid/>
        </w:rPr>
        <w:t xml:space="preserve">presented seven head-to-head prospective studies comparing buccal administration of midazolam with rectal administration of diazepam.  </w:t>
      </w:r>
      <w:r w:rsidRPr="003A7F84">
        <w:t xml:space="preserve">Two of the seven trials used the proposed formulation of midazolam oromucosal solution, and all </w:t>
      </w:r>
      <w:r w:rsidRPr="003A7F84">
        <w:rPr>
          <w:iCs/>
        </w:rPr>
        <w:t xml:space="preserve">trials had a high risk of bias (see </w:t>
      </w:r>
      <w:r w:rsidRPr="003A7F84">
        <w:rPr>
          <w:iCs/>
        </w:rPr>
        <w:fldChar w:fldCharType="begin"/>
      </w:r>
      <w:r w:rsidRPr="003A7F84">
        <w:rPr>
          <w:iCs/>
        </w:rPr>
        <w:instrText xml:space="preserve"> REF _Ref104393180 \h </w:instrText>
      </w:r>
      <w:r w:rsidRPr="003A7F84">
        <w:rPr>
          <w:iCs/>
        </w:rPr>
      </w:r>
      <w:r w:rsidRPr="003A7F84">
        <w:rPr>
          <w:iCs/>
        </w:rPr>
        <w:fldChar w:fldCharType="separate"/>
      </w:r>
      <w:r w:rsidR="009466A1" w:rsidRPr="003A7F84">
        <w:t xml:space="preserve">Table </w:t>
      </w:r>
      <w:r w:rsidR="009466A1">
        <w:rPr>
          <w:noProof/>
        </w:rPr>
        <w:t>4</w:t>
      </w:r>
      <w:r w:rsidRPr="003A7F84">
        <w:rPr>
          <w:iCs/>
        </w:rPr>
        <w:fldChar w:fldCharType="end"/>
      </w:r>
      <w:r w:rsidRPr="003A7F84">
        <w:rPr>
          <w:iCs/>
        </w:rPr>
        <w:t xml:space="preserve">).  </w:t>
      </w:r>
      <w:r w:rsidRPr="003A7F84">
        <w:t xml:space="preserve">The </w:t>
      </w:r>
      <w:r w:rsidRPr="003A7F84">
        <w:rPr>
          <w:iCs/>
          <w:snapToGrid/>
        </w:rPr>
        <w:t>proportions of patients achieving treatment success varied widely between studies for both buccal midazolam (53-100%) and rectal diazepam (27-100%).  The PBAC noted that</w:t>
      </w:r>
      <w:r w:rsidRPr="003A7F84">
        <w:t xml:space="preserve"> l</w:t>
      </w:r>
      <w:r w:rsidRPr="003A7F84">
        <w:rPr>
          <w:snapToGrid/>
        </w:rPr>
        <w:t xml:space="preserve">arger proportions of patients administered buccal midazolam achieved cessation of seizures within 5 or 10 minutes of administration, compared to rectal diazepam in five studies (Ashrafi 2010, McIntyre 2005, Mpimbaza 2008, Nakken 2011, Scott 1999), while larger proportions of patients administered rectal diazepam achieved cessation of seizures within 5 or 10 minutes of administration, compared to buccal midazolam in two studies (Baysun 2005, Trajano 2009). </w:t>
      </w:r>
      <w:r w:rsidRPr="003A7F84">
        <w:t>The PBAC noted that adverse events were either not reported, or were poorly reported in the included studies.  Overall, there were few adverse events reported in the studies and treatment related respiratory depression was infrequent.  The PBAC considered that the potential harms associated with midazolam are well recognised by prescribers.</w:t>
      </w:r>
    </w:p>
    <w:p w14:paraId="2BDF14FE" w14:textId="77777777" w:rsidR="008D3236" w:rsidRPr="003A7F84" w:rsidRDefault="008D3236" w:rsidP="008D3236">
      <w:pPr>
        <w:pStyle w:val="ExecSumBodyText"/>
      </w:pPr>
      <w:r w:rsidRPr="003A7F84">
        <w:t>The PBAC noted the submission’s claim that midazolam oromucosal solution was non-inferior in terms of effectiveness and safety compared to buccal or intranasal midazolam hydrochloride. The PBAC considered it was reasonable to consider midazolam oromucosal solution comparable to midazolam parenteral solution given via the oromucosal route, although the TGA had not issued a bioequivalence statement.</w:t>
      </w:r>
    </w:p>
    <w:p w14:paraId="28351D2E" w14:textId="7413FB4F" w:rsidR="008D3236" w:rsidRPr="003A7F84" w:rsidRDefault="008D3236" w:rsidP="008D3236">
      <w:pPr>
        <w:pStyle w:val="ExecSumBodyText"/>
      </w:pPr>
      <w:r w:rsidRPr="003A7F84">
        <w:t>The PBAC noted the submission’s claim that midazolam oromucosal solution provides a significantly superior and important pragmatic and practical improvement to the accurate and timely administration of midazolam during an acute health emergency. The PBAC considered it plausible that the prefilled syringe would be beneficial as compared with off-label use of midazolam ampoules which require carers to either draw up liquid into a syringe before administration or to squeeze a plastic ampoule to administer the drug to the buccal cavity, noting that GCSE is a stressful situation for parents and carers.  The PBAC noted potential beneficial impacts</w:t>
      </w:r>
      <w:r w:rsidR="00672987" w:rsidRPr="003A7F84">
        <w:t xml:space="preserve"> proposed by the sponsor</w:t>
      </w:r>
      <w:r w:rsidR="00ED59AC" w:rsidRPr="003A7F84">
        <w:t>,</w:t>
      </w:r>
      <w:r w:rsidR="00672987" w:rsidRPr="003A7F84">
        <w:t xml:space="preserve"> which</w:t>
      </w:r>
      <w:r w:rsidRPr="003A7F84">
        <w:t xml:space="preserve"> may include reduced time to treatment, increased dosing accuracy, less likelihood of diversion for illicit IV administration, reduced administration errors, better patient care, reduced hospitalisations and reduced long-term consequences from extended seizures.</w:t>
      </w:r>
    </w:p>
    <w:p w14:paraId="491AAF5A" w14:textId="6C76AEE2" w:rsidR="008D3236" w:rsidRPr="003A7F84" w:rsidRDefault="008D3236" w:rsidP="008D3236">
      <w:pPr>
        <w:pStyle w:val="ExecSumBodyText"/>
      </w:pPr>
      <w:bookmarkStart w:id="65" w:name="_Ref109662800"/>
      <w:r w:rsidRPr="003A7F84">
        <w:t xml:space="preserve">The submission presented a cost-consequences analysis based on the submission’s claim that midazolam oromucosal solution improves the accurate and timely administration of midazolam during an acute health emergency. The PBAC noted that a number of benefits were described in the consumer comments (see paragraphs </w:t>
      </w:r>
      <w:r w:rsidRPr="003A7F84">
        <w:fldChar w:fldCharType="begin"/>
      </w:r>
      <w:r w:rsidRPr="003A7F84">
        <w:instrText xml:space="preserve"> REF _Ref109578238 \r \h </w:instrText>
      </w:r>
      <w:r w:rsidRPr="003A7F84">
        <w:fldChar w:fldCharType="separate"/>
      </w:r>
      <w:r w:rsidR="009466A1">
        <w:t>6.2</w:t>
      </w:r>
      <w:r w:rsidRPr="003A7F84">
        <w:fldChar w:fldCharType="end"/>
      </w:r>
      <w:r w:rsidRPr="003A7F84">
        <w:t xml:space="preserve"> and </w:t>
      </w:r>
      <w:r w:rsidRPr="003A7F84">
        <w:fldChar w:fldCharType="begin"/>
      </w:r>
      <w:r w:rsidRPr="003A7F84">
        <w:instrText xml:space="preserve"> REF _Ref109576584 \r \h </w:instrText>
      </w:r>
      <w:r w:rsidRPr="003A7F84">
        <w:fldChar w:fldCharType="separate"/>
      </w:r>
      <w:r w:rsidR="009466A1">
        <w:t>6.3</w:t>
      </w:r>
      <w:r w:rsidRPr="003A7F84">
        <w:fldChar w:fldCharType="end"/>
      </w:r>
      <w:r w:rsidRPr="003A7F84">
        <w:t xml:space="preserve">), the ESC advice (see paragraph </w:t>
      </w:r>
      <w:r w:rsidRPr="003A7F84">
        <w:fldChar w:fldCharType="begin"/>
      </w:r>
      <w:r w:rsidRPr="003A7F84">
        <w:instrText xml:space="preserve"> REF _Ref109578398 \r \h </w:instrText>
      </w:r>
      <w:r w:rsidRPr="003A7F84">
        <w:fldChar w:fldCharType="separate"/>
      </w:r>
      <w:r w:rsidR="009466A1">
        <w:t>6.35</w:t>
      </w:r>
      <w:r w:rsidRPr="003A7F84">
        <w:fldChar w:fldCharType="end"/>
      </w:r>
      <w:r w:rsidRPr="003A7F84">
        <w:t xml:space="preserve">), the PSCR (see paragraph </w:t>
      </w:r>
      <w:r w:rsidRPr="003A7F84">
        <w:fldChar w:fldCharType="begin"/>
      </w:r>
      <w:r w:rsidRPr="003A7F84">
        <w:instrText xml:space="preserve"> REF _Ref106230473 \r \h </w:instrText>
      </w:r>
      <w:r w:rsidRPr="003A7F84">
        <w:fldChar w:fldCharType="separate"/>
      </w:r>
      <w:r w:rsidR="009466A1">
        <w:t>6.47</w:t>
      </w:r>
      <w:r w:rsidRPr="003A7F84">
        <w:fldChar w:fldCharType="end"/>
      </w:r>
      <w:r w:rsidRPr="003A7F84">
        <w:t xml:space="preserve">) and the pre-PBAC response (see paragraph </w:t>
      </w:r>
      <w:r w:rsidRPr="003A7F84">
        <w:fldChar w:fldCharType="begin"/>
      </w:r>
      <w:r w:rsidRPr="003A7F84">
        <w:instrText xml:space="preserve"> REF _Ref109578174 \r \h </w:instrText>
      </w:r>
      <w:r w:rsidRPr="003A7F84">
        <w:fldChar w:fldCharType="separate"/>
      </w:r>
      <w:r w:rsidR="009466A1">
        <w:t>6.48</w:t>
      </w:r>
      <w:r w:rsidRPr="003A7F84">
        <w:fldChar w:fldCharType="end"/>
      </w:r>
      <w:r w:rsidRPr="003A7F84">
        <w:t>)</w:t>
      </w:r>
      <w:r w:rsidR="006A1817" w:rsidRPr="003A7F84">
        <w:t>, including reduced time to administration of the dose,</w:t>
      </w:r>
      <w:r w:rsidR="00E84341" w:rsidRPr="003A7F84">
        <w:t xml:space="preserve"> reduced risk of incorrect dosing and ease of administration for carers during the acute stressful situation of a seizure</w:t>
      </w:r>
      <w:r w:rsidRPr="003A7F84">
        <w:t xml:space="preserve">. However, the PBAC agreed with the ESC that the cost-consequences analysis presented by the submission was incomplete and largely uninformative, because it did not model any difference in outcomes between the proposed medicine and comparator. </w:t>
      </w:r>
      <w:bookmarkEnd w:id="65"/>
      <w:r w:rsidRPr="003A7F84">
        <w:t xml:space="preserve"> </w:t>
      </w:r>
      <w:r w:rsidR="006A1817" w:rsidRPr="003A7F84">
        <w:t xml:space="preserve">The PBAC considered the benefits </w:t>
      </w:r>
      <w:r w:rsidR="00E84341" w:rsidRPr="003A7F84">
        <w:t xml:space="preserve">associated with the administration were likely clinically meaningful and important for carers, however the proposed price premium over midazolam hydrochloride (DPMQ of </w:t>
      </w:r>
      <w:r w:rsidR="00E84341" w:rsidRPr="00057E2A">
        <w:t>$</w:t>
      </w:r>
      <w:proofErr w:type="gramStart"/>
      <w:r w:rsidR="001F03AF" w:rsidRPr="005A6BE3">
        <w:rPr>
          <w:color w:val="000000"/>
          <w:w w:val="15"/>
          <w:shd w:val="solid" w:color="000000" w:fill="000000"/>
          <w:fitText w:val="-20" w:id="-1435807228"/>
          <w14:textFill>
            <w14:solidFill>
              <w14:srgbClr w14:val="000000">
                <w14:alpha w14:val="100000"/>
              </w14:srgbClr>
            </w14:solidFill>
          </w14:textFill>
        </w:rPr>
        <w:t xml:space="preserve">|  </w:t>
      </w:r>
      <w:r w:rsidR="001F03AF" w:rsidRPr="005A6BE3">
        <w:rPr>
          <w:color w:val="000000"/>
          <w:spacing w:val="-69"/>
          <w:w w:val="15"/>
          <w:shd w:val="solid" w:color="000000" w:fill="000000"/>
          <w:fitText w:val="-20" w:id="-1435807228"/>
          <w14:textFill>
            <w14:solidFill>
              <w14:srgbClr w14:val="000000">
                <w14:alpha w14:val="100000"/>
              </w14:srgbClr>
            </w14:solidFill>
          </w14:textFill>
        </w:rPr>
        <w:t>|</w:t>
      </w:r>
      <w:proofErr w:type="gramEnd"/>
      <w:r w:rsidR="00E84341" w:rsidRPr="00057E2A">
        <w:t xml:space="preserve"> </w:t>
      </w:r>
      <w:r w:rsidR="00E84341" w:rsidRPr="003A7F84">
        <w:t>versus $40) was not justified. The PBAC noted the cost-effective price for midazolam oromucosal solution will depend on the</w:t>
      </w:r>
      <w:r w:rsidR="00FB5648" w:rsidRPr="003A7F84">
        <w:t xml:space="preserve"> revised</w:t>
      </w:r>
      <w:r w:rsidR="00E84341" w:rsidRPr="003A7F84">
        <w:t xml:space="preserve"> population as defined by the restriction, and the maximum quantity</w:t>
      </w:r>
      <w:r w:rsidR="00FB5648" w:rsidRPr="003A7F84">
        <w:t xml:space="preserve"> and hence likely wastage, however considered that a price that is more than approximately twice the price of midazolam hydrochloride is unlikely to be cost-effective.</w:t>
      </w:r>
    </w:p>
    <w:p w14:paraId="1FC5FC58" w14:textId="4D5868DC" w:rsidR="008D3236" w:rsidRPr="003A7F84" w:rsidRDefault="008D3236" w:rsidP="008D3236">
      <w:pPr>
        <w:widowControl w:val="0"/>
        <w:numPr>
          <w:ilvl w:val="1"/>
          <w:numId w:val="1"/>
        </w:numPr>
        <w:spacing w:after="120"/>
      </w:pPr>
      <w:bookmarkStart w:id="66" w:name="_Ref109662819"/>
      <w:r w:rsidRPr="003A7F84">
        <w:t>The PBAC noted that the u</w:t>
      </w:r>
      <w:r w:rsidRPr="003A7F84">
        <w:rPr>
          <w:bCs/>
        </w:rPr>
        <w:t xml:space="preserve">tilisation estimates provided in the submission appeared low in comparison to the utilisation statistics reported by the National Paediatric Medicines Forum which were submitted via consumer comments (see paragraph </w:t>
      </w:r>
      <w:r w:rsidRPr="003A7F84">
        <w:rPr>
          <w:bCs/>
        </w:rPr>
        <w:fldChar w:fldCharType="begin"/>
      </w:r>
      <w:r w:rsidRPr="003A7F84">
        <w:rPr>
          <w:bCs/>
        </w:rPr>
        <w:instrText xml:space="preserve"> REF _Ref109576584 \r \h </w:instrText>
      </w:r>
      <w:r w:rsidRPr="003A7F84">
        <w:rPr>
          <w:bCs/>
        </w:rPr>
      </w:r>
      <w:r w:rsidRPr="003A7F84">
        <w:rPr>
          <w:bCs/>
        </w:rPr>
        <w:fldChar w:fldCharType="separate"/>
      </w:r>
      <w:r w:rsidR="009466A1">
        <w:rPr>
          <w:bCs/>
        </w:rPr>
        <w:t>6.3</w:t>
      </w:r>
      <w:r w:rsidRPr="003A7F84">
        <w:rPr>
          <w:bCs/>
        </w:rPr>
        <w:fldChar w:fldCharType="end"/>
      </w:r>
      <w:r w:rsidRPr="003A7F84">
        <w:rPr>
          <w:bCs/>
        </w:rPr>
        <w:t xml:space="preserve">).  While the submission had assumed a single syringe would be dispensed per script, the PBAC considered this may not meet the needs of a subgroup of the patients with frequent seizures that may require treatment in the range of 2 to 4 doses per week.  </w:t>
      </w:r>
      <w:r w:rsidRPr="003A7F84">
        <w:rPr>
          <w:rFonts w:asciiTheme="minorHAnsi" w:hAnsiTheme="minorHAnsi"/>
          <w:snapToGrid w:val="0"/>
        </w:rPr>
        <w:t>The PBAC considered that revised financial estimates would be required to incorporate changes to the restriction and price, and that a risk sharing arrangement would be required due to uncertain financial estimates.</w:t>
      </w:r>
      <w:bookmarkEnd w:id="66"/>
    </w:p>
    <w:p w14:paraId="096E7DFC" w14:textId="77777777" w:rsidR="008D3236" w:rsidRPr="003A7F84" w:rsidRDefault="008D3236" w:rsidP="008D3236">
      <w:pPr>
        <w:widowControl w:val="0"/>
        <w:numPr>
          <w:ilvl w:val="1"/>
          <w:numId w:val="1"/>
        </w:numPr>
        <w:spacing w:after="120"/>
        <w:rPr>
          <w:rFonts w:asciiTheme="minorHAnsi" w:hAnsiTheme="minorHAnsi"/>
          <w:snapToGrid w:val="0"/>
          <w:u w:val="single"/>
        </w:rPr>
      </w:pPr>
      <w:r w:rsidRPr="003A7F84">
        <w:rPr>
          <w:rFonts w:asciiTheme="minorHAnsi" w:hAnsiTheme="minorHAnsi"/>
          <w:snapToGrid w:val="0"/>
        </w:rPr>
        <w:t xml:space="preserve">The PBAC considered the outstanding issues could be easily resolved in a simple resubmission for midazolam using the early re-entry pathway. If the sponsor accepts this pathway, the following changes may address these outstanding issues without requiring further re-evaluation. </w:t>
      </w:r>
    </w:p>
    <w:p w14:paraId="6EE3E0FF" w14:textId="6114A7D8" w:rsidR="008D3236" w:rsidRPr="003A7F84" w:rsidRDefault="008D3236" w:rsidP="008D3236">
      <w:pPr>
        <w:numPr>
          <w:ilvl w:val="0"/>
          <w:numId w:val="38"/>
        </w:numPr>
        <w:spacing w:after="120"/>
        <w:rPr>
          <w:lang w:eastAsia="en-US"/>
        </w:rPr>
      </w:pPr>
      <w:r w:rsidRPr="003A7F84">
        <w:rPr>
          <w:lang w:eastAsia="en-US"/>
        </w:rPr>
        <w:t xml:space="preserve">Revised PBS criteria as outlined in paragraph </w:t>
      </w:r>
      <w:r w:rsidRPr="003A7F84">
        <w:rPr>
          <w:lang w:eastAsia="en-US"/>
        </w:rPr>
        <w:fldChar w:fldCharType="begin"/>
      </w:r>
      <w:r w:rsidRPr="003A7F84">
        <w:rPr>
          <w:lang w:eastAsia="en-US"/>
        </w:rPr>
        <w:instrText xml:space="preserve"> REF _Ref109661259 \r \h </w:instrText>
      </w:r>
      <w:r w:rsidRPr="003A7F84">
        <w:rPr>
          <w:lang w:eastAsia="en-US"/>
        </w:rPr>
      </w:r>
      <w:r w:rsidRPr="003A7F84">
        <w:rPr>
          <w:lang w:eastAsia="en-US"/>
        </w:rPr>
        <w:fldChar w:fldCharType="separate"/>
      </w:r>
      <w:r w:rsidR="009466A1">
        <w:rPr>
          <w:lang w:eastAsia="en-US"/>
        </w:rPr>
        <w:t>7.3</w:t>
      </w:r>
      <w:r w:rsidRPr="003A7F84">
        <w:rPr>
          <w:lang w:eastAsia="en-US"/>
        </w:rPr>
        <w:fldChar w:fldCharType="end"/>
      </w:r>
      <w:r w:rsidRPr="003A7F84">
        <w:rPr>
          <w:lang w:eastAsia="en-US"/>
        </w:rPr>
        <w:t>.</w:t>
      </w:r>
    </w:p>
    <w:p w14:paraId="373B762C" w14:textId="443DE984" w:rsidR="008D3236" w:rsidRPr="003A7F84" w:rsidRDefault="008D3236" w:rsidP="008D3236">
      <w:pPr>
        <w:numPr>
          <w:ilvl w:val="0"/>
          <w:numId w:val="38"/>
        </w:numPr>
        <w:spacing w:after="120"/>
        <w:rPr>
          <w:lang w:eastAsia="en-US"/>
        </w:rPr>
      </w:pPr>
      <w:r w:rsidRPr="003A7F84">
        <w:rPr>
          <w:lang w:eastAsia="en-US"/>
        </w:rPr>
        <w:t xml:space="preserve">A price reduction to achieve a cost-effective listing as outlined in paragraph </w:t>
      </w:r>
      <w:r w:rsidRPr="003A7F84">
        <w:rPr>
          <w:lang w:eastAsia="en-US"/>
        </w:rPr>
        <w:fldChar w:fldCharType="begin"/>
      </w:r>
      <w:r w:rsidRPr="003A7F84">
        <w:rPr>
          <w:lang w:eastAsia="en-US"/>
        </w:rPr>
        <w:instrText xml:space="preserve"> REF _Ref109662800 \r \h </w:instrText>
      </w:r>
      <w:r w:rsidRPr="003A7F84">
        <w:rPr>
          <w:lang w:eastAsia="en-US"/>
        </w:rPr>
      </w:r>
      <w:r w:rsidRPr="003A7F84">
        <w:rPr>
          <w:lang w:eastAsia="en-US"/>
        </w:rPr>
        <w:fldChar w:fldCharType="separate"/>
      </w:r>
      <w:r w:rsidR="009466A1">
        <w:rPr>
          <w:lang w:eastAsia="en-US"/>
        </w:rPr>
        <w:t>7.11</w:t>
      </w:r>
      <w:r w:rsidRPr="003A7F84">
        <w:rPr>
          <w:lang w:eastAsia="en-US"/>
        </w:rPr>
        <w:fldChar w:fldCharType="end"/>
      </w:r>
      <w:r w:rsidRPr="003A7F84">
        <w:rPr>
          <w:lang w:eastAsia="en-US"/>
        </w:rPr>
        <w:t>.</w:t>
      </w:r>
    </w:p>
    <w:p w14:paraId="7F31403C" w14:textId="6D9B3647" w:rsidR="008D3236" w:rsidRPr="003A7F84" w:rsidRDefault="008D3236" w:rsidP="008D3236">
      <w:pPr>
        <w:numPr>
          <w:ilvl w:val="0"/>
          <w:numId w:val="38"/>
        </w:numPr>
        <w:spacing w:after="120"/>
        <w:rPr>
          <w:lang w:eastAsia="en-US"/>
        </w:rPr>
      </w:pPr>
      <w:r w:rsidRPr="003A7F84">
        <w:rPr>
          <w:lang w:eastAsia="en-US"/>
        </w:rPr>
        <w:t xml:space="preserve">Revised financial estimates incorporating changes to the restriction and price as outlined in paragraph </w:t>
      </w:r>
      <w:r w:rsidRPr="003A7F84">
        <w:rPr>
          <w:lang w:eastAsia="en-US"/>
        </w:rPr>
        <w:fldChar w:fldCharType="begin"/>
      </w:r>
      <w:r w:rsidRPr="003A7F84">
        <w:rPr>
          <w:lang w:eastAsia="en-US"/>
        </w:rPr>
        <w:instrText xml:space="preserve"> REF _Ref109662819 \r \h </w:instrText>
      </w:r>
      <w:r w:rsidRPr="003A7F84">
        <w:rPr>
          <w:lang w:eastAsia="en-US"/>
        </w:rPr>
      </w:r>
      <w:r w:rsidRPr="003A7F84">
        <w:rPr>
          <w:lang w:eastAsia="en-US"/>
        </w:rPr>
        <w:fldChar w:fldCharType="separate"/>
      </w:r>
      <w:r w:rsidR="009466A1">
        <w:rPr>
          <w:lang w:eastAsia="en-US"/>
        </w:rPr>
        <w:t>7.12</w:t>
      </w:r>
      <w:r w:rsidRPr="003A7F84">
        <w:rPr>
          <w:lang w:eastAsia="en-US"/>
        </w:rPr>
        <w:fldChar w:fldCharType="end"/>
      </w:r>
      <w:r w:rsidRPr="003A7F84">
        <w:rPr>
          <w:lang w:eastAsia="en-US"/>
        </w:rPr>
        <w:t>.</w:t>
      </w:r>
    </w:p>
    <w:p w14:paraId="1F7A3E3A" w14:textId="64C7E49B" w:rsidR="008D3236" w:rsidRPr="003A7F84" w:rsidRDefault="008D3236" w:rsidP="008D3236">
      <w:pPr>
        <w:numPr>
          <w:ilvl w:val="0"/>
          <w:numId w:val="38"/>
        </w:numPr>
        <w:spacing w:after="120"/>
        <w:rPr>
          <w:lang w:eastAsia="en-US"/>
        </w:rPr>
      </w:pPr>
      <w:r w:rsidRPr="003A7F84">
        <w:rPr>
          <w:lang w:eastAsia="en-US"/>
        </w:rPr>
        <w:t xml:space="preserve">A risk sharing arrangement as outlined in paragraph </w:t>
      </w:r>
      <w:r w:rsidRPr="003A7F84">
        <w:rPr>
          <w:lang w:eastAsia="en-US"/>
        </w:rPr>
        <w:fldChar w:fldCharType="begin"/>
      </w:r>
      <w:r w:rsidRPr="003A7F84">
        <w:rPr>
          <w:lang w:eastAsia="en-US"/>
        </w:rPr>
        <w:instrText xml:space="preserve"> REF _Ref109662819 \r \h </w:instrText>
      </w:r>
      <w:r w:rsidRPr="003A7F84">
        <w:rPr>
          <w:lang w:eastAsia="en-US"/>
        </w:rPr>
      </w:r>
      <w:r w:rsidRPr="003A7F84">
        <w:rPr>
          <w:lang w:eastAsia="en-US"/>
        </w:rPr>
        <w:fldChar w:fldCharType="separate"/>
      </w:r>
      <w:r w:rsidR="009466A1">
        <w:rPr>
          <w:lang w:eastAsia="en-US"/>
        </w:rPr>
        <w:t>7.12</w:t>
      </w:r>
      <w:r w:rsidRPr="003A7F84">
        <w:rPr>
          <w:lang w:eastAsia="en-US"/>
        </w:rPr>
        <w:fldChar w:fldCharType="end"/>
      </w:r>
      <w:r w:rsidRPr="003A7F84">
        <w:rPr>
          <w:lang w:eastAsia="en-US"/>
        </w:rPr>
        <w:t>.</w:t>
      </w:r>
    </w:p>
    <w:p w14:paraId="596E3849" w14:textId="2A5A19FB" w:rsidR="008D3236" w:rsidRPr="003A7F84" w:rsidRDefault="008D3236" w:rsidP="00947F44">
      <w:pPr>
        <w:widowControl w:val="0"/>
        <w:spacing w:after="120"/>
        <w:ind w:left="720"/>
        <w:rPr>
          <w:rFonts w:asciiTheme="minorHAnsi" w:hAnsiTheme="minorHAnsi" w:cstheme="minorHAnsi"/>
        </w:rPr>
      </w:pPr>
      <w:r w:rsidRPr="003A7F84">
        <w:rPr>
          <w:rFonts w:asciiTheme="minorHAnsi" w:hAnsiTheme="minorHAnsi"/>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747235FD" w14:textId="77777777" w:rsidR="008D3236" w:rsidRPr="003A7F84" w:rsidRDefault="008D3236" w:rsidP="008D3236">
      <w:pPr>
        <w:widowControl w:val="0"/>
        <w:numPr>
          <w:ilvl w:val="1"/>
          <w:numId w:val="1"/>
        </w:numPr>
        <w:spacing w:after="120"/>
        <w:rPr>
          <w:rFonts w:asciiTheme="minorHAnsi" w:hAnsiTheme="minorHAnsi"/>
          <w:bCs/>
          <w:i/>
          <w:snapToGrid w:val="0"/>
        </w:rPr>
      </w:pPr>
      <w:r w:rsidRPr="003A7F84">
        <w:rPr>
          <w:rFonts w:asciiTheme="minorHAnsi" w:hAnsiTheme="minorHAnsi"/>
          <w:bCs/>
          <w:snapToGrid w:val="0"/>
        </w:rPr>
        <w:t>The PBAC noted that this submission is eligible for an Independent Review.</w:t>
      </w:r>
    </w:p>
    <w:p w14:paraId="0AE6B217" w14:textId="77777777" w:rsidR="00915159" w:rsidRPr="003A7F84" w:rsidRDefault="00915159" w:rsidP="00915159">
      <w:pPr>
        <w:spacing w:before="240"/>
        <w:rPr>
          <w:rFonts w:asciiTheme="minorHAnsi" w:hAnsiTheme="minorHAnsi"/>
          <w:b/>
          <w:bCs/>
          <w:snapToGrid w:val="0"/>
        </w:rPr>
      </w:pPr>
      <w:r w:rsidRPr="003A7F84">
        <w:rPr>
          <w:rFonts w:asciiTheme="minorHAnsi" w:hAnsiTheme="minorHAnsi"/>
          <w:b/>
          <w:bCs/>
          <w:snapToGrid w:val="0"/>
        </w:rPr>
        <w:t>Outcome:</w:t>
      </w:r>
    </w:p>
    <w:p w14:paraId="2F3F9A0D" w14:textId="77777777" w:rsidR="004449CD" w:rsidRPr="003A7F84" w:rsidRDefault="004449CD" w:rsidP="004449CD">
      <w:pPr>
        <w:rPr>
          <w:rFonts w:asciiTheme="minorHAnsi" w:hAnsiTheme="minorHAnsi"/>
          <w:bCs/>
          <w:snapToGrid w:val="0"/>
        </w:rPr>
      </w:pPr>
      <w:r w:rsidRPr="003A7F84">
        <w:rPr>
          <w:rFonts w:asciiTheme="minorHAnsi" w:hAnsiTheme="minorHAnsi"/>
          <w:bCs/>
          <w:snapToGrid w:val="0"/>
        </w:rPr>
        <w:t>Not recommended</w:t>
      </w:r>
    </w:p>
    <w:bookmarkEnd w:id="61"/>
    <w:bookmarkEnd w:id="62"/>
    <w:p w14:paraId="375C3810" w14:textId="77777777" w:rsidR="00234CB3" w:rsidRPr="00DC6997" w:rsidRDefault="00234CB3" w:rsidP="00DB4080">
      <w:pPr>
        <w:pStyle w:val="2-SectionHeading"/>
        <w:numPr>
          <w:ilvl w:val="0"/>
          <w:numId w:val="1"/>
        </w:numPr>
      </w:pPr>
      <w:r w:rsidRPr="00DC6997">
        <w:t>Context for Decision</w:t>
      </w:r>
    </w:p>
    <w:p w14:paraId="67DF8AFD" w14:textId="77777777" w:rsidR="00234CB3" w:rsidRPr="00DC6997" w:rsidRDefault="00234CB3" w:rsidP="00234CB3">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5E3E933" w14:textId="77777777" w:rsidR="00234CB3" w:rsidRPr="00DC6997" w:rsidRDefault="00234CB3" w:rsidP="00DB4080">
      <w:pPr>
        <w:pStyle w:val="2-SectionHeading"/>
        <w:numPr>
          <w:ilvl w:val="0"/>
          <w:numId w:val="1"/>
        </w:numPr>
      </w:pPr>
      <w:r w:rsidRPr="00DC6997">
        <w:t>Sponsor’s Comment</w:t>
      </w:r>
    </w:p>
    <w:p w14:paraId="68385619" w14:textId="70FB3DD1" w:rsidR="00A01838" w:rsidRPr="003A7F84" w:rsidRDefault="00A01838" w:rsidP="00D71AAA">
      <w:pPr>
        <w:spacing w:after="120" w:line="259" w:lineRule="auto"/>
        <w:ind w:left="709"/>
      </w:pPr>
      <w:r>
        <w:rPr>
          <w:rFonts w:eastAsia="Calibri"/>
          <w:bCs/>
          <w:sz w:val="22"/>
          <w:szCs w:val="22"/>
          <w:lang w:eastAsia="en-US"/>
        </w:rPr>
        <w:t xml:space="preserve">The sponsor will continue to work with PBAC to </w:t>
      </w:r>
      <w:r w:rsidR="00E7601E">
        <w:rPr>
          <w:rFonts w:eastAsia="Calibri"/>
          <w:bCs/>
          <w:sz w:val="22"/>
          <w:szCs w:val="22"/>
          <w:lang w:eastAsia="en-US"/>
        </w:rPr>
        <w:t>find a path to listing for this important product.</w:t>
      </w:r>
    </w:p>
    <w:sectPr w:rsidR="00A01838" w:rsidRPr="003A7F84"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A569" w14:textId="77777777" w:rsidR="0069252F" w:rsidRDefault="0069252F" w:rsidP="00124A51">
      <w:r>
        <w:separator/>
      </w:r>
    </w:p>
    <w:p w14:paraId="2C5381F7" w14:textId="77777777" w:rsidR="0069252F" w:rsidRDefault="0069252F"/>
  </w:endnote>
  <w:endnote w:type="continuationSeparator" w:id="0">
    <w:p w14:paraId="13A7DE10" w14:textId="77777777" w:rsidR="0069252F" w:rsidRDefault="0069252F" w:rsidP="00124A51">
      <w:r>
        <w:continuationSeparator/>
      </w:r>
    </w:p>
    <w:p w14:paraId="29FEC0F0" w14:textId="77777777" w:rsidR="0069252F" w:rsidRDefault="00692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0349" w14:textId="77777777" w:rsidR="001F03AF" w:rsidRDefault="001F0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E0F4" w14:textId="77777777" w:rsidR="0069252F" w:rsidRDefault="0069252F" w:rsidP="0042363D">
    <w:pPr>
      <w:ind w:left="709"/>
      <w:contextualSpacing/>
      <w:jc w:val="center"/>
      <w:rPr>
        <w:rFonts w:eastAsia="Calibri"/>
        <w:szCs w:val="22"/>
      </w:rPr>
    </w:pPr>
  </w:p>
  <w:bookmarkStart w:id="68" w:name="_Hlk76375156"/>
  <w:p w14:paraId="09136031" w14:textId="5DCF61B1" w:rsidR="0069252F" w:rsidRPr="007E6801" w:rsidRDefault="0069252F" w:rsidP="007E6801">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6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BCB" w14:textId="77777777" w:rsidR="001F03AF" w:rsidRDefault="001F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ECD2" w14:textId="77777777" w:rsidR="0069252F" w:rsidRDefault="0069252F" w:rsidP="00124A51">
      <w:r>
        <w:separator/>
      </w:r>
    </w:p>
    <w:p w14:paraId="68FA123F" w14:textId="77777777" w:rsidR="0069252F" w:rsidRDefault="0069252F"/>
  </w:footnote>
  <w:footnote w:type="continuationSeparator" w:id="0">
    <w:p w14:paraId="3F57C1C5" w14:textId="77777777" w:rsidR="0069252F" w:rsidRDefault="0069252F" w:rsidP="00124A51">
      <w:r>
        <w:continuationSeparator/>
      </w:r>
    </w:p>
    <w:p w14:paraId="24B18566" w14:textId="77777777" w:rsidR="0069252F" w:rsidRDefault="0069252F"/>
  </w:footnote>
  <w:footnote w:id="1">
    <w:p w14:paraId="47669421" w14:textId="77777777" w:rsidR="0069252F" w:rsidRPr="003C12BB" w:rsidRDefault="0069252F" w:rsidP="0088581D">
      <w:pPr>
        <w:rPr>
          <w:sz w:val="20"/>
          <w:szCs w:val="20"/>
        </w:rPr>
      </w:pPr>
      <w:r w:rsidRPr="003C12BB">
        <w:rPr>
          <w:rStyle w:val="FootnoteReference"/>
          <w:sz w:val="20"/>
          <w:szCs w:val="20"/>
        </w:rPr>
        <w:footnoteRef/>
      </w:r>
      <w:r w:rsidRPr="003C12BB">
        <w:rPr>
          <w:sz w:val="20"/>
          <w:szCs w:val="20"/>
        </w:rPr>
        <w:t xml:space="preserve"> Ludwig C, and Fisher L. 2020. "Buccal Midazolam Solution for the Management of Prolonged Acute Convulsive Seizures: A Cost Analysis."  PharmacoEconomics 4:171-9.</w:t>
      </w:r>
    </w:p>
    <w:p w14:paraId="2CA44F0D" w14:textId="454D936D" w:rsidR="0069252F" w:rsidRDefault="0069252F">
      <w:pPr>
        <w:pStyle w:val="FootnoteText"/>
      </w:pPr>
    </w:p>
  </w:footnote>
  <w:footnote w:id="2">
    <w:p w14:paraId="1993360B" w14:textId="034ADDE4" w:rsidR="0069252F" w:rsidRPr="00CE237E" w:rsidRDefault="0069252F" w:rsidP="00FE22E7">
      <w:pPr>
        <w:pStyle w:val="FootnoteText"/>
        <w:rPr>
          <w:rFonts w:cstheme="minorHAnsi"/>
        </w:rPr>
      </w:pPr>
      <w:r w:rsidRPr="00CE237E">
        <w:rPr>
          <w:rStyle w:val="FootnoteReference"/>
          <w:rFonts w:cstheme="minorHAnsi"/>
        </w:rPr>
        <w:footnoteRef/>
      </w:r>
      <w:r w:rsidRPr="00CE237E">
        <w:rPr>
          <w:rStyle w:val="FootnoteReference"/>
          <w:rFonts w:cstheme="minorHAnsi"/>
        </w:rPr>
        <w:t xml:space="preserve"> </w:t>
      </w:r>
      <w:r w:rsidRPr="00CE237E">
        <w:rPr>
          <w:rStyle w:val="FootnoteReference"/>
          <w:rFonts w:cstheme="minorHAnsi"/>
          <w:vertAlign w:val="baseline"/>
        </w:rPr>
        <w:t>Tittensor P, Tittensor S, Chisanga E, Bagary M, Jory C, Shankar R. UK framework for basic epilepsy training and oromucosal midazolam administration. Epilepsy Behav. 2021 Sep;122:108180. Epub 2021 Jul 9.</w:t>
      </w:r>
    </w:p>
  </w:footnote>
  <w:footnote w:id="3">
    <w:p w14:paraId="37B16BB4" w14:textId="19560028" w:rsidR="0069252F" w:rsidRPr="003C12BB" w:rsidRDefault="0069252F" w:rsidP="003C12BB">
      <w:pPr>
        <w:pStyle w:val="FootnoteText"/>
        <w:rPr>
          <w:rFonts w:cstheme="minorHAnsi"/>
        </w:rPr>
      </w:pPr>
      <w:r w:rsidRPr="003C12BB">
        <w:rPr>
          <w:rStyle w:val="FootnoteReference"/>
          <w:rFonts w:cstheme="minorHAnsi"/>
        </w:rPr>
        <w:footnoteRef/>
      </w:r>
      <w:r w:rsidRPr="003C12BB">
        <w:rPr>
          <w:rFonts w:cstheme="minorHAnsi"/>
        </w:rPr>
        <w:t xml:space="preserve"> The submission (p182) stated that the shelf-life of midazolam oromucosal solution is currently 14 months, although this is expected to be extended to 18 months as stability data allow.</w:t>
      </w:r>
    </w:p>
  </w:footnote>
  <w:footnote w:id="4">
    <w:p w14:paraId="13123580" w14:textId="7072D6C3" w:rsidR="0069252F" w:rsidRPr="00582F35" w:rsidRDefault="0069252F" w:rsidP="008771C1">
      <w:pPr>
        <w:pStyle w:val="FootnoteText"/>
        <w:spacing w:before="0" w:after="0"/>
        <w:rPr>
          <w:rFonts w:cstheme="minorHAnsi"/>
        </w:rPr>
      </w:pPr>
      <w:r w:rsidRPr="00582F35">
        <w:rPr>
          <w:rStyle w:val="FootnoteReference"/>
          <w:rFonts w:cstheme="minorHAnsi"/>
        </w:rPr>
        <w:footnoteRef/>
      </w:r>
      <w:r w:rsidRPr="00582F35">
        <w:rPr>
          <w:rFonts w:cstheme="minorHAnsi"/>
        </w:rPr>
        <w:t xml:space="preserve"> </w:t>
      </w:r>
      <w:hyperlink r:id="rId1" w:anchor="repeated-seizures-or-cluster-seizures" w:history="1">
        <w:r w:rsidRPr="00582F35">
          <w:rPr>
            <w:rStyle w:val="Hyperlink"/>
            <w:rFonts w:cstheme="minorHAnsi"/>
          </w:rPr>
          <w:t>https://www.nice.org.uk/guidance/ng217/chapter/7-Treating-status-epilepticus-repeated-or-cluster-seizures-and-prolonged-seizures#repeated-seizures-or-cluster-seizures</w:t>
        </w:r>
      </w:hyperlink>
      <w:r w:rsidRPr="00582F35">
        <w:rPr>
          <w:rFonts w:cstheme="minorHAnsi"/>
        </w:rPr>
        <w:t>, accessed 4 May 2022.</w:t>
      </w:r>
    </w:p>
  </w:footnote>
  <w:footnote w:id="5">
    <w:p w14:paraId="3B0064B9" w14:textId="15DB8FA1" w:rsidR="0069252F" w:rsidRPr="00063890" w:rsidRDefault="0069252F" w:rsidP="008771C1">
      <w:pPr>
        <w:pStyle w:val="FootnoteText"/>
        <w:spacing w:before="0" w:after="0"/>
        <w:rPr>
          <w:rFonts w:ascii="Arial Narrow" w:hAnsi="Arial Narrow"/>
          <w:sz w:val="18"/>
          <w:szCs w:val="18"/>
        </w:rPr>
      </w:pPr>
      <w:r w:rsidRPr="00582F35">
        <w:rPr>
          <w:rStyle w:val="FootnoteReference"/>
          <w:rFonts w:cstheme="minorHAnsi"/>
        </w:rPr>
        <w:footnoteRef/>
      </w:r>
      <w:r w:rsidRPr="00582F35">
        <w:rPr>
          <w:rFonts w:cstheme="minorHAnsi"/>
        </w:rPr>
        <w:t xml:space="preserve"> </w:t>
      </w:r>
      <w:hyperlink r:id="rId2" w:history="1">
        <w:r w:rsidRPr="00582F35">
          <w:rPr>
            <w:rStyle w:val="Hyperlink"/>
            <w:rFonts w:cstheme="minorHAnsi"/>
          </w:rPr>
          <w:t>https://www.nice.org.uk/guidance/ng217/evidence/9-antiseizure-medication-status-epilepticus-pdf-398366282772</w:t>
        </w:r>
      </w:hyperlink>
      <w:r w:rsidRPr="00582F35">
        <w:rPr>
          <w:rFonts w:cstheme="minorHAnsi"/>
        </w:rPr>
        <w:t xml:space="preserve"> (see Table 11: UK costs of drugs used for Status Epilepticus), accessed 4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5270" w14:textId="77777777" w:rsidR="001F03AF" w:rsidRDefault="001F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6849" w14:textId="77777777" w:rsidR="0069252F" w:rsidRPr="00E3136B" w:rsidRDefault="0069252F" w:rsidP="00234CB3">
    <w:pPr>
      <w:pStyle w:val="Header"/>
      <w:ind w:left="360"/>
      <w:jc w:val="center"/>
      <w:rPr>
        <w:rFonts w:asciiTheme="minorHAnsi" w:hAnsiTheme="minorHAnsi"/>
        <w:i/>
        <w:color w:val="808080"/>
      </w:rPr>
    </w:pPr>
    <w:bookmarkStart w:id="67" w:name="_Hlk76375146"/>
    <w:r w:rsidRPr="00E3136B">
      <w:rPr>
        <w:rFonts w:asciiTheme="minorHAnsi" w:hAnsiTheme="minorHAnsi"/>
        <w:i/>
        <w:color w:val="808080"/>
      </w:rPr>
      <w:t>Public Summary Document – July 2022 PBAC Meeting</w:t>
    </w:r>
  </w:p>
  <w:bookmarkEnd w:id="67"/>
  <w:p w14:paraId="5E83BD6D" w14:textId="77777777" w:rsidR="0069252F" w:rsidRDefault="006925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FAC0" w14:textId="77777777" w:rsidR="001F03AF" w:rsidRDefault="001F0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37222"/>
    <w:multiLevelType w:val="multilevel"/>
    <w:tmpl w:val="C534F5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31E0B"/>
    <w:multiLevelType w:val="hybridMultilevel"/>
    <w:tmpl w:val="817E349A"/>
    <w:lvl w:ilvl="0" w:tplc="66227BB4">
      <w:start w:val="1"/>
      <w:numFmt w:val="bullet"/>
      <w:lvlText w:val="•"/>
      <w:lvlJc w:val="left"/>
      <w:pPr>
        <w:tabs>
          <w:tab w:val="num" w:pos="720"/>
        </w:tabs>
        <w:ind w:left="720" w:hanging="360"/>
      </w:pPr>
      <w:rPr>
        <w:rFonts w:ascii="Arial" w:hAnsi="Arial" w:hint="default"/>
      </w:rPr>
    </w:lvl>
    <w:lvl w:ilvl="1" w:tplc="0DA24E96" w:tentative="1">
      <w:start w:val="1"/>
      <w:numFmt w:val="bullet"/>
      <w:lvlText w:val="•"/>
      <w:lvlJc w:val="left"/>
      <w:pPr>
        <w:tabs>
          <w:tab w:val="num" w:pos="1440"/>
        </w:tabs>
        <w:ind w:left="1440" w:hanging="360"/>
      </w:pPr>
      <w:rPr>
        <w:rFonts w:ascii="Arial" w:hAnsi="Arial" w:hint="default"/>
      </w:rPr>
    </w:lvl>
    <w:lvl w:ilvl="2" w:tplc="4246E3C4" w:tentative="1">
      <w:start w:val="1"/>
      <w:numFmt w:val="bullet"/>
      <w:lvlText w:val="•"/>
      <w:lvlJc w:val="left"/>
      <w:pPr>
        <w:tabs>
          <w:tab w:val="num" w:pos="2160"/>
        </w:tabs>
        <w:ind w:left="2160" w:hanging="360"/>
      </w:pPr>
      <w:rPr>
        <w:rFonts w:ascii="Arial" w:hAnsi="Arial" w:hint="default"/>
      </w:rPr>
    </w:lvl>
    <w:lvl w:ilvl="3" w:tplc="8A14B16C" w:tentative="1">
      <w:start w:val="1"/>
      <w:numFmt w:val="bullet"/>
      <w:lvlText w:val="•"/>
      <w:lvlJc w:val="left"/>
      <w:pPr>
        <w:tabs>
          <w:tab w:val="num" w:pos="2880"/>
        </w:tabs>
        <w:ind w:left="2880" w:hanging="360"/>
      </w:pPr>
      <w:rPr>
        <w:rFonts w:ascii="Arial" w:hAnsi="Arial" w:hint="default"/>
      </w:rPr>
    </w:lvl>
    <w:lvl w:ilvl="4" w:tplc="31F055EA" w:tentative="1">
      <w:start w:val="1"/>
      <w:numFmt w:val="bullet"/>
      <w:lvlText w:val="•"/>
      <w:lvlJc w:val="left"/>
      <w:pPr>
        <w:tabs>
          <w:tab w:val="num" w:pos="3600"/>
        </w:tabs>
        <w:ind w:left="3600" w:hanging="360"/>
      </w:pPr>
      <w:rPr>
        <w:rFonts w:ascii="Arial" w:hAnsi="Arial" w:hint="default"/>
      </w:rPr>
    </w:lvl>
    <w:lvl w:ilvl="5" w:tplc="4E18743C" w:tentative="1">
      <w:start w:val="1"/>
      <w:numFmt w:val="bullet"/>
      <w:lvlText w:val="•"/>
      <w:lvlJc w:val="left"/>
      <w:pPr>
        <w:tabs>
          <w:tab w:val="num" w:pos="4320"/>
        </w:tabs>
        <w:ind w:left="4320" w:hanging="360"/>
      </w:pPr>
      <w:rPr>
        <w:rFonts w:ascii="Arial" w:hAnsi="Arial" w:hint="default"/>
      </w:rPr>
    </w:lvl>
    <w:lvl w:ilvl="6" w:tplc="C43A62CA" w:tentative="1">
      <w:start w:val="1"/>
      <w:numFmt w:val="bullet"/>
      <w:lvlText w:val="•"/>
      <w:lvlJc w:val="left"/>
      <w:pPr>
        <w:tabs>
          <w:tab w:val="num" w:pos="5040"/>
        </w:tabs>
        <w:ind w:left="5040" w:hanging="360"/>
      </w:pPr>
      <w:rPr>
        <w:rFonts w:ascii="Arial" w:hAnsi="Arial" w:hint="default"/>
      </w:rPr>
    </w:lvl>
    <w:lvl w:ilvl="7" w:tplc="39FAA294" w:tentative="1">
      <w:start w:val="1"/>
      <w:numFmt w:val="bullet"/>
      <w:lvlText w:val="•"/>
      <w:lvlJc w:val="left"/>
      <w:pPr>
        <w:tabs>
          <w:tab w:val="num" w:pos="5760"/>
        </w:tabs>
        <w:ind w:left="5760" w:hanging="360"/>
      </w:pPr>
      <w:rPr>
        <w:rFonts w:ascii="Arial" w:hAnsi="Arial" w:hint="default"/>
      </w:rPr>
    </w:lvl>
    <w:lvl w:ilvl="8" w:tplc="839EB0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60C29"/>
    <w:multiLevelType w:val="hybridMultilevel"/>
    <w:tmpl w:val="6652D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7D4643"/>
    <w:multiLevelType w:val="hybridMultilevel"/>
    <w:tmpl w:val="53AEA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7D6CD3"/>
    <w:multiLevelType w:val="hybridMultilevel"/>
    <w:tmpl w:val="B2A27F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C920E5"/>
    <w:multiLevelType w:val="hybridMultilevel"/>
    <w:tmpl w:val="31EA5EC2"/>
    <w:lvl w:ilvl="0" w:tplc="D3BECF16">
      <w:start w:val="1"/>
      <w:numFmt w:val="bullet"/>
      <w:lvlText w:val="•"/>
      <w:lvlJc w:val="left"/>
      <w:pPr>
        <w:tabs>
          <w:tab w:val="num" w:pos="720"/>
        </w:tabs>
        <w:ind w:left="720" w:hanging="360"/>
      </w:pPr>
      <w:rPr>
        <w:rFonts w:ascii="Arial" w:hAnsi="Arial" w:hint="default"/>
      </w:rPr>
    </w:lvl>
    <w:lvl w:ilvl="1" w:tplc="1354EFA4" w:tentative="1">
      <w:start w:val="1"/>
      <w:numFmt w:val="bullet"/>
      <w:lvlText w:val="•"/>
      <w:lvlJc w:val="left"/>
      <w:pPr>
        <w:tabs>
          <w:tab w:val="num" w:pos="1440"/>
        </w:tabs>
        <w:ind w:left="1440" w:hanging="360"/>
      </w:pPr>
      <w:rPr>
        <w:rFonts w:ascii="Arial" w:hAnsi="Arial" w:hint="default"/>
      </w:rPr>
    </w:lvl>
    <w:lvl w:ilvl="2" w:tplc="00F4D306" w:tentative="1">
      <w:start w:val="1"/>
      <w:numFmt w:val="bullet"/>
      <w:lvlText w:val="•"/>
      <w:lvlJc w:val="left"/>
      <w:pPr>
        <w:tabs>
          <w:tab w:val="num" w:pos="2160"/>
        </w:tabs>
        <w:ind w:left="2160" w:hanging="360"/>
      </w:pPr>
      <w:rPr>
        <w:rFonts w:ascii="Arial" w:hAnsi="Arial" w:hint="default"/>
      </w:rPr>
    </w:lvl>
    <w:lvl w:ilvl="3" w:tplc="0B287EEA" w:tentative="1">
      <w:start w:val="1"/>
      <w:numFmt w:val="bullet"/>
      <w:lvlText w:val="•"/>
      <w:lvlJc w:val="left"/>
      <w:pPr>
        <w:tabs>
          <w:tab w:val="num" w:pos="2880"/>
        </w:tabs>
        <w:ind w:left="2880" w:hanging="360"/>
      </w:pPr>
      <w:rPr>
        <w:rFonts w:ascii="Arial" w:hAnsi="Arial" w:hint="default"/>
      </w:rPr>
    </w:lvl>
    <w:lvl w:ilvl="4" w:tplc="4172180E" w:tentative="1">
      <w:start w:val="1"/>
      <w:numFmt w:val="bullet"/>
      <w:lvlText w:val="•"/>
      <w:lvlJc w:val="left"/>
      <w:pPr>
        <w:tabs>
          <w:tab w:val="num" w:pos="3600"/>
        </w:tabs>
        <w:ind w:left="3600" w:hanging="360"/>
      </w:pPr>
      <w:rPr>
        <w:rFonts w:ascii="Arial" w:hAnsi="Arial" w:hint="default"/>
      </w:rPr>
    </w:lvl>
    <w:lvl w:ilvl="5" w:tplc="0EECC72A" w:tentative="1">
      <w:start w:val="1"/>
      <w:numFmt w:val="bullet"/>
      <w:lvlText w:val="•"/>
      <w:lvlJc w:val="left"/>
      <w:pPr>
        <w:tabs>
          <w:tab w:val="num" w:pos="4320"/>
        </w:tabs>
        <w:ind w:left="4320" w:hanging="360"/>
      </w:pPr>
      <w:rPr>
        <w:rFonts w:ascii="Arial" w:hAnsi="Arial" w:hint="default"/>
      </w:rPr>
    </w:lvl>
    <w:lvl w:ilvl="6" w:tplc="169842C6" w:tentative="1">
      <w:start w:val="1"/>
      <w:numFmt w:val="bullet"/>
      <w:lvlText w:val="•"/>
      <w:lvlJc w:val="left"/>
      <w:pPr>
        <w:tabs>
          <w:tab w:val="num" w:pos="5040"/>
        </w:tabs>
        <w:ind w:left="5040" w:hanging="360"/>
      </w:pPr>
      <w:rPr>
        <w:rFonts w:ascii="Arial" w:hAnsi="Arial" w:hint="default"/>
      </w:rPr>
    </w:lvl>
    <w:lvl w:ilvl="7" w:tplc="3042CE58" w:tentative="1">
      <w:start w:val="1"/>
      <w:numFmt w:val="bullet"/>
      <w:lvlText w:val="•"/>
      <w:lvlJc w:val="left"/>
      <w:pPr>
        <w:tabs>
          <w:tab w:val="num" w:pos="5760"/>
        </w:tabs>
        <w:ind w:left="5760" w:hanging="360"/>
      </w:pPr>
      <w:rPr>
        <w:rFonts w:ascii="Arial" w:hAnsi="Arial" w:hint="default"/>
      </w:rPr>
    </w:lvl>
    <w:lvl w:ilvl="8" w:tplc="A54AA7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44C7C"/>
    <w:multiLevelType w:val="hybridMultilevel"/>
    <w:tmpl w:val="02FA9E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374C7E"/>
    <w:multiLevelType w:val="hybridMultilevel"/>
    <w:tmpl w:val="80A0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97DAFC78"/>
    <w:lvl w:ilvl="0" w:tplc="C324F4FC">
      <w:start w:val="1"/>
      <w:numFmt w:val="bullet"/>
      <w:pStyle w:val="Bulletpoints"/>
      <w:lvlText w:val=""/>
      <w:lvlJc w:val="left"/>
      <w:pPr>
        <w:ind w:left="720" w:hanging="360"/>
      </w:pPr>
      <w:rPr>
        <w:rFonts w:ascii="Symbol" w:hAnsi="Symbol" w:hint="default"/>
      </w:rPr>
    </w:lvl>
    <w:lvl w:ilvl="1" w:tplc="3D822F6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D405A"/>
    <w:multiLevelType w:val="hybridMultilevel"/>
    <w:tmpl w:val="01F8EAD0"/>
    <w:lvl w:ilvl="0" w:tplc="0C090011">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D43A93"/>
    <w:multiLevelType w:val="hybridMultilevel"/>
    <w:tmpl w:val="0CE4F0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B04F31"/>
    <w:multiLevelType w:val="hybridMultilevel"/>
    <w:tmpl w:val="C4A8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0084FBF"/>
    <w:multiLevelType w:val="hybridMultilevel"/>
    <w:tmpl w:val="47C2347C"/>
    <w:lvl w:ilvl="0" w:tplc="654235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65F52"/>
    <w:multiLevelType w:val="multilevel"/>
    <w:tmpl w:val="3A5E91F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F22442"/>
    <w:multiLevelType w:val="hybridMultilevel"/>
    <w:tmpl w:val="CA3859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AC0546"/>
    <w:multiLevelType w:val="hybridMultilevel"/>
    <w:tmpl w:val="14D461D0"/>
    <w:lvl w:ilvl="0" w:tplc="51B616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3B04FF"/>
    <w:multiLevelType w:val="multilevel"/>
    <w:tmpl w:val="C340F59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4D033C"/>
    <w:multiLevelType w:val="multilevel"/>
    <w:tmpl w:val="5F689C2A"/>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C60476"/>
    <w:multiLevelType w:val="hybridMultilevel"/>
    <w:tmpl w:val="ADE2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0"/>
  </w:num>
  <w:num w:numId="2">
    <w:abstractNumId w:val="16"/>
  </w:num>
  <w:num w:numId="3">
    <w:abstractNumId w:val="0"/>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8"/>
  </w:num>
  <w:num w:numId="8">
    <w:abstractNumId w:val="15"/>
  </w:num>
  <w:num w:numId="9">
    <w:abstractNumId w:val="24"/>
  </w:num>
  <w:num w:numId="10">
    <w:abstractNumId w:val="31"/>
  </w:num>
  <w:num w:numId="11">
    <w:abstractNumId w:val="13"/>
  </w:num>
  <w:num w:numId="12">
    <w:abstractNumId w:val="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9"/>
  </w:num>
  <w:num w:numId="17">
    <w:abstractNumId w:val="12"/>
  </w:num>
  <w:num w:numId="18">
    <w:abstractNumId w:val="32"/>
  </w:num>
  <w:num w:numId="19">
    <w:abstractNumId w:val="26"/>
  </w:num>
  <w:num w:numId="20">
    <w:abstractNumId w:val="18"/>
  </w:num>
  <w:num w:numId="21">
    <w:abstractNumId w:val="8"/>
  </w:num>
  <w:num w:numId="22">
    <w:abstractNumId w:val="30"/>
  </w:num>
  <w:num w:numId="23">
    <w:abstractNumId w:val="2"/>
  </w:num>
  <w:num w:numId="24">
    <w:abstractNumId w:val="21"/>
  </w:num>
  <w:num w:numId="25">
    <w:abstractNumId w:val="22"/>
  </w:num>
  <w:num w:numId="26">
    <w:abstractNumId w:val="3"/>
  </w:num>
  <w:num w:numId="27">
    <w:abstractNumId w:val="1"/>
  </w:num>
  <w:num w:numId="28">
    <w:abstractNumId w:val="11"/>
  </w:num>
  <w:num w:numId="29">
    <w:abstractNumId w:val="14"/>
  </w:num>
  <w:num w:numId="30">
    <w:abstractNumId w:val="10"/>
  </w:num>
  <w:num w:numId="3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0"/>
  </w:num>
  <w:num w:numId="34">
    <w:abstractNumId w:val="30"/>
  </w:num>
  <w:num w:numId="35">
    <w:abstractNumId w:val="17"/>
  </w:num>
  <w:num w:numId="36">
    <w:abstractNumId w:val="9"/>
  </w:num>
  <w:num w:numId="37">
    <w:abstractNumId w:val="5"/>
  </w:num>
  <w:num w:numId="38">
    <w:abstractNumId w:val="6"/>
  </w:num>
  <w:num w:numId="39">
    <w:abstractNumId w:val="4"/>
  </w:num>
  <w:num w:numId="40">
    <w:abstractNumId w:val="30"/>
  </w:num>
  <w:num w:numId="41">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E8"/>
    <w:rsid w:val="0000010F"/>
    <w:rsid w:val="0000028A"/>
    <w:rsid w:val="00000790"/>
    <w:rsid w:val="00000D38"/>
    <w:rsid w:val="000010E4"/>
    <w:rsid w:val="0000110B"/>
    <w:rsid w:val="00001309"/>
    <w:rsid w:val="00001514"/>
    <w:rsid w:val="000020FA"/>
    <w:rsid w:val="00003499"/>
    <w:rsid w:val="000037B1"/>
    <w:rsid w:val="000039B7"/>
    <w:rsid w:val="00004486"/>
    <w:rsid w:val="000051FC"/>
    <w:rsid w:val="000061C8"/>
    <w:rsid w:val="0000639A"/>
    <w:rsid w:val="00006450"/>
    <w:rsid w:val="00006710"/>
    <w:rsid w:val="000071DE"/>
    <w:rsid w:val="00007726"/>
    <w:rsid w:val="00010547"/>
    <w:rsid w:val="000105A2"/>
    <w:rsid w:val="00010788"/>
    <w:rsid w:val="00010BAD"/>
    <w:rsid w:val="00011A07"/>
    <w:rsid w:val="00011B5F"/>
    <w:rsid w:val="00012E94"/>
    <w:rsid w:val="00012F75"/>
    <w:rsid w:val="000130A8"/>
    <w:rsid w:val="00013247"/>
    <w:rsid w:val="000140AA"/>
    <w:rsid w:val="00014E3C"/>
    <w:rsid w:val="00014E70"/>
    <w:rsid w:val="0001506B"/>
    <w:rsid w:val="00015886"/>
    <w:rsid w:val="00015C21"/>
    <w:rsid w:val="000162EF"/>
    <w:rsid w:val="000168E9"/>
    <w:rsid w:val="0001769A"/>
    <w:rsid w:val="0001776A"/>
    <w:rsid w:val="000207C9"/>
    <w:rsid w:val="00020821"/>
    <w:rsid w:val="00020EEF"/>
    <w:rsid w:val="00020EFB"/>
    <w:rsid w:val="00021754"/>
    <w:rsid w:val="0002225F"/>
    <w:rsid w:val="0002304B"/>
    <w:rsid w:val="000231C0"/>
    <w:rsid w:val="0002333E"/>
    <w:rsid w:val="00023763"/>
    <w:rsid w:val="00023AB1"/>
    <w:rsid w:val="00023CCF"/>
    <w:rsid w:val="000241D2"/>
    <w:rsid w:val="00024C5A"/>
    <w:rsid w:val="0002526A"/>
    <w:rsid w:val="0002596F"/>
    <w:rsid w:val="00025AC2"/>
    <w:rsid w:val="00025FBD"/>
    <w:rsid w:val="00026865"/>
    <w:rsid w:val="000269B6"/>
    <w:rsid w:val="000274B8"/>
    <w:rsid w:val="0002784B"/>
    <w:rsid w:val="00027C38"/>
    <w:rsid w:val="00030883"/>
    <w:rsid w:val="0003115B"/>
    <w:rsid w:val="00031222"/>
    <w:rsid w:val="0003262B"/>
    <w:rsid w:val="00032BE9"/>
    <w:rsid w:val="00033031"/>
    <w:rsid w:val="00033863"/>
    <w:rsid w:val="000347EA"/>
    <w:rsid w:val="000350A4"/>
    <w:rsid w:val="000354FA"/>
    <w:rsid w:val="0003575D"/>
    <w:rsid w:val="00035DC0"/>
    <w:rsid w:val="00036040"/>
    <w:rsid w:val="00036726"/>
    <w:rsid w:val="00036740"/>
    <w:rsid w:val="00036829"/>
    <w:rsid w:val="0003689C"/>
    <w:rsid w:val="00037B27"/>
    <w:rsid w:val="000401EA"/>
    <w:rsid w:val="000404F5"/>
    <w:rsid w:val="000406BD"/>
    <w:rsid w:val="00040895"/>
    <w:rsid w:val="00041078"/>
    <w:rsid w:val="000418C4"/>
    <w:rsid w:val="00041991"/>
    <w:rsid w:val="00042C4E"/>
    <w:rsid w:val="000435EE"/>
    <w:rsid w:val="00043C37"/>
    <w:rsid w:val="00044650"/>
    <w:rsid w:val="00044CF7"/>
    <w:rsid w:val="00044F47"/>
    <w:rsid w:val="00045017"/>
    <w:rsid w:val="00045417"/>
    <w:rsid w:val="00045A2B"/>
    <w:rsid w:val="00046406"/>
    <w:rsid w:val="0004648D"/>
    <w:rsid w:val="0004698F"/>
    <w:rsid w:val="00046AC3"/>
    <w:rsid w:val="00046E96"/>
    <w:rsid w:val="000473BE"/>
    <w:rsid w:val="00047480"/>
    <w:rsid w:val="000476E2"/>
    <w:rsid w:val="00050749"/>
    <w:rsid w:val="00050959"/>
    <w:rsid w:val="00051A20"/>
    <w:rsid w:val="00051DBD"/>
    <w:rsid w:val="0005260E"/>
    <w:rsid w:val="0005269B"/>
    <w:rsid w:val="00052C23"/>
    <w:rsid w:val="000539D0"/>
    <w:rsid w:val="00054621"/>
    <w:rsid w:val="000546D7"/>
    <w:rsid w:val="000548BE"/>
    <w:rsid w:val="00054BA1"/>
    <w:rsid w:val="00056467"/>
    <w:rsid w:val="00056ECF"/>
    <w:rsid w:val="00057E2A"/>
    <w:rsid w:val="000604DF"/>
    <w:rsid w:val="000604FA"/>
    <w:rsid w:val="000608BA"/>
    <w:rsid w:val="00061A60"/>
    <w:rsid w:val="00061D9F"/>
    <w:rsid w:val="00062926"/>
    <w:rsid w:val="00063890"/>
    <w:rsid w:val="00063915"/>
    <w:rsid w:val="000650FB"/>
    <w:rsid w:val="000653B5"/>
    <w:rsid w:val="000662A4"/>
    <w:rsid w:val="00066360"/>
    <w:rsid w:val="000666E2"/>
    <w:rsid w:val="000667CA"/>
    <w:rsid w:val="00066AF8"/>
    <w:rsid w:val="00066B97"/>
    <w:rsid w:val="000670B4"/>
    <w:rsid w:val="000672DB"/>
    <w:rsid w:val="00067E52"/>
    <w:rsid w:val="0007094D"/>
    <w:rsid w:val="00070CCE"/>
    <w:rsid w:val="0007100F"/>
    <w:rsid w:val="00071248"/>
    <w:rsid w:val="000715E7"/>
    <w:rsid w:val="00071A48"/>
    <w:rsid w:val="00071B00"/>
    <w:rsid w:val="000720B9"/>
    <w:rsid w:val="00072532"/>
    <w:rsid w:val="000729C1"/>
    <w:rsid w:val="00072CC4"/>
    <w:rsid w:val="00072D6B"/>
    <w:rsid w:val="0007338E"/>
    <w:rsid w:val="000737F7"/>
    <w:rsid w:val="0007392C"/>
    <w:rsid w:val="00073F6C"/>
    <w:rsid w:val="00074146"/>
    <w:rsid w:val="00074BF3"/>
    <w:rsid w:val="000751B3"/>
    <w:rsid w:val="00075965"/>
    <w:rsid w:val="00075C00"/>
    <w:rsid w:val="00075DA3"/>
    <w:rsid w:val="000766CF"/>
    <w:rsid w:val="0007672F"/>
    <w:rsid w:val="00076B24"/>
    <w:rsid w:val="00076B54"/>
    <w:rsid w:val="000774F0"/>
    <w:rsid w:val="00077EA6"/>
    <w:rsid w:val="00080909"/>
    <w:rsid w:val="000812CA"/>
    <w:rsid w:val="00081E63"/>
    <w:rsid w:val="0008258D"/>
    <w:rsid w:val="00083E99"/>
    <w:rsid w:val="00084150"/>
    <w:rsid w:val="000846F8"/>
    <w:rsid w:val="00084889"/>
    <w:rsid w:val="00084FA8"/>
    <w:rsid w:val="000856C5"/>
    <w:rsid w:val="00085728"/>
    <w:rsid w:val="00085C31"/>
    <w:rsid w:val="00086692"/>
    <w:rsid w:val="00087097"/>
    <w:rsid w:val="00087A31"/>
    <w:rsid w:val="00087E5A"/>
    <w:rsid w:val="00087EDE"/>
    <w:rsid w:val="00087F6D"/>
    <w:rsid w:val="000902D9"/>
    <w:rsid w:val="000904AD"/>
    <w:rsid w:val="000907E6"/>
    <w:rsid w:val="00090A30"/>
    <w:rsid w:val="00090B3C"/>
    <w:rsid w:val="00090C7E"/>
    <w:rsid w:val="000912DA"/>
    <w:rsid w:val="000923EC"/>
    <w:rsid w:val="00092600"/>
    <w:rsid w:val="0009262B"/>
    <w:rsid w:val="00092B81"/>
    <w:rsid w:val="00092D5F"/>
    <w:rsid w:val="00093310"/>
    <w:rsid w:val="0009435C"/>
    <w:rsid w:val="0009445C"/>
    <w:rsid w:val="00094BCC"/>
    <w:rsid w:val="00094FE4"/>
    <w:rsid w:val="00095200"/>
    <w:rsid w:val="00095979"/>
    <w:rsid w:val="00095FE5"/>
    <w:rsid w:val="0009625A"/>
    <w:rsid w:val="00096284"/>
    <w:rsid w:val="0009628F"/>
    <w:rsid w:val="00096455"/>
    <w:rsid w:val="00097139"/>
    <w:rsid w:val="000978DA"/>
    <w:rsid w:val="00097E3A"/>
    <w:rsid w:val="000A0C73"/>
    <w:rsid w:val="000A1BC0"/>
    <w:rsid w:val="000A2718"/>
    <w:rsid w:val="000A38C3"/>
    <w:rsid w:val="000A3C32"/>
    <w:rsid w:val="000A3E48"/>
    <w:rsid w:val="000A43A0"/>
    <w:rsid w:val="000A5847"/>
    <w:rsid w:val="000A5DC2"/>
    <w:rsid w:val="000A6039"/>
    <w:rsid w:val="000A6EDE"/>
    <w:rsid w:val="000A7453"/>
    <w:rsid w:val="000A77BA"/>
    <w:rsid w:val="000A7988"/>
    <w:rsid w:val="000A7B69"/>
    <w:rsid w:val="000A7D08"/>
    <w:rsid w:val="000A7ED1"/>
    <w:rsid w:val="000B0121"/>
    <w:rsid w:val="000B0670"/>
    <w:rsid w:val="000B0E75"/>
    <w:rsid w:val="000B10AD"/>
    <w:rsid w:val="000B21E9"/>
    <w:rsid w:val="000B22E0"/>
    <w:rsid w:val="000B2373"/>
    <w:rsid w:val="000B2DCB"/>
    <w:rsid w:val="000B3214"/>
    <w:rsid w:val="000B32C9"/>
    <w:rsid w:val="000B3738"/>
    <w:rsid w:val="000B3E50"/>
    <w:rsid w:val="000B469D"/>
    <w:rsid w:val="000B5233"/>
    <w:rsid w:val="000B5268"/>
    <w:rsid w:val="000B5655"/>
    <w:rsid w:val="000B57BA"/>
    <w:rsid w:val="000B58E1"/>
    <w:rsid w:val="000B5CE0"/>
    <w:rsid w:val="000B5D8D"/>
    <w:rsid w:val="000B5DB2"/>
    <w:rsid w:val="000B6CAC"/>
    <w:rsid w:val="000B6D18"/>
    <w:rsid w:val="000B7612"/>
    <w:rsid w:val="000B78AE"/>
    <w:rsid w:val="000B79DD"/>
    <w:rsid w:val="000B7A23"/>
    <w:rsid w:val="000C0348"/>
    <w:rsid w:val="000C0957"/>
    <w:rsid w:val="000C0A08"/>
    <w:rsid w:val="000C2DCE"/>
    <w:rsid w:val="000C3DA3"/>
    <w:rsid w:val="000C3DF9"/>
    <w:rsid w:val="000C41F1"/>
    <w:rsid w:val="000C4954"/>
    <w:rsid w:val="000C625D"/>
    <w:rsid w:val="000C6713"/>
    <w:rsid w:val="000C70F3"/>
    <w:rsid w:val="000C7544"/>
    <w:rsid w:val="000C7C10"/>
    <w:rsid w:val="000D01B8"/>
    <w:rsid w:val="000D0A65"/>
    <w:rsid w:val="000D114E"/>
    <w:rsid w:val="000D1367"/>
    <w:rsid w:val="000D1BFC"/>
    <w:rsid w:val="000D1D5D"/>
    <w:rsid w:val="000D281A"/>
    <w:rsid w:val="000D2848"/>
    <w:rsid w:val="000D31E6"/>
    <w:rsid w:val="000D326A"/>
    <w:rsid w:val="000D3B99"/>
    <w:rsid w:val="000D448D"/>
    <w:rsid w:val="000D44F3"/>
    <w:rsid w:val="000D51FB"/>
    <w:rsid w:val="000D647E"/>
    <w:rsid w:val="000D6C1A"/>
    <w:rsid w:val="000E03B5"/>
    <w:rsid w:val="000E0640"/>
    <w:rsid w:val="000E0E46"/>
    <w:rsid w:val="000E135D"/>
    <w:rsid w:val="000E1E41"/>
    <w:rsid w:val="000E26B1"/>
    <w:rsid w:val="000E37CA"/>
    <w:rsid w:val="000E38B7"/>
    <w:rsid w:val="000E3E65"/>
    <w:rsid w:val="000E3F61"/>
    <w:rsid w:val="000E642D"/>
    <w:rsid w:val="000E649D"/>
    <w:rsid w:val="000E67BE"/>
    <w:rsid w:val="000E695A"/>
    <w:rsid w:val="000E7D4E"/>
    <w:rsid w:val="000F00BA"/>
    <w:rsid w:val="000F026B"/>
    <w:rsid w:val="000F04B9"/>
    <w:rsid w:val="000F0C24"/>
    <w:rsid w:val="000F0DDA"/>
    <w:rsid w:val="000F12FC"/>
    <w:rsid w:val="000F1C41"/>
    <w:rsid w:val="000F1FF0"/>
    <w:rsid w:val="000F316A"/>
    <w:rsid w:val="000F3AFD"/>
    <w:rsid w:val="000F3C74"/>
    <w:rsid w:val="000F44B5"/>
    <w:rsid w:val="000F4BB8"/>
    <w:rsid w:val="000F4FA9"/>
    <w:rsid w:val="000F523B"/>
    <w:rsid w:val="000F53FB"/>
    <w:rsid w:val="000F5473"/>
    <w:rsid w:val="000F5C87"/>
    <w:rsid w:val="000F5DB3"/>
    <w:rsid w:val="000F6381"/>
    <w:rsid w:val="000F6BA6"/>
    <w:rsid w:val="000F70CA"/>
    <w:rsid w:val="000F7127"/>
    <w:rsid w:val="000F7B54"/>
    <w:rsid w:val="00100040"/>
    <w:rsid w:val="0010023D"/>
    <w:rsid w:val="00100F8A"/>
    <w:rsid w:val="00101BBC"/>
    <w:rsid w:val="00102B9B"/>
    <w:rsid w:val="00103784"/>
    <w:rsid w:val="00103B56"/>
    <w:rsid w:val="0010431D"/>
    <w:rsid w:val="0010452E"/>
    <w:rsid w:val="00105316"/>
    <w:rsid w:val="00105AE2"/>
    <w:rsid w:val="001060C6"/>
    <w:rsid w:val="00106B80"/>
    <w:rsid w:val="00107352"/>
    <w:rsid w:val="0011032E"/>
    <w:rsid w:val="00110762"/>
    <w:rsid w:val="001117CB"/>
    <w:rsid w:val="00111885"/>
    <w:rsid w:val="00111CA7"/>
    <w:rsid w:val="00112270"/>
    <w:rsid w:val="0011264C"/>
    <w:rsid w:val="00112DD5"/>
    <w:rsid w:val="00112FC4"/>
    <w:rsid w:val="00112FFD"/>
    <w:rsid w:val="0011348B"/>
    <w:rsid w:val="0011361A"/>
    <w:rsid w:val="00113A3E"/>
    <w:rsid w:val="00113C98"/>
    <w:rsid w:val="00114459"/>
    <w:rsid w:val="00114BA6"/>
    <w:rsid w:val="00115982"/>
    <w:rsid w:val="00115D9B"/>
    <w:rsid w:val="00115F71"/>
    <w:rsid w:val="001160DF"/>
    <w:rsid w:val="001160F7"/>
    <w:rsid w:val="001161EA"/>
    <w:rsid w:val="001162AF"/>
    <w:rsid w:val="00116C53"/>
    <w:rsid w:val="001200D9"/>
    <w:rsid w:val="0012015F"/>
    <w:rsid w:val="0012064F"/>
    <w:rsid w:val="00121799"/>
    <w:rsid w:val="001222FC"/>
    <w:rsid w:val="001231C9"/>
    <w:rsid w:val="0012325E"/>
    <w:rsid w:val="00123902"/>
    <w:rsid w:val="001239D6"/>
    <w:rsid w:val="00124A51"/>
    <w:rsid w:val="00124C1C"/>
    <w:rsid w:val="00124EBA"/>
    <w:rsid w:val="00124F61"/>
    <w:rsid w:val="00124FE9"/>
    <w:rsid w:val="001257A5"/>
    <w:rsid w:val="00125934"/>
    <w:rsid w:val="00125E94"/>
    <w:rsid w:val="001262CB"/>
    <w:rsid w:val="00126437"/>
    <w:rsid w:val="00126621"/>
    <w:rsid w:val="00126B1D"/>
    <w:rsid w:val="0012750C"/>
    <w:rsid w:val="001301E9"/>
    <w:rsid w:val="00130EF7"/>
    <w:rsid w:val="00131376"/>
    <w:rsid w:val="00131840"/>
    <w:rsid w:val="00131C31"/>
    <w:rsid w:val="00131D82"/>
    <w:rsid w:val="00131ED8"/>
    <w:rsid w:val="0013219D"/>
    <w:rsid w:val="001324B0"/>
    <w:rsid w:val="001329D5"/>
    <w:rsid w:val="00132B22"/>
    <w:rsid w:val="00133AFD"/>
    <w:rsid w:val="00133D36"/>
    <w:rsid w:val="001343B4"/>
    <w:rsid w:val="00134F63"/>
    <w:rsid w:val="001354EA"/>
    <w:rsid w:val="00135615"/>
    <w:rsid w:val="00135A3B"/>
    <w:rsid w:val="00135BF6"/>
    <w:rsid w:val="00136135"/>
    <w:rsid w:val="00137645"/>
    <w:rsid w:val="00137B01"/>
    <w:rsid w:val="00140140"/>
    <w:rsid w:val="0014015A"/>
    <w:rsid w:val="0014080C"/>
    <w:rsid w:val="00140918"/>
    <w:rsid w:val="00140E99"/>
    <w:rsid w:val="00140FEC"/>
    <w:rsid w:val="00141DCF"/>
    <w:rsid w:val="0014320F"/>
    <w:rsid w:val="00143B28"/>
    <w:rsid w:val="00143F67"/>
    <w:rsid w:val="00144557"/>
    <w:rsid w:val="00144D61"/>
    <w:rsid w:val="0014501F"/>
    <w:rsid w:val="00145540"/>
    <w:rsid w:val="001456B0"/>
    <w:rsid w:val="00145C50"/>
    <w:rsid w:val="0014788B"/>
    <w:rsid w:val="001478C0"/>
    <w:rsid w:val="00147F43"/>
    <w:rsid w:val="001502B2"/>
    <w:rsid w:val="001506CB"/>
    <w:rsid w:val="00150DAA"/>
    <w:rsid w:val="00152A72"/>
    <w:rsid w:val="00152ADF"/>
    <w:rsid w:val="0015346B"/>
    <w:rsid w:val="00153481"/>
    <w:rsid w:val="00153F13"/>
    <w:rsid w:val="001542BD"/>
    <w:rsid w:val="001545C4"/>
    <w:rsid w:val="001548A9"/>
    <w:rsid w:val="0015491C"/>
    <w:rsid w:val="00154D36"/>
    <w:rsid w:val="0015560D"/>
    <w:rsid w:val="0015574D"/>
    <w:rsid w:val="00156828"/>
    <w:rsid w:val="00156F8F"/>
    <w:rsid w:val="00157130"/>
    <w:rsid w:val="00157504"/>
    <w:rsid w:val="001576B1"/>
    <w:rsid w:val="001579FD"/>
    <w:rsid w:val="0016047B"/>
    <w:rsid w:val="00160A4C"/>
    <w:rsid w:val="00160B7C"/>
    <w:rsid w:val="001612F2"/>
    <w:rsid w:val="00161C21"/>
    <w:rsid w:val="0016256E"/>
    <w:rsid w:val="0016261D"/>
    <w:rsid w:val="00162913"/>
    <w:rsid w:val="00162BB9"/>
    <w:rsid w:val="0016394C"/>
    <w:rsid w:val="00163C36"/>
    <w:rsid w:val="00163EFF"/>
    <w:rsid w:val="00163F66"/>
    <w:rsid w:val="001644C1"/>
    <w:rsid w:val="001644C9"/>
    <w:rsid w:val="00164A1C"/>
    <w:rsid w:val="00164C22"/>
    <w:rsid w:val="00165142"/>
    <w:rsid w:val="00165F70"/>
    <w:rsid w:val="001661FB"/>
    <w:rsid w:val="00166975"/>
    <w:rsid w:val="00166B3B"/>
    <w:rsid w:val="001671A0"/>
    <w:rsid w:val="001675C7"/>
    <w:rsid w:val="0016767F"/>
    <w:rsid w:val="00170247"/>
    <w:rsid w:val="00170436"/>
    <w:rsid w:val="001712BD"/>
    <w:rsid w:val="00172416"/>
    <w:rsid w:val="001726B8"/>
    <w:rsid w:val="001728C9"/>
    <w:rsid w:val="00173518"/>
    <w:rsid w:val="00173565"/>
    <w:rsid w:val="00173840"/>
    <w:rsid w:val="00173B07"/>
    <w:rsid w:val="0017421B"/>
    <w:rsid w:val="001743CC"/>
    <w:rsid w:val="00174BA1"/>
    <w:rsid w:val="00174FA5"/>
    <w:rsid w:val="001751B6"/>
    <w:rsid w:val="001751FA"/>
    <w:rsid w:val="00175813"/>
    <w:rsid w:val="00175ACC"/>
    <w:rsid w:val="00175B1F"/>
    <w:rsid w:val="001767DA"/>
    <w:rsid w:val="00176FA3"/>
    <w:rsid w:val="0017711F"/>
    <w:rsid w:val="001777C6"/>
    <w:rsid w:val="00177BAC"/>
    <w:rsid w:val="00177E73"/>
    <w:rsid w:val="00180064"/>
    <w:rsid w:val="0018063D"/>
    <w:rsid w:val="00180B25"/>
    <w:rsid w:val="00181D9C"/>
    <w:rsid w:val="00182939"/>
    <w:rsid w:val="00182EAA"/>
    <w:rsid w:val="0018352B"/>
    <w:rsid w:val="00183813"/>
    <w:rsid w:val="0018384B"/>
    <w:rsid w:val="00183A23"/>
    <w:rsid w:val="00183B4D"/>
    <w:rsid w:val="00184998"/>
    <w:rsid w:val="00184B0E"/>
    <w:rsid w:val="00185360"/>
    <w:rsid w:val="0018542F"/>
    <w:rsid w:val="00185B2E"/>
    <w:rsid w:val="001863F9"/>
    <w:rsid w:val="00186485"/>
    <w:rsid w:val="00186BC5"/>
    <w:rsid w:val="00186ECF"/>
    <w:rsid w:val="0018752F"/>
    <w:rsid w:val="00190515"/>
    <w:rsid w:val="00190600"/>
    <w:rsid w:val="00191907"/>
    <w:rsid w:val="00191D52"/>
    <w:rsid w:val="0019310B"/>
    <w:rsid w:val="00193459"/>
    <w:rsid w:val="00193838"/>
    <w:rsid w:val="00193E93"/>
    <w:rsid w:val="00194AD8"/>
    <w:rsid w:val="00194ADE"/>
    <w:rsid w:val="00195222"/>
    <w:rsid w:val="001952D1"/>
    <w:rsid w:val="001957CB"/>
    <w:rsid w:val="0019595E"/>
    <w:rsid w:val="001959B7"/>
    <w:rsid w:val="00196BE1"/>
    <w:rsid w:val="001975D8"/>
    <w:rsid w:val="001A0535"/>
    <w:rsid w:val="001A178E"/>
    <w:rsid w:val="001A1F02"/>
    <w:rsid w:val="001A28F4"/>
    <w:rsid w:val="001A2D68"/>
    <w:rsid w:val="001A2FA2"/>
    <w:rsid w:val="001A3E35"/>
    <w:rsid w:val="001A43FA"/>
    <w:rsid w:val="001A47C5"/>
    <w:rsid w:val="001A48EC"/>
    <w:rsid w:val="001A5230"/>
    <w:rsid w:val="001A5657"/>
    <w:rsid w:val="001A5896"/>
    <w:rsid w:val="001A59FB"/>
    <w:rsid w:val="001A5E9E"/>
    <w:rsid w:val="001A61F4"/>
    <w:rsid w:val="001A6354"/>
    <w:rsid w:val="001A6366"/>
    <w:rsid w:val="001A6555"/>
    <w:rsid w:val="001A6B5C"/>
    <w:rsid w:val="001A6C08"/>
    <w:rsid w:val="001A783B"/>
    <w:rsid w:val="001A7AE8"/>
    <w:rsid w:val="001A7FC3"/>
    <w:rsid w:val="001B0C61"/>
    <w:rsid w:val="001B0C74"/>
    <w:rsid w:val="001B14C6"/>
    <w:rsid w:val="001B204E"/>
    <w:rsid w:val="001B22C6"/>
    <w:rsid w:val="001B2372"/>
    <w:rsid w:val="001B2C30"/>
    <w:rsid w:val="001B3443"/>
    <w:rsid w:val="001B34C8"/>
    <w:rsid w:val="001B3C05"/>
    <w:rsid w:val="001B4105"/>
    <w:rsid w:val="001B4D20"/>
    <w:rsid w:val="001B57BF"/>
    <w:rsid w:val="001B5D67"/>
    <w:rsid w:val="001B5DC1"/>
    <w:rsid w:val="001B61FE"/>
    <w:rsid w:val="001B6210"/>
    <w:rsid w:val="001B63EC"/>
    <w:rsid w:val="001B64C2"/>
    <w:rsid w:val="001B73C7"/>
    <w:rsid w:val="001B7537"/>
    <w:rsid w:val="001B754E"/>
    <w:rsid w:val="001B777C"/>
    <w:rsid w:val="001B7C89"/>
    <w:rsid w:val="001C251A"/>
    <w:rsid w:val="001C2A9B"/>
    <w:rsid w:val="001C39E6"/>
    <w:rsid w:val="001C3B25"/>
    <w:rsid w:val="001C3FA2"/>
    <w:rsid w:val="001C4299"/>
    <w:rsid w:val="001C436F"/>
    <w:rsid w:val="001C43F0"/>
    <w:rsid w:val="001C4874"/>
    <w:rsid w:val="001C5174"/>
    <w:rsid w:val="001C5E73"/>
    <w:rsid w:val="001C5F94"/>
    <w:rsid w:val="001C61EF"/>
    <w:rsid w:val="001C6A8B"/>
    <w:rsid w:val="001C6E66"/>
    <w:rsid w:val="001C73CF"/>
    <w:rsid w:val="001C7667"/>
    <w:rsid w:val="001C782F"/>
    <w:rsid w:val="001D0AF1"/>
    <w:rsid w:val="001D1100"/>
    <w:rsid w:val="001D1391"/>
    <w:rsid w:val="001D1B68"/>
    <w:rsid w:val="001D1C34"/>
    <w:rsid w:val="001D1C90"/>
    <w:rsid w:val="001D25D7"/>
    <w:rsid w:val="001D2E26"/>
    <w:rsid w:val="001D3048"/>
    <w:rsid w:val="001D3DA2"/>
    <w:rsid w:val="001D50B2"/>
    <w:rsid w:val="001D5926"/>
    <w:rsid w:val="001D64EF"/>
    <w:rsid w:val="001D7645"/>
    <w:rsid w:val="001D7DFD"/>
    <w:rsid w:val="001E03EE"/>
    <w:rsid w:val="001E0EF1"/>
    <w:rsid w:val="001E1210"/>
    <w:rsid w:val="001E1E86"/>
    <w:rsid w:val="001E238E"/>
    <w:rsid w:val="001E2483"/>
    <w:rsid w:val="001E24C6"/>
    <w:rsid w:val="001E259D"/>
    <w:rsid w:val="001E2B1E"/>
    <w:rsid w:val="001E2CFF"/>
    <w:rsid w:val="001E2F06"/>
    <w:rsid w:val="001E2F24"/>
    <w:rsid w:val="001E30D4"/>
    <w:rsid w:val="001E32AD"/>
    <w:rsid w:val="001E34DF"/>
    <w:rsid w:val="001E439D"/>
    <w:rsid w:val="001E4A22"/>
    <w:rsid w:val="001E51B6"/>
    <w:rsid w:val="001E52EB"/>
    <w:rsid w:val="001E58D0"/>
    <w:rsid w:val="001E61D2"/>
    <w:rsid w:val="001E7330"/>
    <w:rsid w:val="001E740C"/>
    <w:rsid w:val="001E7802"/>
    <w:rsid w:val="001F026A"/>
    <w:rsid w:val="001F034D"/>
    <w:rsid w:val="001F03AF"/>
    <w:rsid w:val="001F0553"/>
    <w:rsid w:val="001F07AA"/>
    <w:rsid w:val="001F1235"/>
    <w:rsid w:val="001F16B7"/>
    <w:rsid w:val="001F1AA2"/>
    <w:rsid w:val="001F1CB3"/>
    <w:rsid w:val="001F2695"/>
    <w:rsid w:val="001F3224"/>
    <w:rsid w:val="001F34FF"/>
    <w:rsid w:val="001F38B5"/>
    <w:rsid w:val="001F4081"/>
    <w:rsid w:val="001F4B56"/>
    <w:rsid w:val="001F5733"/>
    <w:rsid w:val="001F5B6E"/>
    <w:rsid w:val="001F5C43"/>
    <w:rsid w:val="001F61D8"/>
    <w:rsid w:val="001F6643"/>
    <w:rsid w:val="001F6E67"/>
    <w:rsid w:val="001F7116"/>
    <w:rsid w:val="001F7361"/>
    <w:rsid w:val="00200A36"/>
    <w:rsid w:val="00200EF8"/>
    <w:rsid w:val="0020101A"/>
    <w:rsid w:val="002011B0"/>
    <w:rsid w:val="00201D98"/>
    <w:rsid w:val="00202739"/>
    <w:rsid w:val="00202958"/>
    <w:rsid w:val="00203181"/>
    <w:rsid w:val="002031C4"/>
    <w:rsid w:val="0020357F"/>
    <w:rsid w:val="002036AF"/>
    <w:rsid w:val="00203783"/>
    <w:rsid w:val="0020385F"/>
    <w:rsid w:val="00203B40"/>
    <w:rsid w:val="00203CB9"/>
    <w:rsid w:val="002054EC"/>
    <w:rsid w:val="00205B19"/>
    <w:rsid w:val="002068A0"/>
    <w:rsid w:val="00206906"/>
    <w:rsid w:val="00207021"/>
    <w:rsid w:val="0020732F"/>
    <w:rsid w:val="00207411"/>
    <w:rsid w:val="00207A86"/>
    <w:rsid w:val="00207D00"/>
    <w:rsid w:val="00207D88"/>
    <w:rsid w:val="0021059D"/>
    <w:rsid w:val="002105C1"/>
    <w:rsid w:val="0021176F"/>
    <w:rsid w:val="00211C2F"/>
    <w:rsid w:val="00211D61"/>
    <w:rsid w:val="0021308C"/>
    <w:rsid w:val="002134BC"/>
    <w:rsid w:val="00213777"/>
    <w:rsid w:val="00213EF5"/>
    <w:rsid w:val="002141BF"/>
    <w:rsid w:val="002168D7"/>
    <w:rsid w:val="00216BF5"/>
    <w:rsid w:val="00220249"/>
    <w:rsid w:val="002203B7"/>
    <w:rsid w:val="00220452"/>
    <w:rsid w:val="002217C5"/>
    <w:rsid w:val="00221B9D"/>
    <w:rsid w:val="00222A73"/>
    <w:rsid w:val="00222D27"/>
    <w:rsid w:val="00223B49"/>
    <w:rsid w:val="00223D5A"/>
    <w:rsid w:val="00224DD4"/>
    <w:rsid w:val="00224EFF"/>
    <w:rsid w:val="00224F03"/>
    <w:rsid w:val="0022567E"/>
    <w:rsid w:val="00225765"/>
    <w:rsid w:val="00225B08"/>
    <w:rsid w:val="00225EAB"/>
    <w:rsid w:val="002263DD"/>
    <w:rsid w:val="00227341"/>
    <w:rsid w:val="002278A0"/>
    <w:rsid w:val="002279F5"/>
    <w:rsid w:val="00230754"/>
    <w:rsid w:val="002309CC"/>
    <w:rsid w:val="00230DB1"/>
    <w:rsid w:val="00231106"/>
    <w:rsid w:val="00231A21"/>
    <w:rsid w:val="00231B4C"/>
    <w:rsid w:val="0023209F"/>
    <w:rsid w:val="00232360"/>
    <w:rsid w:val="00233C01"/>
    <w:rsid w:val="0023413C"/>
    <w:rsid w:val="00234209"/>
    <w:rsid w:val="0023427A"/>
    <w:rsid w:val="002346F0"/>
    <w:rsid w:val="00234B1B"/>
    <w:rsid w:val="00234BBC"/>
    <w:rsid w:val="00234CB3"/>
    <w:rsid w:val="00234D2C"/>
    <w:rsid w:val="0023629D"/>
    <w:rsid w:val="00236637"/>
    <w:rsid w:val="002366DF"/>
    <w:rsid w:val="00236712"/>
    <w:rsid w:val="00236BDA"/>
    <w:rsid w:val="00237255"/>
    <w:rsid w:val="00237408"/>
    <w:rsid w:val="002402AD"/>
    <w:rsid w:val="00240614"/>
    <w:rsid w:val="00240BD0"/>
    <w:rsid w:val="00240F31"/>
    <w:rsid w:val="002424AF"/>
    <w:rsid w:val="002424D9"/>
    <w:rsid w:val="00242AAE"/>
    <w:rsid w:val="00242B83"/>
    <w:rsid w:val="00242E1F"/>
    <w:rsid w:val="002437CD"/>
    <w:rsid w:val="002439DC"/>
    <w:rsid w:val="00243F34"/>
    <w:rsid w:val="002441D2"/>
    <w:rsid w:val="00244D9E"/>
    <w:rsid w:val="00244DC8"/>
    <w:rsid w:val="00245109"/>
    <w:rsid w:val="00245370"/>
    <w:rsid w:val="002455CC"/>
    <w:rsid w:val="002457F3"/>
    <w:rsid w:val="002458BA"/>
    <w:rsid w:val="00245CE9"/>
    <w:rsid w:val="00245E44"/>
    <w:rsid w:val="002460EF"/>
    <w:rsid w:val="0024636C"/>
    <w:rsid w:val="0024747D"/>
    <w:rsid w:val="00247925"/>
    <w:rsid w:val="00250787"/>
    <w:rsid w:val="00251006"/>
    <w:rsid w:val="002510B5"/>
    <w:rsid w:val="002511A0"/>
    <w:rsid w:val="0025147E"/>
    <w:rsid w:val="002524D5"/>
    <w:rsid w:val="00252556"/>
    <w:rsid w:val="00253424"/>
    <w:rsid w:val="00253B1D"/>
    <w:rsid w:val="0025472F"/>
    <w:rsid w:val="00254DCF"/>
    <w:rsid w:val="00255292"/>
    <w:rsid w:val="0025534B"/>
    <w:rsid w:val="00255875"/>
    <w:rsid w:val="00255BB7"/>
    <w:rsid w:val="002560EC"/>
    <w:rsid w:val="002563AA"/>
    <w:rsid w:val="00256831"/>
    <w:rsid w:val="0025741C"/>
    <w:rsid w:val="00257541"/>
    <w:rsid w:val="0025785D"/>
    <w:rsid w:val="0025797C"/>
    <w:rsid w:val="00257A39"/>
    <w:rsid w:val="00257AC4"/>
    <w:rsid w:val="00261A7B"/>
    <w:rsid w:val="00261B92"/>
    <w:rsid w:val="00261EEF"/>
    <w:rsid w:val="00262053"/>
    <w:rsid w:val="00262480"/>
    <w:rsid w:val="00262A1A"/>
    <w:rsid w:val="00262A87"/>
    <w:rsid w:val="00262D94"/>
    <w:rsid w:val="00264167"/>
    <w:rsid w:val="0026429F"/>
    <w:rsid w:val="002643DB"/>
    <w:rsid w:val="002644EB"/>
    <w:rsid w:val="00264AEB"/>
    <w:rsid w:val="00264D26"/>
    <w:rsid w:val="00265678"/>
    <w:rsid w:val="00265AFC"/>
    <w:rsid w:val="00265BDC"/>
    <w:rsid w:val="00265FC3"/>
    <w:rsid w:val="00266A51"/>
    <w:rsid w:val="00266F8A"/>
    <w:rsid w:val="00267642"/>
    <w:rsid w:val="00267AEA"/>
    <w:rsid w:val="00267CA0"/>
    <w:rsid w:val="002700E6"/>
    <w:rsid w:val="00271B1E"/>
    <w:rsid w:val="00271EAD"/>
    <w:rsid w:val="0027294B"/>
    <w:rsid w:val="002733F2"/>
    <w:rsid w:val="00273EB4"/>
    <w:rsid w:val="0027409D"/>
    <w:rsid w:val="00274682"/>
    <w:rsid w:val="002747EE"/>
    <w:rsid w:val="002748BD"/>
    <w:rsid w:val="00274F29"/>
    <w:rsid w:val="002751A4"/>
    <w:rsid w:val="00275C5A"/>
    <w:rsid w:val="00275CD8"/>
    <w:rsid w:val="00276133"/>
    <w:rsid w:val="002763F3"/>
    <w:rsid w:val="00277B52"/>
    <w:rsid w:val="00280550"/>
    <w:rsid w:val="00280FD4"/>
    <w:rsid w:val="00281014"/>
    <w:rsid w:val="00281406"/>
    <w:rsid w:val="002820C8"/>
    <w:rsid w:val="0028260D"/>
    <w:rsid w:val="0028268E"/>
    <w:rsid w:val="0028298E"/>
    <w:rsid w:val="00283442"/>
    <w:rsid w:val="002838C0"/>
    <w:rsid w:val="00283CE2"/>
    <w:rsid w:val="002846A1"/>
    <w:rsid w:val="00284816"/>
    <w:rsid w:val="00285742"/>
    <w:rsid w:val="00285B55"/>
    <w:rsid w:val="00285DF2"/>
    <w:rsid w:val="0028665D"/>
    <w:rsid w:val="00286754"/>
    <w:rsid w:val="00286E15"/>
    <w:rsid w:val="00286F1E"/>
    <w:rsid w:val="00286FC6"/>
    <w:rsid w:val="0028702A"/>
    <w:rsid w:val="00287220"/>
    <w:rsid w:val="00287287"/>
    <w:rsid w:val="00287E59"/>
    <w:rsid w:val="0029092A"/>
    <w:rsid w:val="002912B0"/>
    <w:rsid w:val="00291FF9"/>
    <w:rsid w:val="00292743"/>
    <w:rsid w:val="002927AF"/>
    <w:rsid w:val="002927E0"/>
    <w:rsid w:val="0029320D"/>
    <w:rsid w:val="00294743"/>
    <w:rsid w:val="00295CD1"/>
    <w:rsid w:val="00296A24"/>
    <w:rsid w:val="00296BC5"/>
    <w:rsid w:val="00296FBC"/>
    <w:rsid w:val="002977AF"/>
    <w:rsid w:val="002977F1"/>
    <w:rsid w:val="00297F24"/>
    <w:rsid w:val="002A10A1"/>
    <w:rsid w:val="002A14AB"/>
    <w:rsid w:val="002A175E"/>
    <w:rsid w:val="002A1C02"/>
    <w:rsid w:val="002A20AF"/>
    <w:rsid w:val="002A253F"/>
    <w:rsid w:val="002A2ADE"/>
    <w:rsid w:val="002A2E9A"/>
    <w:rsid w:val="002A2F50"/>
    <w:rsid w:val="002A3265"/>
    <w:rsid w:val="002A338C"/>
    <w:rsid w:val="002A4177"/>
    <w:rsid w:val="002A53A9"/>
    <w:rsid w:val="002A6518"/>
    <w:rsid w:val="002A68FF"/>
    <w:rsid w:val="002A79A2"/>
    <w:rsid w:val="002B05A1"/>
    <w:rsid w:val="002B09A4"/>
    <w:rsid w:val="002B0C75"/>
    <w:rsid w:val="002B1250"/>
    <w:rsid w:val="002B12C0"/>
    <w:rsid w:val="002B15DC"/>
    <w:rsid w:val="002B1B01"/>
    <w:rsid w:val="002B1C1F"/>
    <w:rsid w:val="002B27E2"/>
    <w:rsid w:val="002B2BF4"/>
    <w:rsid w:val="002B432F"/>
    <w:rsid w:val="002B5F3D"/>
    <w:rsid w:val="002B61CC"/>
    <w:rsid w:val="002B62B3"/>
    <w:rsid w:val="002B655F"/>
    <w:rsid w:val="002B6661"/>
    <w:rsid w:val="002B6754"/>
    <w:rsid w:val="002B69BC"/>
    <w:rsid w:val="002B6CCE"/>
    <w:rsid w:val="002B7F1A"/>
    <w:rsid w:val="002C025B"/>
    <w:rsid w:val="002C05C6"/>
    <w:rsid w:val="002C09C5"/>
    <w:rsid w:val="002C0DB1"/>
    <w:rsid w:val="002C0F5B"/>
    <w:rsid w:val="002C0F6F"/>
    <w:rsid w:val="002C0FE0"/>
    <w:rsid w:val="002C2510"/>
    <w:rsid w:val="002C2775"/>
    <w:rsid w:val="002C27C1"/>
    <w:rsid w:val="002C2949"/>
    <w:rsid w:val="002C2A83"/>
    <w:rsid w:val="002C2DD3"/>
    <w:rsid w:val="002C3DD1"/>
    <w:rsid w:val="002C4132"/>
    <w:rsid w:val="002C4699"/>
    <w:rsid w:val="002C5099"/>
    <w:rsid w:val="002C55D3"/>
    <w:rsid w:val="002C5889"/>
    <w:rsid w:val="002C5A2B"/>
    <w:rsid w:val="002C66DC"/>
    <w:rsid w:val="002C686B"/>
    <w:rsid w:val="002C71CE"/>
    <w:rsid w:val="002C7208"/>
    <w:rsid w:val="002C749C"/>
    <w:rsid w:val="002D08F8"/>
    <w:rsid w:val="002D0CA6"/>
    <w:rsid w:val="002D0D7E"/>
    <w:rsid w:val="002D0FAC"/>
    <w:rsid w:val="002D1173"/>
    <w:rsid w:val="002D1470"/>
    <w:rsid w:val="002D1BD6"/>
    <w:rsid w:val="002D2AA6"/>
    <w:rsid w:val="002D2DEC"/>
    <w:rsid w:val="002D3DB6"/>
    <w:rsid w:val="002D4835"/>
    <w:rsid w:val="002D4DCD"/>
    <w:rsid w:val="002D4FD5"/>
    <w:rsid w:val="002D577C"/>
    <w:rsid w:val="002D612D"/>
    <w:rsid w:val="002D646D"/>
    <w:rsid w:val="002D68EA"/>
    <w:rsid w:val="002D6EEB"/>
    <w:rsid w:val="002E1071"/>
    <w:rsid w:val="002E10E3"/>
    <w:rsid w:val="002E15B9"/>
    <w:rsid w:val="002E1EAC"/>
    <w:rsid w:val="002E1FC6"/>
    <w:rsid w:val="002E2158"/>
    <w:rsid w:val="002E2195"/>
    <w:rsid w:val="002E2227"/>
    <w:rsid w:val="002E22F9"/>
    <w:rsid w:val="002E2F72"/>
    <w:rsid w:val="002E45C7"/>
    <w:rsid w:val="002E4F02"/>
    <w:rsid w:val="002E5E54"/>
    <w:rsid w:val="002E632F"/>
    <w:rsid w:val="002E6575"/>
    <w:rsid w:val="002E6856"/>
    <w:rsid w:val="002E6D54"/>
    <w:rsid w:val="002E710C"/>
    <w:rsid w:val="002E7722"/>
    <w:rsid w:val="002F02A5"/>
    <w:rsid w:val="002F07BA"/>
    <w:rsid w:val="002F0CF0"/>
    <w:rsid w:val="002F0D87"/>
    <w:rsid w:val="002F0DA9"/>
    <w:rsid w:val="002F0F70"/>
    <w:rsid w:val="002F1014"/>
    <w:rsid w:val="002F1E10"/>
    <w:rsid w:val="002F290C"/>
    <w:rsid w:val="002F2ABC"/>
    <w:rsid w:val="002F3024"/>
    <w:rsid w:val="002F3249"/>
    <w:rsid w:val="002F3A87"/>
    <w:rsid w:val="002F3F03"/>
    <w:rsid w:val="002F413B"/>
    <w:rsid w:val="002F438A"/>
    <w:rsid w:val="002F4456"/>
    <w:rsid w:val="002F4D43"/>
    <w:rsid w:val="002F4D5B"/>
    <w:rsid w:val="002F4EC5"/>
    <w:rsid w:val="002F53D0"/>
    <w:rsid w:val="002F55F7"/>
    <w:rsid w:val="002F643C"/>
    <w:rsid w:val="002F67E9"/>
    <w:rsid w:val="002F71C0"/>
    <w:rsid w:val="002F74F1"/>
    <w:rsid w:val="00300029"/>
    <w:rsid w:val="00301017"/>
    <w:rsid w:val="0030155F"/>
    <w:rsid w:val="0030163C"/>
    <w:rsid w:val="003017E9"/>
    <w:rsid w:val="00301941"/>
    <w:rsid w:val="00301FC9"/>
    <w:rsid w:val="00302193"/>
    <w:rsid w:val="003026FC"/>
    <w:rsid w:val="00302D18"/>
    <w:rsid w:val="00302F94"/>
    <w:rsid w:val="0030342C"/>
    <w:rsid w:val="00303436"/>
    <w:rsid w:val="003038EB"/>
    <w:rsid w:val="00303A83"/>
    <w:rsid w:val="003044E8"/>
    <w:rsid w:val="00305152"/>
    <w:rsid w:val="003052DD"/>
    <w:rsid w:val="0030587B"/>
    <w:rsid w:val="00305E3F"/>
    <w:rsid w:val="003060B1"/>
    <w:rsid w:val="00306268"/>
    <w:rsid w:val="00306A8F"/>
    <w:rsid w:val="00306D98"/>
    <w:rsid w:val="00306EA3"/>
    <w:rsid w:val="0030707E"/>
    <w:rsid w:val="00307368"/>
    <w:rsid w:val="0030772F"/>
    <w:rsid w:val="0030786C"/>
    <w:rsid w:val="00307A3E"/>
    <w:rsid w:val="00307B55"/>
    <w:rsid w:val="00307CD6"/>
    <w:rsid w:val="0031031A"/>
    <w:rsid w:val="003103B4"/>
    <w:rsid w:val="00310663"/>
    <w:rsid w:val="0031077E"/>
    <w:rsid w:val="00310840"/>
    <w:rsid w:val="00310981"/>
    <w:rsid w:val="003111CF"/>
    <w:rsid w:val="00311459"/>
    <w:rsid w:val="003124D9"/>
    <w:rsid w:val="0031250A"/>
    <w:rsid w:val="00312594"/>
    <w:rsid w:val="003130D8"/>
    <w:rsid w:val="00314B05"/>
    <w:rsid w:val="00315498"/>
    <w:rsid w:val="00315EED"/>
    <w:rsid w:val="00315FE2"/>
    <w:rsid w:val="00316300"/>
    <w:rsid w:val="00316474"/>
    <w:rsid w:val="00316989"/>
    <w:rsid w:val="00317AF7"/>
    <w:rsid w:val="00317FF8"/>
    <w:rsid w:val="0032010E"/>
    <w:rsid w:val="00321216"/>
    <w:rsid w:val="003219CF"/>
    <w:rsid w:val="00322107"/>
    <w:rsid w:val="00322124"/>
    <w:rsid w:val="00322355"/>
    <w:rsid w:val="00322846"/>
    <w:rsid w:val="00322C1E"/>
    <w:rsid w:val="00323060"/>
    <w:rsid w:val="003237D6"/>
    <w:rsid w:val="00323EA0"/>
    <w:rsid w:val="0032462A"/>
    <w:rsid w:val="00324E8C"/>
    <w:rsid w:val="0032574E"/>
    <w:rsid w:val="00325786"/>
    <w:rsid w:val="00326394"/>
    <w:rsid w:val="00326657"/>
    <w:rsid w:val="00326A9B"/>
    <w:rsid w:val="00326DA7"/>
    <w:rsid w:val="003270E4"/>
    <w:rsid w:val="0032730A"/>
    <w:rsid w:val="003278CB"/>
    <w:rsid w:val="00327A78"/>
    <w:rsid w:val="00327F8A"/>
    <w:rsid w:val="0033096E"/>
    <w:rsid w:val="003309CA"/>
    <w:rsid w:val="00330DAA"/>
    <w:rsid w:val="00330F5C"/>
    <w:rsid w:val="003314B0"/>
    <w:rsid w:val="0033237E"/>
    <w:rsid w:val="00332EB1"/>
    <w:rsid w:val="00333288"/>
    <w:rsid w:val="00333366"/>
    <w:rsid w:val="00333DA4"/>
    <w:rsid w:val="00333FD1"/>
    <w:rsid w:val="0033475C"/>
    <w:rsid w:val="00334EE7"/>
    <w:rsid w:val="003355EA"/>
    <w:rsid w:val="0033575F"/>
    <w:rsid w:val="003357AE"/>
    <w:rsid w:val="00335D16"/>
    <w:rsid w:val="003366C9"/>
    <w:rsid w:val="00336A0A"/>
    <w:rsid w:val="003371B0"/>
    <w:rsid w:val="00337BA7"/>
    <w:rsid w:val="00337E94"/>
    <w:rsid w:val="003401FC"/>
    <w:rsid w:val="00340DF1"/>
    <w:rsid w:val="003427D4"/>
    <w:rsid w:val="00343013"/>
    <w:rsid w:val="003433A2"/>
    <w:rsid w:val="00343943"/>
    <w:rsid w:val="003449E5"/>
    <w:rsid w:val="00344B8E"/>
    <w:rsid w:val="00346021"/>
    <w:rsid w:val="00346078"/>
    <w:rsid w:val="00346218"/>
    <w:rsid w:val="003462AB"/>
    <w:rsid w:val="00346B0F"/>
    <w:rsid w:val="00350D11"/>
    <w:rsid w:val="003517F9"/>
    <w:rsid w:val="00351BA9"/>
    <w:rsid w:val="00352585"/>
    <w:rsid w:val="00352C0A"/>
    <w:rsid w:val="00352F0A"/>
    <w:rsid w:val="003545A2"/>
    <w:rsid w:val="00354792"/>
    <w:rsid w:val="00354927"/>
    <w:rsid w:val="0035495C"/>
    <w:rsid w:val="00354A1D"/>
    <w:rsid w:val="00354F64"/>
    <w:rsid w:val="0035620E"/>
    <w:rsid w:val="0035662D"/>
    <w:rsid w:val="003568AD"/>
    <w:rsid w:val="00357630"/>
    <w:rsid w:val="00357697"/>
    <w:rsid w:val="00360345"/>
    <w:rsid w:val="00361376"/>
    <w:rsid w:val="00361A05"/>
    <w:rsid w:val="00361B04"/>
    <w:rsid w:val="00361CEC"/>
    <w:rsid w:val="003624C4"/>
    <w:rsid w:val="0036254A"/>
    <w:rsid w:val="00362681"/>
    <w:rsid w:val="00362915"/>
    <w:rsid w:val="0036311C"/>
    <w:rsid w:val="00363B00"/>
    <w:rsid w:val="00363D5B"/>
    <w:rsid w:val="00364C50"/>
    <w:rsid w:val="003654AC"/>
    <w:rsid w:val="00365892"/>
    <w:rsid w:val="00366DF4"/>
    <w:rsid w:val="00367567"/>
    <w:rsid w:val="00370278"/>
    <w:rsid w:val="003703AA"/>
    <w:rsid w:val="003710CF"/>
    <w:rsid w:val="00372E7E"/>
    <w:rsid w:val="0037332E"/>
    <w:rsid w:val="003734E0"/>
    <w:rsid w:val="0037358A"/>
    <w:rsid w:val="00373B93"/>
    <w:rsid w:val="003750F6"/>
    <w:rsid w:val="00375CAD"/>
    <w:rsid w:val="003760FC"/>
    <w:rsid w:val="00377C08"/>
    <w:rsid w:val="00377E60"/>
    <w:rsid w:val="00380DC2"/>
    <w:rsid w:val="00380FB2"/>
    <w:rsid w:val="0038156B"/>
    <w:rsid w:val="00381575"/>
    <w:rsid w:val="0038193C"/>
    <w:rsid w:val="0038198E"/>
    <w:rsid w:val="00381A0E"/>
    <w:rsid w:val="00382EA0"/>
    <w:rsid w:val="00382EB8"/>
    <w:rsid w:val="00382F0D"/>
    <w:rsid w:val="0038365C"/>
    <w:rsid w:val="0038369B"/>
    <w:rsid w:val="00383B78"/>
    <w:rsid w:val="00383EC1"/>
    <w:rsid w:val="003846C5"/>
    <w:rsid w:val="00384CD7"/>
    <w:rsid w:val="00384EB1"/>
    <w:rsid w:val="003852EE"/>
    <w:rsid w:val="0038547D"/>
    <w:rsid w:val="00385661"/>
    <w:rsid w:val="003859B6"/>
    <w:rsid w:val="00385A9D"/>
    <w:rsid w:val="00385DE0"/>
    <w:rsid w:val="00385FE8"/>
    <w:rsid w:val="003860B2"/>
    <w:rsid w:val="00386CE9"/>
    <w:rsid w:val="00387281"/>
    <w:rsid w:val="0038744C"/>
    <w:rsid w:val="00390245"/>
    <w:rsid w:val="003902B1"/>
    <w:rsid w:val="00390EC3"/>
    <w:rsid w:val="0039149C"/>
    <w:rsid w:val="0039179C"/>
    <w:rsid w:val="00392242"/>
    <w:rsid w:val="0039230C"/>
    <w:rsid w:val="00392A3E"/>
    <w:rsid w:val="00392F4E"/>
    <w:rsid w:val="0039328C"/>
    <w:rsid w:val="00393380"/>
    <w:rsid w:val="00393681"/>
    <w:rsid w:val="00394232"/>
    <w:rsid w:val="00394ED1"/>
    <w:rsid w:val="00394EE5"/>
    <w:rsid w:val="003950E0"/>
    <w:rsid w:val="0039528B"/>
    <w:rsid w:val="003954D9"/>
    <w:rsid w:val="00395EBB"/>
    <w:rsid w:val="00395EF5"/>
    <w:rsid w:val="0039616E"/>
    <w:rsid w:val="00396896"/>
    <w:rsid w:val="00396FD0"/>
    <w:rsid w:val="00397130"/>
    <w:rsid w:val="003976D2"/>
    <w:rsid w:val="003A01B0"/>
    <w:rsid w:val="003A11CC"/>
    <w:rsid w:val="003A1252"/>
    <w:rsid w:val="003A1A7A"/>
    <w:rsid w:val="003A2363"/>
    <w:rsid w:val="003A2392"/>
    <w:rsid w:val="003A2596"/>
    <w:rsid w:val="003A26F9"/>
    <w:rsid w:val="003A2831"/>
    <w:rsid w:val="003A3A66"/>
    <w:rsid w:val="003A3CB6"/>
    <w:rsid w:val="003A3CD4"/>
    <w:rsid w:val="003A3ED1"/>
    <w:rsid w:val="003A3F13"/>
    <w:rsid w:val="003A3F88"/>
    <w:rsid w:val="003A44DB"/>
    <w:rsid w:val="003A5590"/>
    <w:rsid w:val="003A566A"/>
    <w:rsid w:val="003A7F57"/>
    <w:rsid w:val="003A7F84"/>
    <w:rsid w:val="003B0342"/>
    <w:rsid w:val="003B052F"/>
    <w:rsid w:val="003B0DB3"/>
    <w:rsid w:val="003B15D5"/>
    <w:rsid w:val="003B2697"/>
    <w:rsid w:val="003B2A11"/>
    <w:rsid w:val="003B3971"/>
    <w:rsid w:val="003B3A5C"/>
    <w:rsid w:val="003B3F7E"/>
    <w:rsid w:val="003B45AC"/>
    <w:rsid w:val="003B4B02"/>
    <w:rsid w:val="003B507D"/>
    <w:rsid w:val="003B5139"/>
    <w:rsid w:val="003B55D1"/>
    <w:rsid w:val="003B5702"/>
    <w:rsid w:val="003B5B61"/>
    <w:rsid w:val="003B5CED"/>
    <w:rsid w:val="003B716E"/>
    <w:rsid w:val="003B76C3"/>
    <w:rsid w:val="003B7ADD"/>
    <w:rsid w:val="003B7BD0"/>
    <w:rsid w:val="003C01F8"/>
    <w:rsid w:val="003C071C"/>
    <w:rsid w:val="003C0D05"/>
    <w:rsid w:val="003C0D12"/>
    <w:rsid w:val="003C103D"/>
    <w:rsid w:val="003C12BB"/>
    <w:rsid w:val="003C1654"/>
    <w:rsid w:val="003C2684"/>
    <w:rsid w:val="003C3136"/>
    <w:rsid w:val="003C325A"/>
    <w:rsid w:val="003C39EF"/>
    <w:rsid w:val="003C3AEA"/>
    <w:rsid w:val="003C3CA3"/>
    <w:rsid w:val="003C4496"/>
    <w:rsid w:val="003C453A"/>
    <w:rsid w:val="003C47AA"/>
    <w:rsid w:val="003C4AA2"/>
    <w:rsid w:val="003C4B1C"/>
    <w:rsid w:val="003C4D7E"/>
    <w:rsid w:val="003C5542"/>
    <w:rsid w:val="003C618A"/>
    <w:rsid w:val="003C6E5B"/>
    <w:rsid w:val="003C71D1"/>
    <w:rsid w:val="003C7D19"/>
    <w:rsid w:val="003C7D2F"/>
    <w:rsid w:val="003D06C3"/>
    <w:rsid w:val="003D090A"/>
    <w:rsid w:val="003D0F5F"/>
    <w:rsid w:val="003D1828"/>
    <w:rsid w:val="003D1DE4"/>
    <w:rsid w:val="003D1E9A"/>
    <w:rsid w:val="003D2004"/>
    <w:rsid w:val="003D2422"/>
    <w:rsid w:val="003D2709"/>
    <w:rsid w:val="003D304F"/>
    <w:rsid w:val="003D39A1"/>
    <w:rsid w:val="003D3D02"/>
    <w:rsid w:val="003D3FBF"/>
    <w:rsid w:val="003D44FA"/>
    <w:rsid w:val="003D4A30"/>
    <w:rsid w:val="003D50B9"/>
    <w:rsid w:val="003D54A8"/>
    <w:rsid w:val="003D56F4"/>
    <w:rsid w:val="003D5819"/>
    <w:rsid w:val="003D5AE6"/>
    <w:rsid w:val="003D63FE"/>
    <w:rsid w:val="003D653D"/>
    <w:rsid w:val="003D6A55"/>
    <w:rsid w:val="003D7452"/>
    <w:rsid w:val="003D79BB"/>
    <w:rsid w:val="003D7A4A"/>
    <w:rsid w:val="003D7C98"/>
    <w:rsid w:val="003D7D9D"/>
    <w:rsid w:val="003E04A1"/>
    <w:rsid w:val="003E0543"/>
    <w:rsid w:val="003E0AFE"/>
    <w:rsid w:val="003E1FA3"/>
    <w:rsid w:val="003E29FE"/>
    <w:rsid w:val="003E2C73"/>
    <w:rsid w:val="003E3223"/>
    <w:rsid w:val="003E45C3"/>
    <w:rsid w:val="003E4B0E"/>
    <w:rsid w:val="003E501F"/>
    <w:rsid w:val="003E5591"/>
    <w:rsid w:val="003E5F3A"/>
    <w:rsid w:val="003E6139"/>
    <w:rsid w:val="003E664C"/>
    <w:rsid w:val="003E7177"/>
    <w:rsid w:val="003E749E"/>
    <w:rsid w:val="003E75A1"/>
    <w:rsid w:val="003E7847"/>
    <w:rsid w:val="003E7CA2"/>
    <w:rsid w:val="003E7E09"/>
    <w:rsid w:val="003F1B22"/>
    <w:rsid w:val="003F1D1A"/>
    <w:rsid w:val="003F2346"/>
    <w:rsid w:val="003F2C39"/>
    <w:rsid w:val="003F38C9"/>
    <w:rsid w:val="003F3F08"/>
    <w:rsid w:val="003F4156"/>
    <w:rsid w:val="003F50AE"/>
    <w:rsid w:val="003F5878"/>
    <w:rsid w:val="003F5ADF"/>
    <w:rsid w:val="003F5E12"/>
    <w:rsid w:val="003F6737"/>
    <w:rsid w:val="003F75ED"/>
    <w:rsid w:val="003F7686"/>
    <w:rsid w:val="003F76BA"/>
    <w:rsid w:val="003F7B36"/>
    <w:rsid w:val="0040095C"/>
    <w:rsid w:val="00400B29"/>
    <w:rsid w:val="00400DEF"/>
    <w:rsid w:val="00401257"/>
    <w:rsid w:val="00402279"/>
    <w:rsid w:val="0040263C"/>
    <w:rsid w:val="00404AD3"/>
    <w:rsid w:val="00404C62"/>
    <w:rsid w:val="00404F5D"/>
    <w:rsid w:val="0040504B"/>
    <w:rsid w:val="004051BE"/>
    <w:rsid w:val="0040568B"/>
    <w:rsid w:val="004059F4"/>
    <w:rsid w:val="00406C2D"/>
    <w:rsid w:val="00406D3F"/>
    <w:rsid w:val="004070D3"/>
    <w:rsid w:val="00407FE5"/>
    <w:rsid w:val="004101B0"/>
    <w:rsid w:val="00410326"/>
    <w:rsid w:val="00410708"/>
    <w:rsid w:val="004107BD"/>
    <w:rsid w:val="00410EC7"/>
    <w:rsid w:val="00411B39"/>
    <w:rsid w:val="004120D4"/>
    <w:rsid w:val="004127A7"/>
    <w:rsid w:val="004129C9"/>
    <w:rsid w:val="00412F25"/>
    <w:rsid w:val="00413857"/>
    <w:rsid w:val="00413A1E"/>
    <w:rsid w:val="00414476"/>
    <w:rsid w:val="00414558"/>
    <w:rsid w:val="00414C2E"/>
    <w:rsid w:val="004151CF"/>
    <w:rsid w:val="00416364"/>
    <w:rsid w:val="004163EE"/>
    <w:rsid w:val="00416781"/>
    <w:rsid w:val="00416E18"/>
    <w:rsid w:val="00417D49"/>
    <w:rsid w:val="0042047F"/>
    <w:rsid w:val="00420A4D"/>
    <w:rsid w:val="00420AA6"/>
    <w:rsid w:val="00420B9F"/>
    <w:rsid w:val="00420D50"/>
    <w:rsid w:val="00420DCF"/>
    <w:rsid w:val="0042175D"/>
    <w:rsid w:val="0042192C"/>
    <w:rsid w:val="004220FB"/>
    <w:rsid w:val="0042211A"/>
    <w:rsid w:val="00422260"/>
    <w:rsid w:val="004224D0"/>
    <w:rsid w:val="00422A8C"/>
    <w:rsid w:val="0042363D"/>
    <w:rsid w:val="00423AEB"/>
    <w:rsid w:val="00423CFE"/>
    <w:rsid w:val="0042413F"/>
    <w:rsid w:val="00424639"/>
    <w:rsid w:val="00424EE9"/>
    <w:rsid w:val="00425027"/>
    <w:rsid w:val="004250A4"/>
    <w:rsid w:val="00425CCC"/>
    <w:rsid w:val="00426474"/>
    <w:rsid w:val="0042661A"/>
    <w:rsid w:val="00427119"/>
    <w:rsid w:val="0042755D"/>
    <w:rsid w:val="004306DF"/>
    <w:rsid w:val="0043081E"/>
    <w:rsid w:val="00430DD1"/>
    <w:rsid w:val="0043198C"/>
    <w:rsid w:val="004319F8"/>
    <w:rsid w:val="00431E55"/>
    <w:rsid w:val="00431E95"/>
    <w:rsid w:val="004320C6"/>
    <w:rsid w:val="004321F6"/>
    <w:rsid w:val="0043295B"/>
    <w:rsid w:val="00432E21"/>
    <w:rsid w:val="00433044"/>
    <w:rsid w:val="00433129"/>
    <w:rsid w:val="004334A1"/>
    <w:rsid w:val="0043371C"/>
    <w:rsid w:val="00433950"/>
    <w:rsid w:val="00433A33"/>
    <w:rsid w:val="00433C5D"/>
    <w:rsid w:val="00434088"/>
    <w:rsid w:val="004346EB"/>
    <w:rsid w:val="004348B1"/>
    <w:rsid w:val="00434C8F"/>
    <w:rsid w:val="004354A3"/>
    <w:rsid w:val="00435649"/>
    <w:rsid w:val="004360F6"/>
    <w:rsid w:val="00436C4E"/>
    <w:rsid w:val="004373C3"/>
    <w:rsid w:val="004375B9"/>
    <w:rsid w:val="004377D6"/>
    <w:rsid w:val="00437D87"/>
    <w:rsid w:val="00440181"/>
    <w:rsid w:val="00440BFC"/>
    <w:rsid w:val="004428D0"/>
    <w:rsid w:val="004432BF"/>
    <w:rsid w:val="004439D7"/>
    <w:rsid w:val="00444185"/>
    <w:rsid w:val="004443A7"/>
    <w:rsid w:val="0044442C"/>
    <w:rsid w:val="0044482B"/>
    <w:rsid w:val="004449CD"/>
    <w:rsid w:val="00445163"/>
    <w:rsid w:val="004458C3"/>
    <w:rsid w:val="00445941"/>
    <w:rsid w:val="00445C43"/>
    <w:rsid w:val="00445F38"/>
    <w:rsid w:val="004463B9"/>
    <w:rsid w:val="004464EB"/>
    <w:rsid w:val="00446561"/>
    <w:rsid w:val="00446D7D"/>
    <w:rsid w:val="004471AF"/>
    <w:rsid w:val="00447398"/>
    <w:rsid w:val="004478E4"/>
    <w:rsid w:val="00447D26"/>
    <w:rsid w:val="00447DFC"/>
    <w:rsid w:val="00450768"/>
    <w:rsid w:val="00450E0A"/>
    <w:rsid w:val="00452ED4"/>
    <w:rsid w:val="00453032"/>
    <w:rsid w:val="004530B7"/>
    <w:rsid w:val="004531F7"/>
    <w:rsid w:val="0045454D"/>
    <w:rsid w:val="00454D1F"/>
    <w:rsid w:val="00454FFB"/>
    <w:rsid w:val="004557CE"/>
    <w:rsid w:val="00455A77"/>
    <w:rsid w:val="00455D45"/>
    <w:rsid w:val="00456447"/>
    <w:rsid w:val="004565F4"/>
    <w:rsid w:val="00456D13"/>
    <w:rsid w:val="00456E86"/>
    <w:rsid w:val="004606F5"/>
    <w:rsid w:val="004614EC"/>
    <w:rsid w:val="00462CFE"/>
    <w:rsid w:val="00463DF4"/>
    <w:rsid w:val="00463E57"/>
    <w:rsid w:val="00464275"/>
    <w:rsid w:val="00464595"/>
    <w:rsid w:val="004646FA"/>
    <w:rsid w:val="004658B5"/>
    <w:rsid w:val="004664C2"/>
    <w:rsid w:val="004678F9"/>
    <w:rsid w:val="00467C05"/>
    <w:rsid w:val="00467FC5"/>
    <w:rsid w:val="00470AE5"/>
    <w:rsid w:val="00471A59"/>
    <w:rsid w:val="00471EA5"/>
    <w:rsid w:val="00472190"/>
    <w:rsid w:val="004726C1"/>
    <w:rsid w:val="00472A20"/>
    <w:rsid w:val="00472A79"/>
    <w:rsid w:val="00473624"/>
    <w:rsid w:val="00473918"/>
    <w:rsid w:val="00473C3E"/>
    <w:rsid w:val="00473F19"/>
    <w:rsid w:val="004756EB"/>
    <w:rsid w:val="00475E22"/>
    <w:rsid w:val="00477B42"/>
    <w:rsid w:val="00477EDD"/>
    <w:rsid w:val="00480039"/>
    <w:rsid w:val="0048048E"/>
    <w:rsid w:val="00480833"/>
    <w:rsid w:val="0048088E"/>
    <w:rsid w:val="00480F2B"/>
    <w:rsid w:val="00481775"/>
    <w:rsid w:val="004826F1"/>
    <w:rsid w:val="00482720"/>
    <w:rsid w:val="0048315B"/>
    <w:rsid w:val="00483254"/>
    <w:rsid w:val="004835E7"/>
    <w:rsid w:val="00483648"/>
    <w:rsid w:val="00483B78"/>
    <w:rsid w:val="004840CB"/>
    <w:rsid w:val="004841C0"/>
    <w:rsid w:val="00484A7C"/>
    <w:rsid w:val="00484F72"/>
    <w:rsid w:val="00486552"/>
    <w:rsid w:val="004867E2"/>
    <w:rsid w:val="00486B63"/>
    <w:rsid w:val="00490B17"/>
    <w:rsid w:val="00491B3A"/>
    <w:rsid w:val="00491DF1"/>
    <w:rsid w:val="00491FC2"/>
    <w:rsid w:val="00492CFD"/>
    <w:rsid w:val="004935EA"/>
    <w:rsid w:val="004936B5"/>
    <w:rsid w:val="00494207"/>
    <w:rsid w:val="004947BB"/>
    <w:rsid w:val="00494DD5"/>
    <w:rsid w:val="00495750"/>
    <w:rsid w:val="0049602C"/>
    <w:rsid w:val="004962D2"/>
    <w:rsid w:val="00496E9C"/>
    <w:rsid w:val="00497107"/>
    <w:rsid w:val="0049721E"/>
    <w:rsid w:val="00497A01"/>
    <w:rsid w:val="00497C0C"/>
    <w:rsid w:val="00497D36"/>
    <w:rsid w:val="004A00E7"/>
    <w:rsid w:val="004A09D1"/>
    <w:rsid w:val="004A0DA1"/>
    <w:rsid w:val="004A0E6B"/>
    <w:rsid w:val="004A13D6"/>
    <w:rsid w:val="004A2477"/>
    <w:rsid w:val="004A2ED9"/>
    <w:rsid w:val="004A36C3"/>
    <w:rsid w:val="004A37FA"/>
    <w:rsid w:val="004A42DB"/>
    <w:rsid w:val="004A52E9"/>
    <w:rsid w:val="004A596B"/>
    <w:rsid w:val="004A5EA8"/>
    <w:rsid w:val="004A5F51"/>
    <w:rsid w:val="004A6040"/>
    <w:rsid w:val="004A6114"/>
    <w:rsid w:val="004A6597"/>
    <w:rsid w:val="004A666D"/>
    <w:rsid w:val="004A6A03"/>
    <w:rsid w:val="004A7848"/>
    <w:rsid w:val="004A792F"/>
    <w:rsid w:val="004B0353"/>
    <w:rsid w:val="004B0570"/>
    <w:rsid w:val="004B0DFB"/>
    <w:rsid w:val="004B11AD"/>
    <w:rsid w:val="004B1395"/>
    <w:rsid w:val="004B1BAF"/>
    <w:rsid w:val="004B1CB4"/>
    <w:rsid w:val="004B1E17"/>
    <w:rsid w:val="004B20A6"/>
    <w:rsid w:val="004B255D"/>
    <w:rsid w:val="004B2F18"/>
    <w:rsid w:val="004B30BF"/>
    <w:rsid w:val="004B32C2"/>
    <w:rsid w:val="004B3D3A"/>
    <w:rsid w:val="004B3DDB"/>
    <w:rsid w:val="004B3F6F"/>
    <w:rsid w:val="004B44FD"/>
    <w:rsid w:val="004B4A62"/>
    <w:rsid w:val="004B568C"/>
    <w:rsid w:val="004B5CFC"/>
    <w:rsid w:val="004B69BB"/>
    <w:rsid w:val="004B6B34"/>
    <w:rsid w:val="004B6E24"/>
    <w:rsid w:val="004B6F79"/>
    <w:rsid w:val="004B732D"/>
    <w:rsid w:val="004B774D"/>
    <w:rsid w:val="004C131F"/>
    <w:rsid w:val="004C16E1"/>
    <w:rsid w:val="004C18E8"/>
    <w:rsid w:val="004C18F8"/>
    <w:rsid w:val="004C2242"/>
    <w:rsid w:val="004C2BA5"/>
    <w:rsid w:val="004C2DB0"/>
    <w:rsid w:val="004C3110"/>
    <w:rsid w:val="004C3F16"/>
    <w:rsid w:val="004C4AED"/>
    <w:rsid w:val="004C4DAF"/>
    <w:rsid w:val="004C4EA7"/>
    <w:rsid w:val="004C5009"/>
    <w:rsid w:val="004C5FB1"/>
    <w:rsid w:val="004C61E5"/>
    <w:rsid w:val="004C6698"/>
    <w:rsid w:val="004C66BE"/>
    <w:rsid w:val="004C6DFA"/>
    <w:rsid w:val="004C7171"/>
    <w:rsid w:val="004C722F"/>
    <w:rsid w:val="004C72EA"/>
    <w:rsid w:val="004C748B"/>
    <w:rsid w:val="004D1D11"/>
    <w:rsid w:val="004D216E"/>
    <w:rsid w:val="004D2C2D"/>
    <w:rsid w:val="004D3A7B"/>
    <w:rsid w:val="004D3E59"/>
    <w:rsid w:val="004D4DB8"/>
    <w:rsid w:val="004D5419"/>
    <w:rsid w:val="004D683E"/>
    <w:rsid w:val="004D69B5"/>
    <w:rsid w:val="004D7082"/>
    <w:rsid w:val="004D7227"/>
    <w:rsid w:val="004E013F"/>
    <w:rsid w:val="004E0805"/>
    <w:rsid w:val="004E0B88"/>
    <w:rsid w:val="004E0E7F"/>
    <w:rsid w:val="004E0EB8"/>
    <w:rsid w:val="004E18E9"/>
    <w:rsid w:val="004E1A98"/>
    <w:rsid w:val="004E1F86"/>
    <w:rsid w:val="004E2ADC"/>
    <w:rsid w:val="004E2E37"/>
    <w:rsid w:val="004E2E3D"/>
    <w:rsid w:val="004E2E86"/>
    <w:rsid w:val="004E3008"/>
    <w:rsid w:val="004E404E"/>
    <w:rsid w:val="004E43B2"/>
    <w:rsid w:val="004E5E02"/>
    <w:rsid w:val="004E6AA5"/>
    <w:rsid w:val="004E6E47"/>
    <w:rsid w:val="004E74B2"/>
    <w:rsid w:val="004E751D"/>
    <w:rsid w:val="004E7555"/>
    <w:rsid w:val="004E789E"/>
    <w:rsid w:val="004E7F51"/>
    <w:rsid w:val="004F07C5"/>
    <w:rsid w:val="004F0E6C"/>
    <w:rsid w:val="004F12BE"/>
    <w:rsid w:val="004F14BA"/>
    <w:rsid w:val="004F1ABB"/>
    <w:rsid w:val="004F1D02"/>
    <w:rsid w:val="004F1E0D"/>
    <w:rsid w:val="004F233C"/>
    <w:rsid w:val="004F2679"/>
    <w:rsid w:val="004F2F21"/>
    <w:rsid w:val="004F3140"/>
    <w:rsid w:val="004F318B"/>
    <w:rsid w:val="004F37A2"/>
    <w:rsid w:val="004F37E8"/>
    <w:rsid w:val="004F3DE5"/>
    <w:rsid w:val="004F4FA3"/>
    <w:rsid w:val="004F52EB"/>
    <w:rsid w:val="004F5CEC"/>
    <w:rsid w:val="004F655A"/>
    <w:rsid w:val="004F6913"/>
    <w:rsid w:val="004F6C16"/>
    <w:rsid w:val="004F6E8A"/>
    <w:rsid w:val="004F7463"/>
    <w:rsid w:val="004F7865"/>
    <w:rsid w:val="0050048B"/>
    <w:rsid w:val="00500DF6"/>
    <w:rsid w:val="005014D3"/>
    <w:rsid w:val="0050174E"/>
    <w:rsid w:val="00501854"/>
    <w:rsid w:val="00501B6E"/>
    <w:rsid w:val="0050219B"/>
    <w:rsid w:val="00502EFF"/>
    <w:rsid w:val="00503044"/>
    <w:rsid w:val="0050384F"/>
    <w:rsid w:val="00503B7E"/>
    <w:rsid w:val="00503B95"/>
    <w:rsid w:val="00503F17"/>
    <w:rsid w:val="0050451D"/>
    <w:rsid w:val="00505060"/>
    <w:rsid w:val="005068EE"/>
    <w:rsid w:val="00506928"/>
    <w:rsid w:val="00507360"/>
    <w:rsid w:val="005077EF"/>
    <w:rsid w:val="00507FA3"/>
    <w:rsid w:val="00510BB9"/>
    <w:rsid w:val="00510FC9"/>
    <w:rsid w:val="00511AD5"/>
    <w:rsid w:val="00511DC7"/>
    <w:rsid w:val="005121CE"/>
    <w:rsid w:val="00513B24"/>
    <w:rsid w:val="005142C5"/>
    <w:rsid w:val="00514AD5"/>
    <w:rsid w:val="00514B54"/>
    <w:rsid w:val="0051501B"/>
    <w:rsid w:val="005152B5"/>
    <w:rsid w:val="00515D79"/>
    <w:rsid w:val="00515DC9"/>
    <w:rsid w:val="00516577"/>
    <w:rsid w:val="005167B0"/>
    <w:rsid w:val="00516B47"/>
    <w:rsid w:val="0051702A"/>
    <w:rsid w:val="00517444"/>
    <w:rsid w:val="00517D24"/>
    <w:rsid w:val="005203A1"/>
    <w:rsid w:val="00520C8F"/>
    <w:rsid w:val="00520D72"/>
    <w:rsid w:val="0052123C"/>
    <w:rsid w:val="00521319"/>
    <w:rsid w:val="005220C9"/>
    <w:rsid w:val="005229DC"/>
    <w:rsid w:val="00522B3F"/>
    <w:rsid w:val="00522B9A"/>
    <w:rsid w:val="00522BC8"/>
    <w:rsid w:val="00522D6A"/>
    <w:rsid w:val="00523967"/>
    <w:rsid w:val="00523C28"/>
    <w:rsid w:val="005242C5"/>
    <w:rsid w:val="00524A7D"/>
    <w:rsid w:val="00524C0D"/>
    <w:rsid w:val="00524FEB"/>
    <w:rsid w:val="00525C7C"/>
    <w:rsid w:val="00526227"/>
    <w:rsid w:val="0052624A"/>
    <w:rsid w:val="005266B6"/>
    <w:rsid w:val="005266FF"/>
    <w:rsid w:val="005270C6"/>
    <w:rsid w:val="005271C8"/>
    <w:rsid w:val="00530165"/>
    <w:rsid w:val="00530435"/>
    <w:rsid w:val="00530BB9"/>
    <w:rsid w:val="0053144F"/>
    <w:rsid w:val="0053176B"/>
    <w:rsid w:val="00531968"/>
    <w:rsid w:val="00531AEE"/>
    <w:rsid w:val="00531EFB"/>
    <w:rsid w:val="005320DB"/>
    <w:rsid w:val="00532282"/>
    <w:rsid w:val="005322C7"/>
    <w:rsid w:val="00532806"/>
    <w:rsid w:val="0053281E"/>
    <w:rsid w:val="00533B2D"/>
    <w:rsid w:val="00534B59"/>
    <w:rsid w:val="00534F4A"/>
    <w:rsid w:val="005350D3"/>
    <w:rsid w:val="00535E79"/>
    <w:rsid w:val="0053606F"/>
    <w:rsid w:val="005365AE"/>
    <w:rsid w:val="00536AB3"/>
    <w:rsid w:val="00536F42"/>
    <w:rsid w:val="00537182"/>
    <w:rsid w:val="00540761"/>
    <w:rsid w:val="00540855"/>
    <w:rsid w:val="00540FAA"/>
    <w:rsid w:val="00541079"/>
    <w:rsid w:val="005410EC"/>
    <w:rsid w:val="005414ED"/>
    <w:rsid w:val="0054185E"/>
    <w:rsid w:val="00541EDD"/>
    <w:rsid w:val="00542743"/>
    <w:rsid w:val="00542B67"/>
    <w:rsid w:val="00542C2D"/>
    <w:rsid w:val="005436E3"/>
    <w:rsid w:val="00544850"/>
    <w:rsid w:val="00544936"/>
    <w:rsid w:val="00544C25"/>
    <w:rsid w:val="00545EAB"/>
    <w:rsid w:val="0054614C"/>
    <w:rsid w:val="00546CFF"/>
    <w:rsid w:val="005478BD"/>
    <w:rsid w:val="005479E3"/>
    <w:rsid w:val="00547C14"/>
    <w:rsid w:val="00547F87"/>
    <w:rsid w:val="00550C43"/>
    <w:rsid w:val="005510A1"/>
    <w:rsid w:val="00551295"/>
    <w:rsid w:val="005514DA"/>
    <w:rsid w:val="00551985"/>
    <w:rsid w:val="00551FF1"/>
    <w:rsid w:val="005521A0"/>
    <w:rsid w:val="005522E4"/>
    <w:rsid w:val="005525BD"/>
    <w:rsid w:val="00552BD3"/>
    <w:rsid w:val="005532A0"/>
    <w:rsid w:val="005536A3"/>
    <w:rsid w:val="00553D88"/>
    <w:rsid w:val="00555109"/>
    <w:rsid w:val="00555CEA"/>
    <w:rsid w:val="0055684A"/>
    <w:rsid w:val="00556B35"/>
    <w:rsid w:val="0055741A"/>
    <w:rsid w:val="00557B17"/>
    <w:rsid w:val="00560129"/>
    <w:rsid w:val="0056037B"/>
    <w:rsid w:val="00560546"/>
    <w:rsid w:val="0056080B"/>
    <w:rsid w:val="005611B7"/>
    <w:rsid w:val="005618D4"/>
    <w:rsid w:val="00561AD6"/>
    <w:rsid w:val="00561BD8"/>
    <w:rsid w:val="00562364"/>
    <w:rsid w:val="00562410"/>
    <w:rsid w:val="0056297E"/>
    <w:rsid w:val="00563315"/>
    <w:rsid w:val="00563670"/>
    <w:rsid w:val="0056446E"/>
    <w:rsid w:val="005649BD"/>
    <w:rsid w:val="00565061"/>
    <w:rsid w:val="0056509C"/>
    <w:rsid w:val="00565DF0"/>
    <w:rsid w:val="0056636C"/>
    <w:rsid w:val="00566802"/>
    <w:rsid w:val="0056680A"/>
    <w:rsid w:val="0056696F"/>
    <w:rsid w:val="00566D39"/>
    <w:rsid w:val="00566EBA"/>
    <w:rsid w:val="00566F8C"/>
    <w:rsid w:val="005671BA"/>
    <w:rsid w:val="00567483"/>
    <w:rsid w:val="0056785E"/>
    <w:rsid w:val="0057034F"/>
    <w:rsid w:val="0057092E"/>
    <w:rsid w:val="005721B3"/>
    <w:rsid w:val="00572269"/>
    <w:rsid w:val="0057244A"/>
    <w:rsid w:val="00572572"/>
    <w:rsid w:val="00572893"/>
    <w:rsid w:val="00572F26"/>
    <w:rsid w:val="0057310B"/>
    <w:rsid w:val="00573875"/>
    <w:rsid w:val="00574251"/>
    <w:rsid w:val="00574A06"/>
    <w:rsid w:val="005750C5"/>
    <w:rsid w:val="005752DE"/>
    <w:rsid w:val="00575D8D"/>
    <w:rsid w:val="00575DAC"/>
    <w:rsid w:val="0057630F"/>
    <w:rsid w:val="00576972"/>
    <w:rsid w:val="005770E0"/>
    <w:rsid w:val="005778CD"/>
    <w:rsid w:val="00580038"/>
    <w:rsid w:val="005815C0"/>
    <w:rsid w:val="00582860"/>
    <w:rsid w:val="00582F35"/>
    <w:rsid w:val="005832FA"/>
    <w:rsid w:val="00583699"/>
    <w:rsid w:val="00583B83"/>
    <w:rsid w:val="00583C71"/>
    <w:rsid w:val="00584A40"/>
    <w:rsid w:val="005853F4"/>
    <w:rsid w:val="00585CDD"/>
    <w:rsid w:val="00586086"/>
    <w:rsid w:val="00586CCA"/>
    <w:rsid w:val="00587058"/>
    <w:rsid w:val="0058710C"/>
    <w:rsid w:val="0058717E"/>
    <w:rsid w:val="00587288"/>
    <w:rsid w:val="00587C23"/>
    <w:rsid w:val="00591957"/>
    <w:rsid w:val="00591B0F"/>
    <w:rsid w:val="005925CC"/>
    <w:rsid w:val="0059281A"/>
    <w:rsid w:val="00592B7C"/>
    <w:rsid w:val="00592C34"/>
    <w:rsid w:val="00592F1B"/>
    <w:rsid w:val="00593761"/>
    <w:rsid w:val="00593785"/>
    <w:rsid w:val="005940C0"/>
    <w:rsid w:val="0059481F"/>
    <w:rsid w:val="005950F5"/>
    <w:rsid w:val="00595D2A"/>
    <w:rsid w:val="005967EC"/>
    <w:rsid w:val="00596840"/>
    <w:rsid w:val="00597BF9"/>
    <w:rsid w:val="005A0D8E"/>
    <w:rsid w:val="005A1134"/>
    <w:rsid w:val="005A151F"/>
    <w:rsid w:val="005A1537"/>
    <w:rsid w:val="005A168B"/>
    <w:rsid w:val="005A21BE"/>
    <w:rsid w:val="005A273D"/>
    <w:rsid w:val="005A2B1D"/>
    <w:rsid w:val="005A2BB1"/>
    <w:rsid w:val="005A2EF8"/>
    <w:rsid w:val="005A309A"/>
    <w:rsid w:val="005A325A"/>
    <w:rsid w:val="005A373D"/>
    <w:rsid w:val="005A3B6B"/>
    <w:rsid w:val="005A44DE"/>
    <w:rsid w:val="005A4A59"/>
    <w:rsid w:val="005A4ABF"/>
    <w:rsid w:val="005A4CD9"/>
    <w:rsid w:val="005A66E0"/>
    <w:rsid w:val="005A6A53"/>
    <w:rsid w:val="005A6BE3"/>
    <w:rsid w:val="005A6E57"/>
    <w:rsid w:val="005A70C8"/>
    <w:rsid w:val="005A7B00"/>
    <w:rsid w:val="005B0B58"/>
    <w:rsid w:val="005B1400"/>
    <w:rsid w:val="005B15E6"/>
    <w:rsid w:val="005B1ED0"/>
    <w:rsid w:val="005B257E"/>
    <w:rsid w:val="005B2605"/>
    <w:rsid w:val="005B4112"/>
    <w:rsid w:val="005B41D2"/>
    <w:rsid w:val="005B4E53"/>
    <w:rsid w:val="005B50C8"/>
    <w:rsid w:val="005B570A"/>
    <w:rsid w:val="005B5857"/>
    <w:rsid w:val="005B605F"/>
    <w:rsid w:val="005B6E4A"/>
    <w:rsid w:val="005B795F"/>
    <w:rsid w:val="005B7C3E"/>
    <w:rsid w:val="005C03EB"/>
    <w:rsid w:val="005C0DDE"/>
    <w:rsid w:val="005C1807"/>
    <w:rsid w:val="005C1946"/>
    <w:rsid w:val="005C1B83"/>
    <w:rsid w:val="005C25FF"/>
    <w:rsid w:val="005C2D55"/>
    <w:rsid w:val="005C30F7"/>
    <w:rsid w:val="005C317C"/>
    <w:rsid w:val="005C32F1"/>
    <w:rsid w:val="005C346B"/>
    <w:rsid w:val="005C3907"/>
    <w:rsid w:val="005C3B53"/>
    <w:rsid w:val="005C44BC"/>
    <w:rsid w:val="005C480C"/>
    <w:rsid w:val="005C4A0C"/>
    <w:rsid w:val="005C5442"/>
    <w:rsid w:val="005C5485"/>
    <w:rsid w:val="005C5654"/>
    <w:rsid w:val="005C5746"/>
    <w:rsid w:val="005C58AA"/>
    <w:rsid w:val="005C646E"/>
    <w:rsid w:val="005C66E7"/>
    <w:rsid w:val="005C68E2"/>
    <w:rsid w:val="005C6F3A"/>
    <w:rsid w:val="005C7F14"/>
    <w:rsid w:val="005D044D"/>
    <w:rsid w:val="005D04E8"/>
    <w:rsid w:val="005D0ABD"/>
    <w:rsid w:val="005D0C56"/>
    <w:rsid w:val="005D0F6A"/>
    <w:rsid w:val="005D1299"/>
    <w:rsid w:val="005D18AD"/>
    <w:rsid w:val="005D196A"/>
    <w:rsid w:val="005D1E13"/>
    <w:rsid w:val="005D213C"/>
    <w:rsid w:val="005D2264"/>
    <w:rsid w:val="005D22DF"/>
    <w:rsid w:val="005D238B"/>
    <w:rsid w:val="005D26B4"/>
    <w:rsid w:val="005D27A8"/>
    <w:rsid w:val="005D32DC"/>
    <w:rsid w:val="005D3A56"/>
    <w:rsid w:val="005D4BC1"/>
    <w:rsid w:val="005D4CE3"/>
    <w:rsid w:val="005D58FC"/>
    <w:rsid w:val="005D5B8B"/>
    <w:rsid w:val="005D5F16"/>
    <w:rsid w:val="005D671A"/>
    <w:rsid w:val="005E078A"/>
    <w:rsid w:val="005E09F0"/>
    <w:rsid w:val="005E0FA6"/>
    <w:rsid w:val="005E136A"/>
    <w:rsid w:val="005E23B9"/>
    <w:rsid w:val="005E34CC"/>
    <w:rsid w:val="005E42F0"/>
    <w:rsid w:val="005E6CBC"/>
    <w:rsid w:val="005E6CF1"/>
    <w:rsid w:val="005E71A2"/>
    <w:rsid w:val="005E72FF"/>
    <w:rsid w:val="005E73C0"/>
    <w:rsid w:val="005E7613"/>
    <w:rsid w:val="005E7F9E"/>
    <w:rsid w:val="005F0E3F"/>
    <w:rsid w:val="005F1270"/>
    <w:rsid w:val="005F22EF"/>
    <w:rsid w:val="005F2706"/>
    <w:rsid w:val="005F2A6C"/>
    <w:rsid w:val="005F2D18"/>
    <w:rsid w:val="005F3018"/>
    <w:rsid w:val="005F3287"/>
    <w:rsid w:val="005F3B9E"/>
    <w:rsid w:val="005F400F"/>
    <w:rsid w:val="005F4467"/>
    <w:rsid w:val="005F4BA0"/>
    <w:rsid w:val="005F4BC4"/>
    <w:rsid w:val="005F5068"/>
    <w:rsid w:val="005F61A8"/>
    <w:rsid w:val="005F6A8F"/>
    <w:rsid w:val="005F6BB7"/>
    <w:rsid w:val="005F6F94"/>
    <w:rsid w:val="005F7588"/>
    <w:rsid w:val="005F7673"/>
    <w:rsid w:val="00600202"/>
    <w:rsid w:val="00601350"/>
    <w:rsid w:val="006025A4"/>
    <w:rsid w:val="00602987"/>
    <w:rsid w:val="00602A43"/>
    <w:rsid w:val="00602D02"/>
    <w:rsid w:val="00603C16"/>
    <w:rsid w:val="00603DB9"/>
    <w:rsid w:val="006051B5"/>
    <w:rsid w:val="00606419"/>
    <w:rsid w:val="00606784"/>
    <w:rsid w:val="00606A80"/>
    <w:rsid w:val="00606FBA"/>
    <w:rsid w:val="00607669"/>
    <w:rsid w:val="006076F4"/>
    <w:rsid w:val="00607AFD"/>
    <w:rsid w:val="00607D4B"/>
    <w:rsid w:val="00607F50"/>
    <w:rsid w:val="00610DC2"/>
    <w:rsid w:val="00610E1A"/>
    <w:rsid w:val="00610FF3"/>
    <w:rsid w:val="00611371"/>
    <w:rsid w:val="00611693"/>
    <w:rsid w:val="006118E8"/>
    <w:rsid w:val="00611EAF"/>
    <w:rsid w:val="00612059"/>
    <w:rsid w:val="00612072"/>
    <w:rsid w:val="006129D4"/>
    <w:rsid w:val="00612AF0"/>
    <w:rsid w:val="00612DCB"/>
    <w:rsid w:val="00612F97"/>
    <w:rsid w:val="0061345D"/>
    <w:rsid w:val="00614581"/>
    <w:rsid w:val="00614B09"/>
    <w:rsid w:val="0061549B"/>
    <w:rsid w:val="00615E2E"/>
    <w:rsid w:val="00616802"/>
    <w:rsid w:val="00616A69"/>
    <w:rsid w:val="00616EED"/>
    <w:rsid w:val="006173E4"/>
    <w:rsid w:val="006179FC"/>
    <w:rsid w:val="00617E12"/>
    <w:rsid w:val="006202A8"/>
    <w:rsid w:val="00620C25"/>
    <w:rsid w:val="006213F6"/>
    <w:rsid w:val="00621477"/>
    <w:rsid w:val="00621ADA"/>
    <w:rsid w:val="00622B34"/>
    <w:rsid w:val="00622C34"/>
    <w:rsid w:val="00622E9E"/>
    <w:rsid w:val="00623D8E"/>
    <w:rsid w:val="00623E66"/>
    <w:rsid w:val="00623F7B"/>
    <w:rsid w:val="00624324"/>
    <w:rsid w:val="0062504C"/>
    <w:rsid w:val="00625375"/>
    <w:rsid w:val="006256DD"/>
    <w:rsid w:val="00625C78"/>
    <w:rsid w:val="00626C39"/>
    <w:rsid w:val="00626FC7"/>
    <w:rsid w:val="00627F41"/>
    <w:rsid w:val="00630954"/>
    <w:rsid w:val="00630AE7"/>
    <w:rsid w:val="0063158F"/>
    <w:rsid w:val="006317BC"/>
    <w:rsid w:val="00631D6B"/>
    <w:rsid w:val="00632183"/>
    <w:rsid w:val="006322AD"/>
    <w:rsid w:val="00632351"/>
    <w:rsid w:val="006325E1"/>
    <w:rsid w:val="00632675"/>
    <w:rsid w:val="006330A1"/>
    <w:rsid w:val="006336BC"/>
    <w:rsid w:val="006336D2"/>
    <w:rsid w:val="00633AEB"/>
    <w:rsid w:val="0063479F"/>
    <w:rsid w:val="00634DE4"/>
    <w:rsid w:val="006353F0"/>
    <w:rsid w:val="006357B5"/>
    <w:rsid w:val="00635C93"/>
    <w:rsid w:val="00635D7C"/>
    <w:rsid w:val="00636354"/>
    <w:rsid w:val="006364A1"/>
    <w:rsid w:val="0063678E"/>
    <w:rsid w:val="00637BFD"/>
    <w:rsid w:val="00637E84"/>
    <w:rsid w:val="00640C0C"/>
    <w:rsid w:val="006414A7"/>
    <w:rsid w:val="0064182B"/>
    <w:rsid w:val="00641871"/>
    <w:rsid w:val="006418B6"/>
    <w:rsid w:val="00641C4E"/>
    <w:rsid w:val="00641FB3"/>
    <w:rsid w:val="00642316"/>
    <w:rsid w:val="006435C5"/>
    <w:rsid w:val="00643F1A"/>
    <w:rsid w:val="00644341"/>
    <w:rsid w:val="0064434C"/>
    <w:rsid w:val="00644B98"/>
    <w:rsid w:val="0064515D"/>
    <w:rsid w:val="006454FC"/>
    <w:rsid w:val="00645E6C"/>
    <w:rsid w:val="006465AF"/>
    <w:rsid w:val="0064684B"/>
    <w:rsid w:val="0064695B"/>
    <w:rsid w:val="006471CC"/>
    <w:rsid w:val="00647575"/>
    <w:rsid w:val="00647A29"/>
    <w:rsid w:val="00647A6C"/>
    <w:rsid w:val="00647B88"/>
    <w:rsid w:val="00650081"/>
    <w:rsid w:val="0065079F"/>
    <w:rsid w:val="00650B01"/>
    <w:rsid w:val="006518F4"/>
    <w:rsid w:val="00651D19"/>
    <w:rsid w:val="00652A28"/>
    <w:rsid w:val="00652E7C"/>
    <w:rsid w:val="00652F8C"/>
    <w:rsid w:val="00653166"/>
    <w:rsid w:val="006532FD"/>
    <w:rsid w:val="0065379F"/>
    <w:rsid w:val="00654A3F"/>
    <w:rsid w:val="00655065"/>
    <w:rsid w:val="00655550"/>
    <w:rsid w:val="00655F73"/>
    <w:rsid w:val="00656188"/>
    <w:rsid w:val="00656750"/>
    <w:rsid w:val="0065692E"/>
    <w:rsid w:val="00656ECE"/>
    <w:rsid w:val="0065715A"/>
    <w:rsid w:val="00657258"/>
    <w:rsid w:val="00657E21"/>
    <w:rsid w:val="006610F1"/>
    <w:rsid w:val="00661A8B"/>
    <w:rsid w:val="00661C6B"/>
    <w:rsid w:val="00662102"/>
    <w:rsid w:val="00663AA3"/>
    <w:rsid w:val="00663D94"/>
    <w:rsid w:val="00663EE6"/>
    <w:rsid w:val="00664A49"/>
    <w:rsid w:val="00664F05"/>
    <w:rsid w:val="00665280"/>
    <w:rsid w:val="0066534E"/>
    <w:rsid w:val="00665449"/>
    <w:rsid w:val="00666830"/>
    <w:rsid w:val="0066692F"/>
    <w:rsid w:val="006669E8"/>
    <w:rsid w:val="00666D9E"/>
    <w:rsid w:val="00666F9E"/>
    <w:rsid w:val="006670C6"/>
    <w:rsid w:val="006670D5"/>
    <w:rsid w:val="0067005C"/>
    <w:rsid w:val="0067054E"/>
    <w:rsid w:val="00670B38"/>
    <w:rsid w:val="00671004"/>
    <w:rsid w:val="00671AEE"/>
    <w:rsid w:val="00671E51"/>
    <w:rsid w:val="00672144"/>
    <w:rsid w:val="00672646"/>
    <w:rsid w:val="00672987"/>
    <w:rsid w:val="00672AE0"/>
    <w:rsid w:val="00672F10"/>
    <w:rsid w:val="00673510"/>
    <w:rsid w:val="00674E42"/>
    <w:rsid w:val="006751E4"/>
    <w:rsid w:val="006767DF"/>
    <w:rsid w:val="00676F68"/>
    <w:rsid w:val="00677408"/>
    <w:rsid w:val="00677E5E"/>
    <w:rsid w:val="00677F8C"/>
    <w:rsid w:val="0068020E"/>
    <w:rsid w:val="00680D64"/>
    <w:rsid w:val="00680EF1"/>
    <w:rsid w:val="006813F8"/>
    <w:rsid w:val="00681C51"/>
    <w:rsid w:val="0068206C"/>
    <w:rsid w:val="00682112"/>
    <w:rsid w:val="00682BA6"/>
    <w:rsid w:val="006835C4"/>
    <w:rsid w:val="00684490"/>
    <w:rsid w:val="006851F5"/>
    <w:rsid w:val="006856D7"/>
    <w:rsid w:val="00685975"/>
    <w:rsid w:val="006863A7"/>
    <w:rsid w:val="00686957"/>
    <w:rsid w:val="00686DF7"/>
    <w:rsid w:val="006872BA"/>
    <w:rsid w:val="00687852"/>
    <w:rsid w:val="0068788C"/>
    <w:rsid w:val="00687DA2"/>
    <w:rsid w:val="006900F5"/>
    <w:rsid w:val="00690795"/>
    <w:rsid w:val="00691648"/>
    <w:rsid w:val="006917D7"/>
    <w:rsid w:val="006917F3"/>
    <w:rsid w:val="006919EB"/>
    <w:rsid w:val="00691A6C"/>
    <w:rsid w:val="00691EEE"/>
    <w:rsid w:val="0069252F"/>
    <w:rsid w:val="00692928"/>
    <w:rsid w:val="006932AC"/>
    <w:rsid w:val="00693CB3"/>
    <w:rsid w:val="0069434C"/>
    <w:rsid w:val="00694F44"/>
    <w:rsid w:val="006951FD"/>
    <w:rsid w:val="00695B42"/>
    <w:rsid w:val="0069637E"/>
    <w:rsid w:val="00696F51"/>
    <w:rsid w:val="00696FA2"/>
    <w:rsid w:val="0069717A"/>
    <w:rsid w:val="0069728D"/>
    <w:rsid w:val="006979A5"/>
    <w:rsid w:val="00697C0C"/>
    <w:rsid w:val="00697D97"/>
    <w:rsid w:val="006A09E2"/>
    <w:rsid w:val="006A0B4F"/>
    <w:rsid w:val="006A0D5E"/>
    <w:rsid w:val="006A1256"/>
    <w:rsid w:val="006A1700"/>
    <w:rsid w:val="006A1817"/>
    <w:rsid w:val="006A19CA"/>
    <w:rsid w:val="006A2A51"/>
    <w:rsid w:val="006A35A2"/>
    <w:rsid w:val="006A35FF"/>
    <w:rsid w:val="006A3FAE"/>
    <w:rsid w:val="006A4981"/>
    <w:rsid w:val="006A4D0C"/>
    <w:rsid w:val="006A50F5"/>
    <w:rsid w:val="006A5166"/>
    <w:rsid w:val="006A52F0"/>
    <w:rsid w:val="006A65C0"/>
    <w:rsid w:val="006A6B81"/>
    <w:rsid w:val="006A6B99"/>
    <w:rsid w:val="006A6DC3"/>
    <w:rsid w:val="006A72F3"/>
    <w:rsid w:val="006A7B2B"/>
    <w:rsid w:val="006A7E5F"/>
    <w:rsid w:val="006B00F9"/>
    <w:rsid w:val="006B12E7"/>
    <w:rsid w:val="006B1A82"/>
    <w:rsid w:val="006B24D4"/>
    <w:rsid w:val="006B261B"/>
    <w:rsid w:val="006B2C90"/>
    <w:rsid w:val="006B35E6"/>
    <w:rsid w:val="006B376C"/>
    <w:rsid w:val="006B3F1E"/>
    <w:rsid w:val="006B405F"/>
    <w:rsid w:val="006B40A0"/>
    <w:rsid w:val="006B4436"/>
    <w:rsid w:val="006B465A"/>
    <w:rsid w:val="006B4781"/>
    <w:rsid w:val="006B53B3"/>
    <w:rsid w:val="006B55BA"/>
    <w:rsid w:val="006B6017"/>
    <w:rsid w:val="006B67CB"/>
    <w:rsid w:val="006B6DD0"/>
    <w:rsid w:val="006B7117"/>
    <w:rsid w:val="006C001A"/>
    <w:rsid w:val="006C0399"/>
    <w:rsid w:val="006C0525"/>
    <w:rsid w:val="006C1513"/>
    <w:rsid w:val="006C1569"/>
    <w:rsid w:val="006C247B"/>
    <w:rsid w:val="006C2A8E"/>
    <w:rsid w:val="006C2B62"/>
    <w:rsid w:val="006C2CB6"/>
    <w:rsid w:val="006C3255"/>
    <w:rsid w:val="006C3740"/>
    <w:rsid w:val="006C3E73"/>
    <w:rsid w:val="006C3F26"/>
    <w:rsid w:val="006C40FD"/>
    <w:rsid w:val="006C4CB6"/>
    <w:rsid w:val="006C5348"/>
    <w:rsid w:val="006C54FA"/>
    <w:rsid w:val="006C59E9"/>
    <w:rsid w:val="006C5AC9"/>
    <w:rsid w:val="006C6082"/>
    <w:rsid w:val="006C67A7"/>
    <w:rsid w:val="006C6937"/>
    <w:rsid w:val="006C7085"/>
    <w:rsid w:val="006C747F"/>
    <w:rsid w:val="006C74FF"/>
    <w:rsid w:val="006C7E1B"/>
    <w:rsid w:val="006D0087"/>
    <w:rsid w:val="006D0A6F"/>
    <w:rsid w:val="006D0D17"/>
    <w:rsid w:val="006D0D45"/>
    <w:rsid w:val="006D0DE3"/>
    <w:rsid w:val="006D14E6"/>
    <w:rsid w:val="006D208C"/>
    <w:rsid w:val="006D31D2"/>
    <w:rsid w:val="006D33EC"/>
    <w:rsid w:val="006D3670"/>
    <w:rsid w:val="006D3C7D"/>
    <w:rsid w:val="006D410B"/>
    <w:rsid w:val="006D443D"/>
    <w:rsid w:val="006D44CB"/>
    <w:rsid w:val="006D4659"/>
    <w:rsid w:val="006D491E"/>
    <w:rsid w:val="006D5647"/>
    <w:rsid w:val="006D5D5F"/>
    <w:rsid w:val="006D5F05"/>
    <w:rsid w:val="006D6088"/>
    <w:rsid w:val="006D6751"/>
    <w:rsid w:val="006D676C"/>
    <w:rsid w:val="006D68FB"/>
    <w:rsid w:val="006D74B4"/>
    <w:rsid w:val="006E0799"/>
    <w:rsid w:val="006E127F"/>
    <w:rsid w:val="006E13C0"/>
    <w:rsid w:val="006E254E"/>
    <w:rsid w:val="006E2868"/>
    <w:rsid w:val="006E2A27"/>
    <w:rsid w:val="006E2C32"/>
    <w:rsid w:val="006E2C45"/>
    <w:rsid w:val="006E2FDE"/>
    <w:rsid w:val="006E315F"/>
    <w:rsid w:val="006E3275"/>
    <w:rsid w:val="006E41DC"/>
    <w:rsid w:val="006E48E8"/>
    <w:rsid w:val="006E4E66"/>
    <w:rsid w:val="006E57E1"/>
    <w:rsid w:val="006E59D5"/>
    <w:rsid w:val="006E5D2A"/>
    <w:rsid w:val="006E5E66"/>
    <w:rsid w:val="006E6A53"/>
    <w:rsid w:val="006E7692"/>
    <w:rsid w:val="006E77CC"/>
    <w:rsid w:val="006E795B"/>
    <w:rsid w:val="006F0A0C"/>
    <w:rsid w:val="006F135C"/>
    <w:rsid w:val="006F1DF8"/>
    <w:rsid w:val="006F1E32"/>
    <w:rsid w:val="006F2A11"/>
    <w:rsid w:val="006F306C"/>
    <w:rsid w:val="006F3592"/>
    <w:rsid w:val="006F4196"/>
    <w:rsid w:val="006F4D08"/>
    <w:rsid w:val="006F50A7"/>
    <w:rsid w:val="006F547A"/>
    <w:rsid w:val="006F63A5"/>
    <w:rsid w:val="00700217"/>
    <w:rsid w:val="007004A5"/>
    <w:rsid w:val="00700970"/>
    <w:rsid w:val="00700F6F"/>
    <w:rsid w:val="007011F4"/>
    <w:rsid w:val="0070142B"/>
    <w:rsid w:val="00701607"/>
    <w:rsid w:val="00702012"/>
    <w:rsid w:val="00702671"/>
    <w:rsid w:val="0070276D"/>
    <w:rsid w:val="0070276E"/>
    <w:rsid w:val="00702F8F"/>
    <w:rsid w:val="00703C5B"/>
    <w:rsid w:val="0070444C"/>
    <w:rsid w:val="00705C07"/>
    <w:rsid w:val="0070678E"/>
    <w:rsid w:val="007079FC"/>
    <w:rsid w:val="00707B76"/>
    <w:rsid w:val="00711A36"/>
    <w:rsid w:val="007121DC"/>
    <w:rsid w:val="007122F0"/>
    <w:rsid w:val="007126A8"/>
    <w:rsid w:val="00712791"/>
    <w:rsid w:val="007134E6"/>
    <w:rsid w:val="00713B90"/>
    <w:rsid w:val="00714873"/>
    <w:rsid w:val="00714B53"/>
    <w:rsid w:val="00714B8D"/>
    <w:rsid w:val="00714C26"/>
    <w:rsid w:val="00714C76"/>
    <w:rsid w:val="0071529C"/>
    <w:rsid w:val="0071642C"/>
    <w:rsid w:val="00716EAF"/>
    <w:rsid w:val="007170DA"/>
    <w:rsid w:val="007172AD"/>
    <w:rsid w:val="007203A7"/>
    <w:rsid w:val="0072061D"/>
    <w:rsid w:val="00720801"/>
    <w:rsid w:val="007212D6"/>
    <w:rsid w:val="00722334"/>
    <w:rsid w:val="00722B1B"/>
    <w:rsid w:val="00723A95"/>
    <w:rsid w:val="00723C84"/>
    <w:rsid w:val="0072416F"/>
    <w:rsid w:val="007252D0"/>
    <w:rsid w:val="007253AD"/>
    <w:rsid w:val="00725A66"/>
    <w:rsid w:val="00725E35"/>
    <w:rsid w:val="00725F67"/>
    <w:rsid w:val="00726092"/>
    <w:rsid w:val="007261A9"/>
    <w:rsid w:val="007265E0"/>
    <w:rsid w:val="00727C94"/>
    <w:rsid w:val="00727CD2"/>
    <w:rsid w:val="00730720"/>
    <w:rsid w:val="00730EF9"/>
    <w:rsid w:val="00731807"/>
    <w:rsid w:val="00731B0A"/>
    <w:rsid w:val="00731EAE"/>
    <w:rsid w:val="0073200B"/>
    <w:rsid w:val="0073217B"/>
    <w:rsid w:val="00732203"/>
    <w:rsid w:val="00733073"/>
    <w:rsid w:val="007340F4"/>
    <w:rsid w:val="0073426B"/>
    <w:rsid w:val="007344C1"/>
    <w:rsid w:val="00735033"/>
    <w:rsid w:val="00735328"/>
    <w:rsid w:val="00735737"/>
    <w:rsid w:val="0073680B"/>
    <w:rsid w:val="0073685B"/>
    <w:rsid w:val="00737580"/>
    <w:rsid w:val="00737AA0"/>
    <w:rsid w:val="00740A1A"/>
    <w:rsid w:val="00740AAA"/>
    <w:rsid w:val="00741650"/>
    <w:rsid w:val="00741759"/>
    <w:rsid w:val="007418D2"/>
    <w:rsid w:val="007418E7"/>
    <w:rsid w:val="00742956"/>
    <w:rsid w:val="00742A9C"/>
    <w:rsid w:val="007439AB"/>
    <w:rsid w:val="00743E79"/>
    <w:rsid w:val="007446AF"/>
    <w:rsid w:val="007449BF"/>
    <w:rsid w:val="00744BB8"/>
    <w:rsid w:val="00745684"/>
    <w:rsid w:val="00745C1F"/>
    <w:rsid w:val="00746495"/>
    <w:rsid w:val="007465BB"/>
    <w:rsid w:val="00746A3F"/>
    <w:rsid w:val="00746BC0"/>
    <w:rsid w:val="00746C6F"/>
    <w:rsid w:val="007471BA"/>
    <w:rsid w:val="007473FF"/>
    <w:rsid w:val="00747E12"/>
    <w:rsid w:val="00750041"/>
    <w:rsid w:val="007510B4"/>
    <w:rsid w:val="0075116C"/>
    <w:rsid w:val="0075187D"/>
    <w:rsid w:val="00751A72"/>
    <w:rsid w:val="00751B85"/>
    <w:rsid w:val="00752142"/>
    <w:rsid w:val="00752283"/>
    <w:rsid w:val="007523F9"/>
    <w:rsid w:val="007527A1"/>
    <w:rsid w:val="00752DD6"/>
    <w:rsid w:val="0075317F"/>
    <w:rsid w:val="007534F8"/>
    <w:rsid w:val="0075357E"/>
    <w:rsid w:val="00754793"/>
    <w:rsid w:val="0075483B"/>
    <w:rsid w:val="00754F46"/>
    <w:rsid w:val="00755062"/>
    <w:rsid w:val="00755F43"/>
    <w:rsid w:val="00756640"/>
    <w:rsid w:val="00756BAA"/>
    <w:rsid w:val="00757197"/>
    <w:rsid w:val="007573E8"/>
    <w:rsid w:val="00757859"/>
    <w:rsid w:val="00757B5F"/>
    <w:rsid w:val="007606C2"/>
    <w:rsid w:val="00760C4E"/>
    <w:rsid w:val="00760E88"/>
    <w:rsid w:val="00760F9E"/>
    <w:rsid w:val="007612FA"/>
    <w:rsid w:val="00762798"/>
    <w:rsid w:val="007627BE"/>
    <w:rsid w:val="00762DC1"/>
    <w:rsid w:val="007635DC"/>
    <w:rsid w:val="00763720"/>
    <w:rsid w:val="0076396D"/>
    <w:rsid w:val="00763FE0"/>
    <w:rsid w:val="00764A22"/>
    <w:rsid w:val="00764F03"/>
    <w:rsid w:val="00765833"/>
    <w:rsid w:val="00765859"/>
    <w:rsid w:val="00765B1A"/>
    <w:rsid w:val="00765D14"/>
    <w:rsid w:val="007665EE"/>
    <w:rsid w:val="00766A2D"/>
    <w:rsid w:val="00766C71"/>
    <w:rsid w:val="00766DC7"/>
    <w:rsid w:val="00766E68"/>
    <w:rsid w:val="00767223"/>
    <w:rsid w:val="007676E2"/>
    <w:rsid w:val="007677ED"/>
    <w:rsid w:val="00770990"/>
    <w:rsid w:val="00770C3E"/>
    <w:rsid w:val="00771011"/>
    <w:rsid w:val="007719E9"/>
    <w:rsid w:val="00771D27"/>
    <w:rsid w:val="00771E4A"/>
    <w:rsid w:val="00772159"/>
    <w:rsid w:val="007727B2"/>
    <w:rsid w:val="007729EC"/>
    <w:rsid w:val="0077303D"/>
    <w:rsid w:val="007742B1"/>
    <w:rsid w:val="00774C61"/>
    <w:rsid w:val="00774C6C"/>
    <w:rsid w:val="007755AC"/>
    <w:rsid w:val="00775FF0"/>
    <w:rsid w:val="00777335"/>
    <w:rsid w:val="007773F5"/>
    <w:rsid w:val="007773FC"/>
    <w:rsid w:val="007802AD"/>
    <w:rsid w:val="007806E1"/>
    <w:rsid w:val="00780DE7"/>
    <w:rsid w:val="00780E50"/>
    <w:rsid w:val="007812D5"/>
    <w:rsid w:val="007821F4"/>
    <w:rsid w:val="00782894"/>
    <w:rsid w:val="007828C3"/>
    <w:rsid w:val="007831FE"/>
    <w:rsid w:val="00783DB3"/>
    <w:rsid w:val="00783DD3"/>
    <w:rsid w:val="0078409F"/>
    <w:rsid w:val="00784102"/>
    <w:rsid w:val="007841EF"/>
    <w:rsid w:val="007843F2"/>
    <w:rsid w:val="00784B11"/>
    <w:rsid w:val="007854BB"/>
    <w:rsid w:val="00785675"/>
    <w:rsid w:val="00785A9F"/>
    <w:rsid w:val="00785E35"/>
    <w:rsid w:val="0078642E"/>
    <w:rsid w:val="00786631"/>
    <w:rsid w:val="007868B6"/>
    <w:rsid w:val="00786909"/>
    <w:rsid w:val="00790794"/>
    <w:rsid w:val="00790A94"/>
    <w:rsid w:val="00791568"/>
    <w:rsid w:val="00792585"/>
    <w:rsid w:val="007925DF"/>
    <w:rsid w:val="00792A1B"/>
    <w:rsid w:val="00795275"/>
    <w:rsid w:val="00796868"/>
    <w:rsid w:val="00796CC6"/>
    <w:rsid w:val="00796D07"/>
    <w:rsid w:val="0079729D"/>
    <w:rsid w:val="00797D21"/>
    <w:rsid w:val="007A08AA"/>
    <w:rsid w:val="007A0A12"/>
    <w:rsid w:val="007A0BF0"/>
    <w:rsid w:val="007A132D"/>
    <w:rsid w:val="007A1345"/>
    <w:rsid w:val="007A1B4F"/>
    <w:rsid w:val="007A1FF7"/>
    <w:rsid w:val="007A234B"/>
    <w:rsid w:val="007A2DDB"/>
    <w:rsid w:val="007A3E0B"/>
    <w:rsid w:val="007A4C4C"/>
    <w:rsid w:val="007A50D6"/>
    <w:rsid w:val="007A56BC"/>
    <w:rsid w:val="007A572A"/>
    <w:rsid w:val="007A58CA"/>
    <w:rsid w:val="007A5F26"/>
    <w:rsid w:val="007A6414"/>
    <w:rsid w:val="007A6B65"/>
    <w:rsid w:val="007A70BA"/>
    <w:rsid w:val="007A7163"/>
    <w:rsid w:val="007A7F1A"/>
    <w:rsid w:val="007B0A4E"/>
    <w:rsid w:val="007B0D68"/>
    <w:rsid w:val="007B1FEA"/>
    <w:rsid w:val="007B24B0"/>
    <w:rsid w:val="007B2518"/>
    <w:rsid w:val="007B251D"/>
    <w:rsid w:val="007B33A0"/>
    <w:rsid w:val="007B3938"/>
    <w:rsid w:val="007B3C2A"/>
    <w:rsid w:val="007B3D29"/>
    <w:rsid w:val="007B4F58"/>
    <w:rsid w:val="007B528D"/>
    <w:rsid w:val="007B57BF"/>
    <w:rsid w:val="007B5975"/>
    <w:rsid w:val="007B5AD8"/>
    <w:rsid w:val="007B63CA"/>
    <w:rsid w:val="007B65BB"/>
    <w:rsid w:val="007B67B1"/>
    <w:rsid w:val="007B6D30"/>
    <w:rsid w:val="007B77D1"/>
    <w:rsid w:val="007B79C0"/>
    <w:rsid w:val="007B7D74"/>
    <w:rsid w:val="007C00BB"/>
    <w:rsid w:val="007C07C7"/>
    <w:rsid w:val="007C0916"/>
    <w:rsid w:val="007C117A"/>
    <w:rsid w:val="007C1752"/>
    <w:rsid w:val="007C1CD9"/>
    <w:rsid w:val="007C1CFA"/>
    <w:rsid w:val="007C210D"/>
    <w:rsid w:val="007C32EF"/>
    <w:rsid w:val="007C33DC"/>
    <w:rsid w:val="007C361D"/>
    <w:rsid w:val="007C42D9"/>
    <w:rsid w:val="007C4492"/>
    <w:rsid w:val="007C4B84"/>
    <w:rsid w:val="007C5145"/>
    <w:rsid w:val="007C5F05"/>
    <w:rsid w:val="007C6CD5"/>
    <w:rsid w:val="007C70FF"/>
    <w:rsid w:val="007C7B12"/>
    <w:rsid w:val="007C7C25"/>
    <w:rsid w:val="007C7FB2"/>
    <w:rsid w:val="007D004F"/>
    <w:rsid w:val="007D0B38"/>
    <w:rsid w:val="007D0C4D"/>
    <w:rsid w:val="007D2110"/>
    <w:rsid w:val="007D2328"/>
    <w:rsid w:val="007D2DCF"/>
    <w:rsid w:val="007D2E49"/>
    <w:rsid w:val="007D356B"/>
    <w:rsid w:val="007D36E4"/>
    <w:rsid w:val="007D3856"/>
    <w:rsid w:val="007D4158"/>
    <w:rsid w:val="007D4B5D"/>
    <w:rsid w:val="007D4FAE"/>
    <w:rsid w:val="007D5440"/>
    <w:rsid w:val="007D5682"/>
    <w:rsid w:val="007D5EED"/>
    <w:rsid w:val="007D673E"/>
    <w:rsid w:val="007D69EB"/>
    <w:rsid w:val="007D70A2"/>
    <w:rsid w:val="007E0091"/>
    <w:rsid w:val="007E0602"/>
    <w:rsid w:val="007E0B17"/>
    <w:rsid w:val="007E128F"/>
    <w:rsid w:val="007E1A11"/>
    <w:rsid w:val="007E1B81"/>
    <w:rsid w:val="007E2183"/>
    <w:rsid w:val="007E293D"/>
    <w:rsid w:val="007E2BAA"/>
    <w:rsid w:val="007E2F62"/>
    <w:rsid w:val="007E4A00"/>
    <w:rsid w:val="007E4B66"/>
    <w:rsid w:val="007E5B61"/>
    <w:rsid w:val="007E6408"/>
    <w:rsid w:val="007E6801"/>
    <w:rsid w:val="007E6A50"/>
    <w:rsid w:val="007E6C25"/>
    <w:rsid w:val="007E79AE"/>
    <w:rsid w:val="007E7AEB"/>
    <w:rsid w:val="007F0064"/>
    <w:rsid w:val="007F0EBC"/>
    <w:rsid w:val="007F1017"/>
    <w:rsid w:val="007F13DA"/>
    <w:rsid w:val="007F1EBD"/>
    <w:rsid w:val="007F2DE6"/>
    <w:rsid w:val="007F3163"/>
    <w:rsid w:val="007F37F4"/>
    <w:rsid w:val="007F380D"/>
    <w:rsid w:val="007F467A"/>
    <w:rsid w:val="007F4A3F"/>
    <w:rsid w:val="007F4A61"/>
    <w:rsid w:val="007F4BC4"/>
    <w:rsid w:val="007F4C58"/>
    <w:rsid w:val="007F5255"/>
    <w:rsid w:val="007F56CC"/>
    <w:rsid w:val="007F59C5"/>
    <w:rsid w:val="007F5E11"/>
    <w:rsid w:val="007F5FA2"/>
    <w:rsid w:val="007F61C2"/>
    <w:rsid w:val="007F6CA7"/>
    <w:rsid w:val="007F6DBA"/>
    <w:rsid w:val="007F7140"/>
    <w:rsid w:val="007F78B8"/>
    <w:rsid w:val="007F7A3E"/>
    <w:rsid w:val="00800A86"/>
    <w:rsid w:val="00800B38"/>
    <w:rsid w:val="00801661"/>
    <w:rsid w:val="00801C31"/>
    <w:rsid w:val="0080293E"/>
    <w:rsid w:val="008029FB"/>
    <w:rsid w:val="00803907"/>
    <w:rsid w:val="00803D12"/>
    <w:rsid w:val="008046A7"/>
    <w:rsid w:val="00804B64"/>
    <w:rsid w:val="00804E0D"/>
    <w:rsid w:val="00805142"/>
    <w:rsid w:val="00805442"/>
    <w:rsid w:val="00805A44"/>
    <w:rsid w:val="00805EA9"/>
    <w:rsid w:val="00805FCE"/>
    <w:rsid w:val="008067EE"/>
    <w:rsid w:val="00806B5B"/>
    <w:rsid w:val="00806FA3"/>
    <w:rsid w:val="008072A8"/>
    <w:rsid w:val="00807A8B"/>
    <w:rsid w:val="00810175"/>
    <w:rsid w:val="00810278"/>
    <w:rsid w:val="00810763"/>
    <w:rsid w:val="00810B39"/>
    <w:rsid w:val="00810FDD"/>
    <w:rsid w:val="0081135A"/>
    <w:rsid w:val="00811383"/>
    <w:rsid w:val="00812149"/>
    <w:rsid w:val="00812BB8"/>
    <w:rsid w:val="00812CAC"/>
    <w:rsid w:val="00813A39"/>
    <w:rsid w:val="00813CCA"/>
    <w:rsid w:val="00814A40"/>
    <w:rsid w:val="00814DE4"/>
    <w:rsid w:val="0081588F"/>
    <w:rsid w:val="00816361"/>
    <w:rsid w:val="008166EF"/>
    <w:rsid w:val="00816AEA"/>
    <w:rsid w:val="00816FEF"/>
    <w:rsid w:val="00817129"/>
    <w:rsid w:val="00820A8C"/>
    <w:rsid w:val="00820E22"/>
    <w:rsid w:val="00821001"/>
    <w:rsid w:val="008215FB"/>
    <w:rsid w:val="00823174"/>
    <w:rsid w:val="00824D67"/>
    <w:rsid w:val="00824DB2"/>
    <w:rsid w:val="008252FF"/>
    <w:rsid w:val="00825751"/>
    <w:rsid w:val="00825B40"/>
    <w:rsid w:val="008264EB"/>
    <w:rsid w:val="008275C0"/>
    <w:rsid w:val="00827B8E"/>
    <w:rsid w:val="00830927"/>
    <w:rsid w:val="00830BBE"/>
    <w:rsid w:val="0083141A"/>
    <w:rsid w:val="00831D41"/>
    <w:rsid w:val="008324C8"/>
    <w:rsid w:val="00832C71"/>
    <w:rsid w:val="0083315E"/>
    <w:rsid w:val="00833A83"/>
    <w:rsid w:val="00833B05"/>
    <w:rsid w:val="00833BFE"/>
    <w:rsid w:val="00833D41"/>
    <w:rsid w:val="00833F15"/>
    <w:rsid w:val="008354AC"/>
    <w:rsid w:val="00835C10"/>
    <w:rsid w:val="00836212"/>
    <w:rsid w:val="00836281"/>
    <w:rsid w:val="008362B4"/>
    <w:rsid w:val="00836354"/>
    <w:rsid w:val="00836426"/>
    <w:rsid w:val="00836671"/>
    <w:rsid w:val="00836F65"/>
    <w:rsid w:val="008372B0"/>
    <w:rsid w:val="008374C4"/>
    <w:rsid w:val="00837A3B"/>
    <w:rsid w:val="00840788"/>
    <w:rsid w:val="0084081B"/>
    <w:rsid w:val="00840C35"/>
    <w:rsid w:val="00840CA2"/>
    <w:rsid w:val="00840CDC"/>
    <w:rsid w:val="00841946"/>
    <w:rsid w:val="00841B30"/>
    <w:rsid w:val="00842986"/>
    <w:rsid w:val="00842B7C"/>
    <w:rsid w:val="00843049"/>
    <w:rsid w:val="008432C4"/>
    <w:rsid w:val="0084374F"/>
    <w:rsid w:val="00843D06"/>
    <w:rsid w:val="00843E86"/>
    <w:rsid w:val="00844543"/>
    <w:rsid w:val="00844A22"/>
    <w:rsid w:val="008460BD"/>
    <w:rsid w:val="00846205"/>
    <w:rsid w:val="00846A9E"/>
    <w:rsid w:val="00847494"/>
    <w:rsid w:val="00847508"/>
    <w:rsid w:val="00847703"/>
    <w:rsid w:val="00847DF5"/>
    <w:rsid w:val="008501D3"/>
    <w:rsid w:val="00851521"/>
    <w:rsid w:val="008515FD"/>
    <w:rsid w:val="00851EA8"/>
    <w:rsid w:val="00852755"/>
    <w:rsid w:val="00852A41"/>
    <w:rsid w:val="0085309D"/>
    <w:rsid w:val="00853725"/>
    <w:rsid w:val="00853FFF"/>
    <w:rsid w:val="008546D2"/>
    <w:rsid w:val="008547ED"/>
    <w:rsid w:val="00854A6C"/>
    <w:rsid w:val="00855804"/>
    <w:rsid w:val="00855B84"/>
    <w:rsid w:val="00855FD1"/>
    <w:rsid w:val="00856897"/>
    <w:rsid w:val="00856A04"/>
    <w:rsid w:val="00856E9A"/>
    <w:rsid w:val="0086075D"/>
    <w:rsid w:val="00861016"/>
    <w:rsid w:val="00861036"/>
    <w:rsid w:val="00861D09"/>
    <w:rsid w:val="008621F4"/>
    <w:rsid w:val="00862502"/>
    <w:rsid w:val="008626E0"/>
    <w:rsid w:val="00862954"/>
    <w:rsid w:val="00862ABF"/>
    <w:rsid w:val="00862CC1"/>
    <w:rsid w:val="0086333B"/>
    <w:rsid w:val="00863BB9"/>
    <w:rsid w:val="00864263"/>
    <w:rsid w:val="008642FE"/>
    <w:rsid w:val="008660D4"/>
    <w:rsid w:val="00866603"/>
    <w:rsid w:val="00866A1C"/>
    <w:rsid w:val="0086735B"/>
    <w:rsid w:val="00867B29"/>
    <w:rsid w:val="0087027E"/>
    <w:rsid w:val="008706B2"/>
    <w:rsid w:val="00870755"/>
    <w:rsid w:val="00870C0D"/>
    <w:rsid w:val="00871C74"/>
    <w:rsid w:val="00871D7D"/>
    <w:rsid w:val="00871DE2"/>
    <w:rsid w:val="00871E05"/>
    <w:rsid w:val="00871FA9"/>
    <w:rsid w:val="008727B3"/>
    <w:rsid w:val="008728E9"/>
    <w:rsid w:val="0087298D"/>
    <w:rsid w:val="00872BA1"/>
    <w:rsid w:val="00873139"/>
    <w:rsid w:val="00873670"/>
    <w:rsid w:val="0087376D"/>
    <w:rsid w:val="00874028"/>
    <w:rsid w:val="0087459E"/>
    <w:rsid w:val="008747ED"/>
    <w:rsid w:val="00875AF5"/>
    <w:rsid w:val="00875F7B"/>
    <w:rsid w:val="008765AD"/>
    <w:rsid w:val="008771C1"/>
    <w:rsid w:val="00877ADC"/>
    <w:rsid w:val="00877B27"/>
    <w:rsid w:val="0088045A"/>
    <w:rsid w:val="00880EFC"/>
    <w:rsid w:val="00881461"/>
    <w:rsid w:val="00882809"/>
    <w:rsid w:val="00882874"/>
    <w:rsid w:val="0088287D"/>
    <w:rsid w:val="00882E3C"/>
    <w:rsid w:val="00883205"/>
    <w:rsid w:val="00883787"/>
    <w:rsid w:val="00883AAE"/>
    <w:rsid w:val="00883B68"/>
    <w:rsid w:val="00883FA1"/>
    <w:rsid w:val="00884CD4"/>
    <w:rsid w:val="008855E4"/>
    <w:rsid w:val="0088581D"/>
    <w:rsid w:val="00885ACB"/>
    <w:rsid w:val="00885FE4"/>
    <w:rsid w:val="00886A9D"/>
    <w:rsid w:val="00886C08"/>
    <w:rsid w:val="00886CD2"/>
    <w:rsid w:val="008879A7"/>
    <w:rsid w:val="00890BD5"/>
    <w:rsid w:val="008911AA"/>
    <w:rsid w:val="00891288"/>
    <w:rsid w:val="008913D9"/>
    <w:rsid w:val="00891511"/>
    <w:rsid w:val="00891626"/>
    <w:rsid w:val="00891730"/>
    <w:rsid w:val="00891CE7"/>
    <w:rsid w:val="00891E6F"/>
    <w:rsid w:val="00892637"/>
    <w:rsid w:val="0089275D"/>
    <w:rsid w:val="00892A36"/>
    <w:rsid w:val="00893239"/>
    <w:rsid w:val="00893451"/>
    <w:rsid w:val="00894489"/>
    <w:rsid w:val="00894B83"/>
    <w:rsid w:val="008955FB"/>
    <w:rsid w:val="00895805"/>
    <w:rsid w:val="00895BB4"/>
    <w:rsid w:val="00895E49"/>
    <w:rsid w:val="008963A5"/>
    <w:rsid w:val="008967D2"/>
    <w:rsid w:val="00896D5D"/>
    <w:rsid w:val="008A07CA"/>
    <w:rsid w:val="008A094B"/>
    <w:rsid w:val="008A0ACA"/>
    <w:rsid w:val="008A0EBF"/>
    <w:rsid w:val="008A1729"/>
    <w:rsid w:val="008A257E"/>
    <w:rsid w:val="008A30CA"/>
    <w:rsid w:val="008A3363"/>
    <w:rsid w:val="008A3371"/>
    <w:rsid w:val="008A3410"/>
    <w:rsid w:val="008A3512"/>
    <w:rsid w:val="008A3C3E"/>
    <w:rsid w:val="008A4203"/>
    <w:rsid w:val="008A4C30"/>
    <w:rsid w:val="008A5384"/>
    <w:rsid w:val="008A660C"/>
    <w:rsid w:val="008A66C5"/>
    <w:rsid w:val="008A7956"/>
    <w:rsid w:val="008A79DE"/>
    <w:rsid w:val="008A7C33"/>
    <w:rsid w:val="008A7D38"/>
    <w:rsid w:val="008B0417"/>
    <w:rsid w:val="008B10AC"/>
    <w:rsid w:val="008B15AC"/>
    <w:rsid w:val="008B1757"/>
    <w:rsid w:val="008B32B4"/>
    <w:rsid w:val="008B3E0F"/>
    <w:rsid w:val="008B45DC"/>
    <w:rsid w:val="008B4AB3"/>
    <w:rsid w:val="008B4BB4"/>
    <w:rsid w:val="008B5347"/>
    <w:rsid w:val="008B58C8"/>
    <w:rsid w:val="008B6A70"/>
    <w:rsid w:val="008B6A89"/>
    <w:rsid w:val="008B7039"/>
    <w:rsid w:val="008B7530"/>
    <w:rsid w:val="008B7887"/>
    <w:rsid w:val="008B7992"/>
    <w:rsid w:val="008B7A32"/>
    <w:rsid w:val="008B7D7E"/>
    <w:rsid w:val="008C0B71"/>
    <w:rsid w:val="008C0F86"/>
    <w:rsid w:val="008C11C0"/>
    <w:rsid w:val="008C12BB"/>
    <w:rsid w:val="008C1801"/>
    <w:rsid w:val="008C27FC"/>
    <w:rsid w:val="008C2938"/>
    <w:rsid w:val="008C4E51"/>
    <w:rsid w:val="008C5610"/>
    <w:rsid w:val="008C5739"/>
    <w:rsid w:val="008C5FE4"/>
    <w:rsid w:val="008C6B09"/>
    <w:rsid w:val="008C6B24"/>
    <w:rsid w:val="008C79C6"/>
    <w:rsid w:val="008C7ECB"/>
    <w:rsid w:val="008D0231"/>
    <w:rsid w:val="008D046E"/>
    <w:rsid w:val="008D0CDD"/>
    <w:rsid w:val="008D197E"/>
    <w:rsid w:val="008D1AF0"/>
    <w:rsid w:val="008D1B30"/>
    <w:rsid w:val="008D2DE4"/>
    <w:rsid w:val="008D3236"/>
    <w:rsid w:val="008D35EB"/>
    <w:rsid w:val="008D3778"/>
    <w:rsid w:val="008D3A5F"/>
    <w:rsid w:val="008D3B2E"/>
    <w:rsid w:val="008D3B86"/>
    <w:rsid w:val="008D3C9C"/>
    <w:rsid w:val="008D3CDB"/>
    <w:rsid w:val="008D4487"/>
    <w:rsid w:val="008D4755"/>
    <w:rsid w:val="008D4C3D"/>
    <w:rsid w:val="008D4D31"/>
    <w:rsid w:val="008D4E66"/>
    <w:rsid w:val="008D4F33"/>
    <w:rsid w:val="008D52F2"/>
    <w:rsid w:val="008D5515"/>
    <w:rsid w:val="008D5706"/>
    <w:rsid w:val="008D743C"/>
    <w:rsid w:val="008D7D7D"/>
    <w:rsid w:val="008E0D3C"/>
    <w:rsid w:val="008E1B9E"/>
    <w:rsid w:val="008E21F5"/>
    <w:rsid w:val="008E279B"/>
    <w:rsid w:val="008E342C"/>
    <w:rsid w:val="008E3806"/>
    <w:rsid w:val="008E3922"/>
    <w:rsid w:val="008E445E"/>
    <w:rsid w:val="008E5359"/>
    <w:rsid w:val="008E536F"/>
    <w:rsid w:val="008E551B"/>
    <w:rsid w:val="008E55AB"/>
    <w:rsid w:val="008E5AD2"/>
    <w:rsid w:val="008E5BE9"/>
    <w:rsid w:val="008E67A5"/>
    <w:rsid w:val="008E6CA5"/>
    <w:rsid w:val="008E742D"/>
    <w:rsid w:val="008E7859"/>
    <w:rsid w:val="008F00A3"/>
    <w:rsid w:val="008F00FA"/>
    <w:rsid w:val="008F0600"/>
    <w:rsid w:val="008F0744"/>
    <w:rsid w:val="008F0A57"/>
    <w:rsid w:val="008F120A"/>
    <w:rsid w:val="008F1CE3"/>
    <w:rsid w:val="008F27E0"/>
    <w:rsid w:val="008F3395"/>
    <w:rsid w:val="008F3C91"/>
    <w:rsid w:val="008F48EB"/>
    <w:rsid w:val="008F4B86"/>
    <w:rsid w:val="008F4DA8"/>
    <w:rsid w:val="008F4F0B"/>
    <w:rsid w:val="008F64E6"/>
    <w:rsid w:val="008F66CA"/>
    <w:rsid w:val="008F6928"/>
    <w:rsid w:val="008F73EC"/>
    <w:rsid w:val="00900C17"/>
    <w:rsid w:val="00900C27"/>
    <w:rsid w:val="00900F97"/>
    <w:rsid w:val="009010C6"/>
    <w:rsid w:val="00901120"/>
    <w:rsid w:val="009014C2"/>
    <w:rsid w:val="009019FF"/>
    <w:rsid w:val="00901A36"/>
    <w:rsid w:val="00901C57"/>
    <w:rsid w:val="009026D9"/>
    <w:rsid w:val="009031CB"/>
    <w:rsid w:val="0090372E"/>
    <w:rsid w:val="009037F3"/>
    <w:rsid w:val="00904406"/>
    <w:rsid w:val="009046C4"/>
    <w:rsid w:val="009047D6"/>
    <w:rsid w:val="009055A2"/>
    <w:rsid w:val="00905BA7"/>
    <w:rsid w:val="00905DE3"/>
    <w:rsid w:val="009062A5"/>
    <w:rsid w:val="00907115"/>
    <w:rsid w:val="0091085E"/>
    <w:rsid w:val="00910FA7"/>
    <w:rsid w:val="00911272"/>
    <w:rsid w:val="009135D6"/>
    <w:rsid w:val="0091366E"/>
    <w:rsid w:val="00913878"/>
    <w:rsid w:val="0091480B"/>
    <w:rsid w:val="00914C77"/>
    <w:rsid w:val="00915159"/>
    <w:rsid w:val="00915353"/>
    <w:rsid w:val="00915D5D"/>
    <w:rsid w:val="0091606D"/>
    <w:rsid w:val="00916DB2"/>
    <w:rsid w:val="009177BA"/>
    <w:rsid w:val="00917A8C"/>
    <w:rsid w:val="00917F0D"/>
    <w:rsid w:val="00920039"/>
    <w:rsid w:val="009209DB"/>
    <w:rsid w:val="00921083"/>
    <w:rsid w:val="0092138C"/>
    <w:rsid w:val="00921946"/>
    <w:rsid w:val="00921ACB"/>
    <w:rsid w:val="00921DDA"/>
    <w:rsid w:val="009226EB"/>
    <w:rsid w:val="00922E44"/>
    <w:rsid w:val="0092369B"/>
    <w:rsid w:val="00923763"/>
    <w:rsid w:val="009237E9"/>
    <w:rsid w:val="009238FE"/>
    <w:rsid w:val="0092407B"/>
    <w:rsid w:val="00924D80"/>
    <w:rsid w:val="00925101"/>
    <w:rsid w:val="00925297"/>
    <w:rsid w:val="009252FE"/>
    <w:rsid w:val="00927603"/>
    <w:rsid w:val="00927B53"/>
    <w:rsid w:val="009308C3"/>
    <w:rsid w:val="00930C25"/>
    <w:rsid w:val="00930F11"/>
    <w:rsid w:val="00931CB3"/>
    <w:rsid w:val="009320A7"/>
    <w:rsid w:val="009324DA"/>
    <w:rsid w:val="00932EA2"/>
    <w:rsid w:val="0093453A"/>
    <w:rsid w:val="00934988"/>
    <w:rsid w:val="009361B0"/>
    <w:rsid w:val="00936F3C"/>
    <w:rsid w:val="00936F49"/>
    <w:rsid w:val="00937089"/>
    <w:rsid w:val="00937153"/>
    <w:rsid w:val="009373EC"/>
    <w:rsid w:val="0093753F"/>
    <w:rsid w:val="00937E7F"/>
    <w:rsid w:val="0094057D"/>
    <w:rsid w:val="009408F5"/>
    <w:rsid w:val="00940A22"/>
    <w:rsid w:val="00940C48"/>
    <w:rsid w:val="009413B8"/>
    <w:rsid w:val="009431BF"/>
    <w:rsid w:val="009441E9"/>
    <w:rsid w:val="009447A9"/>
    <w:rsid w:val="00944EAD"/>
    <w:rsid w:val="00944F8A"/>
    <w:rsid w:val="009455CD"/>
    <w:rsid w:val="00946013"/>
    <w:rsid w:val="009466A1"/>
    <w:rsid w:val="00947F44"/>
    <w:rsid w:val="00950384"/>
    <w:rsid w:val="00950A09"/>
    <w:rsid w:val="009510A2"/>
    <w:rsid w:val="00952371"/>
    <w:rsid w:val="00952573"/>
    <w:rsid w:val="009529AE"/>
    <w:rsid w:val="00953247"/>
    <w:rsid w:val="00953257"/>
    <w:rsid w:val="009535E6"/>
    <w:rsid w:val="00953AF6"/>
    <w:rsid w:val="00953BE2"/>
    <w:rsid w:val="00953E31"/>
    <w:rsid w:val="0095474C"/>
    <w:rsid w:val="0095498C"/>
    <w:rsid w:val="009549B5"/>
    <w:rsid w:val="00954BB4"/>
    <w:rsid w:val="00955D95"/>
    <w:rsid w:val="00955E67"/>
    <w:rsid w:val="00955FAB"/>
    <w:rsid w:val="00956583"/>
    <w:rsid w:val="00960506"/>
    <w:rsid w:val="00960E67"/>
    <w:rsid w:val="00960EA0"/>
    <w:rsid w:val="00961A99"/>
    <w:rsid w:val="00961E78"/>
    <w:rsid w:val="009621F0"/>
    <w:rsid w:val="00962886"/>
    <w:rsid w:val="00962CB9"/>
    <w:rsid w:val="00962D77"/>
    <w:rsid w:val="009636C9"/>
    <w:rsid w:val="00963B60"/>
    <w:rsid w:val="00964312"/>
    <w:rsid w:val="009643E4"/>
    <w:rsid w:val="00964EC6"/>
    <w:rsid w:val="00965331"/>
    <w:rsid w:val="00965B8A"/>
    <w:rsid w:val="00965F69"/>
    <w:rsid w:val="009665F8"/>
    <w:rsid w:val="00966728"/>
    <w:rsid w:val="00966B19"/>
    <w:rsid w:val="00967C10"/>
    <w:rsid w:val="00967D4D"/>
    <w:rsid w:val="00970598"/>
    <w:rsid w:val="009705D9"/>
    <w:rsid w:val="0097071F"/>
    <w:rsid w:val="00970876"/>
    <w:rsid w:val="009717AC"/>
    <w:rsid w:val="009719DC"/>
    <w:rsid w:val="00971CAE"/>
    <w:rsid w:val="0097291D"/>
    <w:rsid w:val="00973133"/>
    <w:rsid w:val="009733C6"/>
    <w:rsid w:val="009738F2"/>
    <w:rsid w:val="009739E2"/>
    <w:rsid w:val="00973D66"/>
    <w:rsid w:val="009750D5"/>
    <w:rsid w:val="009751C1"/>
    <w:rsid w:val="00975597"/>
    <w:rsid w:val="0097571E"/>
    <w:rsid w:val="00975B9F"/>
    <w:rsid w:val="00976D76"/>
    <w:rsid w:val="00977168"/>
    <w:rsid w:val="0097738B"/>
    <w:rsid w:val="009803BC"/>
    <w:rsid w:val="009811F1"/>
    <w:rsid w:val="0098142A"/>
    <w:rsid w:val="009816DC"/>
    <w:rsid w:val="00981AE7"/>
    <w:rsid w:val="00981F2D"/>
    <w:rsid w:val="009825A3"/>
    <w:rsid w:val="009829EA"/>
    <w:rsid w:val="00982A6E"/>
    <w:rsid w:val="00982E78"/>
    <w:rsid w:val="0098352D"/>
    <w:rsid w:val="00983E57"/>
    <w:rsid w:val="0098443D"/>
    <w:rsid w:val="00985293"/>
    <w:rsid w:val="00985DE2"/>
    <w:rsid w:val="0098675D"/>
    <w:rsid w:val="00986A73"/>
    <w:rsid w:val="00986EA8"/>
    <w:rsid w:val="00987E69"/>
    <w:rsid w:val="00990500"/>
    <w:rsid w:val="00991046"/>
    <w:rsid w:val="00991409"/>
    <w:rsid w:val="009916C6"/>
    <w:rsid w:val="00991841"/>
    <w:rsid w:val="00991AB0"/>
    <w:rsid w:val="00991C34"/>
    <w:rsid w:val="00991D9F"/>
    <w:rsid w:val="009926E0"/>
    <w:rsid w:val="00992A69"/>
    <w:rsid w:val="00993671"/>
    <w:rsid w:val="0099384E"/>
    <w:rsid w:val="009944D9"/>
    <w:rsid w:val="0099451E"/>
    <w:rsid w:val="00994DEA"/>
    <w:rsid w:val="00995481"/>
    <w:rsid w:val="00996B1A"/>
    <w:rsid w:val="009A02B8"/>
    <w:rsid w:val="009A131F"/>
    <w:rsid w:val="009A13A9"/>
    <w:rsid w:val="009A16C1"/>
    <w:rsid w:val="009A2C0A"/>
    <w:rsid w:val="009A2DCC"/>
    <w:rsid w:val="009A31A8"/>
    <w:rsid w:val="009A3F0B"/>
    <w:rsid w:val="009A40A5"/>
    <w:rsid w:val="009A428F"/>
    <w:rsid w:val="009A4449"/>
    <w:rsid w:val="009A4D9F"/>
    <w:rsid w:val="009A56F2"/>
    <w:rsid w:val="009A5ABC"/>
    <w:rsid w:val="009A6418"/>
    <w:rsid w:val="009A6FD4"/>
    <w:rsid w:val="009A713B"/>
    <w:rsid w:val="009A7D25"/>
    <w:rsid w:val="009A7F10"/>
    <w:rsid w:val="009B064B"/>
    <w:rsid w:val="009B23F7"/>
    <w:rsid w:val="009B2655"/>
    <w:rsid w:val="009B2A9B"/>
    <w:rsid w:val="009B3CBD"/>
    <w:rsid w:val="009B3E26"/>
    <w:rsid w:val="009B4483"/>
    <w:rsid w:val="009B44DF"/>
    <w:rsid w:val="009B52B9"/>
    <w:rsid w:val="009B70B7"/>
    <w:rsid w:val="009B7D64"/>
    <w:rsid w:val="009C0A78"/>
    <w:rsid w:val="009C0C63"/>
    <w:rsid w:val="009C0E6C"/>
    <w:rsid w:val="009C0F01"/>
    <w:rsid w:val="009C0F40"/>
    <w:rsid w:val="009C137D"/>
    <w:rsid w:val="009C18D6"/>
    <w:rsid w:val="009C224E"/>
    <w:rsid w:val="009C2696"/>
    <w:rsid w:val="009C27E2"/>
    <w:rsid w:val="009C2EA0"/>
    <w:rsid w:val="009C3706"/>
    <w:rsid w:val="009C37C0"/>
    <w:rsid w:val="009C3A3A"/>
    <w:rsid w:val="009C3EC8"/>
    <w:rsid w:val="009C49A0"/>
    <w:rsid w:val="009C571D"/>
    <w:rsid w:val="009C5738"/>
    <w:rsid w:val="009C5835"/>
    <w:rsid w:val="009C6B2C"/>
    <w:rsid w:val="009C6CEA"/>
    <w:rsid w:val="009C6F83"/>
    <w:rsid w:val="009C7B85"/>
    <w:rsid w:val="009C7B9E"/>
    <w:rsid w:val="009C7E04"/>
    <w:rsid w:val="009D0138"/>
    <w:rsid w:val="009D0254"/>
    <w:rsid w:val="009D0DEF"/>
    <w:rsid w:val="009D0E02"/>
    <w:rsid w:val="009D10B5"/>
    <w:rsid w:val="009D18E8"/>
    <w:rsid w:val="009D1A64"/>
    <w:rsid w:val="009D1DF2"/>
    <w:rsid w:val="009D27DF"/>
    <w:rsid w:val="009D4387"/>
    <w:rsid w:val="009D4614"/>
    <w:rsid w:val="009D484B"/>
    <w:rsid w:val="009D5219"/>
    <w:rsid w:val="009D597F"/>
    <w:rsid w:val="009D5B91"/>
    <w:rsid w:val="009D70A8"/>
    <w:rsid w:val="009D7635"/>
    <w:rsid w:val="009D792E"/>
    <w:rsid w:val="009D7BF8"/>
    <w:rsid w:val="009D7C36"/>
    <w:rsid w:val="009E0B69"/>
    <w:rsid w:val="009E0DFE"/>
    <w:rsid w:val="009E1305"/>
    <w:rsid w:val="009E168F"/>
    <w:rsid w:val="009E20BC"/>
    <w:rsid w:val="009E23AA"/>
    <w:rsid w:val="009E23DA"/>
    <w:rsid w:val="009E2750"/>
    <w:rsid w:val="009E31F6"/>
    <w:rsid w:val="009E38C1"/>
    <w:rsid w:val="009E4C07"/>
    <w:rsid w:val="009E5071"/>
    <w:rsid w:val="009E55B2"/>
    <w:rsid w:val="009E6546"/>
    <w:rsid w:val="009E6D97"/>
    <w:rsid w:val="009E6EEE"/>
    <w:rsid w:val="009F031C"/>
    <w:rsid w:val="009F0755"/>
    <w:rsid w:val="009F09DA"/>
    <w:rsid w:val="009F0DA6"/>
    <w:rsid w:val="009F12B7"/>
    <w:rsid w:val="009F18C6"/>
    <w:rsid w:val="009F19B8"/>
    <w:rsid w:val="009F212C"/>
    <w:rsid w:val="009F384C"/>
    <w:rsid w:val="009F3AF3"/>
    <w:rsid w:val="009F40B7"/>
    <w:rsid w:val="009F4171"/>
    <w:rsid w:val="009F45CB"/>
    <w:rsid w:val="009F5D33"/>
    <w:rsid w:val="009F67C9"/>
    <w:rsid w:val="009F6B15"/>
    <w:rsid w:val="009F6E49"/>
    <w:rsid w:val="009F6F01"/>
    <w:rsid w:val="009F770D"/>
    <w:rsid w:val="009F773F"/>
    <w:rsid w:val="00A00797"/>
    <w:rsid w:val="00A01184"/>
    <w:rsid w:val="00A01838"/>
    <w:rsid w:val="00A01FD3"/>
    <w:rsid w:val="00A02035"/>
    <w:rsid w:val="00A024B4"/>
    <w:rsid w:val="00A025D0"/>
    <w:rsid w:val="00A029E3"/>
    <w:rsid w:val="00A03635"/>
    <w:rsid w:val="00A037C2"/>
    <w:rsid w:val="00A03C2D"/>
    <w:rsid w:val="00A03D43"/>
    <w:rsid w:val="00A04380"/>
    <w:rsid w:val="00A046E6"/>
    <w:rsid w:val="00A04812"/>
    <w:rsid w:val="00A04C76"/>
    <w:rsid w:val="00A05472"/>
    <w:rsid w:val="00A054CB"/>
    <w:rsid w:val="00A05800"/>
    <w:rsid w:val="00A059D1"/>
    <w:rsid w:val="00A05BDE"/>
    <w:rsid w:val="00A05C32"/>
    <w:rsid w:val="00A05D7E"/>
    <w:rsid w:val="00A0653F"/>
    <w:rsid w:val="00A06782"/>
    <w:rsid w:val="00A06A9E"/>
    <w:rsid w:val="00A07E7F"/>
    <w:rsid w:val="00A1063E"/>
    <w:rsid w:val="00A10774"/>
    <w:rsid w:val="00A10BBF"/>
    <w:rsid w:val="00A10F71"/>
    <w:rsid w:val="00A1142A"/>
    <w:rsid w:val="00A11667"/>
    <w:rsid w:val="00A11CD0"/>
    <w:rsid w:val="00A121E4"/>
    <w:rsid w:val="00A12914"/>
    <w:rsid w:val="00A12DBA"/>
    <w:rsid w:val="00A130C6"/>
    <w:rsid w:val="00A130F1"/>
    <w:rsid w:val="00A13467"/>
    <w:rsid w:val="00A13948"/>
    <w:rsid w:val="00A1396F"/>
    <w:rsid w:val="00A13F31"/>
    <w:rsid w:val="00A143C6"/>
    <w:rsid w:val="00A14745"/>
    <w:rsid w:val="00A14885"/>
    <w:rsid w:val="00A1520A"/>
    <w:rsid w:val="00A1555B"/>
    <w:rsid w:val="00A155C5"/>
    <w:rsid w:val="00A15CEF"/>
    <w:rsid w:val="00A167AC"/>
    <w:rsid w:val="00A16AC3"/>
    <w:rsid w:val="00A16AD8"/>
    <w:rsid w:val="00A16B56"/>
    <w:rsid w:val="00A16BB2"/>
    <w:rsid w:val="00A16F52"/>
    <w:rsid w:val="00A17567"/>
    <w:rsid w:val="00A17805"/>
    <w:rsid w:val="00A17B2D"/>
    <w:rsid w:val="00A17E7A"/>
    <w:rsid w:val="00A20751"/>
    <w:rsid w:val="00A20961"/>
    <w:rsid w:val="00A2185A"/>
    <w:rsid w:val="00A219DE"/>
    <w:rsid w:val="00A21C95"/>
    <w:rsid w:val="00A21CF3"/>
    <w:rsid w:val="00A22A38"/>
    <w:rsid w:val="00A231BA"/>
    <w:rsid w:val="00A2328F"/>
    <w:rsid w:val="00A244CB"/>
    <w:rsid w:val="00A24813"/>
    <w:rsid w:val="00A254FC"/>
    <w:rsid w:val="00A25543"/>
    <w:rsid w:val="00A25AB2"/>
    <w:rsid w:val="00A25EC4"/>
    <w:rsid w:val="00A264CF"/>
    <w:rsid w:val="00A26F71"/>
    <w:rsid w:val="00A27AEC"/>
    <w:rsid w:val="00A317B4"/>
    <w:rsid w:val="00A31854"/>
    <w:rsid w:val="00A31942"/>
    <w:rsid w:val="00A31ACE"/>
    <w:rsid w:val="00A31E02"/>
    <w:rsid w:val="00A320DB"/>
    <w:rsid w:val="00A346DB"/>
    <w:rsid w:val="00A34972"/>
    <w:rsid w:val="00A34E80"/>
    <w:rsid w:val="00A3503E"/>
    <w:rsid w:val="00A3517D"/>
    <w:rsid w:val="00A35D16"/>
    <w:rsid w:val="00A35E79"/>
    <w:rsid w:val="00A36941"/>
    <w:rsid w:val="00A36946"/>
    <w:rsid w:val="00A37222"/>
    <w:rsid w:val="00A37605"/>
    <w:rsid w:val="00A37BCD"/>
    <w:rsid w:val="00A41689"/>
    <w:rsid w:val="00A419C6"/>
    <w:rsid w:val="00A422E2"/>
    <w:rsid w:val="00A42592"/>
    <w:rsid w:val="00A42806"/>
    <w:rsid w:val="00A4283E"/>
    <w:rsid w:val="00A42C0D"/>
    <w:rsid w:val="00A42F29"/>
    <w:rsid w:val="00A43350"/>
    <w:rsid w:val="00A434F8"/>
    <w:rsid w:val="00A439C1"/>
    <w:rsid w:val="00A43C59"/>
    <w:rsid w:val="00A44A80"/>
    <w:rsid w:val="00A44C98"/>
    <w:rsid w:val="00A44CA8"/>
    <w:rsid w:val="00A454C3"/>
    <w:rsid w:val="00A466BB"/>
    <w:rsid w:val="00A46A57"/>
    <w:rsid w:val="00A46EDD"/>
    <w:rsid w:val="00A47471"/>
    <w:rsid w:val="00A47C94"/>
    <w:rsid w:val="00A50B19"/>
    <w:rsid w:val="00A50CB3"/>
    <w:rsid w:val="00A50ECD"/>
    <w:rsid w:val="00A510C0"/>
    <w:rsid w:val="00A51358"/>
    <w:rsid w:val="00A51398"/>
    <w:rsid w:val="00A51407"/>
    <w:rsid w:val="00A518F3"/>
    <w:rsid w:val="00A51B07"/>
    <w:rsid w:val="00A52729"/>
    <w:rsid w:val="00A53132"/>
    <w:rsid w:val="00A53675"/>
    <w:rsid w:val="00A53BA9"/>
    <w:rsid w:val="00A5597C"/>
    <w:rsid w:val="00A56368"/>
    <w:rsid w:val="00A564D7"/>
    <w:rsid w:val="00A569DC"/>
    <w:rsid w:val="00A56AF6"/>
    <w:rsid w:val="00A56B6A"/>
    <w:rsid w:val="00A56DA3"/>
    <w:rsid w:val="00A5776D"/>
    <w:rsid w:val="00A578DC"/>
    <w:rsid w:val="00A57D4F"/>
    <w:rsid w:val="00A604AA"/>
    <w:rsid w:val="00A61659"/>
    <w:rsid w:val="00A61AE9"/>
    <w:rsid w:val="00A6244D"/>
    <w:rsid w:val="00A6253A"/>
    <w:rsid w:val="00A62A8B"/>
    <w:rsid w:val="00A6382F"/>
    <w:rsid w:val="00A63957"/>
    <w:rsid w:val="00A64028"/>
    <w:rsid w:val="00A640E2"/>
    <w:rsid w:val="00A64698"/>
    <w:rsid w:val="00A64908"/>
    <w:rsid w:val="00A649E5"/>
    <w:rsid w:val="00A64B42"/>
    <w:rsid w:val="00A64D65"/>
    <w:rsid w:val="00A64FCB"/>
    <w:rsid w:val="00A65B37"/>
    <w:rsid w:val="00A65B81"/>
    <w:rsid w:val="00A65F90"/>
    <w:rsid w:val="00A66284"/>
    <w:rsid w:val="00A66E75"/>
    <w:rsid w:val="00A6725B"/>
    <w:rsid w:val="00A672A6"/>
    <w:rsid w:val="00A675A3"/>
    <w:rsid w:val="00A67FB5"/>
    <w:rsid w:val="00A70067"/>
    <w:rsid w:val="00A700DB"/>
    <w:rsid w:val="00A7038F"/>
    <w:rsid w:val="00A704F2"/>
    <w:rsid w:val="00A7051C"/>
    <w:rsid w:val="00A70605"/>
    <w:rsid w:val="00A70C61"/>
    <w:rsid w:val="00A70C84"/>
    <w:rsid w:val="00A711D0"/>
    <w:rsid w:val="00A71403"/>
    <w:rsid w:val="00A718A7"/>
    <w:rsid w:val="00A71E38"/>
    <w:rsid w:val="00A72194"/>
    <w:rsid w:val="00A73118"/>
    <w:rsid w:val="00A73134"/>
    <w:rsid w:val="00A73435"/>
    <w:rsid w:val="00A73484"/>
    <w:rsid w:val="00A73DD6"/>
    <w:rsid w:val="00A73E94"/>
    <w:rsid w:val="00A74D53"/>
    <w:rsid w:val="00A74F3E"/>
    <w:rsid w:val="00A75509"/>
    <w:rsid w:val="00A76001"/>
    <w:rsid w:val="00A763AD"/>
    <w:rsid w:val="00A777B2"/>
    <w:rsid w:val="00A77CF5"/>
    <w:rsid w:val="00A77DB4"/>
    <w:rsid w:val="00A8027D"/>
    <w:rsid w:val="00A80669"/>
    <w:rsid w:val="00A8078A"/>
    <w:rsid w:val="00A80993"/>
    <w:rsid w:val="00A810E9"/>
    <w:rsid w:val="00A8149E"/>
    <w:rsid w:val="00A82400"/>
    <w:rsid w:val="00A82521"/>
    <w:rsid w:val="00A825D4"/>
    <w:rsid w:val="00A828F6"/>
    <w:rsid w:val="00A82B73"/>
    <w:rsid w:val="00A82E80"/>
    <w:rsid w:val="00A8329A"/>
    <w:rsid w:val="00A83B13"/>
    <w:rsid w:val="00A83F06"/>
    <w:rsid w:val="00A845CC"/>
    <w:rsid w:val="00A84723"/>
    <w:rsid w:val="00A84D23"/>
    <w:rsid w:val="00A852A9"/>
    <w:rsid w:val="00A85D65"/>
    <w:rsid w:val="00A86870"/>
    <w:rsid w:val="00A86E8B"/>
    <w:rsid w:val="00A870A5"/>
    <w:rsid w:val="00A87164"/>
    <w:rsid w:val="00A87A3E"/>
    <w:rsid w:val="00A87D48"/>
    <w:rsid w:val="00A90D47"/>
    <w:rsid w:val="00A9165B"/>
    <w:rsid w:val="00A91BE1"/>
    <w:rsid w:val="00A92B2C"/>
    <w:rsid w:val="00A93072"/>
    <w:rsid w:val="00A935FA"/>
    <w:rsid w:val="00A93680"/>
    <w:rsid w:val="00A938BD"/>
    <w:rsid w:val="00A93953"/>
    <w:rsid w:val="00A93A5A"/>
    <w:rsid w:val="00A94BDC"/>
    <w:rsid w:val="00A959D8"/>
    <w:rsid w:val="00A95CDE"/>
    <w:rsid w:val="00A96633"/>
    <w:rsid w:val="00A978A9"/>
    <w:rsid w:val="00AA062F"/>
    <w:rsid w:val="00AA07E5"/>
    <w:rsid w:val="00AA113D"/>
    <w:rsid w:val="00AA11D4"/>
    <w:rsid w:val="00AA2E53"/>
    <w:rsid w:val="00AA308A"/>
    <w:rsid w:val="00AA43FE"/>
    <w:rsid w:val="00AA4D8D"/>
    <w:rsid w:val="00AA5869"/>
    <w:rsid w:val="00AA6BD5"/>
    <w:rsid w:val="00AA6BD8"/>
    <w:rsid w:val="00AA6C7D"/>
    <w:rsid w:val="00AA7913"/>
    <w:rsid w:val="00AA7FD6"/>
    <w:rsid w:val="00AB042A"/>
    <w:rsid w:val="00AB157F"/>
    <w:rsid w:val="00AB19EF"/>
    <w:rsid w:val="00AB2C17"/>
    <w:rsid w:val="00AB2D34"/>
    <w:rsid w:val="00AB32A3"/>
    <w:rsid w:val="00AB3430"/>
    <w:rsid w:val="00AB37B9"/>
    <w:rsid w:val="00AB393B"/>
    <w:rsid w:val="00AB4AD1"/>
    <w:rsid w:val="00AB4CBD"/>
    <w:rsid w:val="00AB4E2D"/>
    <w:rsid w:val="00AB4EB8"/>
    <w:rsid w:val="00AB4F6B"/>
    <w:rsid w:val="00AB4FC0"/>
    <w:rsid w:val="00AB59F7"/>
    <w:rsid w:val="00AB5B1E"/>
    <w:rsid w:val="00AB5E07"/>
    <w:rsid w:val="00AB6510"/>
    <w:rsid w:val="00AB69FF"/>
    <w:rsid w:val="00AB6E62"/>
    <w:rsid w:val="00AB6EE8"/>
    <w:rsid w:val="00AB70EB"/>
    <w:rsid w:val="00AB76E5"/>
    <w:rsid w:val="00AB7764"/>
    <w:rsid w:val="00AB789C"/>
    <w:rsid w:val="00AB7B1F"/>
    <w:rsid w:val="00AB7CFA"/>
    <w:rsid w:val="00AC03F8"/>
    <w:rsid w:val="00AC053E"/>
    <w:rsid w:val="00AC05E0"/>
    <w:rsid w:val="00AC0972"/>
    <w:rsid w:val="00AC0D96"/>
    <w:rsid w:val="00AC1756"/>
    <w:rsid w:val="00AC17CA"/>
    <w:rsid w:val="00AC1B4B"/>
    <w:rsid w:val="00AC1C03"/>
    <w:rsid w:val="00AC32C7"/>
    <w:rsid w:val="00AC3DAD"/>
    <w:rsid w:val="00AC48C0"/>
    <w:rsid w:val="00AC59A6"/>
    <w:rsid w:val="00AC5B48"/>
    <w:rsid w:val="00AC5C9B"/>
    <w:rsid w:val="00AC5EC2"/>
    <w:rsid w:val="00AC6736"/>
    <w:rsid w:val="00AC6AA5"/>
    <w:rsid w:val="00AC6CAF"/>
    <w:rsid w:val="00AC7070"/>
    <w:rsid w:val="00AC74E8"/>
    <w:rsid w:val="00AC7933"/>
    <w:rsid w:val="00AC7B3B"/>
    <w:rsid w:val="00AD04C6"/>
    <w:rsid w:val="00AD071F"/>
    <w:rsid w:val="00AD0C01"/>
    <w:rsid w:val="00AD1450"/>
    <w:rsid w:val="00AD1DB9"/>
    <w:rsid w:val="00AD25F2"/>
    <w:rsid w:val="00AD2BD7"/>
    <w:rsid w:val="00AD2E01"/>
    <w:rsid w:val="00AD34C7"/>
    <w:rsid w:val="00AD3759"/>
    <w:rsid w:val="00AD5A4F"/>
    <w:rsid w:val="00AD6469"/>
    <w:rsid w:val="00AD6502"/>
    <w:rsid w:val="00AD6C26"/>
    <w:rsid w:val="00AD6CF6"/>
    <w:rsid w:val="00AD7057"/>
    <w:rsid w:val="00AE0301"/>
    <w:rsid w:val="00AE0695"/>
    <w:rsid w:val="00AE0A18"/>
    <w:rsid w:val="00AE165E"/>
    <w:rsid w:val="00AE1776"/>
    <w:rsid w:val="00AE36F7"/>
    <w:rsid w:val="00AE3E7E"/>
    <w:rsid w:val="00AE5020"/>
    <w:rsid w:val="00AE6315"/>
    <w:rsid w:val="00AE6AFF"/>
    <w:rsid w:val="00AE6E3B"/>
    <w:rsid w:val="00AF0303"/>
    <w:rsid w:val="00AF1315"/>
    <w:rsid w:val="00AF19BF"/>
    <w:rsid w:val="00AF2C6C"/>
    <w:rsid w:val="00AF2DC3"/>
    <w:rsid w:val="00AF3F34"/>
    <w:rsid w:val="00AF3FB0"/>
    <w:rsid w:val="00AF4AC5"/>
    <w:rsid w:val="00AF4E7D"/>
    <w:rsid w:val="00AF540E"/>
    <w:rsid w:val="00AF56C7"/>
    <w:rsid w:val="00AF6325"/>
    <w:rsid w:val="00AF6489"/>
    <w:rsid w:val="00AF6C1D"/>
    <w:rsid w:val="00B00C79"/>
    <w:rsid w:val="00B00E89"/>
    <w:rsid w:val="00B02BFB"/>
    <w:rsid w:val="00B02C3D"/>
    <w:rsid w:val="00B033E5"/>
    <w:rsid w:val="00B03A63"/>
    <w:rsid w:val="00B03BE3"/>
    <w:rsid w:val="00B03D62"/>
    <w:rsid w:val="00B0566C"/>
    <w:rsid w:val="00B05D29"/>
    <w:rsid w:val="00B06605"/>
    <w:rsid w:val="00B068FA"/>
    <w:rsid w:val="00B078E0"/>
    <w:rsid w:val="00B079D7"/>
    <w:rsid w:val="00B11111"/>
    <w:rsid w:val="00B114BD"/>
    <w:rsid w:val="00B120A2"/>
    <w:rsid w:val="00B132DE"/>
    <w:rsid w:val="00B144C4"/>
    <w:rsid w:val="00B158DF"/>
    <w:rsid w:val="00B167F5"/>
    <w:rsid w:val="00B17466"/>
    <w:rsid w:val="00B17652"/>
    <w:rsid w:val="00B201A4"/>
    <w:rsid w:val="00B201D1"/>
    <w:rsid w:val="00B213A6"/>
    <w:rsid w:val="00B214D9"/>
    <w:rsid w:val="00B22263"/>
    <w:rsid w:val="00B23239"/>
    <w:rsid w:val="00B235B0"/>
    <w:rsid w:val="00B239AD"/>
    <w:rsid w:val="00B23ADD"/>
    <w:rsid w:val="00B23F1B"/>
    <w:rsid w:val="00B24159"/>
    <w:rsid w:val="00B245FE"/>
    <w:rsid w:val="00B24B20"/>
    <w:rsid w:val="00B24DF6"/>
    <w:rsid w:val="00B25321"/>
    <w:rsid w:val="00B25A0C"/>
    <w:rsid w:val="00B25A9D"/>
    <w:rsid w:val="00B26370"/>
    <w:rsid w:val="00B26401"/>
    <w:rsid w:val="00B2681F"/>
    <w:rsid w:val="00B26A77"/>
    <w:rsid w:val="00B30043"/>
    <w:rsid w:val="00B30912"/>
    <w:rsid w:val="00B314DE"/>
    <w:rsid w:val="00B31696"/>
    <w:rsid w:val="00B32079"/>
    <w:rsid w:val="00B328B0"/>
    <w:rsid w:val="00B336E7"/>
    <w:rsid w:val="00B341E3"/>
    <w:rsid w:val="00B342A2"/>
    <w:rsid w:val="00B34492"/>
    <w:rsid w:val="00B34FE2"/>
    <w:rsid w:val="00B35166"/>
    <w:rsid w:val="00B357D8"/>
    <w:rsid w:val="00B35F2C"/>
    <w:rsid w:val="00B35FE8"/>
    <w:rsid w:val="00B360F4"/>
    <w:rsid w:val="00B36110"/>
    <w:rsid w:val="00B3680E"/>
    <w:rsid w:val="00B36A00"/>
    <w:rsid w:val="00B36A4D"/>
    <w:rsid w:val="00B37B4E"/>
    <w:rsid w:val="00B37BFC"/>
    <w:rsid w:val="00B37E03"/>
    <w:rsid w:val="00B40358"/>
    <w:rsid w:val="00B412C9"/>
    <w:rsid w:val="00B41614"/>
    <w:rsid w:val="00B41B57"/>
    <w:rsid w:val="00B42488"/>
    <w:rsid w:val="00B42851"/>
    <w:rsid w:val="00B42F7B"/>
    <w:rsid w:val="00B42F80"/>
    <w:rsid w:val="00B4347E"/>
    <w:rsid w:val="00B435CB"/>
    <w:rsid w:val="00B43721"/>
    <w:rsid w:val="00B43805"/>
    <w:rsid w:val="00B44BC4"/>
    <w:rsid w:val="00B4503F"/>
    <w:rsid w:val="00B457CC"/>
    <w:rsid w:val="00B46619"/>
    <w:rsid w:val="00B46F14"/>
    <w:rsid w:val="00B502BE"/>
    <w:rsid w:val="00B504E5"/>
    <w:rsid w:val="00B505C8"/>
    <w:rsid w:val="00B50DB8"/>
    <w:rsid w:val="00B50DEE"/>
    <w:rsid w:val="00B50F64"/>
    <w:rsid w:val="00B512E0"/>
    <w:rsid w:val="00B516CF"/>
    <w:rsid w:val="00B518A4"/>
    <w:rsid w:val="00B533B2"/>
    <w:rsid w:val="00B53654"/>
    <w:rsid w:val="00B53905"/>
    <w:rsid w:val="00B54149"/>
    <w:rsid w:val="00B54B5B"/>
    <w:rsid w:val="00B55372"/>
    <w:rsid w:val="00B5541F"/>
    <w:rsid w:val="00B5562E"/>
    <w:rsid w:val="00B558D1"/>
    <w:rsid w:val="00B55C42"/>
    <w:rsid w:val="00B55D65"/>
    <w:rsid w:val="00B560C3"/>
    <w:rsid w:val="00B56EA1"/>
    <w:rsid w:val="00B57000"/>
    <w:rsid w:val="00B5761A"/>
    <w:rsid w:val="00B6080B"/>
    <w:rsid w:val="00B60939"/>
    <w:rsid w:val="00B60AFD"/>
    <w:rsid w:val="00B60FC1"/>
    <w:rsid w:val="00B61699"/>
    <w:rsid w:val="00B61FAC"/>
    <w:rsid w:val="00B622C6"/>
    <w:rsid w:val="00B62715"/>
    <w:rsid w:val="00B62822"/>
    <w:rsid w:val="00B631A5"/>
    <w:rsid w:val="00B641CF"/>
    <w:rsid w:val="00B6467B"/>
    <w:rsid w:val="00B649F2"/>
    <w:rsid w:val="00B64AF5"/>
    <w:rsid w:val="00B64C86"/>
    <w:rsid w:val="00B65377"/>
    <w:rsid w:val="00B65611"/>
    <w:rsid w:val="00B66145"/>
    <w:rsid w:val="00B66509"/>
    <w:rsid w:val="00B66B5B"/>
    <w:rsid w:val="00B671B7"/>
    <w:rsid w:val="00B673C7"/>
    <w:rsid w:val="00B67578"/>
    <w:rsid w:val="00B67909"/>
    <w:rsid w:val="00B67CB4"/>
    <w:rsid w:val="00B702AD"/>
    <w:rsid w:val="00B70E8E"/>
    <w:rsid w:val="00B70E90"/>
    <w:rsid w:val="00B714EE"/>
    <w:rsid w:val="00B717B9"/>
    <w:rsid w:val="00B718B9"/>
    <w:rsid w:val="00B7219A"/>
    <w:rsid w:val="00B72DF1"/>
    <w:rsid w:val="00B72F4A"/>
    <w:rsid w:val="00B73289"/>
    <w:rsid w:val="00B73A59"/>
    <w:rsid w:val="00B74273"/>
    <w:rsid w:val="00B742A5"/>
    <w:rsid w:val="00B74533"/>
    <w:rsid w:val="00B74C64"/>
    <w:rsid w:val="00B74FC8"/>
    <w:rsid w:val="00B75069"/>
    <w:rsid w:val="00B75B31"/>
    <w:rsid w:val="00B75EB0"/>
    <w:rsid w:val="00B76583"/>
    <w:rsid w:val="00B76C92"/>
    <w:rsid w:val="00B76E93"/>
    <w:rsid w:val="00B7716B"/>
    <w:rsid w:val="00B7749B"/>
    <w:rsid w:val="00B77B5D"/>
    <w:rsid w:val="00B77C78"/>
    <w:rsid w:val="00B77F60"/>
    <w:rsid w:val="00B8010A"/>
    <w:rsid w:val="00B80126"/>
    <w:rsid w:val="00B808D8"/>
    <w:rsid w:val="00B818A4"/>
    <w:rsid w:val="00B81FB5"/>
    <w:rsid w:val="00B829BB"/>
    <w:rsid w:val="00B839D8"/>
    <w:rsid w:val="00B83A25"/>
    <w:rsid w:val="00B84117"/>
    <w:rsid w:val="00B857EC"/>
    <w:rsid w:val="00B858F0"/>
    <w:rsid w:val="00B85AA2"/>
    <w:rsid w:val="00B860FC"/>
    <w:rsid w:val="00B8649C"/>
    <w:rsid w:val="00B8671E"/>
    <w:rsid w:val="00B8695D"/>
    <w:rsid w:val="00B878C8"/>
    <w:rsid w:val="00B87F0A"/>
    <w:rsid w:val="00B90353"/>
    <w:rsid w:val="00B903A4"/>
    <w:rsid w:val="00B91586"/>
    <w:rsid w:val="00B91B22"/>
    <w:rsid w:val="00B9254A"/>
    <w:rsid w:val="00B92567"/>
    <w:rsid w:val="00B92D0B"/>
    <w:rsid w:val="00B93D8E"/>
    <w:rsid w:val="00B94945"/>
    <w:rsid w:val="00B94A7C"/>
    <w:rsid w:val="00B94DD6"/>
    <w:rsid w:val="00B950A7"/>
    <w:rsid w:val="00B95308"/>
    <w:rsid w:val="00B955A9"/>
    <w:rsid w:val="00B95A3D"/>
    <w:rsid w:val="00B95D26"/>
    <w:rsid w:val="00B95F07"/>
    <w:rsid w:val="00B96F8E"/>
    <w:rsid w:val="00BA0443"/>
    <w:rsid w:val="00BA0606"/>
    <w:rsid w:val="00BA192A"/>
    <w:rsid w:val="00BA322D"/>
    <w:rsid w:val="00BA346A"/>
    <w:rsid w:val="00BA3EF3"/>
    <w:rsid w:val="00BA4EE2"/>
    <w:rsid w:val="00BA532D"/>
    <w:rsid w:val="00BA56B2"/>
    <w:rsid w:val="00BA5F9D"/>
    <w:rsid w:val="00BA630C"/>
    <w:rsid w:val="00BA63FA"/>
    <w:rsid w:val="00BA6734"/>
    <w:rsid w:val="00BA6A64"/>
    <w:rsid w:val="00BA6BE5"/>
    <w:rsid w:val="00BA6E87"/>
    <w:rsid w:val="00BA6F64"/>
    <w:rsid w:val="00BA7197"/>
    <w:rsid w:val="00BA79C5"/>
    <w:rsid w:val="00BA7D38"/>
    <w:rsid w:val="00BB00B3"/>
    <w:rsid w:val="00BB06C9"/>
    <w:rsid w:val="00BB09F7"/>
    <w:rsid w:val="00BB0BDD"/>
    <w:rsid w:val="00BB15C7"/>
    <w:rsid w:val="00BB176C"/>
    <w:rsid w:val="00BB2A5E"/>
    <w:rsid w:val="00BB2A73"/>
    <w:rsid w:val="00BB32A9"/>
    <w:rsid w:val="00BB3A45"/>
    <w:rsid w:val="00BB3F2E"/>
    <w:rsid w:val="00BB403B"/>
    <w:rsid w:val="00BB44FD"/>
    <w:rsid w:val="00BB458F"/>
    <w:rsid w:val="00BB4ACC"/>
    <w:rsid w:val="00BB5222"/>
    <w:rsid w:val="00BB553B"/>
    <w:rsid w:val="00BB5798"/>
    <w:rsid w:val="00BB614B"/>
    <w:rsid w:val="00BB6916"/>
    <w:rsid w:val="00BB703E"/>
    <w:rsid w:val="00BB732D"/>
    <w:rsid w:val="00BB7333"/>
    <w:rsid w:val="00BB7405"/>
    <w:rsid w:val="00BB77CB"/>
    <w:rsid w:val="00BC0238"/>
    <w:rsid w:val="00BC0654"/>
    <w:rsid w:val="00BC132E"/>
    <w:rsid w:val="00BC1436"/>
    <w:rsid w:val="00BC1BF1"/>
    <w:rsid w:val="00BC1FE2"/>
    <w:rsid w:val="00BC2F53"/>
    <w:rsid w:val="00BC3631"/>
    <w:rsid w:val="00BC38B4"/>
    <w:rsid w:val="00BC3A14"/>
    <w:rsid w:val="00BC4546"/>
    <w:rsid w:val="00BC4E25"/>
    <w:rsid w:val="00BC4E41"/>
    <w:rsid w:val="00BC53A3"/>
    <w:rsid w:val="00BC567E"/>
    <w:rsid w:val="00BC5874"/>
    <w:rsid w:val="00BC58CF"/>
    <w:rsid w:val="00BC591F"/>
    <w:rsid w:val="00BC5F48"/>
    <w:rsid w:val="00BC60C7"/>
    <w:rsid w:val="00BC6749"/>
    <w:rsid w:val="00BC6EE4"/>
    <w:rsid w:val="00BC7819"/>
    <w:rsid w:val="00BC783A"/>
    <w:rsid w:val="00BC79C0"/>
    <w:rsid w:val="00BC7A2E"/>
    <w:rsid w:val="00BC7D6D"/>
    <w:rsid w:val="00BC7EF3"/>
    <w:rsid w:val="00BD00D5"/>
    <w:rsid w:val="00BD0547"/>
    <w:rsid w:val="00BD089F"/>
    <w:rsid w:val="00BD0B82"/>
    <w:rsid w:val="00BD0F9C"/>
    <w:rsid w:val="00BD115E"/>
    <w:rsid w:val="00BD126B"/>
    <w:rsid w:val="00BD135A"/>
    <w:rsid w:val="00BD20E4"/>
    <w:rsid w:val="00BD2108"/>
    <w:rsid w:val="00BD22F0"/>
    <w:rsid w:val="00BD2772"/>
    <w:rsid w:val="00BD4911"/>
    <w:rsid w:val="00BD49A7"/>
    <w:rsid w:val="00BD5C71"/>
    <w:rsid w:val="00BD5F9C"/>
    <w:rsid w:val="00BD6483"/>
    <w:rsid w:val="00BD68A3"/>
    <w:rsid w:val="00BD6938"/>
    <w:rsid w:val="00BD6CF3"/>
    <w:rsid w:val="00BD7041"/>
    <w:rsid w:val="00BD727A"/>
    <w:rsid w:val="00BD78DB"/>
    <w:rsid w:val="00BE067C"/>
    <w:rsid w:val="00BE0ECA"/>
    <w:rsid w:val="00BE0F18"/>
    <w:rsid w:val="00BE1808"/>
    <w:rsid w:val="00BE2180"/>
    <w:rsid w:val="00BE21F2"/>
    <w:rsid w:val="00BE23BF"/>
    <w:rsid w:val="00BE2691"/>
    <w:rsid w:val="00BE2EA1"/>
    <w:rsid w:val="00BE4275"/>
    <w:rsid w:val="00BE4354"/>
    <w:rsid w:val="00BE4357"/>
    <w:rsid w:val="00BE4E64"/>
    <w:rsid w:val="00BE4FF9"/>
    <w:rsid w:val="00BE5024"/>
    <w:rsid w:val="00BE59B7"/>
    <w:rsid w:val="00BE62C4"/>
    <w:rsid w:val="00BE6317"/>
    <w:rsid w:val="00BE6EAF"/>
    <w:rsid w:val="00BE7B7A"/>
    <w:rsid w:val="00BF0121"/>
    <w:rsid w:val="00BF018A"/>
    <w:rsid w:val="00BF06AE"/>
    <w:rsid w:val="00BF09C4"/>
    <w:rsid w:val="00BF0F95"/>
    <w:rsid w:val="00BF1147"/>
    <w:rsid w:val="00BF1D66"/>
    <w:rsid w:val="00BF2433"/>
    <w:rsid w:val="00BF2CC8"/>
    <w:rsid w:val="00BF2FC9"/>
    <w:rsid w:val="00BF3B44"/>
    <w:rsid w:val="00BF49E0"/>
    <w:rsid w:val="00BF4D64"/>
    <w:rsid w:val="00BF52A5"/>
    <w:rsid w:val="00BF5671"/>
    <w:rsid w:val="00BF61C9"/>
    <w:rsid w:val="00BF664F"/>
    <w:rsid w:val="00BF6C94"/>
    <w:rsid w:val="00BF78C7"/>
    <w:rsid w:val="00BF7A6A"/>
    <w:rsid w:val="00BF7C29"/>
    <w:rsid w:val="00C00007"/>
    <w:rsid w:val="00C00353"/>
    <w:rsid w:val="00C003CD"/>
    <w:rsid w:val="00C00424"/>
    <w:rsid w:val="00C00438"/>
    <w:rsid w:val="00C01A1A"/>
    <w:rsid w:val="00C01A5A"/>
    <w:rsid w:val="00C0276E"/>
    <w:rsid w:val="00C02E68"/>
    <w:rsid w:val="00C038AA"/>
    <w:rsid w:val="00C04656"/>
    <w:rsid w:val="00C04EA2"/>
    <w:rsid w:val="00C05263"/>
    <w:rsid w:val="00C07B1B"/>
    <w:rsid w:val="00C07E97"/>
    <w:rsid w:val="00C102C4"/>
    <w:rsid w:val="00C10A15"/>
    <w:rsid w:val="00C11013"/>
    <w:rsid w:val="00C11297"/>
    <w:rsid w:val="00C1167C"/>
    <w:rsid w:val="00C1179F"/>
    <w:rsid w:val="00C11C7B"/>
    <w:rsid w:val="00C12C14"/>
    <w:rsid w:val="00C14965"/>
    <w:rsid w:val="00C14C5B"/>
    <w:rsid w:val="00C14FF4"/>
    <w:rsid w:val="00C15D14"/>
    <w:rsid w:val="00C15F04"/>
    <w:rsid w:val="00C16845"/>
    <w:rsid w:val="00C169CB"/>
    <w:rsid w:val="00C1791C"/>
    <w:rsid w:val="00C179B3"/>
    <w:rsid w:val="00C17E3F"/>
    <w:rsid w:val="00C200AA"/>
    <w:rsid w:val="00C204E9"/>
    <w:rsid w:val="00C2111A"/>
    <w:rsid w:val="00C21A8F"/>
    <w:rsid w:val="00C22880"/>
    <w:rsid w:val="00C22DC6"/>
    <w:rsid w:val="00C23155"/>
    <w:rsid w:val="00C237CB"/>
    <w:rsid w:val="00C237ED"/>
    <w:rsid w:val="00C23F88"/>
    <w:rsid w:val="00C24254"/>
    <w:rsid w:val="00C24632"/>
    <w:rsid w:val="00C25418"/>
    <w:rsid w:val="00C2542F"/>
    <w:rsid w:val="00C255CF"/>
    <w:rsid w:val="00C25D9C"/>
    <w:rsid w:val="00C26DF7"/>
    <w:rsid w:val="00C26E4B"/>
    <w:rsid w:val="00C26EA4"/>
    <w:rsid w:val="00C27299"/>
    <w:rsid w:val="00C2778B"/>
    <w:rsid w:val="00C27A49"/>
    <w:rsid w:val="00C27A93"/>
    <w:rsid w:val="00C307A9"/>
    <w:rsid w:val="00C31649"/>
    <w:rsid w:val="00C31B55"/>
    <w:rsid w:val="00C322FF"/>
    <w:rsid w:val="00C33950"/>
    <w:rsid w:val="00C339D1"/>
    <w:rsid w:val="00C33CDD"/>
    <w:rsid w:val="00C33F5A"/>
    <w:rsid w:val="00C3434C"/>
    <w:rsid w:val="00C34C98"/>
    <w:rsid w:val="00C34D26"/>
    <w:rsid w:val="00C35040"/>
    <w:rsid w:val="00C36040"/>
    <w:rsid w:val="00C363C2"/>
    <w:rsid w:val="00C3681E"/>
    <w:rsid w:val="00C36E20"/>
    <w:rsid w:val="00C37076"/>
    <w:rsid w:val="00C40385"/>
    <w:rsid w:val="00C40C33"/>
    <w:rsid w:val="00C40F3E"/>
    <w:rsid w:val="00C4135E"/>
    <w:rsid w:val="00C41390"/>
    <w:rsid w:val="00C41768"/>
    <w:rsid w:val="00C42002"/>
    <w:rsid w:val="00C42550"/>
    <w:rsid w:val="00C42DC2"/>
    <w:rsid w:val="00C43926"/>
    <w:rsid w:val="00C453B1"/>
    <w:rsid w:val="00C45600"/>
    <w:rsid w:val="00C45DFA"/>
    <w:rsid w:val="00C46209"/>
    <w:rsid w:val="00C4737F"/>
    <w:rsid w:val="00C475AA"/>
    <w:rsid w:val="00C47BE7"/>
    <w:rsid w:val="00C47F3E"/>
    <w:rsid w:val="00C5087E"/>
    <w:rsid w:val="00C53C98"/>
    <w:rsid w:val="00C53D1B"/>
    <w:rsid w:val="00C5566B"/>
    <w:rsid w:val="00C5586B"/>
    <w:rsid w:val="00C55A6C"/>
    <w:rsid w:val="00C55A89"/>
    <w:rsid w:val="00C55BFC"/>
    <w:rsid w:val="00C56092"/>
    <w:rsid w:val="00C56AB8"/>
    <w:rsid w:val="00C56FCF"/>
    <w:rsid w:val="00C576D3"/>
    <w:rsid w:val="00C57B6C"/>
    <w:rsid w:val="00C6047F"/>
    <w:rsid w:val="00C607E4"/>
    <w:rsid w:val="00C60F13"/>
    <w:rsid w:val="00C6115C"/>
    <w:rsid w:val="00C61A70"/>
    <w:rsid w:val="00C628A6"/>
    <w:rsid w:val="00C62ECF"/>
    <w:rsid w:val="00C63272"/>
    <w:rsid w:val="00C6363C"/>
    <w:rsid w:val="00C63B9A"/>
    <w:rsid w:val="00C64344"/>
    <w:rsid w:val="00C64FB9"/>
    <w:rsid w:val="00C65108"/>
    <w:rsid w:val="00C6555D"/>
    <w:rsid w:val="00C65576"/>
    <w:rsid w:val="00C65BAE"/>
    <w:rsid w:val="00C66165"/>
    <w:rsid w:val="00C66313"/>
    <w:rsid w:val="00C66452"/>
    <w:rsid w:val="00C665B8"/>
    <w:rsid w:val="00C6727A"/>
    <w:rsid w:val="00C67797"/>
    <w:rsid w:val="00C67D46"/>
    <w:rsid w:val="00C7060A"/>
    <w:rsid w:val="00C711CA"/>
    <w:rsid w:val="00C71265"/>
    <w:rsid w:val="00C7151A"/>
    <w:rsid w:val="00C71673"/>
    <w:rsid w:val="00C717E3"/>
    <w:rsid w:val="00C719D3"/>
    <w:rsid w:val="00C71A9B"/>
    <w:rsid w:val="00C71CB6"/>
    <w:rsid w:val="00C71F60"/>
    <w:rsid w:val="00C72241"/>
    <w:rsid w:val="00C72C2C"/>
    <w:rsid w:val="00C72C99"/>
    <w:rsid w:val="00C72CF7"/>
    <w:rsid w:val="00C72FC2"/>
    <w:rsid w:val="00C7307B"/>
    <w:rsid w:val="00C7323C"/>
    <w:rsid w:val="00C74A00"/>
    <w:rsid w:val="00C74FEE"/>
    <w:rsid w:val="00C750C8"/>
    <w:rsid w:val="00C75346"/>
    <w:rsid w:val="00C7560F"/>
    <w:rsid w:val="00C75812"/>
    <w:rsid w:val="00C75AA9"/>
    <w:rsid w:val="00C76270"/>
    <w:rsid w:val="00C76F47"/>
    <w:rsid w:val="00C774ED"/>
    <w:rsid w:val="00C8037B"/>
    <w:rsid w:val="00C80A0E"/>
    <w:rsid w:val="00C8213F"/>
    <w:rsid w:val="00C82192"/>
    <w:rsid w:val="00C828AC"/>
    <w:rsid w:val="00C82CDA"/>
    <w:rsid w:val="00C83A77"/>
    <w:rsid w:val="00C83B26"/>
    <w:rsid w:val="00C83D5A"/>
    <w:rsid w:val="00C83DDD"/>
    <w:rsid w:val="00C84724"/>
    <w:rsid w:val="00C84864"/>
    <w:rsid w:val="00C8502D"/>
    <w:rsid w:val="00C85154"/>
    <w:rsid w:val="00C855AC"/>
    <w:rsid w:val="00C85643"/>
    <w:rsid w:val="00C8566B"/>
    <w:rsid w:val="00C85698"/>
    <w:rsid w:val="00C85AB1"/>
    <w:rsid w:val="00C85FCC"/>
    <w:rsid w:val="00C86FE3"/>
    <w:rsid w:val="00C8730A"/>
    <w:rsid w:val="00C87512"/>
    <w:rsid w:val="00C8797A"/>
    <w:rsid w:val="00C900B8"/>
    <w:rsid w:val="00C90C71"/>
    <w:rsid w:val="00C90FDA"/>
    <w:rsid w:val="00C91270"/>
    <w:rsid w:val="00C91386"/>
    <w:rsid w:val="00C91519"/>
    <w:rsid w:val="00C916CA"/>
    <w:rsid w:val="00C91FD1"/>
    <w:rsid w:val="00C9239F"/>
    <w:rsid w:val="00C92DF1"/>
    <w:rsid w:val="00C9313E"/>
    <w:rsid w:val="00C9315D"/>
    <w:rsid w:val="00C931C7"/>
    <w:rsid w:val="00C931CF"/>
    <w:rsid w:val="00C938CF"/>
    <w:rsid w:val="00C94053"/>
    <w:rsid w:val="00C941B2"/>
    <w:rsid w:val="00C94AED"/>
    <w:rsid w:val="00C95088"/>
    <w:rsid w:val="00C95852"/>
    <w:rsid w:val="00C95D5C"/>
    <w:rsid w:val="00C9624D"/>
    <w:rsid w:val="00C9680F"/>
    <w:rsid w:val="00C969DA"/>
    <w:rsid w:val="00C9707A"/>
    <w:rsid w:val="00C974CE"/>
    <w:rsid w:val="00CA022B"/>
    <w:rsid w:val="00CA0BE5"/>
    <w:rsid w:val="00CA0D4E"/>
    <w:rsid w:val="00CA197C"/>
    <w:rsid w:val="00CA1F35"/>
    <w:rsid w:val="00CA2287"/>
    <w:rsid w:val="00CA2C77"/>
    <w:rsid w:val="00CA31AC"/>
    <w:rsid w:val="00CA41E2"/>
    <w:rsid w:val="00CA4281"/>
    <w:rsid w:val="00CA444F"/>
    <w:rsid w:val="00CA4843"/>
    <w:rsid w:val="00CA492F"/>
    <w:rsid w:val="00CA4A72"/>
    <w:rsid w:val="00CA4CC5"/>
    <w:rsid w:val="00CA4F01"/>
    <w:rsid w:val="00CA5245"/>
    <w:rsid w:val="00CA543B"/>
    <w:rsid w:val="00CA545D"/>
    <w:rsid w:val="00CA568A"/>
    <w:rsid w:val="00CA60D3"/>
    <w:rsid w:val="00CA616F"/>
    <w:rsid w:val="00CA631D"/>
    <w:rsid w:val="00CA71F4"/>
    <w:rsid w:val="00CA7817"/>
    <w:rsid w:val="00CA7B09"/>
    <w:rsid w:val="00CB02EF"/>
    <w:rsid w:val="00CB0A30"/>
    <w:rsid w:val="00CB100E"/>
    <w:rsid w:val="00CB1265"/>
    <w:rsid w:val="00CB12A5"/>
    <w:rsid w:val="00CB1CAC"/>
    <w:rsid w:val="00CB2F2A"/>
    <w:rsid w:val="00CB3431"/>
    <w:rsid w:val="00CB411D"/>
    <w:rsid w:val="00CB5B1A"/>
    <w:rsid w:val="00CB5B1E"/>
    <w:rsid w:val="00CB62D5"/>
    <w:rsid w:val="00CB65ED"/>
    <w:rsid w:val="00CB6B22"/>
    <w:rsid w:val="00CB7321"/>
    <w:rsid w:val="00CB7F5F"/>
    <w:rsid w:val="00CC0B97"/>
    <w:rsid w:val="00CC1507"/>
    <w:rsid w:val="00CC1564"/>
    <w:rsid w:val="00CC173A"/>
    <w:rsid w:val="00CC1B39"/>
    <w:rsid w:val="00CC1E2E"/>
    <w:rsid w:val="00CC2207"/>
    <w:rsid w:val="00CC2400"/>
    <w:rsid w:val="00CC25BA"/>
    <w:rsid w:val="00CC29B4"/>
    <w:rsid w:val="00CC3299"/>
    <w:rsid w:val="00CC32AE"/>
    <w:rsid w:val="00CC35EA"/>
    <w:rsid w:val="00CC3848"/>
    <w:rsid w:val="00CC3F5C"/>
    <w:rsid w:val="00CC5C8E"/>
    <w:rsid w:val="00CC5C97"/>
    <w:rsid w:val="00CC733B"/>
    <w:rsid w:val="00CD1D11"/>
    <w:rsid w:val="00CD3F77"/>
    <w:rsid w:val="00CD4054"/>
    <w:rsid w:val="00CD4419"/>
    <w:rsid w:val="00CD4966"/>
    <w:rsid w:val="00CD577F"/>
    <w:rsid w:val="00CD587A"/>
    <w:rsid w:val="00CD5AAA"/>
    <w:rsid w:val="00CD6ADC"/>
    <w:rsid w:val="00CD7193"/>
    <w:rsid w:val="00CD7366"/>
    <w:rsid w:val="00CD7931"/>
    <w:rsid w:val="00CD7DCD"/>
    <w:rsid w:val="00CD7DD9"/>
    <w:rsid w:val="00CD7FE9"/>
    <w:rsid w:val="00CE0067"/>
    <w:rsid w:val="00CE05F2"/>
    <w:rsid w:val="00CE0B29"/>
    <w:rsid w:val="00CE11BD"/>
    <w:rsid w:val="00CE124F"/>
    <w:rsid w:val="00CE1B0C"/>
    <w:rsid w:val="00CE237E"/>
    <w:rsid w:val="00CE333C"/>
    <w:rsid w:val="00CE38C8"/>
    <w:rsid w:val="00CE4B7A"/>
    <w:rsid w:val="00CE6274"/>
    <w:rsid w:val="00CE673D"/>
    <w:rsid w:val="00CE7541"/>
    <w:rsid w:val="00CE77B6"/>
    <w:rsid w:val="00CF0B2A"/>
    <w:rsid w:val="00CF15D1"/>
    <w:rsid w:val="00CF169E"/>
    <w:rsid w:val="00CF1BF8"/>
    <w:rsid w:val="00CF243F"/>
    <w:rsid w:val="00CF2A28"/>
    <w:rsid w:val="00CF2B54"/>
    <w:rsid w:val="00CF2B8D"/>
    <w:rsid w:val="00CF2D20"/>
    <w:rsid w:val="00CF34AE"/>
    <w:rsid w:val="00CF362D"/>
    <w:rsid w:val="00CF3AE3"/>
    <w:rsid w:val="00CF3BFB"/>
    <w:rsid w:val="00CF456B"/>
    <w:rsid w:val="00CF4716"/>
    <w:rsid w:val="00CF47DF"/>
    <w:rsid w:val="00CF4905"/>
    <w:rsid w:val="00CF51C5"/>
    <w:rsid w:val="00CF5A22"/>
    <w:rsid w:val="00CF669B"/>
    <w:rsid w:val="00CF66FF"/>
    <w:rsid w:val="00CF6CDB"/>
    <w:rsid w:val="00CF75E1"/>
    <w:rsid w:val="00CF7AA3"/>
    <w:rsid w:val="00D00419"/>
    <w:rsid w:val="00D00AA7"/>
    <w:rsid w:val="00D00D7A"/>
    <w:rsid w:val="00D01CD4"/>
    <w:rsid w:val="00D02627"/>
    <w:rsid w:val="00D0262E"/>
    <w:rsid w:val="00D0366B"/>
    <w:rsid w:val="00D03D63"/>
    <w:rsid w:val="00D03E97"/>
    <w:rsid w:val="00D0462A"/>
    <w:rsid w:val="00D047A4"/>
    <w:rsid w:val="00D05267"/>
    <w:rsid w:val="00D05E3D"/>
    <w:rsid w:val="00D05EC0"/>
    <w:rsid w:val="00D06139"/>
    <w:rsid w:val="00D0613E"/>
    <w:rsid w:val="00D06274"/>
    <w:rsid w:val="00D102CB"/>
    <w:rsid w:val="00D1037C"/>
    <w:rsid w:val="00D105CA"/>
    <w:rsid w:val="00D110BD"/>
    <w:rsid w:val="00D12023"/>
    <w:rsid w:val="00D12924"/>
    <w:rsid w:val="00D12B1C"/>
    <w:rsid w:val="00D12B56"/>
    <w:rsid w:val="00D12DCD"/>
    <w:rsid w:val="00D13675"/>
    <w:rsid w:val="00D13677"/>
    <w:rsid w:val="00D13A4D"/>
    <w:rsid w:val="00D13D13"/>
    <w:rsid w:val="00D141E1"/>
    <w:rsid w:val="00D1432F"/>
    <w:rsid w:val="00D1493C"/>
    <w:rsid w:val="00D15314"/>
    <w:rsid w:val="00D1544B"/>
    <w:rsid w:val="00D159F0"/>
    <w:rsid w:val="00D1609D"/>
    <w:rsid w:val="00D16962"/>
    <w:rsid w:val="00D17347"/>
    <w:rsid w:val="00D17B2C"/>
    <w:rsid w:val="00D17D6C"/>
    <w:rsid w:val="00D20710"/>
    <w:rsid w:val="00D20EDA"/>
    <w:rsid w:val="00D21040"/>
    <w:rsid w:val="00D2143C"/>
    <w:rsid w:val="00D2155B"/>
    <w:rsid w:val="00D21B51"/>
    <w:rsid w:val="00D21C12"/>
    <w:rsid w:val="00D222E4"/>
    <w:rsid w:val="00D223C3"/>
    <w:rsid w:val="00D22744"/>
    <w:rsid w:val="00D22D2E"/>
    <w:rsid w:val="00D2388F"/>
    <w:rsid w:val="00D23ADD"/>
    <w:rsid w:val="00D23C8D"/>
    <w:rsid w:val="00D23D11"/>
    <w:rsid w:val="00D244B6"/>
    <w:rsid w:val="00D24DCD"/>
    <w:rsid w:val="00D260DF"/>
    <w:rsid w:val="00D272B8"/>
    <w:rsid w:val="00D2754D"/>
    <w:rsid w:val="00D2769E"/>
    <w:rsid w:val="00D27B27"/>
    <w:rsid w:val="00D27B85"/>
    <w:rsid w:val="00D32314"/>
    <w:rsid w:val="00D32CB6"/>
    <w:rsid w:val="00D336CB"/>
    <w:rsid w:val="00D33BE9"/>
    <w:rsid w:val="00D33F93"/>
    <w:rsid w:val="00D34356"/>
    <w:rsid w:val="00D34762"/>
    <w:rsid w:val="00D34972"/>
    <w:rsid w:val="00D352B8"/>
    <w:rsid w:val="00D353D1"/>
    <w:rsid w:val="00D357FF"/>
    <w:rsid w:val="00D359EF"/>
    <w:rsid w:val="00D35B6C"/>
    <w:rsid w:val="00D35D5B"/>
    <w:rsid w:val="00D360ED"/>
    <w:rsid w:val="00D36347"/>
    <w:rsid w:val="00D364DA"/>
    <w:rsid w:val="00D376F2"/>
    <w:rsid w:val="00D41AF4"/>
    <w:rsid w:val="00D41BB4"/>
    <w:rsid w:val="00D424C7"/>
    <w:rsid w:val="00D4312C"/>
    <w:rsid w:val="00D43B2A"/>
    <w:rsid w:val="00D43D83"/>
    <w:rsid w:val="00D43E52"/>
    <w:rsid w:val="00D451BD"/>
    <w:rsid w:val="00D45804"/>
    <w:rsid w:val="00D47575"/>
    <w:rsid w:val="00D47DB4"/>
    <w:rsid w:val="00D50230"/>
    <w:rsid w:val="00D50C8C"/>
    <w:rsid w:val="00D516A4"/>
    <w:rsid w:val="00D5193C"/>
    <w:rsid w:val="00D51C30"/>
    <w:rsid w:val="00D5243B"/>
    <w:rsid w:val="00D52761"/>
    <w:rsid w:val="00D5278A"/>
    <w:rsid w:val="00D528CE"/>
    <w:rsid w:val="00D533EC"/>
    <w:rsid w:val="00D5522D"/>
    <w:rsid w:val="00D55738"/>
    <w:rsid w:val="00D55CFA"/>
    <w:rsid w:val="00D55DAF"/>
    <w:rsid w:val="00D56755"/>
    <w:rsid w:val="00D567FE"/>
    <w:rsid w:val="00D5697A"/>
    <w:rsid w:val="00D56A95"/>
    <w:rsid w:val="00D57C4C"/>
    <w:rsid w:val="00D57E3D"/>
    <w:rsid w:val="00D57F8C"/>
    <w:rsid w:val="00D60080"/>
    <w:rsid w:val="00D60722"/>
    <w:rsid w:val="00D60A4D"/>
    <w:rsid w:val="00D612BB"/>
    <w:rsid w:val="00D62312"/>
    <w:rsid w:val="00D62A2A"/>
    <w:rsid w:val="00D62B95"/>
    <w:rsid w:val="00D62BCA"/>
    <w:rsid w:val="00D6311B"/>
    <w:rsid w:val="00D63B87"/>
    <w:rsid w:val="00D641C9"/>
    <w:rsid w:val="00D64231"/>
    <w:rsid w:val="00D66B88"/>
    <w:rsid w:val="00D674DD"/>
    <w:rsid w:val="00D678A7"/>
    <w:rsid w:val="00D67E5C"/>
    <w:rsid w:val="00D70076"/>
    <w:rsid w:val="00D7029D"/>
    <w:rsid w:val="00D70435"/>
    <w:rsid w:val="00D70CA3"/>
    <w:rsid w:val="00D70F16"/>
    <w:rsid w:val="00D71611"/>
    <w:rsid w:val="00D71AAA"/>
    <w:rsid w:val="00D722B5"/>
    <w:rsid w:val="00D72F57"/>
    <w:rsid w:val="00D73847"/>
    <w:rsid w:val="00D74021"/>
    <w:rsid w:val="00D7420F"/>
    <w:rsid w:val="00D74A22"/>
    <w:rsid w:val="00D7519A"/>
    <w:rsid w:val="00D76A44"/>
    <w:rsid w:val="00D772BD"/>
    <w:rsid w:val="00D77311"/>
    <w:rsid w:val="00D77427"/>
    <w:rsid w:val="00D77566"/>
    <w:rsid w:val="00D8032A"/>
    <w:rsid w:val="00D805FB"/>
    <w:rsid w:val="00D810AF"/>
    <w:rsid w:val="00D815EF"/>
    <w:rsid w:val="00D81F26"/>
    <w:rsid w:val="00D8251D"/>
    <w:rsid w:val="00D82AE2"/>
    <w:rsid w:val="00D82C70"/>
    <w:rsid w:val="00D83F12"/>
    <w:rsid w:val="00D842B8"/>
    <w:rsid w:val="00D84652"/>
    <w:rsid w:val="00D8518F"/>
    <w:rsid w:val="00D8567D"/>
    <w:rsid w:val="00D85C67"/>
    <w:rsid w:val="00D86231"/>
    <w:rsid w:val="00D87284"/>
    <w:rsid w:val="00D90233"/>
    <w:rsid w:val="00D9030C"/>
    <w:rsid w:val="00D911C9"/>
    <w:rsid w:val="00D91923"/>
    <w:rsid w:val="00D9245B"/>
    <w:rsid w:val="00D9259D"/>
    <w:rsid w:val="00D92D8D"/>
    <w:rsid w:val="00D9328A"/>
    <w:rsid w:val="00D933DB"/>
    <w:rsid w:val="00D93753"/>
    <w:rsid w:val="00D93DAA"/>
    <w:rsid w:val="00D94D46"/>
    <w:rsid w:val="00D95AC9"/>
    <w:rsid w:val="00D96B4D"/>
    <w:rsid w:val="00D96E64"/>
    <w:rsid w:val="00D97F29"/>
    <w:rsid w:val="00DA00C5"/>
    <w:rsid w:val="00DA0970"/>
    <w:rsid w:val="00DA128F"/>
    <w:rsid w:val="00DA12BF"/>
    <w:rsid w:val="00DA1E9A"/>
    <w:rsid w:val="00DA2642"/>
    <w:rsid w:val="00DA26EB"/>
    <w:rsid w:val="00DA2DB8"/>
    <w:rsid w:val="00DA3167"/>
    <w:rsid w:val="00DA4AC6"/>
    <w:rsid w:val="00DA4DC3"/>
    <w:rsid w:val="00DA4F9D"/>
    <w:rsid w:val="00DA5102"/>
    <w:rsid w:val="00DA6FF2"/>
    <w:rsid w:val="00DA7261"/>
    <w:rsid w:val="00DA76F6"/>
    <w:rsid w:val="00DA77A5"/>
    <w:rsid w:val="00DA7DA2"/>
    <w:rsid w:val="00DA7E14"/>
    <w:rsid w:val="00DB05CA"/>
    <w:rsid w:val="00DB0636"/>
    <w:rsid w:val="00DB0A89"/>
    <w:rsid w:val="00DB241A"/>
    <w:rsid w:val="00DB2BC2"/>
    <w:rsid w:val="00DB2EA0"/>
    <w:rsid w:val="00DB36BE"/>
    <w:rsid w:val="00DB3979"/>
    <w:rsid w:val="00DB3CD7"/>
    <w:rsid w:val="00DB3DBF"/>
    <w:rsid w:val="00DB4080"/>
    <w:rsid w:val="00DB4293"/>
    <w:rsid w:val="00DB484F"/>
    <w:rsid w:val="00DB4E14"/>
    <w:rsid w:val="00DB7150"/>
    <w:rsid w:val="00DC04F6"/>
    <w:rsid w:val="00DC0690"/>
    <w:rsid w:val="00DC07CD"/>
    <w:rsid w:val="00DC0994"/>
    <w:rsid w:val="00DC0A74"/>
    <w:rsid w:val="00DC1D65"/>
    <w:rsid w:val="00DC1E7D"/>
    <w:rsid w:val="00DC2F06"/>
    <w:rsid w:val="00DC3225"/>
    <w:rsid w:val="00DC3390"/>
    <w:rsid w:val="00DC3822"/>
    <w:rsid w:val="00DC3C57"/>
    <w:rsid w:val="00DC4846"/>
    <w:rsid w:val="00DC4BE0"/>
    <w:rsid w:val="00DC5207"/>
    <w:rsid w:val="00DC5428"/>
    <w:rsid w:val="00DC5501"/>
    <w:rsid w:val="00DC5921"/>
    <w:rsid w:val="00DC5C8D"/>
    <w:rsid w:val="00DC5CD9"/>
    <w:rsid w:val="00DC60F7"/>
    <w:rsid w:val="00DC6A88"/>
    <w:rsid w:val="00DC7154"/>
    <w:rsid w:val="00DC73B1"/>
    <w:rsid w:val="00DC7C97"/>
    <w:rsid w:val="00DC7E8A"/>
    <w:rsid w:val="00DD0201"/>
    <w:rsid w:val="00DD0DE6"/>
    <w:rsid w:val="00DD0F78"/>
    <w:rsid w:val="00DD10CB"/>
    <w:rsid w:val="00DD1AE2"/>
    <w:rsid w:val="00DD2568"/>
    <w:rsid w:val="00DD268E"/>
    <w:rsid w:val="00DD273C"/>
    <w:rsid w:val="00DD2B08"/>
    <w:rsid w:val="00DD2F1E"/>
    <w:rsid w:val="00DD3F28"/>
    <w:rsid w:val="00DD4537"/>
    <w:rsid w:val="00DD4DA7"/>
    <w:rsid w:val="00DD4E15"/>
    <w:rsid w:val="00DD4F8C"/>
    <w:rsid w:val="00DD5955"/>
    <w:rsid w:val="00DD59BD"/>
    <w:rsid w:val="00DD5F95"/>
    <w:rsid w:val="00DD5FEE"/>
    <w:rsid w:val="00DD69FD"/>
    <w:rsid w:val="00DD6A2E"/>
    <w:rsid w:val="00DD710F"/>
    <w:rsid w:val="00DD769B"/>
    <w:rsid w:val="00DD79BF"/>
    <w:rsid w:val="00DE027C"/>
    <w:rsid w:val="00DE199D"/>
    <w:rsid w:val="00DE2304"/>
    <w:rsid w:val="00DE3138"/>
    <w:rsid w:val="00DE3793"/>
    <w:rsid w:val="00DE37F8"/>
    <w:rsid w:val="00DE38EA"/>
    <w:rsid w:val="00DE3930"/>
    <w:rsid w:val="00DE3C26"/>
    <w:rsid w:val="00DE4FC7"/>
    <w:rsid w:val="00DE4FCB"/>
    <w:rsid w:val="00DE5144"/>
    <w:rsid w:val="00DE593A"/>
    <w:rsid w:val="00DE5D07"/>
    <w:rsid w:val="00DE657C"/>
    <w:rsid w:val="00DE6876"/>
    <w:rsid w:val="00DE693C"/>
    <w:rsid w:val="00DE70F5"/>
    <w:rsid w:val="00DE72A7"/>
    <w:rsid w:val="00DE7832"/>
    <w:rsid w:val="00DE7BBA"/>
    <w:rsid w:val="00DE7D24"/>
    <w:rsid w:val="00DF06AD"/>
    <w:rsid w:val="00DF0CB2"/>
    <w:rsid w:val="00DF1543"/>
    <w:rsid w:val="00DF18FC"/>
    <w:rsid w:val="00DF1BC6"/>
    <w:rsid w:val="00DF2F5C"/>
    <w:rsid w:val="00DF382F"/>
    <w:rsid w:val="00DF3D80"/>
    <w:rsid w:val="00DF40E8"/>
    <w:rsid w:val="00DF41C5"/>
    <w:rsid w:val="00DF424C"/>
    <w:rsid w:val="00DF45C3"/>
    <w:rsid w:val="00DF4D4D"/>
    <w:rsid w:val="00DF51B6"/>
    <w:rsid w:val="00DF56F7"/>
    <w:rsid w:val="00DF5A86"/>
    <w:rsid w:val="00DF5D2B"/>
    <w:rsid w:val="00DF60B9"/>
    <w:rsid w:val="00DF6668"/>
    <w:rsid w:val="00DF67DA"/>
    <w:rsid w:val="00DF6CA9"/>
    <w:rsid w:val="00DF6DCE"/>
    <w:rsid w:val="00DF6FAA"/>
    <w:rsid w:val="00E00C22"/>
    <w:rsid w:val="00E00CC3"/>
    <w:rsid w:val="00E00E8E"/>
    <w:rsid w:val="00E010D9"/>
    <w:rsid w:val="00E0347D"/>
    <w:rsid w:val="00E0406B"/>
    <w:rsid w:val="00E055B3"/>
    <w:rsid w:val="00E05630"/>
    <w:rsid w:val="00E06B4B"/>
    <w:rsid w:val="00E06DBB"/>
    <w:rsid w:val="00E06ECE"/>
    <w:rsid w:val="00E0744F"/>
    <w:rsid w:val="00E07683"/>
    <w:rsid w:val="00E07794"/>
    <w:rsid w:val="00E078DE"/>
    <w:rsid w:val="00E078F5"/>
    <w:rsid w:val="00E07ACD"/>
    <w:rsid w:val="00E10149"/>
    <w:rsid w:val="00E10551"/>
    <w:rsid w:val="00E108D7"/>
    <w:rsid w:val="00E108F3"/>
    <w:rsid w:val="00E10C09"/>
    <w:rsid w:val="00E11271"/>
    <w:rsid w:val="00E11340"/>
    <w:rsid w:val="00E117AA"/>
    <w:rsid w:val="00E122A1"/>
    <w:rsid w:val="00E129D2"/>
    <w:rsid w:val="00E13438"/>
    <w:rsid w:val="00E136E8"/>
    <w:rsid w:val="00E1396D"/>
    <w:rsid w:val="00E141AB"/>
    <w:rsid w:val="00E15507"/>
    <w:rsid w:val="00E16279"/>
    <w:rsid w:val="00E16372"/>
    <w:rsid w:val="00E16706"/>
    <w:rsid w:val="00E16737"/>
    <w:rsid w:val="00E16D79"/>
    <w:rsid w:val="00E16E0F"/>
    <w:rsid w:val="00E17C46"/>
    <w:rsid w:val="00E20167"/>
    <w:rsid w:val="00E205B2"/>
    <w:rsid w:val="00E20E4D"/>
    <w:rsid w:val="00E20ED6"/>
    <w:rsid w:val="00E210EC"/>
    <w:rsid w:val="00E211CA"/>
    <w:rsid w:val="00E21358"/>
    <w:rsid w:val="00E21A1E"/>
    <w:rsid w:val="00E21A56"/>
    <w:rsid w:val="00E21CE1"/>
    <w:rsid w:val="00E21D2E"/>
    <w:rsid w:val="00E21F18"/>
    <w:rsid w:val="00E220DF"/>
    <w:rsid w:val="00E22497"/>
    <w:rsid w:val="00E2249B"/>
    <w:rsid w:val="00E22630"/>
    <w:rsid w:val="00E226DC"/>
    <w:rsid w:val="00E22A0D"/>
    <w:rsid w:val="00E23D3C"/>
    <w:rsid w:val="00E2407F"/>
    <w:rsid w:val="00E2440D"/>
    <w:rsid w:val="00E244F6"/>
    <w:rsid w:val="00E253AB"/>
    <w:rsid w:val="00E25772"/>
    <w:rsid w:val="00E25802"/>
    <w:rsid w:val="00E25BA1"/>
    <w:rsid w:val="00E26692"/>
    <w:rsid w:val="00E2746F"/>
    <w:rsid w:val="00E2771E"/>
    <w:rsid w:val="00E27D94"/>
    <w:rsid w:val="00E3052E"/>
    <w:rsid w:val="00E311EF"/>
    <w:rsid w:val="00E31B1D"/>
    <w:rsid w:val="00E32180"/>
    <w:rsid w:val="00E32264"/>
    <w:rsid w:val="00E337C1"/>
    <w:rsid w:val="00E34304"/>
    <w:rsid w:val="00E34948"/>
    <w:rsid w:val="00E35979"/>
    <w:rsid w:val="00E359F9"/>
    <w:rsid w:val="00E365FD"/>
    <w:rsid w:val="00E36A3F"/>
    <w:rsid w:val="00E37082"/>
    <w:rsid w:val="00E370F7"/>
    <w:rsid w:val="00E372CB"/>
    <w:rsid w:val="00E37569"/>
    <w:rsid w:val="00E376C6"/>
    <w:rsid w:val="00E37912"/>
    <w:rsid w:val="00E401B2"/>
    <w:rsid w:val="00E402E8"/>
    <w:rsid w:val="00E40861"/>
    <w:rsid w:val="00E40C23"/>
    <w:rsid w:val="00E41314"/>
    <w:rsid w:val="00E41652"/>
    <w:rsid w:val="00E41DA9"/>
    <w:rsid w:val="00E41E30"/>
    <w:rsid w:val="00E421CC"/>
    <w:rsid w:val="00E42B79"/>
    <w:rsid w:val="00E42F73"/>
    <w:rsid w:val="00E43151"/>
    <w:rsid w:val="00E43709"/>
    <w:rsid w:val="00E437F0"/>
    <w:rsid w:val="00E43B39"/>
    <w:rsid w:val="00E43C8E"/>
    <w:rsid w:val="00E43D70"/>
    <w:rsid w:val="00E44236"/>
    <w:rsid w:val="00E443AA"/>
    <w:rsid w:val="00E44A68"/>
    <w:rsid w:val="00E44B1E"/>
    <w:rsid w:val="00E44C72"/>
    <w:rsid w:val="00E44DC0"/>
    <w:rsid w:val="00E44F42"/>
    <w:rsid w:val="00E4559D"/>
    <w:rsid w:val="00E4572D"/>
    <w:rsid w:val="00E45776"/>
    <w:rsid w:val="00E45C06"/>
    <w:rsid w:val="00E466F3"/>
    <w:rsid w:val="00E467E7"/>
    <w:rsid w:val="00E471DE"/>
    <w:rsid w:val="00E4781F"/>
    <w:rsid w:val="00E47A66"/>
    <w:rsid w:val="00E47B2C"/>
    <w:rsid w:val="00E51560"/>
    <w:rsid w:val="00E5199A"/>
    <w:rsid w:val="00E51AD2"/>
    <w:rsid w:val="00E52114"/>
    <w:rsid w:val="00E5212D"/>
    <w:rsid w:val="00E52CF6"/>
    <w:rsid w:val="00E5323E"/>
    <w:rsid w:val="00E535FF"/>
    <w:rsid w:val="00E538CB"/>
    <w:rsid w:val="00E53A19"/>
    <w:rsid w:val="00E53FC8"/>
    <w:rsid w:val="00E54175"/>
    <w:rsid w:val="00E54347"/>
    <w:rsid w:val="00E5449A"/>
    <w:rsid w:val="00E546C2"/>
    <w:rsid w:val="00E54A9C"/>
    <w:rsid w:val="00E54E5E"/>
    <w:rsid w:val="00E55424"/>
    <w:rsid w:val="00E55891"/>
    <w:rsid w:val="00E55915"/>
    <w:rsid w:val="00E55BB5"/>
    <w:rsid w:val="00E55D3B"/>
    <w:rsid w:val="00E55F2F"/>
    <w:rsid w:val="00E56648"/>
    <w:rsid w:val="00E57B09"/>
    <w:rsid w:val="00E57CC9"/>
    <w:rsid w:val="00E60B9E"/>
    <w:rsid w:val="00E63D7F"/>
    <w:rsid w:val="00E63E04"/>
    <w:rsid w:val="00E64189"/>
    <w:rsid w:val="00E645DF"/>
    <w:rsid w:val="00E646A8"/>
    <w:rsid w:val="00E64C4F"/>
    <w:rsid w:val="00E655FA"/>
    <w:rsid w:val="00E6567B"/>
    <w:rsid w:val="00E658D7"/>
    <w:rsid w:val="00E65DF3"/>
    <w:rsid w:val="00E65E79"/>
    <w:rsid w:val="00E65F9E"/>
    <w:rsid w:val="00E6649F"/>
    <w:rsid w:val="00E6653C"/>
    <w:rsid w:val="00E66BA2"/>
    <w:rsid w:val="00E67387"/>
    <w:rsid w:val="00E67416"/>
    <w:rsid w:val="00E6776B"/>
    <w:rsid w:val="00E67F80"/>
    <w:rsid w:val="00E718B6"/>
    <w:rsid w:val="00E71CB4"/>
    <w:rsid w:val="00E720CC"/>
    <w:rsid w:val="00E722EC"/>
    <w:rsid w:val="00E723BA"/>
    <w:rsid w:val="00E73519"/>
    <w:rsid w:val="00E73581"/>
    <w:rsid w:val="00E73A21"/>
    <w:rsid w:val="00E73B67"/>
    <w:rsid w:val="00E74723"/>
    <w:rsid w:val="00E75852"/>
    <w:rsid w:val="00E76004"/>
    <w:rsid w:val="00E7601E"/>
    <w:rsid w:val="00E76314"/>
    <w:rsid w:val="00E7710D"/>
    <w:rsid w:val="00E773D2"/>
    <w:rsid w:val="00E775C9"/>
    <w:rsid w:val="00E77673"/>
    <w:rsid w:val="00E77C9A"/>
    <w:rsid w:val="00E801B2"/>
    <w:rsid w:val="00E817B9"/>
    <w:rsid w:val="00E8242C"/>
    <w:rsid w:val="00E8264D"/>
    <w:rsid w:val="00E83345"/>
    <w:rsid w:val="00E833F7"/>
    <w:rsid w:val="00E8340F"/>
    <w:rsid w:val="00E83BDF"/>
    <w:rsid w:val="00E83F9A"/>
    <w:rsid w:val="00E8405A"/>
    <w:rsid w:val="00E84341"/>
    <w:rsid w:val="00E8450C"/>
    <w:rsid w:val="00E84CB0"/>
    <w:rsid w:val="00E84FEE"/>
    <w:rsid w:val="00E857BB"/>
    <w:rsid w:val="00E85D79"/>
    <w:rsid w:val="00E85EF8"/>
    <w:rsid w:val="00E8690F"/>
    <w:rsid w:val="00E872B0"/>
    <w:rsid w:val="00E8751A"/>
    <w:rsid w:val="00E87A1D"/>
    <w:rsid w:val="00E87D7A"/>
    <w:rsid w:val="00E87DF7"/>
    <w:rsid w:val="00E87E38"/>
    <w:rsid w:val="00E87F80"/>
    <w:rsid w:val="00E900F7"/>
    <w:rsid w:val="00E9094A"/>
    <w:rsid w:val="00E90E13"/>
    <w:rsid w:val="00E90E21"/>
    <w:rsid w:val="00E91201"/>
    <w:rsid w:val="00E91624"/>
    <w:rsid w:val="00E91D35"/>
    <w:rsid w:val="00E921A9"/>
    <w:rsid w:val="00E926A5"/>
    <w:rsid w:val="00E92A89"/>
    <w:rsid w:val="00E93158"/>
    <w:rsid w:val="00E93377"/>
    <w:rsid w:val="00E93B92"/>
    <w:rsid w:val="00E9407F"/>
    <w:rsid w:val="00E9569B"/>
    <w:rsid w:val="00E95830"/>
    <w:rsid w:val="00E95A05"/>
    <w:rsid w:val="00E96F41"/>
    <w:rsid w:val="00E96FC6"/>
    <w:rsid w:val="00E974B8"/>
    <w:rsid w:val="00EA09C1"/>
    <w:rsid w:val="00EA09DD"/>
    <w:rsid w:val="00EA12DA"/>
    <w:rsid w:val="00EA17C3"/>
    <w:rsid w:val="00EA277A"/>
    <w:rsid w:val="00EA2CAA"/>
    <w:rsid w:val="00EA3864"/>
    <w:rsid w:val="00EA3D44"/>
    <w:rsid w:val="00EA4D69"/>
    <w:rsid w:val="00EA58EF"/>
    <w:rsid w:val="00EA5A2C"/>
    <w:rsid w:val="00EA6CA3"/>
    <w:rsid w:val="00EA7F1C"/>
    <w:rsid w:val="00EB074A"/>
    <w:rsid w:val="00EB1382"/>
    <w:rsid w:val="00EB142D"/>
    <w:rsid w:val="00EB15B6"/>
    <w:rsid w:val="00EB1A40"/>
    <w:rsid w:val="00EB2585"/>
    <w:rsid w:val="00EB34BC"/>
    <w:rsid w:val="00EB3AEB"/>
    <w:rsid w:val="00EB3D06"/>
    <w:rsid w:val="00EB45CC"/>
    <w:rsid w:val="00EB4916"/>
    <w:rsid w:val="00EB5CE6"/>
    <w:rsid w:val="00EB5F92"/>
    <w:rsid w:val="00EB62D6"/>
    <w:rsid w:val="00EB66A7"/>
    <w:rsid w:val="00EB6FDE"/>
    <w:rsid w:val="00EB786F"/>
    <w:rsid w:val="00EC00C9"/>
    <w:rsid w:val="00EC0189"/>
    <w:rsid w:val="00EC0263"/>
    <w:rsid w:val="00EC02F9"/>
    <w:rsid w:val="00EC0B65"/>
    <w:rsid w:val="00EC0DD9"/>
    <w:rsid w:val="00EC21E4"/>
    <w:rsid w:val="00EC2649"/>
    <w:rsid w:val="00EC2F96"/>
    <w:rsid w:val="00EC31ED"/>
    <w:rsid w:val="00EC33FB"/>
    <w:rsid w:val="00EC376D"/>
    <w:rsid w:val="00EC42B8"/>
    <w:rsid w:val="00EC4545"/>
    <w:rsid w:val="00EC5836"/>
    <w:rsid w:val="00EC688C"/>
    <w:rsid w:val="00EC69C9"/>
    <w:rsid w:val="00ED08C5"/>
    <w:rsid w:val="00ED14BD"/>
    <w:rsid w:val="00ED1A30"/>
    <w:rsid w:val="00ED20FB"/>
    <w:rsid w:val="00ED2443"/>
    <w:rsid w:val="00ED2D4B"/>
    <w:rsid w:val="00ED32B4"/>
    <w:rsid w:val="00ED347F"/>
    <w:rsid w:val="00ED4458"/>
    <w:rsid w:val="00ED45BE"/>
    <w:rsid w:val="00ED4869"/>
    <w:rsid w:val="00ED4F19"/>
    <w:rsid w:val="00ED5256"/>
    <w:rsid w:val="00ED5554"/>
    <w:rsid w:val="00ED57EA"/>
    <w:rsid w:val="00ED59AC"/>
    <w:rsid w:val="00ED5B64"/>
    <w:rsid w:val="00ED5BD4"/>
    <w:rsid w:val="00ED62C7"/>
    <w:rsid w:val="00ED73C9"/>
    <w:rsid w:val="00EE03F9"/>
    <w:rsid w:val="00EE07D3"/>
    <w:rsid w:val="00EE0C5F"/>
    <w:rsid w:val="00EE1611"/>
    <w:rsid w:val="00EE165B"/>
    <w:rsid w:val="00EE1996"/>
    <w:rsid w:val="00EE1BA2"/>
    <w:rsid w:val="00EE1C01"/>
    <w:rsid w:val="00EE22AF"/>
    <w:rsid w:val="00EE2682"/>
    <w:rsid w:val="00EE29FA"/>
    <w:rsid w:val="00EE2AF9"/>
    <w:rsid w:val="00EE2B7C"/>
    <w:rsid w:val="00EE336E"/>
    <w:rsid w:val="00EE339D"/>
    <w:rsid w:val="00EE37C9"/>
    <w:rsid w:val="00EE39CD"/>
    <w:rsid w:val="00EE3D8B"/>
    <w:rsid w:val="00EE47B6"/>
    <w:rsid w:val="00EE4FC3"/>
    <w:rsid w:val="00EE571F"/>
    <w:rsid w:val="00EE5880"/>
    <w:rsid w:val="00EE5C38"/>
    <w:rsid w:val="00EE5C3F"/>
    <w:rsid w:val="00EE632F"/>
    <w:rsid w:val="00EE72E4"/>
    <w:rsid w:val="00EE77B9"/>
    <w:rsid w:val="00EE7A25"/>
    <w:rsid w:val="00EE7C5E"/>
    <w:rsid w:val="00EF010D"/>
    <w:rsid w:val="00EF0171"/>
    <w:rsid w:val="00EF0369"/>
    <w:rsid w:val="00EF078E"/>
    <w:rsid w:val="00EF0C71"/>
    <w:rsid w:val="00EF106D"/>
    <w:rsid w:val="00EF1B25"/>
    <w:rsid w:val="00EF1D04"/>
    <w:rsid w:val="00EF1DA0"/>
    <w:rsid w:val="00EF21AE"/>
    <w:rsid w:val="00EF225B"/>
    <w:rsid w:val="00EF23AB"/>
    <w:rsid w:val="00EF281C"/>
    <w:rsid w:val="00EF338D"/>
    <w:rsid w:val="00EF37D3"/>
    <w:rsid w:val="00EF4747"/>
    <w:rsid w:val="00EF4BF8"/>
    <w:rsid w:val="00EF4D1A"/>
    <w:rsid w:val="00EF4E93"/>
    <w:rsid w:val="00EF51F3"/>
    <w:rsid w:val="00EF5E46"/>
    <w:rsid w:val="00EF6287"/>
    <w:rsid w:val="00EF6A8B"/>
    <w:rsid w:val="00F00192"/>
    <w:rsid w:val="00F00F62"/>
    <w:rsid w:val="00F01158"/>
    <w:rsid w:val="00F02253"/>
    <w:rsid w:val="00F022A8"/>
    <w:rsid w:val="00F02633"/>
    <w:rsid w:val="00F02944"/>
    <w:rsid w:val="00F02A06"/>
    <w:rsid w:val="00F03643"/>
    <w:rsid w:val="00F03702"/>
    <w:rsid w:val="00F03A8C"/>
    <w:rsid w:val="00F03C2E"/>
    <w:rsid w:val="00F04A66"/>
    <w:rsid w:val="00F04B4B"/>
    <w:rsid w:val="00F04C6C"/>
    <w:rsid w:val="00F04CB4"/>
    <w:rsid w:val="00F04FAE"/>
    <w:rsid w:val="00F04FEE"/>
    <w:rsid w:val="00F0516C"/>
    <w:rsid w:val="00F05645"/>
    <w:rsid w:val="00F059E5"/>
    <w:rsid w:val="00F05C32"/>
    <w:rsid w:val="00F067A2"/>
    <w:rsid w:val="00F06F1D"/>
    <w:rsid w:val="00F070EA"/>
    <w:rsid w:val="00F07B9E"/>
    <w:rsid w:val="00F07CA5"/>
    <w:rsid w:val="00F07E11"/>
    <w:rsid w:val="00F10366"/>
    <w:rsid w:val="00F10B42"/>
    <w:rsid w:val="00F10BD7"/>
    <w:rsid w:val="00F10FDE"/>
    <w:rsid w:val="00F11024"/>
    <w:rsid w:val="00F1116F"/>
    <w:rsid w:val="00F113BB"/>
    <w:rsid w:val="00F123F3"/>
    <w:rsid w:val="00F1263A"/>
    <w:rsid w:val="00F12E58"/>
    <w:rsid w:val="00F13D1B"/>
    <w:rsid w:val="00F153ED"/>
    <w:rsid w:val="00F15B77"/>
    <w:rsid w:val="00F15C30"/>
    <w:rsid w:val="00F15CFC"/>
    <w:rsid w:val="00F16389"/>
    <w:rsid w:val="00F16554"/>
    <w:rsid w:val="00F20AB8"/>
    <w:rsid w:val="00F20D19"/>
    <w:rsid w:val="00F21A37"/>
    <w:rsid w:val="00F21EC5"/>
    <w:rsid w:val="00F21F6B"/>
    <w:rsid w:val="00F22001"/>
    <w:rsid w:val="00F22C79"/>
    <w:rsid w:val="00F22CEC"/>
    <w:rsid w:val="00F238BE"/>
    <w:rsid w:val="00F23BF6"/>
    <w:rsid w:val="00F24574"/>
    <w:rsid w:val="00F245B3"/>
    <w:rsid w:val="00F24837"/>
    <w:rsid w:val="00F2575F"/>
    <w:rsid w:val="00F259A7"/>
    <w:rsid w:val="00F260F2"/>
    <w:rsid w:val="00F26A53"/>
    <w:rsid w:val="00F26D75"/>
    <w:rsid w:val="00F27565"/>
    <w:rsid w:val="00F27DED"/>
    <w:rsid w:val="00F301D1"/>
    <w:rsid w:val="00F304F5"/>
    <w:rsid w:val="00F310D4"/>
    <w:rsid w:val="00F312E2"/>
    <w:rsid w:val="00F31522"/>
    <w:rsid w:val="00F31D5A"/>
    <w:rsid w:val="00F3258C"/>
    <w:rsid w:val="00F325F0"/>
    <w:rsid w:val="00F3267C"/>
    <w:rsid w:val="00F330A1"/>
    <w:rsid w:val="00F33899"/>
    <w:rsid w:val="00F33966"/>
    <w:rsid w:val="00F33975"/>
    <w:rsid w:val="00F33BAB"/>
    <w:rsid w:val="00F33DE9"/>
    <w:rsid w:val="00F350EA"/>
    <w:rsid w:val="00F35E6D"/>
    <w:rsid w:val="00F35EC3"/>
    <w:rsid w:val="00F36099"/>
    <w:rsid w:val="00F3619A"/>
    <w:rsid w:val="00F36868"/>
    <w:rsid w:val="00F36DC1"/>
    <w:rsid w:val="00F36F08"/>
    <w:rsid w:val="00F3704E"/>
    <w:rsid w:val="00F37455"/>
    <w:rsid w:val="00F37B6C"/>
    <w:rsid w:val="00F404B9"/>
    <w:rsid w:val="00F40AAA"/>
    <w:rsid w:val="00F40BA7"/>
    <w:rsid w:val="00F40F9D"/>
    <w:rsid w:val="00F41869"/>
    <w:rsid w:val="00F41ACD"/>
    <w:rsid w:val="00F42C1F"/>
    <w:rsid w:val="00F43F36"/>
    <w:rsid w:val="00F45718"/>
    <w:rsid w:val="00F45A6B"/>
    <w:rsid w:val="00F46CB6"/>
    <w:rsid w:val="00F46D4C"/>
    <w:rsid w:val="00F47235"/>
    <w:rsid w:val="00F4756D"/>
    <w:rsid w:val="00F47DE8"/>
    <w:rsid w:val="00F50F28"/>
    <w:rsid w:val="00F51ADB"/>
    <w:rsid w:val="00F524B6"/>
    <w:rsid w:val="00F5280D"/>
    <w:rsid w:val="00F54274"/>
    <w:rsid w:val="00F542C1"/>
    <w:rsid w:val="00F54E7C"/>
    <w:rsid w:val="00F55151"/>
    <w:rsid w:val="00F55E73"/>
    <w:rsid w:val="00F55EDA"/>
    <w:rsid w:val="00F55FEE"/>
    <w:rsid w:val="00F56B82"/>
    <w:rsid w:val="00F56C80"/>
    <w:rsid w:val="00F60092"/>
    <w:rsid w:val="00F60597"/>
    <w:rsid w:val="00F606CC"/>
    <w:rsid w:val="00F61850"/>
    <w:rsid w:val="00F619CE"/>
    <w:rsid w:val="00F61C18"/>
    <w:rsid w:val="00F62707"/>
    <w:rsid w:val="00F63F23"/>
    <w:rsid w:val="00F640C5"/>
    <w:rsid w:val="00F643F6"/>
    <w:rsid w:val="00F64AA7"/>
    <w:rsid w:val="00F6582D"/>
    <w:rsid w:val="00F65F4B"/>
    <w:rsid w:val="00F665D5"/>
    <w:rsid w:val="00F66618"/>
    <w:rsid w:val="00F66706"/>
    <w:rsid w:val="00F67A69"/>
    <w:rsid w:val="00F70213"/>
    <w:rsid w:val="00F7039C"/>
    <w:rsid w:val="00F70453"/>
    <w:rsid w:val="00F70BFF"/>
    <w:rsid w:val="00F70C9D"/>
    <w:rsid w:val="00F711D6"/>
    <w:rsid w:val="00F73657"/>
    <w:rsid w:val="00F74235"/>
    <w:rsid w:val="00F74CD9"/>
    <w:rsid w:val="00F74E16"/>
    <w:rsid w:val="00F75241"/>
    <w:rsid w:val="00F75DA7"/>
    <w:rsid w:val="00F76C97"/>
    <w:rsid w:val="00F76E1A"/>
    <w:rsid w:val="00F77F09"/>
    <w:rsid w:val="00F77FAD"/>
    <w:rsid w:val="00F80A7B"/>
    <w:rsid w:val="00F80BA7"/>
    <w:rsid w:val="00F80E5D"/>
    <w:rsid w:val="00F813CF"/>
    <w:rsid w:val="00F81E78"/>
    <w:rsid w:val="00F82F63"/>
    <w:rsid w:val="00F83403"/>
    <w:rsid w:val="00F83B6D"/>
    <w:rsid w:val="00F851CE"/>
    <w:rsid w:val="00F85220"/>
    <w:rsid w:val="00F855F9"/>
    <w:rsid w:val="00F85711"/>
    <w:rsid w:val="00F858F6"/>
    <w:rsid w:val="00F864BC"/>
    <w:rsid w:val="00F86745"/>
    <w:rsid w:val="00F87F04"/>
    <w:rsid w:val="00F91044"/>
    <w:rsid w:val="00F91061"/>
    <w:rsid w:val="00F91219"/>
    <w:rsid w:val="00F92444"/>
    <w:rsid w:val="00F92DFE"/>
    <w:rsid w:val="00F930E0"/>
    <w:rsid w:val="00F931BB"/>
    <w:rsid w:val="00F9332B"/>
    <w:rsid w:val="00F9393E"/>
    <w:rsid w:val="00F93CC4"/>
    <w:rsid w:val="00F93DF3"/>
    <w:rsid w:val="00F94590"/>
    <w:rsid w:val="00F94D80"/>
    <w:rsid w:val="00F95605"/>
    <w:rsid w:val="00F96AC8"/>
    <w:rsid w:val="00F96D93"/>
    <w:rsid w:val="00F96FD0"/>
    <w:rsid w:val="00F97A78"/>
    <w:rsid w:val="00FA00B9"/>
    <w:rsid w:val="00FA0AB6"/>
    <w:rsid w:val="00FA0B20"/>
    <w:rsid w:val="00FA0F47"/>
    <w:rsid w:val="00FA14A1"/>
    <w:rsid w:val="00FA15F6"/>
    <w:rsid w:val="00FA1B45"/>
    <w:rsid w:val="00FA1CAB"/>
    <w:rsid w:val="00FA24E7"/>
    <w:rsid w:val="00FA2BCC"/>
    <w:rsid w:val="00FA2CBE"/>
    <w:rsid w:val="00FA3060"/>
    <w:rsid w:val="00FA3110"/>
    <w:rsid w:val="00FA3860"/>
    <w:rsid w:val="00FA45EA"/>
    <w:rsid w:val="00FA4728"/>
    <w:rsid w:val="00FA512E"/>
    <w:rsid w:val="00FA5A49"/>
    <w:rsid w:val="00FA5EE6"/>
    <w:rsid w:val="00FA5FAA"/>
    <w:rsid w:val="00FA6245"/>
    <w:rsid w:val="00FA6ABA"/>
    <w:rsid w:val="00FA6ABB"/>
    <w:rsid w:val="00FA6E17"/>
    <w:rsid w:val="00FA6F04"/>
    <w:rsid w:val="00FA7956"/>
    <w:rsid w:val="00FA7B40"/>
    <w:rsid w:val="00FB0005"/>
    <w:rsid w:val="00FB1C1E"/>
    <w:rsid w:val="00FB1C8F"/>
    <w:rsid w:val="00FB1F68"/>
    <w:rsid w:val="00FB2BAC"/>
    <w:rsid w:val="00FB2FCB"/>
    <w:rsid w:val="00FB34B2"/>
    <w:rsid w:val="00FB3B85"/>
    <w:rsid w:val="00FB3EA5"/>
    <w:rsid w:val="00FB3EE7"/>
    <w:rsid w:val="00FB48B8"/>
    <w:rsid w:val="00FB5648"/>
    <w:rsid w:val="00FB59BB"/>
    <w:rsid w:val="00FB7020"/>
    <w:rsid w:val="00FB7147"/>
    <w:rsid w:val="00FB7732"/>
    <w:rsid w:val="00FB7808"/>
    <w:rsid w:val="00FB7C55"/>
    <w:rsid w:val="00FC01AC"/>
    <w:rsid w:val="00FC0A5C"/>
    <w:rsid w:val="00FC0B3E"/>
    <w:rsid w:val="00FC1074"/>
    <w:rsid w:val="00FC1884"/>
    <w:rsid w:val="00FC194A"/>
    <w:rsid w:val="00FC1B37"/>
    <w:rsid w:val="00FC1B79"/>
    <w:rsid w:val="00FC1DB4"/>
    <w:rsid w:val="00FC2A35"/>
    <w:rsid w:val="00FC371D"/>
    <w:rsid w:val="00FC44A9"/>
    <w:rsid w:val="00FC455F"/>
    <w:rsid w:val="00FC5862"/>
    <w:rsid w:val="00FC5A18"/>
    <w:rsid w:val="00FC5F0B"/>
    <w:rsid w:val="00FC69A3"/>
    <w:rsid w:val="00FC6A7C"/>
    <w:rsid w:val="00FC6C0B"/>
    <w:rsid w:val="00FC6D03"/>
    <w:rsid w:val="00FC77BE"/>
    <w:rsid w:val="00FD0C5E"/>
    <w:rsid w:val="00FD0F90"/>
    <w:rsid w:val="00FD14FD"/>
    <w:rsid w:val="00FD1AD0"/>
    <w:rsid w:val="00FD2100"/>
    <w:rsid w:val="00FD218D"/>
    <w:rsid w:val="00FD3302"/>
    <w:rsid w:val="00FD436C"/>
    <w:rsid w:val="00FD446D"/>
    <w:rsid w:val="00FD4F2C"/>
    <w:rsid w:val="00FD5131"/>
    <w:rsid w:val="00FD53FC"/>
    <w:rsid w:val="00FD5B84"/>
    <w:rsid w:val="00FD6036"/>
    <w:rsid w:val="00FD6394"/>
    <w:rsid w:val="00FD65E8"/>
    <w:rsid w:val="00FD785D"/>
    <w:rsid w:val="00FE0E6C"/>
    <w:rsid w:val="00FE14F2"/>
    <w:rsid w:val="00FE1CDC"/>
    <w:rsid w:val="00FE22E7"/>
    <w:rsid w:val="00FE2565"/>
    <w:rsid w:val="00FE27AE"/>
    <w:rsid w:val="00FE4AB4"/>
    <w:rsid w:val="00FE4AE9"/>
    <w:rsid w:val="00FE4B54"/>
    <w:rsid w:val="00FE5326"/>
    <w:rsid w:val="00FE5752"/>
    <w:rsid w:val="00FE6295"/>
    <w:rsid w:val="00FE6C96"/>
    <w:rsid w:val="00FE70C3"/>
    <w:rsid w:val="00FE79E3"/>
    <w:rsid w:val="00FE7FD5"/>
    <w:rsid w:val="00FF0157"/>
    <w:rsid w:val="00FF0703"/>
    <w:rsid w:val="00FF1357"/>
    <w:rsid w:val="00FF1C68"/>
    <w:rsid w:val="00FF2403"/>
    <w:rsid w:val="00FF24F8"/>
    <w:rsid w:val="00FF260C"/>
    <w:rsid w:val="00FF2787"/>
    <w:rsid w:val="00FF287B"/>
    <w:rsid w:val="00FF2AC9"/>
    <w:rsid w:val="00FF2AD9"/>
    <w:rsid w:val="00FF2BFA"/>
    <w:rsid w:val="00FF2E72"/>
    <w:rsid w:val="00FF359F"/>
    <w:rsid w:val="00FF37DE"/>
    <w:rsid w:val="00FF39AC"/>
    <w:rsid w:val="00FF3DCF"/>
    <w:rsid w:val="00FF492C"/>
    <w:rsid w:val="00FF4A21"/>
    <w:rsid w:val="00FF4AB7"/>
    <w:rsid w:val="00FF504A"/>
    <w:rsid w:val="00FF5337"/>
    <w:rsid w:val="00FF54AE"/>
    <w:rsid w:val="00FF55CB"/>
    <w:rsid w:val="00FF56B0"/>
    <w:rsid w:val="00FF5AA3"/>
    <w:rsid w:val="00FF5AD8"/>
    <w:rsid w:val="00FF5CD6"/>
    <w:rsid w:val="00FF5D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F5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Dossier table,Section 3- footnotes,Summary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670B3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70B38"/>
    <w:rPr>
      <w:rFonts w:ascii="Calibri" w:hAnsi="Calibri" w:cs="Arial"/>
      <w:sz w:val="24"/>
      <w:szCs w:val="24"/>
    </w:rPr>
  </w:style>
  <w:style w:type="paragraph" w:styleId="Footer">
    <w:name w:val="footer"/>
    <w:basedOn w:val="Normal"/>
    <w:link w:val="FooterChar"/>
    <w:uiPriority w:val="99"/>
    <w:unhideWhenUsed/>
    <w:rsid w:val="00670B38"/>
    <w:pPr>
      <w:tabs>
        <w:tab w:val="center" w:pos="4513"/>
        <w:tab w:val="right" w:pos="9026"/>
      </w:tabs>
    </w:pPr>
  </w:style>
  <w:style w:type="character" w:customStyle="1" w:styleId="FooterChar">
    <w:name w:val="Footer Char"/>
    <w:basedOn w:val="DefaultParagraphFont"/>
    <w:link w:val="Footer"/>
    <w:uiPriority w:val="99"/>
    <w:rsid w:val="00670B38"/>
    <w:rPr>
      <w:rFonts w:ascii="Calibri" w:hAnsi="Calibri" w:cs="Arial"/>
      <w:sz w:val="24"/>
      <w:szCs w:val="24"/>
    </w:rPr>
  </w:style>
  <w:style w:type="paragraph" w:styleId="ListParagraph">
    <w:name w:val="List Paragraph"/>
    <w:aliases w:val="BulletPoints,Numbered para,Footnote,Bullet point,List Paragraph1,List Paragraph11,Recommendation,ES Paragraph,PBAC ES Paragraph,PBAC normal points,Bullet List,Body Text Bullet Points,Section heading,Figure_name,Numbered Indented Text,lp1"/>
    <w:basedOn w:val="Normal"/>
    <w:link w:val="ListParagraphChar"/>
    <w:uiPriority w:val="34"/>
    <w:qFormat/>
    <w:rsid w:val="002846A1"/>
    <w:pPr>
      <w:ind w:left="720"/>
      <w:contextualSpacing/>
    </w:pPr>
  </w:style>
  <w:style w:type="paragraph" w:styleId="FootnoteText">
    <w:name w:val="footnote text"/>
    <w:basedOn w:val="Normal"/>
    <w:link w:val="FootnoteTextChar"/>
    <w:rsid w:val="003C12BB"/>
    <w:pPr>
      <w:spacing w:before="100" w:after="100"/>
      <w:jc w:val="left"/>
    </w:pPr>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rsid w:val="003C12BB"/>
    <w:rPr>
      <w:rFonts w:asciiTheme="minorHAnsi" w:hAnsiTheme="minorHAnsi"/>
      <w:lang w:eastAsia="en-US"/>
    </w:rPr>
  </w:style>
  <w:style w:type="character" w:styleId="FootnoteReference">
    <w:name w:val="footnote reference"/>
    <w:basedOn w:val="DefaultParagraphFont"/>
    <w:rsid w:val="006E315F"/>
    <w:rPr>
      <w:rFonts w:cs="Times New Roman"/>
      <w:vertAlign w:val="superscript"/>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autoRedefine/>
    <w:uiPriority w:val="99"/>
    <w:unhideWhenUsed/>
    <w:qFormat/>
    <w:rsid w:val="00970876"/>
    <w:pPr>
      <w:keepNext/>
      <w:keepLines/>
      <w:tabs>
        <w:tab w:val="left" w:pos="1134"/>
      </w:tabs>
    </w:pPr>
    <w:rPr>
      <w:rFonts w:ascii="Arial Narrow" w:hAnsi="Arial Narrow" w:cstheme="minorHAnsi"/>
      <w:b/>
      <w:bCs/>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locked/>
    <w:rsid w:val="00970876"/>
    <w:rPr>
      <w:rFonts w:ascii="Arial Narrow" w:hAnsi="Arial Narrow" w:cstheme="minorHAnsi"/>
      <w:b/>
      <w:bCs/>
    </w:rPr>
  </w:style>
  <w:style w:type="paragraph" w:customStyle="1" w:styleId="Tabletext0">
    <w:name w:val="Table text"/>
    <w:basedOn w:val="Normal"/>
    <w:link w:val="TabletextChar0"/>
    <w:qFormat/>
    <w:rsid w:val="00366DF4"/>
    <w:pPr>
      <w:keepNext/>
      <w:keepLines/>
      <w:spacing w:before="60" w:after="40"/>
      <w:jc w:val="left"/>
    </w:pPr>
    <w:rPr>
      <w:rFonts w:ascii="Arial Narrow" w:hAnsi="Arial Narrow" w:cs="Times New Roman"/>
      <w:sz w:val="20"/>
      <w:szCs w:val="20"/>
      <w:lang w:eastAsia="en-US"/>
    </w:rPr>
  </w:style>
  <w:style w:type="character" w:customStyle="1" w:styleId="TabletextChar0">
    <w:name w:val="Table text Char"/>
    <w:link w:val="Tabletext0"/>
    <w:locked/>
    <w:rsid w:val="00366DF4"/>
    <w:rPr>
      <w:rFonts w:ascii="Arial Narrow" w:hAnsi="Arial Narrow"/>
      <w:lang w:eastAsia="en-US"/>
    </w:rPr>
  </w:style>
  <w:style w:type="paragraph" w:customStyle="1" w:styleId="Tablefootnote">
    <w:name w:val="Table footnote"/>
    <w:basedOn w:val="Normal"/>
    <w:link w:val="TablefootnoteChar"/>
    <w:autoRedefine/>
    <w:qFormat/>
    <w:rsid w:val="003C0D12"/>
    <w:pPr>
      <w:spacing w:after="120"/>
      <w:contextualSpacing/>
      <w:jc w:val="left"/>
    </w:pPr>
    <w:rPr>
      <w:rFonts w:ascii="Arial Narrow" w:hAnsi="Arial Narrow" w:cs="Times New Roman"/>
      <w:sz w:val="18"/>
      <w:szCs w:val="18"/>
      <w:lang w:eastAsia="en-US"/>
    </w:rPr>
  </w:style>
  <w:style w:type="character" w:customStyle="1" w:styleId="TablefootnoteChar">
    <w:name w:val="Table footnote Char"/>
    <w:basedOn w:val="DefaultParagraphFont"/>
    <w:link w:val="Tablefootnote"/>
    <w:rsid w:val="003C0D12"/>
    <w:rPr>
      <w:rFonts w:ascii="Arial Narrow" w:hAnsi="Arial Narrow"/>
      <w:sz w:val="18"/>
      <w:szCs w:val="18"/>
      <w:lang w:eastAsia="en-US"/>
    </w:rPr>
  </w:style>
  <w:style w:type="table" w:customStyle="1" w:styleId="newstyle1">
    <w:name w:val="new style1"/>
    <w:basedOn w:val="TableNormal"/>
    <w:next w:val="TableGrid"/>
    <w:uiPriority w:val="59"/>
    <w:rsid w:val="00366DF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A35FF"/>
    <w:rPr>
      <w:color w:val="605E5C"/>
      <w:shd w:val="clear" w:color="auto" w:fill="E1DFDD"/>
    </w:rPr>
  </w:style>
  <w:style w:type="paragraph" w:styleId="CommentText">
    <w:name w:val="annotation text"/>
    <w:aliases w:val="Comment Text Char Char Char,Comment Text Char Char"/>
    <w:basedOn w:val="Normal"/>
    <w:link w:val="CommentTextChar"/>
    <w:uiPriority w:val="99"/>
    <w:unhideWhenUsed/>
    <w:rsid w:val="00423CFE"/>
    <w:pPr>
      <w:spacing w:before="360" w:after="120" w:line="360" w:lineRule="auto"/>
      <w:jc w:val="left"/>
    </w:pPr>
    <w:rPr>
      <w:rFonts w:ascii="Century Gothic" w:hAnsi="Century Gothic"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423CFE"/>
    <w:rPr>
      <w:rFonts w:ascii="Century Gothic" w:hAnsi="Century Gothic"/>
      <w:szCs w:val="24"/>
    </w:rPr>
  </w:style>
  <w:style w:type="character" w:customStyle="1" w:styleId="BodyText1Char">
    <w:name w:val="Body Text1 Char"/>
    <w:link w:val="BodyText1"/>
    <w:locked/>
    <w:rsid w:val="00423CFE"/>
    <w:rPr>
      <w:rFonts w:ascii="Arial" w:hAnsi="Arial"/>
      <w:sz w:val="22"/>
      <w:szCs w:val="22"/>
      <w:lang w:val="en-US" w:eastAsia="en-GB"/>
    </w:rPr>
  </w:style>
  <w:style w:type="paragraph" w:customStyle="1" w:styleId="BodyText1">
    <w:name w:val="Body Text1"/>
    <w:basedOn w:val="Normal"/>
    <w:link w:val="BodyText1Char"/>
    <w:rsid w:val="00423CFE"/>
    <w:pPr>
      <w:widowControl w:val="0"/>
      <w:spacing w:before="120" w:after="120" w:line="276" w:lineRule="auto"/>
    </w:pPr>
    <w:rPr>
      <w:rFonts w:ascii="Arial" w:hAnsi="Arial" w:cs="Times New Roman"/>
      <w:sz w:val="22"/>
      <w:szCs w:val="22"/>
      <w:lang w:val="en-US" w:eastAsia="en-GB"/>
    </w:rPr>
  </w:style>
  <w:style w:type="character" w:customStyle="1" w:styleId="Small">
    <w:name w:val="Small"/>
    <w:basedOn w:val="DefaultParagraphFont"/>
    <w:uiPriority w:val="4"/>
    <w:qFormat/>
    <w:rsid w:val="007C00BB"/>
    <w:rPr>
      <w:rFonts w:ascii="Candara" w:hAnsi="Candara"/>
      <w:sz w:val="20"/>
    </w:rPr>
  </w:style>
  <w:style w:type="paragraph" w:customStyle="1" w:styleId="Table">
    <w:name w:val="Table"/>
    <w:basedOn w:val="Normal"/>
    <w:link w:val="TableChar"/>
    <w:qFormat/>
    <w:rsid w:val="000C7C10"/>
    <w:pPr>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0C7C10"/>
    <w:rPr>
      <w:rFonts w:ascii="Candara" w:eastAsiaTheme="majorEastAsia" w:hAnsi="Candara" w:cstheme="majorBidi"/>
      <w:szCs w:val="22"/>
      <w:lang w:eastAsia="en-US" w:bidi="en-US"/>
    </w:rPr>
  </w:style>
  <w:style w:type="character" w:customStyle="1" w:styleId="FontSuperscript">
    <w:name w:val="Font Superscript"/>
    <w:basedOn w:val="DefaultParagraphFont"/>
    <w:uiPriority w:val="1"/>
    <w:qFormat/>
    <w:rsid w:val="000C7C10"/>
    <w:rPr>
      <w:rFonts w:ascii="Candara" w:hAnsi="Candara"/>
      <w:sz w:val="24"/>
      <w:vertAlign w:val="superscript"/>
    </w:rPr>
  </w:style>
  <w:style w:type="paragraph" w:customStyle="1" w:styleId="numbered-paragraph">
    <w:name w:val="numbered-paragraph"/>
    <w:basedOn w:val="Normal"/>
    <w:rsid w:val="00D364DA"/>
    <w:pPr>
      <w:spacing w:before="100" w:beforeAutospacing="1" w:after="100" w:afterAutospacing="1"/>
      <w:jc w:val="left"/>
    </w:pPr>
    <w:rPr>
      <w:rFonts w:ascii="Times New Roman" w:hAnsi="Times New Roman" w:cs="Times New Roman"/>
    </w:rPr>
  </w:style>
  <w:style w:type="paragraph" w:styleId="NormalWeb">
    <w:name w:val="Normal (Web)"/>
    <w:basedOn w:val="Normal"/>
    <w:uiPriority w:val="99"/>
    <w:unhideWhenUsed/>
    <w:rsid w:val="00D364DA"/>
    <w:pPr>
      <w:spacing w:before="100" w:beforeAutospacing="1" w:after="100" w:afterAutospacing="1"/>
      <w:jc w:val="left"/>
    </w:pPr>
    <w:rPr>
      <w:rFonts w:ascii="Times New Roman" w:hAnsi="Times New Roman" w:cs="Times New Roman"/>
    </w:rPr>
  </w:style>
  <w:style w:type="character" w:styleId="Strong">
    <w:name w:val="Strong"/>
    <w:basedOn w:val="DefaultParagraphFont"/>
    <w:uiPriority w:val="22"/>
    <w:rsid w:val="00D364DA"/>
    <w:rPr>
      <w:b/>
      <w:bCs/>
    </w:rPr>
  </w:style>
  <w:style w:type="character" w:customStyle="1" w:styleId="CaptionFootnoteChar">
    <w:name w:val="Caption Footnote Char"/>
    <w:basedOn w:val="DefaultParagraphFont"/>
    <w:link w:val="CaptionFootnote"/>
    <w:rsid w:val="00C62ECF"/>
    <w:rPr>
      <w:rFonts w:ascii="Candara" w:hAnsi="Candara"/>
      <w:bCs/>
      <w:sz w:val="16"/>
      <w:szCs w:val="18"/>
    </w:rPr>
  </w:style>
  <w:style w:type="paragraph" w:customStyle="1" w:styleId="CaptionFootnote">
    <w:name w:val="Caption Footnote"/>
    <w:basedOn w:val="Caption"/>
    <w:link w:val="CaptionFootnoteChar"/>
    <w:qFormat/>
    <w:rsid w:val="00C62ECF"/>
    <w:pPr>
      <w:keepNext w:val="0"/>
      <w:keepLines w:val="0"/>
      <w:widowControl w:val="0"/>
      <w:tabs>
        <w:tab w:val="clear" w:pos="1134"/>
      </w:tabs>
      <w:jc w:val="left"/>
    </w:pPr>
    <w:rPr>
      <w:rFonts w:ascii="Candara" w:hAnsi="Candara" w:cs="Times New Roman"/>
      <w:b w:val="0"/>
      <w:sz w:val="16"/>
      <w:szCs w:val="18"/>
    </w:rPr>
  </w:style>
  <w:style w:type="character" w:styleId="CommentReference">
    <w:name w:val="annotation reference"/>
    <w:basedOn w:val="DefaultParagraphFont"/>
    <w:uiPriority w:val="99"/>
    <w:semiHidden/>
    <w:unhideWhenUsed/>
    <w:rsid w:val="0095498C"/>
    <w:rPr>
      <w:sz w:val="16"/>
      <w:szCs w:val="16"/>
    </w:rPr>
  </w:style>
  <w:style w:type="paragraph" w:styleId="CommentSubject">
    <w:name w:val="annotation subject"/>
    <w:basedOn w:val="CommentText"/>
    <w:next w:val="CommentText"/>
    <w:link w:val="CommentSubjectChar"/>
    <w:semiHidden/>
    <w:unhideWhenUsed/>
    <w:rsid w:val="0095498C"/>
    <w:pPr>
      <w:spacing w:before="0" w:after="0" w:line="240" w:lineRule="auto"/>
      <w:jc w:val="both"/>
    </w:pPr>
    <w:rPr>
      <w:rFonts w:ascii="Calibri" w:hAnsi="Calibri" w:cs="Arial"/>
      <w:b/>
      <w:bCs/>
      <w:szCs w:val="20"/>
    </w:rPr>
  </w:style>
  <w:style w:type="character" w:customStyle="1" w:styleId="CommentSubjectChar">
    <w:name w:val="Comment Subject Char"/>
    <w:basedOn w:val="CommentTextChar"/>
    <w:link w:val="CommentSubject"/>
    <w:semiHidden/>
    <w:rsid w:val="0095498C"/>
    <w:rPr>
      <w:rFonts w:ascii="Calibri" w:hAnsi="Calibri" w:cs="Arial"/>
      <w:b/>
      <w:bCs/>
      <w:szCs w:val="24"/>
    </w:rPr>
  </w:style>
  <w:style w:type="paragraph" w:customStyle="1" w:styleId="Default">
    <w:name w:val="Default"/>
    <w:rsid w:val="001C5E73"/>
    <w:pPr>
      <w:autoSpaceDE w:val="0"/>
      <w:autoSpaceDN w:val="0"/>
      <w:adjustRightInd w:val="0"/>
    </w:pPr>
    <w:rPr>
      <w:rFonts w:ascii="Cambria" w:hAnsi="Cambria" w:cs="Cambria"/>
      <w:color w:val="000000"/>
      <w:sz w:val="24"/>
      <w:szCs w:val="24"/>
    </w:rPr>
  </w:style>
  <w:style w:type="paragraph" w:customStyle="1" w:styleId="NormalBulletList">
    <w:name w:val="Normal Bullet List"/>
    <w:basedOn w:val="Normal"/>
    <w:uiPriority w:val="3"/>
    <w:qFormat/>
    <w:rsid w:val="00177E73"/>
    <w:pPr>
      <w:numPr>
        <w:numId w:val="8"/>
      </w:numPr>
      <w:spacing w:after="240" w:line="276" w:lineRule="auto"/>
      <w:contextualSpacing/>
      <w:jc w:val="left"/>
    </w:pPr>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177E73"/>
  </w:style>
  <w:style w:type="paragraph" w:customStyle="1" w:styleId="NormalBulletList2">
    <w:name w:val="Normal Bullet List 2"/>
    <w:basedOn w:val="NormalBulletList"/>
    <w:qFormat/>
    <w:rsid w:val="00177E73"/>
    <w:pPr>
      <w:numPr>
        <w:ilvl w:val="1"/>
      </w:numPr>
      <w:spacing w:after="0"/>
    </w:pPr>
  </w:style>
  <w:style w:type="character" w:styleId="HTMLCite">
    <w:name w:val="HTML Cite"/>
    <w:basedOn w:val="DefaultParagraphFont"/>
    <w:uiPriority w:val="99"/>
    <w:semiHidden/>
    <w:unhideWhenUsed/>
    <w:rsid w:val="000E642D"/>
    <w:rPr>
      <w:i/>
      <w:iCs/>
    </w:rPr>
  </w:style>
  <w:style w:type="paragraph" w:customStyle="1" w:styleId="TableCentre">
    <w:name w:val="Table Centre"/>
    <w:basedOn w:val="Table"/>
    <w:qFormat/>
    <w:rsid w:val="00D9259D"/>
    <w:pPr>
      <w:jc w:val="center"/>
    </w:pPr>
  </w:style>
  <w:style w:type="character" w:customStyle="1" w:styleId="SmallBold">
    <w:name w:val="Small Bold"/>
    <w:basedOn w:val="Small"/>
    <w:uiPriority w:val="4"/>
    <w:qFormat/>
    <w:rsid w:val="00BF0121"/>
    <w:rPr>
      <w:rFonts w:ascii="Candara" w:hAnsi="Candara"/>
      <w:b/>
      <w:sz w:val="20"/>
      <w:lang w:val="en-AU"/>
    </w:rPr>
  </w:style>
  <w:style w:type="paragraph" w:customStyle="1" w:styleId="EndNoteBibliography">
    <w:name w:val="EndNote Bibliography"/>
    <w:basedOn w:val="Normal"/>
    <w:link w:val="EndNoteBibliographyChar"/>
    <w:rsid w:val="00AC6736"/>
    <w:pPr>
      <w:spacing w:after="200"/>
      <w:jc w:val="left"/>
    </w:pPr>
    <w:rPr>
      <w:rFonts w:ascii="Candara" w:eastAsiaTheme="majorEastAsia" w:hAnsi="Candara" w:cstheme="majorBidi"/>
      <w:noProof/>
      <w:szCs w:val="22"/>
      <w:lang w:val="en-US" w:eastAsia="en-US" w:bidi="en-US"/>
    </w:rPr>
  </w:style>
  <w:style w:type="character" w:customStyle="1" w:styleId="EndNoteBibliographyChar">
    <w:name w:val="EndNote Bibliography Char"/>
    <w:basedOn w:val="DefaultParagraphFont"/>
    <w:link w:val="EndNoteBibliography"/>
    <w:rsid w:val="00AC6736"/>
    <w:rPr>
      <w:rFonts w:ascii="Candara" w:eastAsiaTheme="majorEastAsia" w:hAnsi="Candara" w:cstheme="majorBidi"/>
      <w:noProof/>
      <w:sz w:val="24"/>
      <w:szCs w:val="22"/>
      <w:lang w:val="en-US" w:eastAsia="en-US" w:bidi="en-US"/>
    </w:rPr>
  </w:style>
  <w:style w:type="paragraph" w:customStyle="1" w:styleId="PBACTabletext">
    <w:name w:val="PBAC Table text"/>
    <w:qFormat/>
    <w:rsid w:val="00960E67"/>
    <w:pPr>
      <w:keepNext/>
      <w:keepLines/>
      <w:suppressLineNumbers/>
      <w:spacing w:after="40"/>
      <w:textboxTightWrap w:val="allLines"/>
    </w:pPr>
    <w:rPr>
      <w:rFonts w:ascii="Arial Narrow" w:hAnsi="Arial Narrow" w:cs="Arial"/>
      <w:szCs w:val="24"/>
      <w:lang w:eastAsia="en-GB"/>
    </w:rPr>
  </w:style>
  <w:style w:type="paragraph" w:customStyle="1" w:styleId="3-BodyText">
    <w:name w:val="3-Body Text"/>
    <w:basedOn w:val="ListParagraph"/>
    <w:link w:val="3-BodyTextChar"/>
    <w:qFormat/>
    <w:rsid w:val="006919EB"/>
    <w:pPr>
      <w:spacing w:after="120"/>
      <w:ind w:hanging="720"/>
      <w:contextualSpacing w:val="0"/>
    </w:pPr>
    <w:rPr>
      <w:rFonts w:asciiTheme="minorHAnsi" w:hAnsiTheme="minorHAnsi"/>
      <w:snapToGrid w:val="0"/>
    </w:rPr>
  </w:style>
  <w:style w:type="paragraph" w:customStyle="1" w:styleId="PBACHeading1">
    <w:name w:val="PBAC Heading 1"/>
    <w:qFormat/>
    <w:rsid w:val="00236BDA"/>
    <w:pPr>
      <w:ind w:left="720" w:hanging="720"/>
      <w:outlineLvl w:val="0"/>
    </w:pPr>
    <w:rPr>
      <w:rFonts w:ascii="Calibri" w:hAnsi="Calibri" w:cs="Calibri"/>
      <w:b/>
      <w:snapToGrid w:val="0"/>
      <w:sz w:val="32"/>
      <w:szCs w:val="32"/>
      <w:lang w:eastAsia="en-US"/>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Figure_name Char"/>
    <w:link w:val="ListParagraph"/>
    <w:uiPriority w:val="34"/>
    <w:qFormat/>
    <w:locked/>
    <w:rsid w:val="00236BDA"/>
    <w:rPr>
      <w:rFonts w:ascii="Calibri" w:hAnsi="Calibri" w:cs="Arial"/>
      <w:sz w:val="24"/>
      <w:szCs w:val="24"/>
    </w:rPr>
  </w:style>
  <w:style w:type="paragraph" w:styleId="NoSpacing">
    <w:name w:val="No Spacing"/>
    <w:uiPriority w:val="1"/>
    <w:qFormat/>
    <w:rsid w:val="00915159"/>
    <w:rPr>
      <w:sz w:val="24"/>
      <w:szCs w:val="24"/>
      <w:lang w:eastAsia="en-US"/>
    </w:rPr>
  </w:style>
  <w:style w:type="character" w:customStyle="1" w:styleId="3-BodyTextChar">
    <w:name w:val="3-Body Text Char"/>
    <w:basedOn w:val="DefaultParagraphFont"/>
    <w:link w:val="3-BodyText"/>
    <w:rsid w:val="00DA2DB8"/>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241">
      <w:bodyDiv w:val="1"/>
      <w:marLeft w:val="0"/>
      <w:marRight w:val="0"/>
      <w:marTop w:val="0"/>
      <w:marBottom w:val="0"/>
      <w:divBdr>
        <w:top w:val="none" w:sz="0" w:space="0" w:color="auto"/>
        <w:left w:val="none" w:sz="0" w:space="0" w:color="auto"/>
        <w:bottom w:val="none" w:sz="0" w:space="0" w:color="auto"/>
        <w:right w:val="none" w:sz="0" w:space="0" w:color="auto"/>
      </w:divBdr>
    </w:div>
    <w:div w:id="44764025">
      <w:bodyDiv w:val="1"/>
      <w:marLeft w:val="0"/>
      <w:marRight w:val="0"/>
      <w:marTop w:val="0"/>
      <w:marBottom w:val="0"/>
      <w:divBdr>
        <w:top w:val="none" w:sz="0" w:space="0" w:color="auto"/>
        <w:left w:val="none" w:sz="0" w:space="0" w:color="auto"/>
        <w:bottom w:val="none" w:sz="0" w:space="0" w:color="auto"/>
        <w:right w:val="none" w:sz="0" w:space="0" w:color="auto"/>
      </w:divBdr>
    </w:div>
    <w:div w:id="9865064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0821308">
      <w:bodyDiv w:val="1"/>
      <w:marLeft w:val="0"/>
      <w:marRight w:val="0"/>
      <w:marTop w:val="0"/>
      <w:marBottom w:val="0"/>
      <w:divBdr>
        <w:top w:val="none" w:sz="0" w:space="0" w:color="auto"/>
        <w:left w:val="none" w:sz="0" w:space="0" w:color="auto"/>
        <w:bottom w:val="none" w:sz="0" w:space="0" w:color="auto"/>
        <w:right w:val="none" w:sz="0" w:space="0" w:color="auto"/>
      </w:divBdr>
    </w:div>
    <w:div w:id="213590760">
      <w:bodyDiv w:val="1"/>
      <w:marLeft w:val="0"/>
      <w:marRight w:val="0"/>
      <w:marTop w:val="0"/>
      <w:marBottom w:val="0"/>
      <w:divBdr>
        <w:top w:val="none" w:sz="0" w:space="0" w:color="auto"/>
        <w:left w:val="none" w:sz="0" w:space="0" w:color="auto"/>
        <w:bottom w:val="none" w:sz="0" w:space="0" w:color="auto"/>
        <w:right w:val="none" w:sz="0" w:space="0" w:color="auto"/>
      </w:divBdr>
      <w:divsChild>
        <w:div w:id="1927378455">
          <w:marLeft w:val="1166"/>
          <w:marRight w:val="0"/>
          <w:marTop w:val="0"/>
          <w:marBottom w:val="0"/>
          <w:divBdr>
            <w:top w:val="none" w:sz="0" w:space="0" w:color="auto"/>
            <w:left w:val="none" w:sz="0" w:space="0" w:color="auto"/>
            <w:bottom w:val="none" w:sz="0" w:space="0" w:color="auto"/>
            <w:right w:val="none" w:sz="0" w:space="0" w:color="auto"/>
          </w:divBdr>
        </w:div>
      </w:divsChild>
    </w:div>
    <w:div w:id="25771761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7560745">
      <w:bodyDiv w:val="1"/>
      <w:marLeft w:val="0"/>
      <w:marRight w:val="0"/>
      <w:marTop w:val="0"/>
      <w:marBottom w:val="0"/>
      <w:divBdr>
        <w:top w:val="none" w:sz="0" w:space="0" w:color="auto"/>
        <w:left w:val="none" w:sz="0" w:space="0" w:color="auto"/>
        <w:bottom w:val="none" w:sz="0" w:space="0" w:color="auto"/>
        <w:right w:val="none" w:sz="0" w:space="0" w:color="auto"/>
      </w:divBdr>
      <w:divsChild>
        <w:div w:id="435713400">
          <w:marLeft w:val="360"/>
          <w:marRight w:val="0"/>
          <w:marTop w:val="200"/>
          <w:marBottom w:val="0"/>
          <w:divBdr>
            <w:top w:val="none" w:sz="0" w:space="0" w:color="auto"/>
            <w:left w:val="none" w:sz="0" w:space="0" w:color="auto"/>
            <w:bottom w:val="none" w:sz="0" w:space="0" w:color="auto"/>
            <w:right w:val="none" w:sz="0" w:space="0" w:color="auto"/>
          </w:divBdr>
        </w:div>
      </w:divsChild>
    </w:div>
    <w:div w:id="493111203">
      <w:bodyDiv w:val="1"/>
      <w:marLeft w:val="0"/>
      <w:marRight w:val="0"/>
      <w:marTop w:val="0"/>
      <w:marBottom w:val="0"/>
      <w:divBdr>
        <w:top w:val="none" w:sz="0" w:space="0" w:color="auto"/>
        <w:left w:val="none" w:sz="0" w:space="0" w:color="auto"/>
        <w:bottom w:val="none" w:sz="0" w:space="0" w:color="auto"/>
        <w:right w:val="none" w:sz="0" w:space="0" w:color="auto"/>
      </w:divBdr>
      <w:divsChild>
        <w:div w:id="407650022">
          <w:marLeft w:val="0"/>
          <w:marRight w:val="0"/>
          <w:marTop w:val="0"/>
          <w:marBottom w:val="0"/>
          <w:divBdr>
            <w:top w:val="none" w:sz="0" w:space="0" w:color="auto"/>
            <w:left w:val="none" w:sz="0" w:space="0" w:color="auto"/>
            <w:bottom w:val="none" w:sz="0" w:space="0" w:color="auto"/>
            <w:right w:val="none" w:sz="0" w:space="0" w:color="auto"/>
          </w:divBdr>
          <w:divsChild>
            <w:div w:id="331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4235">
      <w:bodyDiv w:val="1"/>
      <w:marLeft w:val="0"/>
      <w:marRight w:val="0"/>
      <w:marTop w:val="0"/>
      <w:marBottom w:val="0"/>
      <w:divBdr>
        <w:top w:val="none" w:sz="0" w:space="0" w:color="auto"/>
        <w:left w:val="none" w:sz="0" w:space="0" w:color="auto"/>
        <w:bottom w:val="none" w:sz="0" w:space="0" w:color="auto"/>
        <w:right w:val="none" w:sz="0" w:space="0" w:color="auto"/>
      </w:divBdr>
      <w:divsChild>
        <w:div w:id="1831364513">
          <w:marLeft w:val="360"/>
          <w:marRight w:val="0"/>
          <w:marTop w:val="200"/>
          <w:marBottom w:val="0"/>
          <w:divBdr>
            <w:top w:val="none" w:sz="0" w:space="0" w:color="auto"/>
            <w:left w:val="none" w:sz="0" w:space="0" w:color="auto"/>
            <w:bottom w:val="none" w:sz="0" w:space="0" w:color="auto"/>
            <w:right w:val="none" w:sz="0" w:space="0" w:color="auto"/>
          </w:divBdr>
        </w:div>
      </w:divsChild>
    </w:div>
    <w:div w:id="632174519">
      <w:bodyDiv w:val="1"/>
      <w:marLeft w:val="0"/>
      <w:marRight w:val="0"/>
      <w:marTop w:val="0"/>
      <w:marBottom w:val="0"/>
      <w:divBdr>
        <w:top w:val="none" w:sz="0" w:space="0" w:color="auto"/>
        <w:left w:val="none" w:sz="0" w:space="0" w:color="auto"/>
        <w:bottom w:val="none" w:sz="0" w:space="0" w:color="auto"/>
        <w:right w:val="none" w:sz="0" w:space="0" w:color="auto"/>
      </w:divBdr>
    </w:div>
    <w:div w:id="632952439">
      <w:bodyDiv w:val="1"/>
      <w:marLeft w:val="0"/>
      <w:marRight w:val="0"/>
      <w:marTop w:val="0"/>
      <w:marBottom w:val="0"/>
      <w:divBdr>
        <w:top w:val="none" w:sz="0" w:space="0" w:color="auto"/>
        <w:left w:val="none" w:sz="0" w:space="0" w:color="auto"/>
        <w:bottom w:val="none" w:sz="0" w:space="0" w:color="auto"/>
        <w:right w:val="none" w:sz="0" w:space="0" w:color="auto"/>
      </w:divBdr>
    </w:div>
    <w:div w:id="668874175">
      <w:bodyDiv w:val="1"/>
      <w:marLeft w:val="0"/>
      <w:marRight w:val="0"/>
      <w:marTop w:val="0"/>
      <w:marBottom w:val="0"/>
      <w:divBdr>
        <w:top w:val="none" w:sz="0" w:space="0" w:color="auto"/>
        <w:left w:val="none" w:sz="0" w:space="0" w:color="auto"/>
        <w:bottom w:val="none" w:sz="0" w:space="0" w:color="auto"/>
        <w:right w:val="none" w:sz="0" w:space="0" w:color="auto"/>
      </w:divBdr>
    </w:div>
    <w:div w:id="683245129">
      <w:bodyDiv w:val="1"/>
      <w:marLeft w:val="0"/>
      <w:marRight w:val="0"/>
      <w:marTop w:val="0"/>
      <w:marBottom w:val="0"/>
      <w:divBdr>
        <w:top w:val="none" w:sz="0" w:space="0" w:color="auto"/>
        <w:left w:val="none" w:sz="0" w:space="0" w:color="auto"/>
        <w:bottom w:val="none" w:sz="0" w:space="0" w:color="auto"/>
        <w:right w:val="none" w:sz="0" w:space="0" w:color="auto"/>
      </w:divBdr>
    </w:div>
    <w:div w:id="715206562">
      <w:bodyDiv w:val="1"/>
      <w:marLeft w:val="0"/>
      <w:marRight w:val="0"/>
      <w:marTop w:val="0"/>
      <w:marBottom w:val="0"/>
      <w:divBdr>
        <w:top w:val="none" w:sz="0" w:space="0" w:color="auto"/>
        <w:left w:val="none" w:sz="0" w:space="0" w:color="auto"/>
        <w:bottom w:val="none" w:sz="0" w:space="0" w:color="auto"/>
        <w:right w:val="none" w:sz="0" w:space="0" w:color="auto"/>
      </w:divBdr>
    </w:div>
    <w:div w:id="801309701">
      <w:bodyDiv w:val="1"/>
      <w:marLeft w:val="0"/>
      <w:marRight w:val="0"/>
      <w:marTop w:val="0"/>
      <w:marBottom w:val="0"/>
      <w:divBdr>
        <w:top w:val="none" w:sz="0" w:space="0" w:color="auto"/>
        <w:left w:val="none" w:sz="0" w:space="0" w:color="auto"/>
        <w:bottom w:val="none" w:sz="0" w:space="0" w:color="auto"/>
        <w:right w:val="none" w:sz="0" w:space="0" w:color="auto"/>
      </w:divBdr>
    </w:div>
    <w:div w:id="865675235">
      <w:bodyDiv w:val="1"/>
      <w:marLeft w:val="0"/>
      <w:marRight w:val="0"/>
      <w:marTop w:val="0"/>
      <w:marBottom w:val="0"/>
      <w:divBdr>
        <w:top w:val="none" w:sz="0" w:space="0" w:color="auto"/>
        <w:left w:val="none" w:sz="0" w:space="0" w:color="auto"/>
        <w:bottom w:val="none" w:sz="0" w:space="0" w:color="auto"/>
        <w:right w:val="none" w:sz="0" w:space="0" w:color="auto"/>
      </w:divBdr>
    </w:div>
    <w:div w:id="893350139">
      <w:bodyDiv w:val="1"/>
      <w:marLeft w:val="0"/>
      <w:marRight w:val="0"/>
      <w:marTop w:val="0"/>
      <w:marBottom w:val="0"/>
      <w:divBdr>
        <w:top w:val="none" w:sz="0" w:space="0" w:color="auto"/>
        <w:left w:val="none" w:sz="0" w:space="0" w:color="auto"/>
        <w:bottom w:val="none" w:sz="0" w:space="0" w:color="auto"/>
        <w:right w:val="none" w:sz="0" w:space="0" w:color="auto"/>
      </w:divBdr>
    </w:div>
    <w:div w:id="894201534">
      <w:bodyDiv w:val="1"/>
      <w:marLeft w:val="0"/>
      <w:marRight w:val="0"/>
      <w:marTop w:val="0"/>
      <w:marBottom w:val="0"/>
      <w:divBdr>
        <w:top w:val="none" w:sz="0" w:space="0" w:color="auto"/>
        <w:left w:val="none" w:sz="0" w:space="0" w:color="auto"/>
        <w:bottom w:val="none" w:sz="0" w:space="0" w:color="auto"/>
        <w:right w:val="none" w:sz="0" w:space="0" w:color="auto"/>
      </w:divBdr>
      <w:divsChild>
        <w:div w:id="478619745">
          <w:marLeft w:val="547"/>
          <w:marRight w:val="0"/>
          <w:marTop w:val="0"/>
          <w:marBottom w:val="0"/>
          <w:divBdr>
            <w:top w:val="none" w:sz="0" w:space="0" w:color="auto"/>
            <w:left w:val="none" w:sz="0" w:space="0" w:color="auto"/>
            <w:bottom w:val="none" w:sz="0" w:space="0" w:color="auto"/>
            <w:right w:val="none" w:sz="0" w:space="0" w:color="auto"/>
          </w:divBdr>
        </w:div>
      </w:divsChild>
    </w:div>
    <w:div w:id="1023481029">
      <w:bodyDiv w:val="1"/>
      <w:marLeft w:val="0"/>
      <w:marRight w:val="0"/>
      <w:marTop w:val="0"/>
      <w:marBottom w:val="0"/>
      <w:divBdr>
        <w:top w:val="none" w:sz="0" w:space="0" w:color="auto"/>
        <w:left w:val="none" w:sz="0" w:space="0" w:color="auto"/>
        <w:bottom w:val="none" w:sz="0" w:space="0" w:color="auto"/>
        <w:right w:val="none" w:sz="0" w:space="0" w:color="auto"/>
      </w:divBdr>
    </w:div>
    <w:div w:id="1024089852">
      <w:bodyDiv w:val="1"/>
      <w:marLeft w:val="0"/>
      <w:marRight w:val="0"/>
      <w:marTop w:val="0"/>
      <w:marBottom w:val="0"/>
      <w:divBdr>
        <w:top w:val="none" w:sz="0" w:space="0" w:color="auto"/>
        <w:left w:val="none" w:sz="0" w:space="0" w:color="auto"/>
        <w:bottom w:val="none" w:sz="0" w:space="0" w:color="auto"/>
        <w:right w:val="none" w:sz="0" w:space="0" w:color="auto"/>
      </w:divBdr>
    </w:div>
    <w:div w:id="1096441528">
      <w:bodyDiv w:val="1"/>
      <w:marLeft w:val="0"/>
      <w:marRight w:val="0"/>
      <w:marTop w:val="0"/>
      <w:marBottom w:val="0"/>
      <w:divBdr>
        <w:top w:val="none" w:sz="0" w:space="0" w:color="auto"/>
        <w:left w:val="none" w:sz="0" w:space="0" w:color="auto"/>
        <w:bottom w:val="none" w:sz="0" w:space="0" w:color="auto"/>
        <w:right w:val="none" w:sz="0" w:space="0" w:color="auto"/>
      </w:divBdr>
      <w:divsChild>
        <w:div w:id="1706978710">
          <w:marLeft w:val="360"/>
          <w:marRight w:val="0"/>
          <w:marTop w:val="0"/>
          <w:marBottom w:val="0"/>
          <w:divBdr>
            <w:top w:val="none" w:sz="0" w:space="0" w:color="auto"/>
            <w:left w:val="none" w:sz="0" w:space="0" w:color="auto"/>
            <w:bottom w:val="none" w:sz="0" w:space="0" w:color="auto"/>
            <w:right w:val="none" w:sz="0" w:space="0" w:color="auto"/>
          </w:divBdr>
        </w:div>
      </w:divsChild>
    </w:div>
    <w:div w:id="11569181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24">
      <w:bodyDiv w:val="1"/>
      <w:marLeft w:val="0"/>
      <w:marRight w:val="0"/>
      <w:marTop w:val="0"/>
      <w:marBottom w:val="0"/>
      <w:divBdr>
        <w:top w:val="none" w:sz="0" w:space="0" w:color="auto"/>
        <w:left w:val="none" w:sz="0" w:space="0" w:color="auto"/>
        <w:bottom w:val="none" w:sz="0" w:space="0" w:color="auto"/>
        <w:right w:val="none" w:sz="0" w:space="0" w:color="auto"/>
      </w:divBdr>
    </w:div>
    <w:div w:id="1323964975">
      <w:bodyDiv w:val="1"/>
      <w:marLeft w:val="0"/>
      <w:marRight w:val="0"/>
      <w:marTop w:val="0"/>
      <w:marBottom w:val="0"/>
      <w:divBdr>
        <w:top w:val="none" w:sz="0" w:space="0" w:color="auto"/>
        <w:left w:val="none" w:sz="0" w:space="0" w:color="auto"/>
        <w:bottom w:val="none" w:sz="0" w:space="0" w:color="auto"/>
        <w:right w:val="none" w:sz="0" w:space="0" w:color="auto"/>
      </w:divBdr>
    </w:div>
    <w:div w:id="1368337289">
      <w:bodyDiv w:val="1"/>
      <w:marLeft w:val="0"/>
      <w:marRight w:val="0"/>
      <w:marTop w:val="0"/>
      <w:marBottom w:val="0"/>
      <w:divBdr>
        <w:top w:val="none" w:sz="0" w:space="0" w:color="auto"/>
        <w:left w:val="none" w:sz="0" w:space="0" w:color="auto"/>
        <w:bottom w:val="none" w:sz="0" w:space="0" w:color="auto"/>
        <w:right w:val="none" w:sz="0" w:space="0" w:color="auto"/>
      </w:divBdr>
      <w:divsChild>
        <w:div w:id="494995228">
          <w:marLeft w:val="360"/>
          <w:marRight w:val="0"/>
          <w:marTop w:val="200"/>
          <w:marBottom w:val="0"/>
          <w:divBdr>
            <w:top w:val="none" w:sz="0" w:space="0" w:color="auto"/>
            <w:left w:val="none" w:sz="0" w:space="0" w:color="auto"/>
            <w:bottom w:val="none" w:sz="0" w:space="0" w:color="auto"/>
            <w:right w:val="none" w:sz="0" w:space="0" w:color="auto"/>
          </w:divBdr>
        </w:div>
      </w:divsChild>
    </w:div>
    <w:div w:id="1576429359">
      <w:bodyDiv w:val="1"/>
      <w:marLeft w:val="0"/>
      <w:marRight w:val="0"/>
      <w:marTop w:val="0"/>
      <w:marBottom w:val="0"/>
      <w:divBdr>
        <w:top w:val="none" w:sz="0" w:space="0" w:color="auto"/>
        <w:left w:val="none" w:sz="0" w:space="0" w:color="auto"/>
        <w:bottom w:val="none" w:sz="0" w:space="0" w:color="auto"/>
        <w:right w:val="none" w:sz="0" w:space="0" w:color="auto"/>
      </w:divBdr>
    </w:div>
    <w:div w:id="1590232833">
      <w:bodyDiv w:val="1"/>
      <w:marLeft w:val="0"/>
      <w:marRight w:val="0"/>
      <w:marTop w:val="0"/>
      <w:marBottom w:val="0"/>
      <w:divBdr>
        <w:top w:val="none" w:sz="0" w:space="0" w:color="auto"/>
        <w:left w:val="none" w:sz="0" w:space="0" w:color="auto"/>
        <w:bottom w:val="none" w:sz="0" w:space="0" w:color="auto"/>
        <w:right w:val="none" w:sz="0" w:space="0" w:color="auto"/>
      </w:divBdr>
    </w:div>
    <w:div w:id="1652562950">
      <w:bodyDiv w:val="1"/>
      <w:marLeft w:val="0"/>
      <w:marRight w:val="0"/>
      <w:marTop w:val="0"/>
      <w:marBottom w:val="0"/>
      <w:divBdr>
        <w:top w:val="none" w:sz="0" w:space="0" w:color="auto"/>
        <w:left w:val="none" w:sz="0" w:space="0" w:color="auto"/>
        <w:bottom w:val="none" w:sz="0" w:space="0" w:color="auto"/>
        <w:right w:val="none" w:sz="0" w:space="0" w:color="auto"/>
      </w:divBdr>
      <w:divsChild>
        <w:div w:id="1109011678">
          <w:marLeft w:val="360"/>
          <w:marRight w:val="0"/>
          <w:marTop w:val="200"/>
          <w:marBottom w:val="0"/>
          <w:divBdr>
            <w:top w:val="none" w:sz="0" w:space="0" w:color="auto"/>
            <w:left w:val="none" w:sz="0" w:space="0" w:color="auto"/>
            <w:bottom w:val="none" w:sz="0" w:space="0" w:color="auto"/>
            <w:right w:val="none" w:sz="0" w:space="0" w:color="auto"/>
          </w:divBdr>
        </w:div>
      </w:divsChild>
    </w:div>
    <w:div w:id="1726760623">
      <w:bodyDiv w:val="1"/>
      <w:marLeft w:val="0"/>
      <w:marRight w:val="0"/>
      <w:marTop w:val="0"/>
      <w:marBottom w:val="0"/>
      <w:divBdr>
        <w:top w:val="none" w:sz="0" w:space="0" w:color="auto"/>
        <w:left w:val="none" w:sz="0" w:space="0" w:color="auto"/>
        <w:bottom w:val="none" w:sz="0" w:space="0" w:color="auto"/>
        <w:right w:val="none" w:sz="0" w:space="0" w:color="auto"/>
      </w:divBdr>
      <w:divsChild>
        <w:div w:id="1925067272">
          <w:marLeft w:val="960"/>
          <w:marRight w:val="0"/>
          <w:marTop w:val="0"/>
          <w:marBottom w:val="0"/>
          <w:divBdr>
            <w:top w:val="none" w:sz="0" w:space="0" w:color="auto"/>
            <w:left w:val="none" w:sz="0" w:space="0" w:color="auto"/>
            <w:bottom w:val="none" w:sz="0" w:space="0" w:color="auto"/>
            <w:right w:val="none" w:sz="0" w:space="0" w:color="auto"/>
          </w:divBdr>
        </w:div>
      </w:divsChild>
    </w:div>
    <w:div w:id="1794211683">
      <w:bodyDiv w:val="1"/>
      <w:marLeft w:val="0"/>
      <w:marRight w:val="0"/>
      <w:marTop w:val="0"/>
      <w:marBottom w:val="0"/>
      <w:divBdr>
        <w:top w:val="none" w:sz="0" w:space="0" w:color="auto"/>
        <w:left w:val="none" w:sz="0" w:space="0" w:color="auto"/>
        <w:bottom w:val="none" w:sz="0" w:space="0" w:color="auto"/>
        <w:right w:val="none" w:sz="0" w:space="0" w:color="auto"/>
      </w:divBdr>
      <w:divsChild>
        <w:div w:id="1669286803">
          <w:marLeft w:val="1166"/>
          <w:marRight w:val="0"/>
          <w:marTop w:val="0"/>
          <w:marBottom w:val="0"/>
          <w:divBdr>
            <w:top w:val="none" w:sz="0" w:space="0" w:color="auto"/>
            <w:left w:val="none" w:sz="0" w:space="0" w:color="auto"/>
            <w:bottom w:val="none" w:sz="0" w:space="0" w:color="auto"/>
            <w:right w:val="none" w:sz="0" w:space="0" w:color="auto"/>
          </w:divBdr>
        </w:div>
        <w:div w:id="1683507175">
          <w:marLeft w:val="1166"/>
          <w:marRight w:val="0"/>
          <w:marTop w:val="0"/>
          <w:marBottom w:val="0"/>
          <w:divBdr>
            <w:top w:val="none" w:sz="0" w:space="0" w:color="auto"/>
            <w:left w:val="none" w:sz="0" w:space="0" w:color="auto"/>
            <w:bottom w:val="none" w:sz="0" w:space="0" w:color="auto"/>
            <w:right w:val="none" w:sz="0" w:space="0" w:color="auto"/>
          </w:divBdr>
        </w:div>
        <w:div w:id="675034695">
          <w:marLeft w:val="1166"/>
          <w:marRight w:val="0"/>
          <w:marTop w:val="0"/>
          <w:marBottom w:val="0"/>
          <w:divBdr>
            <w:top w:val="none" w:sz="0" w:space="0" w:color="auto"/>
            <w:left w:val="none" w:sz="0" w:space="0" w:color="auto"/>
            <w:bottom w:val="none" w:sz="0" w:space="0" w:color="auto"/>
            <w:right w:val="none" w:sz="0" w:space="0" w:color="auto"/>
          </w:divBdr>
        </w:div>
      </w:divsChild>
    </w:div>
    <w:div w:id="1873497130">
      <w:bodyDiv w:val="1"/>
      <w:marLeft w:val="0"/>
      <w:marRight w:val="0"/>
      <w:marTop w:val="0"/>
      <w:marBottom w:val="0"/>
      <w:divBdr>
        <w:top w:val="none" w:sz="0" w:space="0" w:color="auto"/>
        <w:left w:val="none" w:sz="0" w:space="0" w:color="auto"/>
        <w:bottom w:val="none" w:sz="0" w:space="0" w:color="auto"/>
        <w:right w:val="none" w:sz="0" w:space="0" w:color="auto"/>
      </w:divBdr>
      <w:divsChild>
        <w:div w:id="433747501">
          <w:marLeft w:val="446"/>
          <w:marRight w:val="0"/>
          <w:marTop w:val="0"/>
          <w:marBottom w:val="0"/>
          <w:divBdr>
            <w:top w:val="none" w:sz="0" w:space="0" w:color="auto"/>
            <w:left w:val="none" w:sz="0" w:space="0" w:color="auto"/>
            <w:bottom w:val="none" w:sz="0" w:space="0" w:color="auto"/>
            <w:right w:val="none" w:sz="0" w:space="0" w:color="auto"/>
          </w:divBdr>
        </w:div>
        <w:div w:id="2036467621">
          <w:marLeft w:val="1166"/>
          <w:marRight w:val="0"/>
          <w:marTop w:val="0"/>
          <w:marBottom w:val="0"/>
          <w:divBdr>
            <w:top w:val="none" w:sz="0" w:space="0" w:color="auto"/>
            <w:left w:val="none" w:sz="0" w:space="0" w:color="auto"/>
            <w:bottom w:val="none" w:sz="0" w:space="0" w:color="auto"/>
            <w:right w:val="none" w:sz="0" w:space="0" w:color="auto"/>
          </w:divBdr>
        </w:div>
        <w:div w:id="1467776472">
          <w:marLeft w:val="1166"/>
          <w:marRight w:val="0"/>
          <w:marTop w:val="0"/>
          <w:marBottom w:val="0"/>
          <w:divBdr>
            <w:top w:val="none" w:sz="0" w:space="0" w:color="auto"/>
            <w:left w:val="none" w:sz="0" w:space="0" w:color="auto"/>
            <w:bottom w:val="none" w:sz="0" w:space="0" w:color="auto"/>
            <w:right w:val="none" w:sz="0" w:space="0" w:color="auto"/>
          </w:divBdr>
        </w:div>
      </w:divsChild>
    </w:div>
    <w:div w:id="195173568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1252971">
      <w:bodyDiv w:val="1"/>
      <w:marLeft w:val="0"/>
      <w:marRight w:val="0"/>
      <w:marTop w:val="0"/>
      <w:marBottom w:val="0"/>
      <w:divBdr>
        <w:top w:val="none" w:sz="0" w:space="0" w:color="auto"/>
        <w:left w:val="none" w:sz="0" w:space="0" w:color="auto"/>
        <w:bottom w:val="none" w:sz="0" w:space="0" w:color="auto"/>
        <w:right w:val="none" w:sz="0" w:space="0" w:color="auto"/>
      </w:divBdr>
    </w:div>
    <w:div w:id="2029285247">
      <w:bodyDiv w:val="1"/>
      <w:marLeft w:val="0"/>
      <w:marRight w:val="0"/>
      <w:marTop w:val="0"/>
      <w:marBottom w:val="0"/>
      <w:divBdr>
        <w:top w:val="none" w:sz="0" w:space="0" w:color="auto"/>
        <w:left w:val="none" w:sz="0" w:space="0" w:color="auto"/>
        <w:bottom w:val="none" w:sz="0" w:space="0" w:color="auto"/>
        <w:right w:val="none" w:sz="0" w:space="0" w:color="auto"/>
      </w:divBdr>
      <w:divsChild>
        <w:div w:id="734665029">
          <w:marLeft w:val="960"/>
          <w:marRight w:val="0"/>
          <w:marTop w:val="0"/>
          <w:marBottom w:val="0"/>
          <w:divBdr>
            <w:top w:val="none" w:sz="0" w:space="0" w:color="auto"/>
            <w:left w:val="none" w:sz="0" w:space="0" w:color="auto"/>
            <w:bottom w:val="none" w:sz="0" w:space="0" w:color="auto"/>
            <w:right w:val="none" w:sz="0" w:space="0" w:color="auto"/>
          </w:divBdr>
        </w:div>
      </w:divsChild>
    </w:div>
    <w:div w:id="2081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ng217/evidence/9-antiseizure-medication-status-epilepticus-pdf-398366282772" TargetMode="External"/><Relationship Id="rId1" Type="http://schemas.openxmlformats.org/officeDocument/2006/relationships/hyperlink" Target="https://www.nice.org.uk/guidance/ng217/chapter/7-Treating-status-epilepticus-repeated-or-cluster-seizures-and-prolonged-seiz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AD6-0BE3-46D1-82BB-C90FD326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11592</Words>
  <Characters>66078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2022-10-24T01:08:00Z</dcterms:created>
  <dcterms:modified xsi:type="dcterms:W3CDTF">2022-10-24T01:08:00Z</dcterms:modified>
</cp:coreProperties>
</file>